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63845R107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ind w:left="1400" w:hanging="95"/>
        <w:spacing w:after="0"/>
        <w:tabs>
          <w:tab w:leader="none" w:pos="1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156" w:lineRule="exact"/>
        <w:rPr>
          <w:rFonts w:ascii="Arial" w:cs="Arial" w:eastAsia="Arial" w:hAnsi="Arial"/>
          <w:sz w:val="18"/>
          <w:szCs w:val="18"/>
          <w:color w:val="auto"/>
        </w:rPr>
      </w:pPr>
    </w:p>
    <w:p>
      <w:pPr>
        <w:jc w:val="both"/>
        <w:ind w:left="1300" w:right="8820" w:firstLine="5"/>
        <w:spacing w:after="0" w:line="499" w:lineRule="auto"/>
        <w:tabs>
          <w:tab w:leader="none" w:pos="140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1" w:lineRule="exact"/>
        <w:rPr>
          <w:sz w:val="24"/>
          <w:szCs w:val="24"/>
          <w:color w:val="auto"/>
        </w:rPr>
      </w:pPr>
    </w:p>
    <w:p>
      <w:pPr>
        <w:ind w:right="240"/>
        <w:spacing w:after="0" w:line="210" w:lineRule="auto"/>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2"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2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062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60" w:hanging="700"/>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280" w:type="dxa"/>
            <w:vAlign w:val="bottom"/>
          </w:tcPr>
          <w:p>
            <w:pPr>
              <w:ind w:left="500"/>
              <w:spacing w:after="0"/>
              <w:rPr>
                <w:sz w:val="20"/>
                <w:szCs w:val="20"/>
                <w:color w:val="auto"/>
              </w:rPr>
            </w:pPr>
            <w:r>
              <w:rPr>
                <w:rFonts w:ascii="Arial" w:cs="Arial" w:eastAsia="Arial" w:hAnsi="Arial"/>
                <w:sz w:val="18"/>
                <w:szCs w:val="18"/>
                <w:color w:val="auto"/>
              </w:rPr>
              <w:t>Berkshire Partners Holdings LLC</w:t>
            </w:r>
          </w:p>
        </w:tc>
        <w:tc>
          <w:tcPr>
            <w:tcW w:w="326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280" w:type="dxa"/>
            <w:vAlign w:val="bottom"/>
            <w:tcBorders>
              <w:bottom w:val="single" w:sz="8" w:color="auto"/>
            </w:tcBorders>
          </w:tcPr>
          <w:p>
            <w:pPr>
              <w:spacing w:after="0"/>
              <w:rPr>
                <w:sz w:val="4"/>
                <w:szCs w:val="4"/>
                <w:color w:val="auto"/>
              </w:rPr>
            </w:pPr>
          </w:p>
        </w:tc>
        <w:tc>
          <w:tcPr>
            <w:tcW w:w="326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728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 (a) [x]</w:t>
            </w:r>
          </w:p>
        </w:tc>
        <w:tc>
          <w:tcPr>
            <w:tcW w:w="3260" w:type="dxa"/>
            <w:vAlign w:val="bottom"/>
          </w:tcPr>
          <w:p>
            <w:pPr>
              <w:ind w:left="154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728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260" w:type="dxa"/>
            <w:vAlign w:val="bottom"/>
          </w:tcPr>
          <w:p>
            <w:pPr>
              <w:ind w:left="154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3"/>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5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520" w:type="dxa"/>
            <w:vAlign w:val="bottom"/>
            <w:vMerge w:val="continue"/>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5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520" w:type="dxa"/>
            <w:vAlign w:val="bottom"/>
            <w:vMerge w:val="restart"/>
          </w:tcPr>
          <w:p>
            <w:pPr>
              <w:ind w:left="320"/>
              <w:spacing w:after="0"/>
              <w:rPr>
                <w:sz w:val="20"/>
                <w:szCs w:val="20"/>
                <w:color w:val="auto"/>
              </w:rPr>
            </w:pPr>
            <w:r>
              <w:rPr>
                <w:rFonts w:ascii="Arial" w:cs="Arial" w:eastAsia="Arial" w:hAnsi="Arial"/>
                <w:sz w:val="18"/>
                <w:szCs w:val="18"/>
                <w:color w:val="auto"/>
              </w:rPr>
              <w:t>10,171,541</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520" w:type="dxa"/>
            <w:vAlign w:val="bottom"/>
            <w:tcBorders>
              <w:bottom w:val="single" w:sz="8" w:color="auto"/>
            </w:tcBorders>
            <w:vMerge w:val="continue"/>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5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52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5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52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520" w:type="dxa"/>
            <w:vAlign w:val="bottom"/>
            <w:vMerge w:val="continue"/>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52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10,171,541</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04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w w:val="86"/>
              </w:rPr>
              <w:t>10,171,541</w:t>
            </w:r>
          </w:p>
        </w:tc>
        <w:tc>
          <w:tcPr>
            <w:tcW w:w="10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04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80" w:type="dxa"/>
            <w:vAlign w:val="bottom"/>
          </w:tcPr>
          <w:p>
            <w:pPr>
              <w:jc w:val="right"/>
              <w:ind w:right="14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04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04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13.6%*</w:t>
            </w:r>
          </w:p>
        </w:tc>
        <w:tc>
          <w:tcPr>
            <w:tcW w:w="10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48"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3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062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76" w:lineRule="exact"/>
        <w:rPr>
          <w:sz w:val="20"/>
          <w:szCs w:val="20"/>
          <w:color w:val="auto"/>
        </w:rPr>
      </w:pPr>
    </w:p>
    <w:p>
      <w:pPr>
        <w:ind w:left="1160" w:hanging="700"/>
        <w:spacing w:after="0"/>
        <w:tabs>
          <w:tab w:leader="none" w:pos="11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040" w:type="dxa"/>
            <w:vAlign w:val="bottom"/>
          </w:tcPr>
          <w:p>
            <w:pPr>
              <w:ind w:left="500"/>
              <w:spacing w:after="0"/>
              <w:rPr>
                <w:sz w:val="20"/>
                <w:szCs w:val="20"/>
                <w:color w:val="auto"/>
              </w:rPr>
            </w:pPr>
            <w:r>
              <w:rPr>
                <w:rFonts w:ascii="Arial" w:cs="Arial" w:eastAsia="Arial" w:hAnsi="Arial"/>
                <w:sz w:val="18"/>
                <w:szCs w:val="18"/>
                <w:color w:val="auto"/>
              </w:rPr>
              <w:t>BPSP, L.P.</w:t>
            </w:r>
          </w:p>
        </w:tc>
        <w:tc>
          <w:tcPr>
            <w:tcW w:w="350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704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w:t>
            </w:r>
          </w:p>
        </w:tc>
        <w:tc>
          <w:tcPr>
            <w:tcW w:w="3500" w:type="dxa"/>
            <w:vAlign w:val="bottom"/>
          </w:tcPr>
          <w:p>
            <w:pPr>
              <w:ind w:left="178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500" w:type="dxa"/>
            <w:vAlign w:val="bottom"/>
          </w:tcPr>
          <w:p>
            <w:pPr>
              <w:ind w:left="178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6"/>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Delaware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5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10,171,541</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58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10,171,541</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w w:val="86"/>
              </w:rPr>
              <w:t>10,171,541</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10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20" w:type="dxa"/>
            <w:vAlign w:val="bottom"/>
          </w:tcPr>
          <w:p>
            <w:pPr>
              <w:jc w:val="right"/>
              <w:ind w:right="13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13.6%*</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TYPE OF REPORTING PERSON PN</w:t>
      </w:r>
    </w:p>
    <w:p>
      <w:pPr>
        <w:spacing w:after="0" w:line="48"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4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062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60" w:hanging="700"/>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040" w:type="dxa"/>
            <w:vAlign w:val="bottom"/>
          </w:tcPr>
          <w:p>
            <w:pPr>
              <w:ind w:left="500"/>
              <w:spacing w:after="0"/>
              <w:rPr>
                <w:sz w:val="20"/>
                <w:szCs w:val="20"/>
                <w:color w:val="auto"/>
              </w:rPr>
            </w:pPr>
            <w:r>
              <w:rPr>
                <w:rFonts w:ascii="Arial" w:cs="Arial" w:eastAsia="Arial" w:hAnsi="Arial"/>
                <w:sz w:val="18"/>
                <w:szCs w:val="18"/>
                <w:color w:val="auto"/>
              </w:rPr>
              <w:t>Berkshire Partners LLC</w:t>
            </w:r>
          </w:p>
        </w:tc>
        <w:tc>
          <w:tcPr>
            <w:tcW w:w="350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704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w:t>
            </w:r>
          </w:p>
        </w:tc>
        <w:tc>
          <w:tcPr>
            <w:tcW w:w="3500" w:type="dxa"/>
            <w:vAlign w:val="bottom"/>
          </w:tcPr>
          <w:p>
            <w:pPr>
              <w:ind w:left="178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500" w:type="dxa"/>
            <w:vAlign w:val="bottom"/>
          </w:tcPr>
          <w:p>
            <w:pPr>
              <w:ind w:left="178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9"/>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Massachusetts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5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10,171,541</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58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10,171,541</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w w:val="86"/>
              </w:rPr>
              <w:t>10,171,541</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10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20" w:type="dxa"/>
            <w:vAlign w:val="bottom"/>
          </w:tcPr>
          <w:p>
            <w:pPr>
              <w:jc w:val="right"/>
              <w:ind w:right="13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13.6%*</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TYPE OF REPORTING PERSON IA</w:t>
      </w:r>
    </w:p>
    <w:p>
      <w:pPr>
        <w:spacing w:after="0" w:line="48"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5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062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76" w:lineRule="exact"/>
        <w:rPr>
          <w:sz w:val="20"/>
          <w:szCs w:val="20"/>
          <w:color w:val="auto"/>
        </w:rPr>
      </w:pPr>
    </w:p>
    <w:p>
      <w:pPr>
        <w:ind w:left="1160" w:hanging="700"/>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040" w:type="dxa"/>
            <w:vAlign w:val="bottom"/>
          </w:tcPr>
          <w:p>
            <w:pPr>
              <w:ind w:left="500"/>
              <w:spacing w:after="0"/>
              <w:rPr>
                <w:sz w:val="20"/>
                <w:szCs w:val="20"/>
                <w:color w:val="auto"/>
              </w:rPr>
            </w:pPr>
            <w:r>
              <w:rPr>
                <w:rFonts w:ascii="Arial" w:cs="Arial" w:eastAsia="Arial" w:hAnsi="Arial"/>
                <w:sz w:val="18"/>
                <w:szCs w:val="18"/>
                <w:color w:val="auto"/>
              </w:rPr>
              <w:t>Berkshire Fund VI, Limited Partnership</w:t>
            </w:r>
          </w:p>
        </w:tc>
        <w:tc>
          <w:tcPr>
            <w:tcW w:w="350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704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w:t>
            </w:r>
          </w:p>
        </w:tc>
        <w:tc>
          <w:tcPr>
            <w:tcW w:w="3500" w:type="dxa"/>
            <w:vAlign w:val="bottom"/>
          </w:tcPr>
          <w:p>
            <w:pPr>
              <w:ind w:left="178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500" w:type="dxa"/>
            <w:vAlign w:val="bottom"/>
          </w:tcPr>
          <w:p>
            <w:pPr>
              <w:ind w:left="178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12"/>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Massachusetts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5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9,988,898</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58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9,988,898</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w w:val="97"/>
              </w:rPr>
              <w:t>9,988,898</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10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20" w:type="dxa"/>
            <w:vAlign w:val="bottom"/>
          </w:tcPr>
          <w:p>
            <w:pPr>
              <w:jc w:val="right"/>
              <w:ind w:right="13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13.4%*</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TYPE OF REPORTING PERSON PN</w:t>
      </w:r>
    </w:p>
    <w:p>
      <w:pPr>
        <w:spacing w:after="0" w:line="48"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6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062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76" w:lineRule="exact"/>
        <w:rPr>
          <w:sz w:val="20"/>
          <w:szCs w:val="20"/>
          <w:color w:val="auto"/>
        </w:rPr>
      </w:pPr>
    </w:p>
    <w:p>
      <w:pPr>
        <w:ind w:left="1160" w:hanging="700"/>
        <w:spacing w:after="0"/>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040" w:type="dxa"/>
            <w:vAlign w:val="bottom"/>
          </w:tcPr>
          <w:p>
            <w:pPr>
              <w:ind w:left="500"/>
              <w:spacing w:after="0"/>
              <w:rPr>
                <w:sz w:val="20"/>
                <w:szCs w:val="20"/>
                <w:color w:val="auto"/>
              </w:rPr>
            </w:pPr>
            <w:r>
              <w:rPr>
                <w:rFonts w:ascii="Arial" w:cs="Arial" w:eastAsia="Arial" w:hAnsi="Arial"/>
                <w:sz w:val="18"/>
                <w:szCs w:val="18"/>
                <w:color w:val="auto"/>
              </w:rPr>
              <w:t>Berkshire Investors LLC</w:t>
            </w:r>
          </w:p>
        </w:tc>
        <w:tc>
          <w:tcPr>
            <w:tcW w:w="350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70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704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w:t>
            </w:r>
          </w:p>
        </w:tc>
        <w:tc>
          <w:tcPr>
            <w:tcW w:w="3500" w:type="dxa"/>
            <w:vAlign w:val="bottom"/>
          </w:tcPr>
          <w:p>
            <w:pPr>
              <w:ind w:left="178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704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500" w:type="dxa"/>
            <w:vAlign w:val="bottom"/>
          </w:tcPr>
          <w:p>
            <w:pPr>
              <w:ind w:left="178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15"/>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Massachusetts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8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8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880" w:type="dxa"/>
            <w:vAlign w:val="bottom"/>
            <w:vMerge w:val="continue"/>
          </w:tcPr>
          <w:p>
            <w:pPr>
              <w:spacing w:after="0"/>
              <w:rPr>
                <w:sz w:val="11"/>
                <w:szCs w:val="11"/>
                <w:color w:val="auto"/>
              </w:rPr>
            </w:pPr>
          </w:p>
        </w:tc>
        <w:tc>
          <w:tcPr>
            <w:tcW w:w="2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8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880" w:type="dxa"/>
            <w:vAlign w:val="bottom"/>
            <w:vMerge w:val="restart"/>
          </w:tcPr>
          <w:p>
            <w:pPr>
              <w:ind w:left="320"/>
              <w:spacing w:after="0"/>
              <w:rPr>
                <w:sz w:val="20"/>
                <w:szCs w:val="20"/>
                <w:color w:val="auto"/>
              </w:rPr>
            </w:pPr>
            <w:r>
              <w:rPr>
                <w:rFonts w:ascii="Arial" w:cs="Arial" w:eastAsia="Arial" w:hAnsi="Arial"/>
                <w:sz w:val="18"/>
                <w:szCs w:val="18"/>
                <w:color w:val="auto"/>
              </w:rPr>
              <w:t>129,780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880" w:type="dxa"/>
            <w:vAlign w:val="bottom"/>
            <w:tcBorders>
              <w:bottom w:val="single" w:sz="8" w:color="auto"/>
            </w:tcBorders>
            <w:vMerge w:val="continue"/>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8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8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88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880" w:type="dxa"/>
            <w:vAlign w:val="bottom"/>
            <w:vMerge w:val="continue"/>
          </w:tcPr>
          <w:p>
            <w:pPr>
              <w:spacing w:after="0"/>
              <w:rPr>
                <w:sz w:val="9"/>
                <w:szCs w:val="9"/>
                <w:color w:val="auto"/>
              </w:rPr>
            </w:pPr>
          </w:p>
        </w:tc>
        <w:tc>
          <w:tcPr>
            <w:tcW w:w="2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8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880" w:type="dxa"/>
            <w:vAlign w:val="bottom"/>
          </w:tcPr>
          <w:p>
            <w:pPr>
              <w:ind w:left="320"/>
              <w:spacing w:after="0"/>
              <w:rPr>
                <w:sz w:val="20"/>
                <w:szCs w:val="20"/>
                <w:color w:val="auto"/>
              </w:rPr>
            </w:pPr>
            <w:r>
              <w:rPr>
                <w:rFonts w:ascii="Arial" w:cs="Arial" w:eastAsia="Arial" w:hAnsi="Arial"/>
                <w:sz w:val="18"/>
                <w:szCs w:val="18"/>
                <w:color w:val="auto"/>
              </w:rPr>
              <w:t>129,780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129,780</w:t>
            </w:r>
          </w:p>
        </w:tc>
        <w:tc>
          <w:tcPr>
            <w:tcW w:w="10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40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320" w:type="dxa"/>
            <w:vAlign w:val="bottom"/>
          </w:tcPr>
          <w:p>
            <w:pPr>
              <w:jc w:val="right"/>
              <w:ind w:right="7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400" w:type="dxa"/>
            <w:vAlign w:val="bottom"/>
            <w:gridSpan w:val="3"/>
            <w:vMerge w:val="continue"/>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40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0.2%*</w:t>
            </w:r>
          </w:p>
        </w:tc>
        <w:tc>
          <w:tcPr>
            <w:tcW w:w="10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48"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4"/>
        </w:trPr>
        <w:tc>
          <w:tcPr>
            <w:tcW w:w="58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 xml:space="preserve">CUSIP No. </w:t>
            </w:r>
            <w:r>
              <w:rPr>
                <w:rFonts w:ascii="Arial" w:cs="Arial" w:eastAsia="Arial" w:hAnsi="Arial"/>
                <w:sz w:val="18"/>
                <w:szCs w:val="18"/>
                <w:color w:val="auto"/>
              </w:rPr>
              <w:t>63845R107</w:t>
            </w:r>
          </w:p>
        </w:tc>
        <w:tc>
          <w:tcPr>
            <w:tcW w:w="8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13G</w:t>
            </w:r>
          </w:p>
        </w:tc>
        <w:tc>
          <w:tcPr>
            <w:tcW w:w="47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color w:val="auto"/>
              </w:rPr>
              <w:t>Page 7 of 13 Pages</w:t>
            </w:r>
          </w:p>
        </w:tc>
      </w:tr>
      <w:tr>
        <w:trPr>
          <w:trHeight w:val="41"/>
        </w:trPr>
        <w:tc>
          <w:tcPr>
            <w:tcW w:w="584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478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6062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6062980"/>
                    </a:xfrm>
                    <a:prstGeom prst="rect">
                      <a:avLst/>
                    </a:prstGeom>
                    <a:noFill/>
                  </pic:spPr>
                </pic:pic>
              </a:graphicData>
            </a:graphic>
          </wp:anchor>
        </w:drawing>
      </w:r>
    </w:p>
    <w:p>
      <w:pPr>
        <w:spacing w:after="0" w:line="276" w:lineRule="exact"/>
        <w:rPr>
          <w:sz w:val="20"/>
          <w:szCs w:val="20"/>
          <w:color w:val="auto"/>
        </w:rPr>
      </w:pPr>
    </w:p>
    <w:p>
      <w:pPr>
        <w:ind w:left="1160" w:hanging="700"/>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6980" w:type="dxa"/>
            <w:vAlign w:val="bottom"/>
          </w:tcPr>
          <w:p>
            <w:pPr>
              <w:ind w:left="500"/>
              <w:spacing w:after="0"/>
              <w:rPr>
                <w:sz w:val="20"/>
                <w:szCs w:val="20"/>
                <w:color w:val="auto"/>
              </w:rPr>
            </w:pPr>
            <w:r>
              <w:rPr>
                <w:rFonts w:ascii="Arial" w:cs="Arial" w:eastAsia="Arial" w:hAnsi="Arial"/>
                <w:sz w:val="18"/>
                <w:szCs w:val="18"/>
                <w:color w:val="auto"/>
              </w:rPr>
              <w:t>Berkshire Investors III LLC</w:t>
            </w:r>
          </w:p>
        </w:tc>
        <w:tc>
          <w:tcPr>
            <w:tcW w:w="3560" w:type="dxa"/>
            <w:vAlign w:val="bottom"/>
          </w:tcPr>
          <w:p>
            <w:pPr>
              <w:spacing w:after="0"/>
              <w:rPr>
                <w:sz w:val="20"/>
                <w:szCs w:val="20"/>
                <w:color w:val="auto"/>
              </w:rPr>
            </w:pPr>
          </w:p>
        </w:tc>
      </w:tr>
      <w:tr>
        <w:trPr>
          <w:trHeight w:val="54"/>
        </w:trPr>
        <w:tc>
          <w:tcPr>
            <w:tcW w:w="880" w:type="dxa"/>
            <w:vAlign w:val="bottom"/>
            <w:tcBorders>
              <w:bottom w:val="single" w:sz="8" w:color="auto"/>
            </w:tcBorders>
          </w:tcPr>
          <w:p>
            <w:pPr>
              <w:spacing w:after="0"/>
              <w:rPr>
                <w:sz w:val="4"/>
                <w:szCs w:val="4"/>
                <w:color w:val="auto"/>
              </w:rPr>
            </w:pPr>
          </w:p>
        </w:tc>
        <w:tc>
          <w:tcPr>
            <w:tcW w:w="6980" w:type="dxa"/>
            <w:vAlign w:val="bottom"/>
            <w:tcBorders>
              <w:bottom w:val="single" w:sz="8" w:color="auto"/>
            </w:tcBorders>
          </w:tcPr>
          <w:p>
            <w:pPr>
              <w:spacing w:after="0"/>
              <w:rPr>
                <w:sz w:val="4"/>
                <w:szCs w:val="4"/>
                <w:color w:val="auto"/>
              </w:rPr>
            </w:pPr>
          </w:p>
        </w:tc>
        <w:tc>
          <w:tcPr>
            <w:tcW w:w="3560" w:type="dxa"/>
            <w:vAlign w:val="bottom"/>
            <w:tcBorders>
              <w:bottom w:val="single" w:sz="8" w:color="auto"/>
            </w:tcBorders>
          </w:tcPr>
          <w:p>
            <w:pPr>
              <w:spacing w:after="0"/>
              <w:rPr>
                <w:sz w:val="4"/>
                <w:szCs w:val="4"/>
                <w:color w:val="auto"/>
              </w:rPr>
            </w:pPr>
          </w:p>
        </w:tc>
      </w:tr>
      <w:tr>
        <w:trPr>
          <w:trHeight w:val="291"/>
        </w:trPr>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rPr>
              <w:t>2.</w:t>
            </w:r>
          </w:p>
        </w:tc>
        <w:tc>
          <w:tcPr>
            <w:tcW w:w="6980" w:type="dxa"/>
            <w:vAlign w:val="bottom"/>
          </w:tcPr>
          <w:p>
            <w:pPr>
              <w:ind w:left="280"/>
              <w:spacing w:after="0"/>
              <w:rPr>
                <w:sz w:val="20"/>
                <w:szCs w:val="20"/>
                <w:color w:val="auto"/>
              </w:rPr>
            </w:pPr>
            <w:r>
              <w:rPr>
                <w:rFonts w:ascii="Arial" w:cs="Arial" w:eastAsia="Arial" w:hAnsi="Arial"/>
                <w:sz w:val="18"/>
                <w:szCs w:val="18"/>
                <w:color w:val="auto"/>
              </w:rPr>
              <w:t>CHECK THE APPROPRIATE BOX IF A MEMBER OF A GROUP</w:t>
            </w:r>
          </w:p>
        </w:tc>
        <w:tc>
          <w:tcPr>
            <w:tcW w:w="3560" w:type="dxa"/>
            <w:vAlign w:val="bottom"/>
          </w:tcPr>
          <w:p>
            <w:pPr>
              <w:ind w:left="1720"/>
              <w:spacing w:after="0"/>
              <w:rPr>
                <w:sz w:val="20"/>
                <w:szCs w:val="20"/>
                <w:color w:val="auto"/>
              </w:rPr>
            </w:pPr>
            <w:r>
              <w:rPr>
                <w:rFonts w:ascii="Arial" w:cs="Arial" w:eastAsia="Arial" w:hAnsi="Arial"/>
                <w:sz w:val="18"/>
                <w:szCs w:val="18"/>
                <w:color w:val="auto"/>
              </w:rPr>
              <w:t>(a) [x]</w:t>
            </w:r>
          </w:p>
        </w:tc>
      </w:tr>
      <w:tr>
        <w:trPr>
          <w:trHeight w:val="297"/>
        </w:trPr>
        <w:tc>
          <w:tcPr>
            <w:tcW w:w="880" w:type="dxa"/>
            <w:vAlign w:val="bottom"/>
          </w:tcPr>
          <w:p>
            <w:pPr>
              <w:spacing w:after="0"/>
              <w:rPr>
                <w:sz w:val="24"/>
                <w:szCs w:val="24"/>
                <w:color w:val="auto"/>
              </w:rPr>
            </w:pPr>
          </w:p>
        </w:tc>
        <w:tc>
          <w:tcPr>
            <w:tcW w:w="6980" w:type="dxa"/>
            <w:vAlign w:val="bottom"/>
          </w:tcPr>
          <w:p>
            <w:pPr>
              <w:ind w:left="280"/>
              <w:spacing w:after="0"/>
              <w:rPr>
                <w:sz w:val="20"/>
                <w:szCs w:val="20"/>
                <w:color w:val="auto"/>
              </w:rPr>
            </w:pPr>
            <w:r>
              <w:rPr>
                <w:rFonts w:ascii="Arial" w:cs="Arial" w:eastAsia="Arial" w:hAnsi="Arial"/>
                <w:sz w:val="18"/>
                <w:szCs w:val="18"/>
                <w:color w:val="auto"/>
              </w:rPr>
              <w:t>(see instructions)</w:t>
            </w:r>
          </w:p>
        </w:tc>
        <w:tc>
          <w:tcPr>
            <w:tcW w:w="3560" w:type="dxa"/>
            <w:vAlign w:val="bottom"/>
          </w:tcPr>
          <w:p>
            <w:pPr>
              <w:ind w:left="1720"/>
              <w:spacing w:after="0"/>
              <w:rPr>
                <w:sz w:val="20"/>
                <w:szCs w:val="20"/>
                <w:color w:val="auto"/>
              </w:rPr>
            </w:pPr>
            <w:r>
              <w:rPr>
                <w:rFonts w:ascii="Arial" w:cs="Arial" w:eastAsia="Arial" w:hAnsi="Arial"/>
                <w:sz w:val="18"/>
                <w:szCs w:val="18"/>
                <w:color w:val="auto"/>
              </w:rPr>
              <w:t>(b) [ ]</w:t>
            </w:r>
          </w:p>
        </w:tc>
      </w:tr>
    </w:tbl>
    <w:p>
      <w:pPr>
        <w:spacing w:after="0" w:line="59" w:lineRule="exact"/>
        <w:rPr>
          <w:sz w:val="20"/>
          <w:szCs w:val="20"/>
          <w:color w:val="auto"/>
        </w:rPr>
      </w:pPr>
    </w:p>
    <w:p>
      <w:pPr>
        <w:ind w:left="1160" w:hanging="700"/>
        <w:spacing w:after="0"/>
        <w:tabs>
          <w:tab w:leader="none" w:pos="1160" w:val="left"/>
        </w:tabs>
        <w:numPr>
          <w:ilvl w:val="0"/>
          <w:numId w:val="18"/>
        </w:numPr>
        <w:rPr>
          <w:rFonts w:ascii="Arial" w:cs="Arial" w:eastAsia="Arial" w:hAnsi="Arial"/>
          <w:sz w:val="36"/>
          <w:szCs w:val="36"/>
          <w:b w:val="1"/>
          <w:bCs w:val="1"/>
          <w:color w:val="auto"/>
          <w:vertAlign w:val="superscript"/>
        </w:rPr>
      </w:pPr>
      <w:r>
        <w:rPr>
          <w:rFonts w:ascii="Arial" w:cs="Arial" w:eastAsia="Arial" w:hAnsi="Arial"/>
          <w:sz w:val="18"/>
          <w:szCs w:val="18"/>
          <w:color w:val="auto"/>
        </w:rPr>
        <w:t>SEC USE ONLY</w:t>
      </w:r>
    </w:p>
    <w:p>
      <w:pPr>
        <w:spacing w:after="0" w:line="323" w:lineRule="exact"/>
        <w:rPr>
          <w:rFonts w:ascii="Arial" w:cs="Arial" w:eastAsia="Arial" w:hAnsi="Arial"/>
          <w:sz w:val="36"/>
          <w:szCs w:val="36"/>
          <w:b w:val="1"/>
          <w:bCs w:val="1"/>
          <w:color w:val="auto"/>
          <w:vertAlign w:val="superscript"/>
        </w:rPr>
      </w:pPr>
    </w:p>
    <w:p>
      <w:pPr>
        <w:ind w:left="1160" w:hanging="700"/>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30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Massachusetts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00" w:type="dxa"/>
            <w:vAlign w:val="bottom"/>
            <w:tcBorders>
              <w:top w:val="single" w:sz="8" w:color="auto"/>
            </w:tcBorders>
          </w:tcPr>
          <w:p>
            <w:pPr>
              <w:spacing w:after="0"/>
              <w:rPr>
                <w:sz w:val="24"/>
                <w:szCs w:val="24"/>
                <w:color w:val="auto"/>
              </w:rPr>
            </w:pPr>
          </w:p>
        </w:tc>
        <w:tc>
          <w:tcPr>
            <w:tcW w:w="150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26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200" w:type="dxa"/>
            <w:vAlign w:val="bottom"/>
            <w:tcBorders>
              <w:right w:val="single" w:sz="8" w:color="auto"/>
            </w:tcBorders>
            <w:gridSpan w:val="2"/>
            <w:vMerge w:val="continue"/>
          </w:tcPr>
          <w:p>
            <w:pPr>
              <w:spacing w:after="0"/>
              <w:rPr>
                <w:sz w:val="13"/>
                <w:szCs w:val="13"/>
                <w:color w:val="auto"/>
              </w:rPr>
            </w:pP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6.</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2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700" w:type="dxa"/>
            <w:vAlign w:val="bottom"/>
          </w:tcPr>
          <w:p>
            <w:pPr>
              <w:spacing w:after="0"/>
              <w:rPr>
                <w:sz w:val="11"/>
                <w:szCs w:val="11"/>
                <w:color w:val="auto"/>
              </w:rPr>
            </w:pPr>
          </w:p>
        </w:tc>
        <w:tc>
          <w:tcPr>
            <w:tcW w:w="1500" w:type="dxa"/>
            <w:vAlign w:val="bottom"/>
            <w:tcBorders>
              <w:right w:val="single" w:sz="8" w:color="auto"/>
            </w:tcBorders>
            <w:vMerge w:val="restart"/>
          </w:tcPr>
          <w:p>
            <w:pPr>
              <w:jc w:val="center"/>
              <w:ind w:right="610"/>
              <w:spacing w:after="0"/>
              <w:rPr>
                <w:sz w:val="20"/>
                <w:szCs w:val="20"/>
                <w:color w:val="auto"/>
              </w:rPr>
            </w:pPr>
            <w:r>
              <w:rPr>
                <w:rFonts w:ascii="Arial" w:cs="Arial" w:eastAsia="Arial" w:hAnsi="Arial"/>
                <w:sz w:val="18"/>
                <w:szCs w:val="18"/>
                <w:color w:val="auto"/>
                <w:w w:val="91"/>
              </w:rPr>
              <w:t>SHARES</w:t>
            </w:r>
          </w:p>
        </w:tc>
        <w:tc>
          <w:tcPr>
            <w:tcW w:w="1020" w:type="dxa"/>
            <w:vAlign w:val="bottom"/>
            <w:tcBorders>
              <w:right w:val="single" w:sz="8" w:color="auto"/>
            </w:tcBorders>
            <w:vMerge w:val="continue"/>
          </w:tcPr>
          <w:p>
            <w:pPr>
              <w:spacing w:after="0"/>
              <w:rPr>
                <w:sz w:val="11"/>
                <w:szCs w:val="11"/>
                <w:color w:val="auto"/>
              </w:rPr>
            </w:pPr>
          </w:p>
        </w:tc>
        <w:tc>
          <w:tcPr>
            <w:tcW w:w="558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700" w:type="dxa"/>
            <w:vAlign w:val="bottom"/>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55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BENEFICIALLY</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52,863</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OWNED BY</w:t>
            </w:r>
          </w:p>
        </w:tc>
        <w:tc>
          <w:tcPr>
            <w:tcW w:w="1020" w:type="dxa"/>
            <w:vAlign w:val="bottom"/>
            <w:tcBorders>
              <w:bottom w:val="single" w:sz="8" w:color="auto"/>
              <w:right w:val="single" w:sz="8" w:color="auto"/>
            </w:tcBorders>
          </w:tcPr>
          <w:p>
            <w:pPr>
              <w:spacing w:after="0"/>
              <w:rPr>
                <w:sz w:val="20"/>
                <w:szCs w:val="20"/>
                <w:color w:val="auto"/>
              </w:rPr>
            </w:pPr>
          </w:p>
        </w:tc>
        <w:tc>
          <w:tcPr>
            <w:tcW w:w="5580" w:type="dxa"/>
            <w:vAlign w:val="bottom"/>
            <w:tcBorders>
              <w:bottom w:val="single" w:sz="8" w:color="auto"/>
            </w:tcBorders>
            <w:vMerge w:val="continue"/>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1500" w:type="dxa"/>
            <w:vAlign w:val="bottom"/>
            <w:tcBorders>
              <w:right w:val="single" w:sz="8" w:color="auto"/>
            </w:tcBorders>
          </w:tcPr>
          <w:p>
            <w:pPr>
              <w:jc w:val="center"/>
              <w:ind w:right="610"/>
              <w:spacing w:after="0" w:line="182" w:lineRule="exact"/>
              <w:rPr>
                <w:sz w:val="20"/>
                <w:szCs w:val="20"/>
                <w:color w:val="auto"/>
              </w:rPr>
            </w:pPr>
            <w:r>
              <w:rPr>
                <w:rFonts w:ascii="Arial" w:cs="Arial" w:eastAsia="Arial" w:hAnsi="Arial"/>
                <w:sz w:val="18"/>
                <w:szCs w:val="18"/>
                <w:color w:val="auto"/>
                <w:w w:val="95"/>
              </w:rPr>
              <w:t>EACH</w:t>
            </w:r>
          </w:p>
        </w:tc>
        <w:tc>
          <w:tcPr>
            <w:tcW w:w="1020" w:type="dxa"/>
            <w:vAlign w:val="bottom"/>
            <w:tcBorders>
              <w:right w:val="single" w:sz="8" w:color="auto"/>
            </w:tcBorders>
            <w:vMerge w:val="restart"/>
          </w:tcPr>
          <w:p>
            <w:pPr>
              <w:jc w:val="right"/>
              <w:ind w:right="370"/>
              <w:spacing w:after="0"/>
              <w:rPr>
                <w:sz w:val="20"/>
                <w:szCs w:val="20"/>
                <w:color w:val="auto"/>
              </w:rPr>
            </w:pPr>
            <w:r>
              <w:rPr>
                <w:rFonts w:ascii="Arial" w:cs="Arial" w:eastAsia="Arial" w:hAnsi="Arial"/>
                <w:sz w:val="18"/>
                <w:szCs w:val="18"/>
                <w:b w:val="1"/>
                <w:bCs w:val="1"/>
                <w:color w:val="auto"/>
              </w:rPr>
              <w:t>7.</w:t>
            </w:r>
          </w:p>
        </w:tc>
        <w:tc>
          <w:tcPr>
            <w:tcW w:w="558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2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1020" w:type="dxa"/>
            <w:vAlign w:val="bottom"/>
            <w:tcBorders>
              <w:right w:val="single" w:sz="8" w:color="auto"/>
            </w:tcBorders>
            <w:vMerge w:val="continue"/>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20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558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50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89"/>
              </w:rPr>
              <w:t>PERSON</w:t>
            </w:r>
          </w:p>
        </w:tc>
        <w:tc>
          <w:tcPr>
            <w:tcW w:w="1020" w:type="dxa"/>
            <w:vAlign w:val="bottom"/>
            <w:tcBorders>
              <w:right w:val="single" w:sz="8" w:color="auto"/>
            </w:tcBorders>
          </w:tcPr>
          <w:p>
            <w:pPr>
              <w:spacing w:after="0"/>
              <w:rPr>
                <w:sz w:val="18"/>
                <w:szCs w:val="18"/>
                <w:color w:val="auto"/>
              </w:rPr>
            </w:pPr>
          </w:p>
        </w:tc>
        <w:tc>
          <w:tcPr>
            <w:tcW w:w="5580" w:type="dxa"/>
            <w:vAlign w:val="bottom"/>
            <w:vMerge w:val="restart"/>
          </w:tcPr>
          <w:p>
            <w:pPr>
              <w:ind w:left="320"/>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700" w:type="dxa"/>
            <w:vAlign w:val="bottom"/>
          </w:tcPr>
          <w:p>
            <w:pPr>
              <w:spacing w:after="0"/>
              <w:rPr>
                <w:sz w:val="9"/>
                <w:szCs w:val="9"/>
                <w:color w:val="auto"/>
              </w:rPr>
            </w:pPr>
          </w:p>
        </w:tc>
        <w:tc>
          <w:tcPr>
            <w:tcW w:w="1500" w:type="dxa"/>
            <w:vAlign w:val="bottom"/>
            <w:tcBorders>
              <w:right w:val="single" w:sz="8" w:color="auto"/>
            </w:tcBorders>
            <w:vMerge w:val="restart"/>
          </w:tcPr>
          <w:p>
            <w:pPr>
              <w:jc w:val="center"/>
              <w:ind w:right="610"/>
              <w:spacing w:after="0" w:line="157" w:lineRule="exact"/>
              <w:rPr>
                <w:sz w:val="20"/>
                <w:szCs w:val="20"/>
                <w:color w:val="auto"/>
              </w:rPr>
            </w:pPr>
            <w:r>
              <w:rPr>
                <w:rFonts w:ascii="Arial" w:cs="Arial" w:eastAsia="Arial" w:hAnsi="Arial"/>
                <w:sz w:val="18"/>
                <w:szCs w:val="18"/>
                <w:color w:val="auto"/>
              </w:rPr>
              <w:t>WITH:</w:t>
            </w:r>
          </w:p>
        </w:tc>
        <w:tc>
          <w:tcPr>
            <w:tcW w:w="1020" w:type="dxa"/>
            <w:vAlign w:val="bottom"/>
            <w:tcBorders>
              <w:right w:val="single" w:sz="8" w:color="auto"/>
            </w:tcBorders>
          </w:tcPr>
          <w:p>
            <w:pPr>
              <w:spacing w:after="0"/>
              <w:rPr>
                <w:sz w:val="9"/>
                <w:szCs w:val="9"/>
                <w:color w:val="auto"/>
              </w:rPr>
            </w:pPr>
          </w:p>
        </w:tc>
        <w:tc>
          <w:tcPr>
            <w:tcW w:w="5580" w:type="dxa"/>
            <w:vAlign w:val="bottom"/>
            <w:vMerge w:val="continue"/>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1500" w:type="dxa"/>
            <w:vAlign w:val="bottom"/>
            <w:tcBorders>
              <w:right w:val="single" w:sz="8" w:color="auto"/>
            </w:tcBorders>
            <w:vMerge w:val="continue"/>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c>
          <w:tcPr>
            <w:tcW w:w="2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5580" w:type="dxa"/>
            <w:vAlign w:val="bottom"/>
          </w:tcPr>
          <w:p>
            <w:pPr>
              <w:ind w:left="120"/>
              <w:spacing w:after="0"/>
              <w:rPr>
                <w:sz w:val="20"/>
                <w:szCs w:val="20"/>
                <w:color w:val="auto"/>
              </w:rPr>
            </w:pPr>
            <w:r>
              <w:rPr>
                <w:rFonts w:ascii="Arial" w:cs="Arial" w:eastAsia="Arial" w:hAnsi="Arial"/>
                <w:sz w:val="18"/>
                <w:szCs w:val="18"/>
                <w:color w:val="auto"/>
              </w:rPr>
              <w:t>SHARED DISPOSITIVE POWER</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52,863</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92"/>
              </w:rPr>
              <w:t>9.</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AGGREGATE AMOUNT BENEFICIALLY OWNED BY EACH REPORTING PERSON</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52,863</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58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700" w:type="dxa"/>
            <w:vAlign w:val="bottom"/>
            <w:vMerge w:val="restart"/>
          </w:tcPr>
          <w:p>
            <w:pPr>
              <w:jc w:val="center"/>
              <w:ind w:left="270"/>
              <w:spacing w:after="0"/>
              <w:rPr>
                <w:sz w:val="20"/>
                <w:szCs w:val="20"/>
                <w:color w:val="auto"/>
              </w:rPr>
            </w:pPr>
            <w:r>
              <w:rPr>
                <w:rFonts w:ascii="Arial" w:cs="Arial" w:eastAsia="Arial" w:hAnsi="Arial"/>
                <w:sz w:val="18"/>
                <w:szCs w:val="18"/>
                <w:b w:val="1"/>
                <w:bCs w:val="1"/>
                <w:color w:val="auto"/>
                <w:w w:val="87"/>
              </w:rPr>
              <w:t>10.</w:t>
            </w:r>
          </w:p>
        </w:tc>
        <w:tc>
          <w:tcPr>
            <w:tcW w:w="8100" w:type="dxa"/>
            <w:vAlign w:val="bottom"/>
            <w:gridSpan w:val="3"/>
            <w:vMerge w:val="restart"/>
          </w:tcPr>
          <w:p>
            <w:pPr>
              <w:ind w:left="460"/>
              <w:spacing w:after="0"/>
              <w:rPr>
                <w:sz w:val="20"/>
                <w:szCs w:val="20"/>
                <w:color w:val="auto"/>
              </w:rPr>
            </w:pPr>
            <w:r>
              <w:rPr>
                <w:rFonts w:ascii="Arial" w:cs="Arial" w:eastAsia="Arial" w:hAnsi="Arial"/>
                <w:sz w:val="18"/>
                <w:szCs w:val="18"/>
                <w:color w:val="auto"/>
              </w:rPr>
              <w:t>CHECK IF THE AGGREGATE AMOUNT IN ROW (9) EXCLUDES CERTAIN SHARES</w:t>
            </w:r>
          </w:p>
        </w:tc>
        <w:tc>
          <w:tcPr>
            <w:tcW w:w="2620" w:type="dxa"/>
            <w:vAlign w:val="bottom"/>
          </w:tcPr>
          <w:p>
            <w:pPr>
              <w:jc w:val="right"/>
              <w:ind w:right="13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8100" w:type="dxa"/>
            <w:vAlign w:val="bottom"/>
            <w:gridSpan w:val="3"/>
            <w:vMerge w:val="continue"/>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0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11.</w:t>
            </w:r>
          </w:p>
        </w:tc>
        <w:tc>
          <w:tcPr>
            <w:tcW w:w="8100" w:type="dxa"/>
            <w:vAlign w:val="bottom"/>
            <w:gridSpan w:val="3"/>
          </w:tcPr>
          <w:p>
            <w:pPr>
              <w:ind w:left="460"/>
              <w:spacing w:after="0"/>
              <w:rPr>
                <w:sz w:val="20"/>
                <w:szCs w:val="20"/>
                <w:color w:val="auto"/>
              </w:rPr>
            </w:pPr>
            <w:r>
              <w:rPr>
                <w:rFonts w:ascii="Arial" w:cs="Arial" w:eastAsia="Arial" w:hAnsi="Arial"/>
                <w:sz w:val="18"/>
                <w:szCs w:val="18"/>
                <w:color w:val="auto"/>
              </w:rPr>
              <w:t>PERCENT OF CLASS REPRESENTED BY AMOUNT IN ROW (9)</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4"/>
                <w:szCs w:val="24"/>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0.1%*</w:t>
            </w:r>
          </w:p>
        </w:tc>
        <w:tc>
          <w:tcPr>
            <w:tcW w:w="10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380" w:right="7760" w:hanging="964"/>
        <w:spacing w:after="0" w:line="528" w:lineRule="auto"/>
        <w:tabs>
          <w:tab w:leader="none" w:pos="116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264" w:lineRule="exact"/>
        <w:rPr>
          <w:sz w:val="20"/>
          <w:szCs w:val="20"/>
          <w:color w:val="auto"/>
        </w:rPr>
      </w:pPr>
    </w:p>
    <w:p>
      <w:pPr>
        <w:ind w:left="100" w:right="300" w:hanging="94"/>
        <w:spacing w:after="0" w:line="277" w:lineRule="auto"/>
        <w:rPr>
          <w:sz w:val="20"/>
          <w:szCs w:val="20"/>
          <w:color w:val="auto"/>
        </w:rPr>
      </w:pPr>
      <w:r>
        <w:rPr>
          <w:rFonts w:ascii="Arial" w:cs="Arial" w:eastAsia="Arial" w:hAnsi="Arial"/>
          <w:sz w:val="18"/>
          <w:szCs w:val="18"/>
          <w:color w:val="auto"/>
        </w:rPr>
        <w:t>*Percentage calculations are based on the number of shares of Common Stock outstanding as of November 30, 2017, as provided in the Issuer’s Quarterly Report on Form 10-Q for the quarterly period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Issuer’s name is National Vision Holdings, Inc. (the “Company” or the “Issuer”).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principal executive offices of the Issuer is 2435 Commerce Ave., Building 2200, Duluth, Georgia 30096.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This Schedule 13G (this “Statement”) is being filed jointly by the following (each, a “Reporting Person,” and, collectively, the “Reporting Persons”): Berkshire Partners Holdings LLC (“BPH”), BPSP, L.P., (“BPSP”), Berkshire Fund VI, Limited Partnership (“Fund VI”), Berkshire Investors LLC (“Investors”), Berkshire Investors III LLC (“Investors III”) and Berkshire Partners LLC (“BP”).</w:t>
      </w:r>
    </w:p>
    <w:p>
      <w:pPr>
        <w:spacing w:after="0" w:line="181"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Sixth Berkshire Associates LLC, a Massachusetts limited liability company (“6BA”), is the sole general partner of Fund VI. BPH, a Delaware limited liability company, is the general partner of BPSP, a Delaware limited partnership. BPSP is the managing member of BP, the registered investment adviser to Fund VI, as well as certain other accounts holding shares of the Issuer for which BP serves as investment manager.</w:t>
      </w:r>
    </w:p>
    <w:p>
      <w:pPr>
        <w:spacing w:after="0" w:line="147"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Certain of the Reporting Persons often make acquisitions in, and dispose of, securities of an issuer on the same terms and conditions and at the same time. Based on the foregoing and the relationships described herein, these entities may be deemed to constitute a “group” for purposes of Section 13(g)(3) of the Act. The filing of this statement shall not be construed as an admission that the Reporting Persons are a group, or have agreed to act as a group.</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address is the principal business offices of each of the Reporting Persons and 6BA: 200 Clarendon Street, 35th Floor, Boston, Massachusetts 02116.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of BPH and BPSP is organized under the laws of the State of Delaware. Each of Fund VI, Investors, Investors III and BP is organized under the laws of the Commonwealth of Massachusetts.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and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class of equity securities to which this Statement relates is the Company’s Common Stock, par value $0.01 per share (the “Common Stock”).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CUSIP Number to which this Statement relates is 63845R107.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firstLine="656"/>
        <w:spacing w:after="0" w:line="273"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responses of the Reporting Persons to Row (9) of the cover pages of this Statement are incorporated herein by reference. 6BA is the sole general partner of Fund VI. BP, a registered investment adviser, is the investment manager for Fund VI, as well as certain other accounts holding shares of the Issuer. As the managing member of BP, BPSP may be deemed to beneficially own shares of Common Stock that are beneficially owned by BP. As the general partner of BPSP, BPH may be deemed to beneficially own shares of Common Stock that are beneficially owned by BPSP. However, BPSP and BPH disclaim beneficial ownership of such shares of Common Stock and the filing of this Statement shall not be construed as an admission that BPSP or BPH is, for the purpose of Section 13(d) of the Act, the beneficial owner of such shares beneficially owned by BP.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8" w:name="page9"/>
    <w:bookmarkEnd w:id="8"/>
    <w:p>
      <w:pPr>
        <w:ind w:firstLine="648"/>
        <w:spacing w:after="0" w:line="254" w:lineRule="auto"/>
        <w:rPr>
          <w:sz w:val="20"/>
          <w:szCs w:val="20"/>
          <w:color w:val="auto"/>
        </w:rPr>
      </w:pPr>
      <w:r>
        <w:rPr>
          <w:rFonts w:ascii="Arial" w:cs="Arial" w:eastAsia="Arial" w:hAnsi="Arial"/>
          <w:sz w:val="18"/>
          <w:szCs w:val="18"/>
          <w:color w:val="auto"/>
        </w:rPr>
        <w:t>Certain of the Reporting Persons are, along with KKR Vision Aggregator L.P. (“KKR”) (collectively, the “Investors”), each party to an Amended and Restated Stockholders’ Agreement (the “Agreement”), which contains, among other things, certain provisions relating to voting of securities of the Issuer by the parties thereto. By virtue of the Agreement and the obligations and rights thereunder, the Reporting Persons acknowledge and agree that they are acting as a “group” with the other Investors and/or certain of their affiliates for purposes of Section 13(d) under the Act, as amended. Such a “group” would be deemed to beneficially own an aggregate of 53,647,003 shares of Common Stock, which represents 71.9% of the Common Stock of the Issuer, as of November 30, 2017. Each Reporting Person hereby expressly disclaims beneficial ownership over any of the shares of Common Stock that they may be deemed to beneficially own solely by reason of the Agreement. Certain entities affiliated with KKR are separately making Schedule 13G filings reporting their beneficial ownership of shares of Common Stock.</w:t>
      </w:r>
    </w:p>
    <w:p>
      <w:pPr>
        <w:spacing w:after="0" w:line="192" w:lineRule="exact"/>
        <w:rPr>
          <w:sz w:val="20"/>
          <w:szCs w:val="20"/>
          <w:color w:val="auto"/>
        </w:rPr>
      </w:pPr>
    </w:p>
    <w:p>
      <w:pPr>
        <w:ind w:right="140" w:firstLine="656"/>
        <w:spacing w:after="0" w:line="259" w:lineRule="auto"/>
        <w:tabs>
          <w:tab w:leader="none" w:pos="11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responses of the Reporting Persons to Row (11) of the cover pages of this Statement are incorporated herein by reference. As of December 31, 2017, the Reporting Persons beneficially owned in the aggregate 10,171,541 shares of Common Stock, representing approximately 13.6% of the shares of Common Stock outstanding (based on the number of shares outstanding as of November 30, 2017, as provided in the Issuer’s Quarterly Report on Form 10-Q for the quarterly period ended September 30, 2017).</w:t>
      </w:r>
    </w:p>
    <w:p>
      <w:pPr>
        <w:spacing w:after="0" w:line="186" w:lineRule="exact"/>
        <w:rPr>
          <w:rFonts w:ascii="Arial" w:cs="Arial" w:eastAsia="Arial" w:hAnsi="Arial"/>
          <w:sz w:val="18"/>
          <w:szCs w:val="18"/>
          <w:color w:val="auto"/>
        </w:rPr>
      </w:pPr>
    </w:p>
    <w:p>
      <w:pPr>
        <w:ind w:left="1160" w:hanging="504"/>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responses of the Reporting Persons to Rows (5) through (8) of the cover pages of this Statement are incorporated herein by reference.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responses of the Reporting Persons to Items 2(a) and 4(a) are incorporated herein by reference. Under certain circumstances, partners, members or managed accounts of a Reporting Person or another person named above in Item 4, as the case may be, could have the right to receive or the power to direct the receipt of dividends from, or the proceeds from the sale of, shares of Common Stock beneficially owned by such Reporting Person.</w:t>
      </w:r>
    </w:p>
    <w:p>
      <w:pPr>
        <w:spacing w:after="0" w:line="14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4(a)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BERKSHIRE FUND VI, LIMITED PARTNERSHIP</w:t>
      </w:r>
    </w:p>
    <w:p>
      <w:pPr>
        <w:spacing w:after="0" w:line="200" w:lineRule="exact"/>
        <w:rPr>
          <w:sz w:val="20"/>
          <w:szCs w:val="20"/>
          <w:color w:val="auto"/>
        </w:rPr>
      </w:pPr>
    </w:p>
    <w:p>
      <w:pPr>
        <w:spacing w:after="0" w:line="241" w:lineRule="exact"/>
        <w:rPr>
          <w:sz w:val="20"/>
          <w:szCs w:val="20"/>
          <w:color w:val="auto"/>
        </w:rPr>
      </w:pPr>
    </w:p>
    <w:tbl>
      <w:tblPr>
        <w:tblLayout w:type="fixed"/>
        <w:tblInd w:w="44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Sixth Berkshire Associates LLC,</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6260" w:type="dxa"/>
            <w:vAlign w:val="bottom"/>
          </w:tcPr>
          <w:p>
            <w:pPr>
              <w:ind w:left="10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BERKSHIRE INVESTORS LLC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BERKSHIRE INVESTORS III LLC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446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6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r>
        <w:trPr>
          <w:trHeight w:val="648"/>
        </w:trPr>
        <w:tc>
          <w:tcPr>
            <w:tcW w:w="6960" w:type="dxa"/>
            <w:vAlign w:val="bottom"/>
            <w:gridSpan w:val="2"/>
          </w:tcPr>
          <w:p>
            <w:pPr>
              <w:spacing w:after="0"/>
              <w:rPr>
                <w:sz w:val="20"/>
                <w:szCs w:val="20"/>
                <w:color w:val="auto"/>
              </w:rPr>
            </w:pPr>
            <w:r>
              <w:rPr>
                <w:rFonts w:ascii="Arial" w:cs="Arial" w:eastAsia="Arial" w:hAnsi="Arial"/>
                <w:sz w:val="18"/>
                <w:szCs w:val="18"/>
                <w:color w:val="auto"/>
              </w:rPr>
              <w:t>BERKSHIRE PARTNERS LLC</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BPSP, L.P.,</w:t>
            </w:r>
          </w:p>
        </w:tc>
      </w:tr>
      <w:tr>
        <w:trPr>
          <w:trHeight w:val="216"/>
        </w:trPr>
        <w:tc>
          <w:tcPr>
            <w:tcW w:w="70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managing member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Berkshire Partners Holdings LLC,</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general partner</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0" w:name="page11"/>
    <w:bookmarkEnd w:id="10"/>
    <w:p>
      <w:pPr>
        <w:ind w:left="4460"/>
        <w:spacing w:after="0"/>
        <w:rPr>
          <w:sz w:val="20"/>
          <w:szCs w:val="20"/>
          <w:color w:val="auto"/>
        </w:rPr>
      </w:pPr>
      <w:r>
        <w:rPr>
          <w:rFonts w:ascii="Arial" w:cs="Arial" w:eastAsia="Arial" w:hAnsi="Arial"/>
          <w:sz w:val="18"/>
          <w:szCs w:val="18"/>
          <w:color w:val="auto"/>
        </w:rPr>
        <w:t>BERKSHIRE PARTNERS HOLDINGS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BPSP, L.P.</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ind w:left="4460"/>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Berkshire Partners Holdings LLC,</w:t>
            </w:r>
          </w:p>
        </w:tc>
      </w:tr>
      <w:tr>
        <w:trPr>
          <w:trHeight w:val="230"/>
        </w:trPr>
        <w:tc>
          <w:tcPr>
            <w:tcW w:w="516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32"/>
        </w:trPr>
        <w:tc>
          <w:tcPr>
            <w:tcW w:w="5160" w:type="dxa"/>
            <w:vAlign w:val="bottom"/>
          </w:tcPr>
          <w:p>
            <w:pPr>
              <w:ind w:left="4460"/>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spacing w:after="0"/>
              <w:rPr>
                <w:sz w:val="24"/>
                <w:szCs w:val="24"/>
                <w:color w:val="auto"/>
              </w:rPr>
            </w:pPr>
          </w:p>
        </w:tc>
      </w:tr>
      <w:tr>
        <w:trPr>
          <w:trHeight w:val="195"/>
        </w:trPr>
        <w:tc>
          <w:tcPr>
            <w:tcW w:w="5160" w:type="dxa"/>
            <w:vAlign w:val="bottom"/>
          </w:tcPr>
          <w:p>
            <w:pPr>
              <w:spacing w:after="0"/>
              <w:rPr>
                <w:sz w:val="16"/>
                <w:szCs w:val="16"/>
                <w:color w:val="auto"/>
              </w:rPr>
            </w:pPr>
          </w:p>
        </w:tc>
        <w:tc>
          <w:tcPr>
            <w:tcW w:w="6260" w:type="dxa"/>
            <w:vAlign w:val="bottom"/>
          </w:tcPr>
          <w:p>
            <w:pPr>
              <w:ind w:left="10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516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r>
        <w:trPr>
          <w:trHeight w:val="696"/>
        </w:trPr>
        <w:tc>
          <w:tcPr>
            <w:tcW w:w="516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76"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12"/>
        </w:trPr>
        <w:tc>
          <w:tcPr>
            <w:tcW w:w="16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6"/>
              </w:rPr>
              <w:t>Exhibit No.</w:t>
            </w:r>
          </w:p>
        </w:tc>
        <w:tc>
          <w:tcPr>
            <w:tcW w:w="620" w:type="dxa"/>
            <w:vAlign w:val="bottom"/>
          </w:tcPr>
          <w:p>
            <w:pPr>
              <w:spacing w:after="0"/>
              <w:rPr>
                <w:sz w:val="24"/>
                <w:szCs w:val="24"/>
                <w:color w:val="auto"/>
              </w:rPr>
            </w:pPr>
          </w:p>
        </w:tc>
        <w:tc>
          <w:tcPr>
            <w:tcW w:w="2080" w:type="dxa"/>
            <w:vAlign w:val="bottom"/>
            <w:gridSpan w:val="3"/>
          </w:tcPr>
          <w:p>
            <w:pPr>
              <w:ind w:left="620"/>
              <w:spacing w:after="0"/>
              <w:rPr>
                <w:sz w:val="20"/>
                <w:szCs w:val="20"/>
                <w:color w:val="auto"/>
              </w:rPr>
            </w:pPr>
            <w:r>
              <w:rPr>
                <w:rFonts w:ascii="Arial" w:cs="Arial" w:eastAsia="Arial" w:hAnsi="Arial"/>
                <w:sz w:val="18"/>
                <w:szCs w:val="18"/>
                <w:color w:val="auto"/>
              </w:rPr>
              <w:t>Description</w:t>
            </w:r>
          </w:p>
        </w:tc>
        <w:tc>
          <w:tcPr>
            <w:tcW w:w="106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1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60" w:type="dxa"/>
            <w:vAlign w:val="bottom"/>
            <w:gridSpan w:val="3"/>
          </w:tcPr>
          <w:p>
            <w:pPr>
              <w:spacing w:after="0" w:line="20" w:lineRule="exact"/>
              <w:rPr>
                <w:sz w:val="1"/>
                <w:szCs w:val="1"/>
                <w:color w:val="auto"/>
              </w:rPr>
            </w:pPr>
          </w:p>
        </w:tc>
      </w:tr>
      <w:tr>
        <w:trPr>
          <w:trHeight w:val="453"/>
        </w:trPr>
        <w:tc>
          <w:tcPr>
            <w:tcW w:w="1640" w:type="dxa"/>
            <w:vAlign w:val="bottom"/>
          </w:tcPr>
          <w:p>
            <w:pPr>
              <w:spacing w:after="0"/>
              <w:rPr>
                <w:sz w:val="24"/>
                <w:szCs w:val="24"/>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8320" w:type="dxa"/>
            <w:vAlign w:val="bottom"/>
            <w:gridSpan w:val="5"/>
          </w:tcPr>
          <w:p>
            <w:pPr>
              <w:ind w:left="620"/>
              <w:spacing w:after="0"/>
              <w:rPr>
                <w:sz w:val="20"/>
                <w:szCs w:val="20"/>
                <w:color w:val="auto"/>
              </w:rPr>
            </w:pPr>
            <w:r>
              <w:rPr>
                <w:rFonts w:ascii="Arial" w:cs="Arial" w:eastAsia="Arial" w:hAnsi="Arial"/>
                <w:sz w:val="18"/>
                <w:szCs w:val="18"/>
                <w:color w:val="auto"/>
              </w:rPr>
              <w:t>Joint Filing Agreement among Reporting Persons</w:t>
            </w:r>
          </w:p>
        </w:tc>
      </w:tr>
      <w:tr>
        <w:trPr>
          <w:trHeight w:val="480"/>
        </w:trPr>
        <w:tc>
          <w:tcPr>
            <w:tcW w:w="16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This will confirm the agreement by and among all the undersigned that the Schedule 13G filed on or about this date and any amendments thereto with respect to the beneficial ownership by the undersigned of shares of common stock, $0.01 par value per share, of National Vision Holdings, Inc. is being filed on behalf of each of the undersigned in accordance with Rule 13d-1(k)(1) under the Securities Exchange Act of 1934. This agreement may be executed in two or more counterparts, each of which shall be deemed an original, but all of which together shall constitute one and the same instrument. The execution and filing of this agreement shall not be construed as an admission that the undersigned are a group, or have agreed to act as a group.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BERKSHIRE FUND VI, LIMITED PARTNERSHIP</w:t>
      </w:r>
    </w:p>
    <w:p>
      <w:pPr>
        <w:spacing w:after="0" w:line="200" w:lineRule="exact"/>
        <w:rPr>
          <w:sz w:val="20"/>
          <w:szCs w:val="20"/>
          <w:color w:val="auto"/>
        </w:rPr>
      </w:pPr>
    </w:p>
    <w:p>
      <w:pPr>
        <w:spacing w:after="0" w:line="241" w:lineRule="exact"/>
        <w:rPr>
          <w:sz w:val="20"/>
          <w:szCs w:val="20"/>
          <w:color w:val="auto"/>
        </w:rPr>
      </w:pPr>
    </w:p>
    <w:tbl>
      <w:tblPr>
        <w:tblLayout w:type="fixed"/>
        <w:tblInd w:w="446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Sixth Berkshire Associates LLC,</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Borders>
              <w:bottom w:val="single" w:sz="8" w:color="auto"/>
            </w:tcBorders>
          </w:tcPr>
          <w:p>
            <w:pPr>
              <w:spacing w:after="0"/>
              <w:rPr>
                <w:sz w:val="24"/>
                <w:szCs w:val="24"/>
                <w:color w:val="auto"/>
              </w:rPr>
            </w:pPr>
          </w:p>
        </w:tc>
      </w:tr>
      <w:tr>
        <w:trPr>
          <w:trHeight w:val="195"/>
        </w:trPr>
        <w:tc>
          <w:tcPr>
            <w:tcW w:w="700" w:type="dxa"/>
            <w:vAlign w:val="bottom"/>
          </w:tcPr>
          <w:p>
            <w:pPr>
              <w:spacing w:after="0"/>
              <w:rPr>
                <w:sz w:val="16"/>
                <w:szCs w:val="16"/>
                <w:color w:val="auto"/>
              </w:rPr>
            </w:pPr>
          </w:p>
        </w:tc>
        <w:tc>
          <w:tcPr>
            <w:tcW w:w="6260" w:type="dxa"/>
            <w:vAlign w:val="bottom"/>
          </w:tcPr>
          <w:p>
            <w:pPr>
              <w:ind w:left="10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bl>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BERKSHIRE INVESTORS LLC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BERKSHIRE INVESTORS III LLC</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4460" w:type="dxa"/>
        <w:tblCellMar>
          <w:top w:w="0" w:type="dxa"/>
          <w:left w:w="0" w:type="dxa"/>
          <w:bottom w:w="0" w:type="dxa"/>
          <w:right w:w="0" w:type="dxa"/>
        </w:tblCellMar>
      </w:tblPr>
      <w:tr>
        <w:trPr>
          <w:trHeight w:val="195"/>
        </w:trPr>
        <w:tc>
          <w:tcPr>
            <w:tcW w:w="700" w:type="dxa"/>
            <w:vAlign w:val="bottom"/>
          </w:tcPr>
          <w:p>
            <w:pPr>
              <w:spacing w:after="0"/>
              <w:rPr>
                <w:sz w:val="16"/>
                <w:szCs w:val="16"/>
                <w:color w:val="auto"/>
              </w:rPr>
            </w:pPr>
          </w:p>
        </w:tc>
        <w:tc>
          <w:tcPr>
            <w:tcW w:w="6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r>
        <w:trPr>
          <w:trHeight w:val="648"/>
        </w:trPr>
        <w:tc>
          <w:tcPr>
            <w:tcW w:w="6960" w:type="dxa"/>
            <w:vAlign w:val="bottom"/>
            <w:gridSpan w:val="2"/>
          </w:tcPr>
          <w:p>
            <w:pPr>
              <w:spacing w:after="0"/>
              <w:rPr>
                <w:sz w:val="20"/>
                <w:szCs w:val="20"/>
                <w:color w:val="auto"/>
              </w:rPr>
            </w:pPr>
            <w:r>
              <w:rPr>
                <w:rFonts w:ascii="Arial" w:cs="Arial" w:eastAsia="Arial" w:hAnsi="Arial"/>
                <w:sz w:val="18"/>
                <w:szCs w:val="18"/>
                <w:color w:val="auto"/>
              </w:rPr>
              <w:t>BERKSHIRE PARTNERS LLC</w:t>
            </w:r>
          </w:p>
        </w:tc>
      </w:tr>
      <w:tr>
        <w:trPr>
          <w:trHeight w:val="634"/>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BPSP, L.P.,</w:t>
            </w:r>
          </w:p>
        </w:tc>
      </w:tr>
      <w:tr>
        <w:trPr>
          <w:trHeight w:val="216"/>
        </w:trPr>
        <w:tc>
          <w:tcPr>
            <w:tcW w:w="700" w:type="dxa"/>
            <w:vAlign w:val="bottom"/>
          </w:tcPr>
          <w:p>
            <w:pPr>
              <w:spacing w:after="0"/>
              <w:rPr>
                <w:sz w:val="18"/>
                <w:szCs w:val="18"/>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managing member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6260" w:type="dxa"/>
            <w:vAlign w:val="bottom"/>
          </w:tcPr>
          <w:p>
            <w:pPr>
              <w:ind w:left="100"/>
              <w:spacing w:after="0"/>
              <w:rPr>
                <w:sz w:val="20"/>
                <w:szCs w:val="20"/>
                <w:color w:val="auto"/>
              </w:rPr>
            </w:pPr>
            <w:r>
              <w:rPr>
                <w:rFonts w:ascii="Arial" w:cs="Arial" w:eastAsia="Arial" w:hAnsi="Arial"/>
                <w:sz w:val="18"/>
                <w:szCs w:val="18"/>
                <w:color w:val="auto"/>
              </w:rPr>
              <w:t>Berkshire Partners Holdings LLC,</w:t>
            </w:r>
          </w:p>
        </w:tc>
      </w:tr>
      <w:tr>
        <w:trPr>
          <w:trHeight w:val="230"/>
        </w:trPr>
        <w:tc>
          <w:tcPr>
            <w:tcW w:w="70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its general partner</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Name: Kenneth S. Bring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-130810</wp:posOffset>
            </wp:positionV>
            <wp:extent cx="3978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BERKSHIRE PARTNERS HOLDINGS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Title: Managing Director</w:t>
            </w:r>
          </w:p>
        </w:tc>
      </w:tr>
      <w:tr>
        <w:trPr>
          <w:trHeight w:val="648"/>
        </w:trPr>
        <w:tc>
          <w:tcPr>
            <w:tcW w:w="5240" w:type="dxa"/>
            <w:vAlign w:val="bottom"/>
            <w:gridSpan w:val="2"/>
          </w:tcPr>
          <w:p>
            <w:pPr>
              <w:ind w:left="4460"/>
              <w:spacing w:after="0"/>
              <w:rPr>
                <w:sz w:val="20"/>
                <w:szCs w:val="20"/>
                <w:color w:val="auto"/>
              </w:rPr>
            </w:pPr>
            <w:r>
              <w:rPr>
                <w:rFonts w:ascii="Arial" w:cs="Arial" w:eastAsia="Arial" w:hAnsi="Arial"/>
                <w:sz w:val="18"/>
                <w:szCs w:val="18"/>
                <w:color w:val="auto"/>
                <w:w w:val="84"/>
              </w:rPr>
              <w:t>BPSP, L.P.</w:t>
            </w:r>
          </w:p>
        </w:tc>
        <w:tc>
          <w:tcPr>
            <w:tcW w:w="6180" w:type="dxa"/>
            <w:vAlign w:val="bottom"/>
          </w:tcPr>
          <w:p>
            <w:pPr>
              <w:spacing w:after="0"/>
              <w:rPr>
                <w:sz w:val="24"/>
                <w:szCs w:val="24"/>
                <w:color w:val="auto"/>
              </w:rPr>
            </w:pPr>
          </w:p>
        </w:tc>
      </w:tr>
      <w:tr>
        <w:trPr>
          <w:trHeight w:val="634"/>
        </w:trPr>
        <w:tc>
          <w:tcPr>
            <w:tcW w:w="5240" w:type="dxa"/>
            <w:vAlign w:val="bottom"/>
            <w:gridSpan w:val="2"/>
          </w:tcPr>
          <w:p>
            <w:pPr>
              <w:ind w:left="4460"/>
              <w:spacing w:after="0"/>
              <w:rPr>
                <w:sz w:val="20"/>
                <w:szCs w:val="20"/>
                <w:color w:val="auto"/>
              </w:rPr>
            </w:pPr>
            <w:r>
              <w:rPr>
                <w:rFonts w:ascii="Arial" w:cs="Arial" w:eastAsia="Arial" w:hAnsi="Arial"/>
                <w:sz w:val="18"/>
                <w:szCs w:val="18"/>
                <w:color w:val="auto"/>
              </w:rPr>
              <w:t>By:</w:t>
            </w:r>
          </w:p>
        </w:tc>
        <w:tc>
          <w:tcPr>
            <w:tcW w:w="6180" w:type="dxa"/>
            <w:vAlign w:val="bottom"/>
          </w:tcPr>
          <w:p>
            <w:pPr>
              <w:ind w:left="20"/>
              <w:spacing w:after="0"/>
              <w:rPr>
                <w:sz w:val="20"/>
                <w:szCs w:val="20"/>
                <w:color w:val="auto"/>
              </w:rPr>
            </w:pPr>
            <w:r>
              <w:rPr>
                <w:rFonts w:ascii="Arial" w:cs="Arial" w:eastAsia="Arial" w:hAnsi="Arial"/>
                <w:sz w:val="18"/>
                <w:szCs w:val="18"/>
                <w:color w:val="auto"/>
              </w:rPr>
              <w:t>Berkshire Partners Holdings LLC,</w:t>
            </w:r>
          </w:p>
        </w:tc>
      </w:tr>
      <w:tr>
        <w:trPr>
          <w:trHeight w:val="230"/>
        </w:trPr>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32"/>
        </w:trPr>
        <w:tc>
          <w:tcPr>
            <w:tcW w:w="5240" w:type="dxa"/>
            <w:vAlign w:val="bottom"/>
            <w:gridSpan w:val="2"/>
          </w:tcPr>
          <w:p>
            <w:pPr>
              <w:ind w:left="4460"/>
              <w:spacing w:after="0"/>
              <w:rPr>
                <w:sz w:val="20"/>
                <w:szCs w:val="20"/>
                <w:color w:val="auto"/>
              </w:rPr>
            </w:pPr>
            <w:r>
              <w:rPr>
                <w:rFonts w:ascii="Arial" w:cs="Arial" w:eastAsia="Arial" w:hAnsi="Arial"/>
                <w:sz w:val="18"/>
                <w:szCs w:val="18"/>
                <w:color w:val="auto"/>
              </w:rPr>
              <w:t>By:</w:t>
            </w:r>
          </w:p>
        </w:tc>
        <w:tc>
          <w:tcPr>
            <w:tcW w:w="6180" w:type="dxa"/>
            <w:vAlign w:val="bottom"/>
          </w:tcPr>
          <w:p>
            <w:pPr>
              <w:spacing w:after="0"/>
              <w:rPr>
                <w:sz w:val="24"/>
                <w:szCs w:val="24"/>
                <w:color w:val="auto"/>
              </w:rPr>
            </w:pPr>
          </w:p>
        </w:tc>
      </w:tr>
      <w:tr>
        <w:trPr>
          <w:trHeight w:val="195"/>
        </w:trPr>
        <w:tc>
          <w:tcPr>
            <w:tcW w:w="5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Name: Kenneth S. Bring</w:t>
            </w:r>
          </w:p>
        </w:tc>
      </w:tr>
      <w:tr>
        <w:trPr>
          <w:trHeight w:val="230"/>
        </w:trPr>
        <w:tc>
          <w:tcPr>
            <w:tcW w:w="5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Title: Managing Director</w:t>
            </w:r>
          </w:p>
        </w:tc>
      </w:tr>
      <w:tr>
        <w:trPr>
          <w:trHeight w:val="264"/>
        </w:trPr>
        <w:tc>
          <w:tcPr>
            <w:tcW w:w="5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180" w:type="dxa"/>
            <w:vAlign w:val="bottom"/>
            <w:tcBorders>
              <w:bottom w:val="single" w:sz="8" w:color="auto"/>
            </w:tcBorders>
          </w:tcPr>
          <w:p>
            <w:pPr>
              <w:spacing w:after="0"/>
              <w:rPr>
                <w:sz w:val="22"/>
                <w:szCs w:val="22"/>
                <w:color w:val="auto"/>
              </w:rPr>
            </w:pPr>
          </w:p>
        </w:tc>
      </w:tr>
    </w:tbl>
    <w:p>
      <w:pPr>
        <w:spacing w:after="0" w:line="1" w:lineRule="exact"/>
        <w:rPr>
          <w:sz w:val="20"/>
          <w:szCs w:val="20"/>
          <w:color w:val="auto"/>
        </w:rPr>
      </w:pPr>
    </w:p>
    <w:sectPr>
      <w:pgSz w:w="11900" w:h="16838" w:orient="portrait"/>
      <w:cols w:equalWidth="0" w:num="1">
        <w:col w:w="11420"/>
      </w:cols>
      <w:pgMar w:left="240" w:top="476" w:right="239" w:bottom="50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1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3"/>
    </w:lvl>
  </w:abstractNum>
  <w:abstractNum w:abstractNumId="6">
    <w:nsid w:val="DED7263"/>
    <w:multiLevelType w:val="hybridMultilevel"/>
    <w:lvl w:ilvl="0">
      <w:lvlJc w:val="left"/>
      <w:lvlText w:val="%1."/>
      <w:numFmt w:val="decimal"/>
      <w:start w:val="12"/>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1."/>
      <w:numFmt w:val="decimal"/>
      <w:start w:val="1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3"/>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decimal"/>
      <w:start w:val="12"/>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3"/>
    </w:lvl>
  </w:abstractNum>
  <w:abstractNum w:abstractNumId="18">
    <w:nsid w:val="62BBD95A"/>
    <w:multiLevelType w:val="hybridMultilevel"/>
    <w:lvl w:ilvl="0">
      <w:lvlJc w:val="left"/>
      <w:lvlText w:val="%1."/>
      <w:numFmt w:val="decimal"/>
      <w:start w:val="12"/>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2019-12-16T09:27:32Z</dcterms:created>
  <dcterms:modified xsi:type="dcterms:W3CDTF">2019-12-16T09:27:32Z</dcterms:modified>
</cp:coreProperties>
</file>