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3000"/>
        <w:spacing w:after="0"/>
        <w:rPr>
          <w:sz w:val="20"/>
          <w:szCs w:val="20"/>
          <w:color w:val="auto"/>
        </w:rPr>
      </w:pPr>
      <w:r>
        <w:rPr>
          <w:rFonts w:ascii="Arial" w:cs="Arial" w:eastAsia="Arial" w:hAnsi="Arial"/>
          <w:sz w:val="25"/>
          <w:szCs w:val="25"/>
          <w:b w:val="1"/>
          <w:bCs w:val="1"/>
          <w:color w:val="auto"/>
        </w:rPr>
        <w:t>SECURITIES AND EXCHANGE COMMISSION</w:t>
      </w:r>
    </w:p>
    <w:p>
      <w:pPr>
        <w:spacing w:after="0" w:line="329"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191135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SCHEDULE 14D-9</w:t>
      </w:r>
    </w:p>
    <w:p>
      <w:pPr>
        <w:spacing w:after="0" w:line="3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(R</w:t>
      </w:r>
      <w:r>
        <w:rPr>
          <w:rFonts w:ascii="Arial" w:cs="Arial" w:eastAsia="Arial" w:hAnsi="Arial"/>
          <w:sz w:val="22"/>
          <w:szCs w:val="22"/>
          <w:b w:val="1"/>
          <w:bCs w:val="1"/>
          <w:color w:val="auto"/>
        </w:rPr>
        <w:t>ULE</w:t>
      </w:r>
      <w:r>
        <w:rPr>
          <w:rFonts w:ascii="Arial" w:cs="Arial" w:eastAsia="Arial" w:hAnsi="Arial"/>
          <w:sz w:val="32"/>
          <w:szCs w:val="32"/>
          <w:b w:val="1"/>
          <w:bCs w:val="1"/>
          <w:color w:val="auto"/>
        </w:rPr>
        <w:t xml:space="preserve"> 14d-101)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189865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SOLICITATION/RECOMMENDATION STATEMENT UNDER</w:t>
      </w:r>
    </w:p>
    <w:p>
      <w:pPr>
        <w:spacing w:after="0" w:line="1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SECTION 14(d)(4) OF THE SECURITIES EXCHANGE ACT OF 1934</w:t>
      </w:r>
    </w:p>
    <w:p>
      <w:pPr>
        <w:spacing w:after="0" w:line="290"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191135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NATIONAL VISION, INC.</w:t>
      </w:r>
    </w:p>
    <w:p>
      <w:pPr>
        <w:spacing w:after="0" w:line="5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(Name of Subject Company)</w:t>
      </w:r>
    </w:p>
    <w:p>
      <w:pPr>
        <w:spacing w:after="0" w:line="180"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NATIONAL VISION, INC.</w:t>
      </w:r>
    </w:p>
    <w:p>
      <w:pPr>
        <w:spacing w:after="0" w:line="5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of Person Filing Statement)</w:t>
      </w:r>
    </w:p>
    <w:p>
      <w:pPr>
        <w:spacing w:after="0" w:line="31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Common Stock, Par Value $0.01, with attached Common Stock Purchase Rights</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(Title of Class of Securities)</w:t>
      </w:r>
    </w:p>
    <w:p>
      <w:pPr>
        <w:spacing w:after="0" w:line="31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63845P 10 1</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(CUSIP Number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Mitchell Goodman, Esq.</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296 Grayson Highway</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Lawrenceville, Georgia 30045</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(770) 822-3600</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(Name, Address and Telephone Number of Person Authorized to Receive Notices and</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Communications on Behalf of the Person Filing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David A. Stockton, Esq.</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Kilpatrick Stockton LLP</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1100 Peachtree Street, Suite 2800</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Atlanta, Georgia 30309</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(404) 815-6500</w:t>
      </w:r>
    </w:p>
    <w:p>
      <w:pPr>
        <w:spacing w:after="0" w:line="319"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o Check the box if the filing relates solely to preliminary communications made before the commencement of a</w:t>
      </w:r>
    </w:p>
    <w:p>
      <w:pPr>
        <w:spacing w:after="0" w:line="4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EXPLANATORY NOTE</w:t>
        </w:r>
      </w:hyperlink>
    </w:p>
    <w:p>
      <w:pPr>
        <w:spacing w:after="0" w:line="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3. Past Contacts, Transaction, Negotiations and Agreements</w:t>
        </w:r>
      </w:hyperlink>
    </w:p>
    <w:p>
      <w:pPr>
        <w:spacing w:after="0" w:line="25"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This Amendment No. 1 amends and supplements the Solicitation/Recommendation Statement on Schedule 14D-9 filed by National Vision, Inc., a Georgia corporation (the “Company”), with the Securities and Exchange Commission on July 28, 2005 (the “Schedule”) relating to the offer by Vision Acquisition Corp., a Georgia corporation (the “Purchaser”) and wholly-owned subsidiary of Vision Holding Co., a Delaware corporation (“Parent”), to purchase all of the issued and outstanding common stock, par value $0.01 per share, of the Company, including the associated rights to purchase Series A Participating Cumulative Preferred Stock, par value $0.01 per share, issued pursuant to the Rights Plan dated as of January 27, 1997, as amended, between the Company and American Stock Transfer &amp; Trust Company (together, the “Shares”) at a purchase price of $7.25 per Share, net to the seller in cash, without interest thereon upon the terms and conditions set forth in the Offer to Purchase, dated July 28, 2005 (the “Offer to Purchase”) and the related Letter of Transmittal, dated July 28, 2005 (the “Letter of Transmittal”) which, together with the Offer to Purchase, as they may be amended and supplemented from time to time, are referred to herein as the “Offer”. The Offer is being made pursuant to the Agreement and Plan of Merger, dated July 25, 2005, by and among the Purchaser, Parent and the Company (as such agreement may from time to time be amended or supplemented, the “Merger Agreement”) which provides, among other things, that upon completion of the Offer and the satisfaction or waiver of the conditions set forth in the Merger Agreement, the Purchaser will be merged with and into the Company (the “Merger”).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Past Contacts, Transaction, Negotiations and Agreements</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3 of the Schedule is hereby amended and supplemented by adding thereto the following:</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Effect of Merger on Change in Control Arrangements</w:t>
      </w:r>
      <w:r>
        <w:rPr>
          <w:rFonts w:ascii="Arial" w:cs="Arial" w:eastAsia="Arial" w:hAnsi="Arial"/>
          <w:sz w:val="18"/>
          <w:szCs w:val="18"/>
          <w:color w:val="auto"/>
        </w:rPr>
        <w:t>. The change in control agreements, described in “Certain Agreements, Arrangements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Understandings between the Company or its Affiliates and the Company or its Executive Officers, Directors or Affiliates – Change in Control Arrangements” under Item 3 of the Schedule, provide severance benefits in the event of termination of employment under certain circumstances following a change in control of the Company (as defined in the agreements). The circumstances are described in “Certain Agreements, Arrangements or Understandings between the Company or its Affiliates and the Company or its Executive Officers, Directors or Affiliates – Change in Control Arrangements” under Item 3 of the Schedule.</w:t>
      </w:r>
    </w:p>
    <w:p>
      <w:pPr>
        <w:spacing w:after="0" w:line="85"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If such circumstances existed in connection with the Merger and change in control payments became payable, the maximum aggregate amount payable by the Company to the executive officers of the Company as a group would be $5,361,200, consisting of the following payments to each individual executive officer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4"/>
                <w:szCs w:val="14"/>
                <w:color w:val="auto"/>
              </w:rPr>
            </w:pPr>
          </w:p>
        </w:tc>
        <w:tc>
          <w:tcPr>
            <w:tcW w:w="5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Positions with the Company</w:t>
            </w:r>
          </w:p>
        </w:tc>
        <w:tc>
          <w:tcPr>
            <w:tcW w:w="5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Change in Control Payment</w:t>
            </w: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7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7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Reade Fahs</w:t>
            </w:r>
          </w:p>
        </w:tc>
        <w:tc>
          <w:tcPr>
            <w:tcW w:w="5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28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$975,000</w:t>
            </w:r>
          </w:p>
        </w:tc>
        <w:tc>
          <w:tcPr>
            <w:tcW w:w="0" w:type="dxa"/>
            <w:vAlign w:val="bottom"/>
          </w:tcPr>
          <w:p>
            <w:pPr>
              <w:spacing w:after="0"/>
              <w:rPr>
                <w:sz w:val="1"/>
                <w:szCs w:val="1"/>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J. Bruce Steffey</w:t>
            </w:r>
          </w:p>
        </w:tc>
        <w:tc>
          <w:tcPr>
            <w:tcW w:w="5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 Chief Operating Officer</w:t>
            </w:r>
          </w:p>
        </w:tc>
        <w:tc>
          <w:tcPr>
            <w:tcW w:w="284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$768,300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Paul A. Criscillis, Jr</w:t>
            </w:r>
          </w:p>
        </w:tc>
        <w:tc>
          <w:tcPr>
            <w:tcW w:w="5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Chief Financial Officer</w:t>
            </w:r>
          </w:p>
        </w:tc>
        <w:tc>
          <w:tcPr>
            <w:tcW w:w="28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$637,500</w:t>
            </w:r>
          </w:p>
        </w:tc>
        <w:tc>
          <w:tcPr>
            <w:tcW w:w="0" w:type="dxa"/>
            <w:vAlign w:val="bottom"/>
          </w:tcPr>
          <w:p>
            <w:pPr>
              <w:spacing w:after="0"/>
              <w:rPr>
                <w:sz w:val="1"/>
                <w:szCs w:val="1"/>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Mitchell Goodman</w:t>
            </w:r>
          </w:p>
        </w:tc>
        <w:tc>
          <w:tcPr>
            <w:tcW w:w="5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c>
          <w:tcPr>
            <w:tcW w:w="284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$639,750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Robert W. Stein</w:t>
            </w:r>
          </w:p>
        </w:tc>
        <w:tc>
          <w:tcPr>
            <w:tcW w:w="5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Professional and Managed Care Development</w:t>
            </w:r>
          </w:p>
        </w:tc>
        <w:tc>
          <w:tcPr>
            <w:tcW w:w="28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$574,500</w:t>
            </w:r>
          </w:p>
        </w:tc>
        <w:tc>
          <w:tcPr>
            <w:tcW w:w="0" w:type="dxa"/>
            <w:vAlign w:val="bottom"/>
          </w:tcPr>
          <w:p>
            <w:pPr>
              <w:spacing w:after="0"/>
              <w:rPr>
                <w:sz w:val="1"/>
                <w:szCs w:val="1"/>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Paul Gross</w:t>
            </w:r>
          </w:p>
        </w:tc>
        <w:tc>
          <w:tcPr>
            <w:tcW w:w="5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Marketing and New Ventures</w:t>
            </w:r>
          </w:p>
        </w:tc>
        <w:tc>
          <w:tcPr>
            <w:tcW w:w="284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$535,650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Timothy W. Ranney</w:t>
            </w:r>
          </w:p>
        </w:tc>
        <w:tc>
          <w:tcPr>
            <w:tcW w:w="5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Finance and Treasurer</w:t>
            </w:r>
          </w:p>
        </w:tc>
        <w:tc>
          <w:tcPr>
            <w:tcW w:w="28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$435,000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280" w:type="dxa"/>
            <w:vAlign w:val="bottom"/>
            <w:gridSpan w:val="2"/>
          </w:tcPr>
          <w:p>
            <w:pPr>
              <w:jc w:val="right"/>
              <w:ind w:right="2732"/>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4"/>
                <w:szCs w:val="14"/>
                <w:color w:val="auto"/>
              </w:rPr>
            </w:pPr>
          </w:p>
        </w:tc>
        <w:tc>
          <w:tcPr>
            <w:tcW w:w="570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Positions with the Company</w:t>
            </w:r>
          </w:p>
        </w:tc>
        <w:tc>
          <w:tcPr>
            <w:tcW w:w="5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Change in Control Payment</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auto"/>
            </w:tcBorders>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70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Robert E. Schnelle</w:t>
            </w:r>
          </w:p>
        </w:tc>
        <w:tc>
          <w:tcPr>
            <w:tcW w:w="5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President, Chief Accounting Officer</w:t>
            </w:r>
          </w:p>
        </w:tc>
        <w:tc>
          <w:tcPr>
            <w:tcW w:w="284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$140,500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Desmond Taylor</w:t>
            </w:r>
          </w:p>
        </w:tc>
        <w:tc>
          <w:tcPr>
            <w:tcW w:w="5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Merchandising</w:t>
            </w:r>
          </w:p>
        </w:tc>
        <w:tc>
          <w:tcPr>
            <w:tcW w:w="28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$510,000</w:t>
            </w:r>
          </w:p>
        </w:tc>
        <w:tc>
          <w:tcPr>
            <w:tcW w:w="0" w:type="dxa"/>
            <w:vAlign w:val="bottom"/>
          </w:tcPr>
          <w:p>
            <w:pPr>
              <w:spacing w:after="0"/>
              <w:rPr>
                <w:sz w:val="1"/>
                <w:szCs w:val="1"/>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Jeff Busbee</w:t>
            </w:r>
          </w:p>
        </w:tc>
        <w:tc>
          <w:tcPr>
            <w:tcW w:w="5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President, Human Resources and Corporate Compliance</w:t>
            </w:r>
          </w:p>
        </w:tc>
        <w:tc>
          <w:tcPr>
            <w:tcW w:w="284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$145,000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gridSpan w:val="2"/>
          </w:tcPr>
          <w:p>
            <w:pPr>
              <w:spacing w:after="0"/>
              <w:rPr>
                <w:sz w:val="18"/>
                <w:szCs w:val="18"/>
                <w:color w:val="auto"/>
              </w:rPr>
            </w:pPr>
          </w:p>
        </w:tc>
        <w:tc>
          <w:tcPr>
            <w:tcW w:w="5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executive officers as a group (ten persons)</w:t>
            </w:r>
          </w:p>
        </w:tc>
        <w:tc>
          <w:tcPr>
            <w:tcW w:w="28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8"/>
              </w:rPr>
              <w:t>$5,361,200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i w:val="1"/>
          <w:iCs w:val="1"/>
          <w:color w:val="auto"/>
        </w:rPr>
        <w:t>Dollar Value of Options Held By Directors and Officers</w:t>
      </w:r>
      <w:r>
        <w:rPr>
          <w:rFonts w:ascii="Arial" w:cs="Arial" w:eastAsia="Arial" w:hAnsi="Arial"/>
          <w:sz w:val="18"/>
          <w:szCs w:val="18"/>
          <w:color w:val="auto"/>
        </w:rPr>
        <w:t>. The aggregate dollar value of the outstanding stock options held by the directors and officers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assuming a cash-out price of $7.25 per Share, is $2,867,539. The dollar value of outstanding stock options held by each director and officer of the Company, assuming this cash-out price,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gridSpan w:val="5"/>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tcPr>
          <w:p>
            <w:pPr>
              <w:jc w:val="right"/>
              <w:ind w:right="91"/>
              <w:spacing w:after="0"/>
              <w:rPr>
                <w:sz w:val="20"/>
                <w:szCs w:val="20"/>
                <w:color w:val="auto"/>
              </w:rPr>
            </w:pPr>
            <w:r>
              <w:rPr>
                <w:rFonts w:ascii="Arial" w:cs="Arial" w:eastAsia="Arial" w:hAnsi="Arial"/>
                <w:sz w:val="14"/>
                <w:szCs w:val="14"/>
                <w:b w:val="1"/>
                <w:bCs w:val="1"/>
                <w:color w:val="auto"/>
              </w:rPr>
              <w:t>Number of Options Held</w:t>
            </w:r>
          </w:p>
        </w:tc>
        <w:tc>
          <w:tcPr>
            <w:tcW w:w="1640" w:type="dxa"/>
            <w:vAlign w:val="bottom"/>
          </w:tcPr>
          <w:p>
            <w:pPr>
              <w:spacing w:after="0"/>
              <w:rPr>
                <w:sz w:val="14"/>
                <w:szCs w:val="14"/>
                <w:color w:val="auto"/>
              </w:rPr>
            </w:pPr>
          </w:p>
        </w:tc>
        <w:tc>
          <w:tcPr>
            <w:tcW w:w="23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Dollar Value of Options Held*</w:t>
            </w:r>
          </w:p>
        </w:tc>
      </w:tr>
      <w:tr>
        <w:trPr>
          <w:trHeight w:val="210"/>
        </w:trPr>
        <w:tc>
          <w:tcPr>
            <w:tcW w:w="20" w:type="dxa"/>
            <w:vAlign w:val="bottom"/>
          </w:tcPr>
          <w:p>
            <w:pPr>
              <w:spacing w:after="0"/>
              <w:rPr>
                <w:sz w:val="18"/>
                <w:szCs w:val="18"/>
                <w:color w:val="auto"/>
              </w:rPr>
            </w:pPr>
          </w:p>
        </w:tc>
        <w:tc>
          <w:tcPr>
            <w:tcW w:w="39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Reade Fahs</w:t>
            </w:r>
          </w:p>
        </w:tc>
        <w:tc>
          <w:tcPr>
            <w:tcW w:w="1620" w:type="dxa"/>
            <w:vAlign w:val="bottom"/>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165,600</w:t>
            </w:r>
          </w:p>
        </w:tc>
        <w:tc>
          <w:tcPr>
            <w:tcW w:w="16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87"/>
              </w:rPr>
              <w:t>1,076,400</w:t>
            </w: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Jeffrey A. Snow</w:t>
            </w:r>
          </w:p>
        </w:tc>
        <w:tc>
          <w:tcPr>
            <w:tcW w:w="1880" w:type="dxa"/>
            <w:vAlign w:val="bottom"/>
          </w:tcPr>
          <w:p>
            <w:pPr>
              <w:jc w:val="right"/>
              <w:ind w:right="551"/>
              <w:spacing w:after="0"/>
              <w:rPr>
                <w:sz w:val="20"/>
                <w:szCs w:val="20"/>
                <w:color w:val="auto"/>
              </w:rPr>
            </w:pPr>
            <w:r>
              <w:rPr>
                <w:rFonts w:ascii="Arial" w:cs="Arial" w:eastAsia="Arial" w:hAnsi="Arial"/>
                <w:sz w:val="18"/>
                <w:szCs w:val="18"/>
                <w:color w:val="auto"/>
              </w:rPr>
              <w:t>28,750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170,437</w:t>
            </w: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 Robert Floum</w:t>
            </w:r>
          </w:p>
        </w:tc>
        <w:tc>
          <w:tcPr>
            <w:tcW w:w="18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45,000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277,850</w:t>
            </w: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James W. Krause</w:t>
            </w:r>
          </w:p>
        </w:tc>
        <w:tc>
          <w:tcPr>
            <w:tcW w:w="1880" w:type="dxa"/>
            <w:vAlign w:val="bottom"/>
          </w:tcPr>
          <w:p>
            <w:pPr>
              <w:jc w:val="right"/>
              <w:ind w:right="551"/>
              <w:spacing w:after="0"/>
              <w:rPr>
                <w:sz w:val="20"/>
                <w:szCs w:val="20"/>
                <w:color w:val="auto"/>
              </w:rPr>
            </w:pPr>
            <w:r>
              <w:rPr>
                <w:rFonts w:ascii="Arial" w:cs="Arial" w:eastAsia="Arial" w:hAnsi="Arial"/>
                <w:sz w:val="18"/>
                <w:szCs w:val="18"/>
                <w:color w:val="auto"/>
              </w:rPr>
              <w:t>31,250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191,462</w:t>
            </w: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Peter T. Socha</w:t>
            </w:r>
          </w:p>
        </w:tc>
        <w:tc>
          <w:tcPr>
            <w:tcW w:w="18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45,000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277,850</w:t>
            </w: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Marc B. Nelson</w:t>
            </w:r>
          </w:p>
        </w:tc>
        <w:tc>
          <w:tcPr>
            <w:tcW w:w="1880" w:type="dxa"/>
            <w:vAlign w:val="bottom"/>
          </w:tcPr>
          <w:p>
            <w:pPr>
              <w:jc w:val="right"/>
              <w:ind w:right="551"/>
              <w:spacing w:after="0"/>
              <w:rPr>
                <w:sz w:val="20"/>
                <w:szCs w:val="20"/>
                <w:color w:val="auto"/>
              </w:rPr>
            </w:pPr>
            <w:r>
              <w:rPr>
                <w:rFonts w:ascii="Arial" w:cs="Arial" w:eastAsia="Arial" w:hAnsi="Arial"/>
                <w:sz w:val="18"/>
                <w:szCs w:val="18"/>
                <w:color w:val="auto"/>
              </w:rPr>
              <w:t>25,200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145,964</w:t>
            </w: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Paul A. Criscillis, Jr.</w:t>
            </w:r>
          </w:p>
        </w:tc>
        <w:tc>
          <w:tcPr>
            <w:tcW w:w="18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22,000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107,140</w:t>
            </w: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Mitchell Goodman</w:t>
            </w:r>
          </w:p>
        </w:tc>
        <w:tc>
          <w:tcPr>
            <w:tcW w:w="1880" w:type="dxa"/>
            <w:vAlign w:val="bottom"/>
          </w:tcPr>
          <w:p>
            <w:pPr>
              <w:jc w:val="right"/>
              <w:ind w:right="551"/>
              <w:spacing w:after="0"/>
              <w:rPr>
                <w:sz w:val="20"/>
                <w:szCs w:val="20"/>
                <w:color w:val="auto"/>
              </w:rPr>
            </w:pPr>
            <w:r>
              <w:rPr>
                <w:rFonts w:ascii="Arial" w:cs="Arial" w:eastAsia="Arial" w:hAnsi="Arial"/>
                <w:sz w:val="18"/>
                <w:szCs w:val="18"/>
                <w:color w:val="auto"/>
              </w:rPr>
              <w:t>6,750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46,238</w:t>
            </w: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 Bruce Steffey</w:t>
            </w:r>
          </w:p>
        </w:tc>
        <w:tc>
          <w:tcPr>
            <w:tcW w:w="18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39,000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224,250</w:t>
            </w: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Robert A. Stein</w:t>
            </w:r>
          </w:p>
        </w:tc>
        <w:tc>
          <w:tcPr>
            <w:tcW w:w="1880" w:type="dxa"/>
            <w:vAlign w:val="bottom"/>
          </w:tcPr>
          <w:p>
            <w:pPr>
              <w:jc w:val="right"/>
              <w:ind w:right="551"/>
              <w:spacing w:after="0"/>
              <w:rPr>
                <w:sz w:val="20"/>
                <w:szCs w:val="20"/>
                <w:color w:val="auto"/>
              </w:rPr>
            </w:pPr>
            <w:r>
              <w:rPr>
                <w:rFonts w:ascii="Arial" w:cs="Arial" w:eastAsia="Arial" w:hAnsi="Arial"/>
                <w:sz w:val="18"/>
                <w:szCs w:val="18"/>
                <w:color w:val="auto"/>
              </w:rPr>
              <w:t>6,750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46,238</w:t>
            </w: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Paul Gross</w:t>
            </w:r>
          </w:p>
        </w:tc>
        <w:tc>
          <w:tcPr>
            <w:tcW w:w="18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3,000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18,750</w:t>
            </w: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Timothy W. Ranney</w:t>
            </w:r>
          </w:p>
        </w:tc>
        <w:tc>
          <w:tcPr>
            <w:tcW w:w="1880" w:type="dxa"/>
            <w:vAlign w:val="bottom"/>
          </w:tcPr>
          <w:p>
            <w:pPr>
              <w:jc w:val="right"/>
              <w:ind w:right="551"/>
              <w:spacing w:after="0"/>
              <w:rPr>
                <w:sz w:val="20"/>
                <w:szCs w:val="20"/>
                <w:color w:val="auto"/>
              </w:rPr>
            </w:pPr>
            <w:r>
              <w:rPr>
                <w:rFonts w:ascii="Arial" w:cs="Arial" w:eastAsia="Arial" w:hAnsi="Arial"/>
                <w:sz w:val="18"/>
                <w:szCs w:val="18"/>
                <w:color w:val="auto"/>
              </w:rPr>
              <w:t>6,000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41,100</w:t>
            </w: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Robert E. Schnelle</w:t>
            </w:r>
          </w:p>
        </w:tc>
        <w:tc>
          <w:tcPr>
            <w:tcW w:w="18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15,000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82,200</w:t>
            </w: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Desmond Taylor</w:t>
            </w:r>
          </w:p>
        </w:tc>
        <w:tc>
          <w:tcPr>
            <w:tcW w:w="1880" w:type="dxa"/>
            <w:vAlign w:val="bottom"/>
          </w:tcPr>
          <w:p>
            <w:pPr>
              <w:jc w:val="right"/>
              <w:ind w:right="551"/>
              <w:spacing w:after="0"/>
              <w:rPr>
                <w:sz w:val="20"/>
                <w:szCs w:val="20"/>
                <w:color w:val="auto"/>
              </w:rPr>
            </w:pPr>
            <w:r>
              <w:rPr>
                <w:rFonts w:ascii="Arial" w:cs="Arial" w:eastAsia="Arial" w:hAnsi="Arial"/>
                <w:sz w:val="18"/>
                <w:szCs w:val="18"/>
                <w:color w:val="auto"/>
              </w:rPr>
              <w:t>22,000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120,560</w:t>
            </w: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Jeff Busbee</w:t>
            </w:r>
          </w:p>
        </w:tc>
        <w:tc>
          <w:tcPr>
            <w:tcW w:w="18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6,000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41,100</w:t>
            </w:r>
          </w:p>
        </w:tc>
      </w:tr>
      <w:tr>
        <w:trPr>
          <w:trHeight w:val="202"/>
        </w:trPr>
        <w:tc>
          <w:tcPr>
            <w:tcW w:w="20" w:type="dxa"/>
            <w:vAlign w:val="bottom"/>
          </w:tcPr>
          <w:p>
            <w:pPr>
              <w:spacing w:after="0"/>
              <w:rPr>
                <w:sz w:val="17"/>
                <w:szCs w:val="17"/>
                <w:color w:val="auto"/>
              </w:rPr>
            </w:pPr>
          </w:p>
        </w:tc>
        <w:tc>
          <w:tcPr>
            <w:tcW w:w="5560" w:type="dxa"/>
            <w:vAlign w:val="bottom"/>
            <w:gridSpan w:val="4"/>
          </w:tcPr>
          <w:p>
            <w:pPr>
              <w:spacing w:after="0" w:line="201" w:lineRule="exact"/>
              <w:rPr>
                <w:sz w:val="20"/>
                <w:szCs w:val="20"/>
                <w:color w:val="auto"/>
              </w:rPr>
            </w:pPr>
            <w:r>
              <w:rPr>
                <w:rFonts w:ascii="Arial" w:cs="Arial" w:eastAsia="Arial" w:hAnsi="Arial"/>
                <w:sz w:val="18"/>
                <w:szCs w:val="18"/>
                <w:color w:val="auto"/>
              </w:rPr>
              <w:t>All directors and executive officers as a group (fifteen</w:t>
            </w:r>
          </w:p>
        </w:tc>
        <w:tc>
          <w:tcPr>
            <w:tcW w:w="1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persons)</w:t>
            </w:r>
          </w:p>
        </w:tc>
        <w:tc>
          <w:tcPr>
            <w:tcW w:w="1880" w:type="dxa"/>
            <w:vAlign w:val="bottom"/>
          </w:tcPr>
          <w:p>
            <w:pPr>
              <w:jc w:val="right"/>
              <w:ind w:right="551"/>
              <w:spacing w:after="0"/>
              <w:rPr>
                <w:sz w:val="20"/>
                <w:szCs w:val="20"/>
                <w:color w:val="auto"/>
              </w:rPr>
            </w:pPr>
            <w:r>
              <w:rPr>
                <w:rFonts w:ascii="Arial" w:cs="Arial" w:eastAsia="Arial" w:hAnsi="Arial"/>
                <w:sz w:val="18"/>
                <w:szCs w:val="18"/>
                <w:color w:val="auto"/>
              </w:rPr>
              <w:t>467,300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w w:val="87"/>
              </w:rPr>
              <w:t>2,867,539</w:t>
            </w:r>
          </w:p>
        </w:tc>
      </w:tr>
      <w:tr>
        <w:trPr>
          <w:trHeight w:val="297"/>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520" w:type="dxa"/>
            <w:vAlign w:val="bottom"/>
            <w:gridSpan w:val="2"/>
          </w:tcPr>
          <w:p>
            <w:pPr>
              <w:spacing w:after="0"/>
              <w:rPr>
                <w:sz w:val="24"/>
                <w:szCs w:val="24"/>
                <w:color w:val="auto"/>
              </w:rPr>
            </w:pPr>
          </w:p>
        </w:tc>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7"/>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420" w:type="dxa"/>
            <w:vAlign w:val="bottom"/>
            <w:gridSpan w:val="3"/>
          </w:tcPr>
          <w:p>
            <w:pPr>
              <w:ind w:left="300"/>
              <w:spacing w:after="0"/>
              <w:rPr>
                <w:sz w:val="20"/>
                <w:szCs w:val="20"/>
                <w:color w:val="auto"/>
              </w:rPr>
            </w:pPr>
            <w:r>
              <w:rPr>
                <w:rFonts w:ascii="Arial" w:cs="Arial" w:eastAsia="Arial" w:hAnsi="Arial"/>
                <w:sz w:val="18"/>
                <w:szCs w:val="18"/>
                <w:color w:val="auto"/>
                <w:w w:val="91"/>
              </w:rPr>
              <w:t>Dollar value calculated assuming a cash-out price of $7.25 per Share.</w:t>
            </w:r>
          </w:p>
        </w:tc>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5580" w:type="dxa"/>
            <w:vAlign w:val="bottom"/>
            <w:gridSpan w:val="5"/>
          </w:tcPr>
          <w:p>
            <w:pPr>
              <w:spacing w:after="0"/>
              <w:rPr>
                <w:sz w:val="20"/>
                <w:szCs w:val="20"/>
                <w:color w:val="auto"/>
              </w:rPr>
            </w:pPr>
            <w:r>
              <w:rPr>
                <w:rFonts w:ascii="Arial" w:cs="Arial" w:eastAsia="Arial" w:hAnsi="Arial"/>
                <w:sz w:val="18"/>
                <w:szCs w:val="18"/>
                <w:b w:val="1"/>
                <w:bCs w:val="1"/>
                <w:color w:val="auto"/>
              </w:rPr>
              <w:t>Information Statement Attached as Annex A to the Schedule</w:t>
            </w:r>
          </w:p>
        </w:tc>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Information Statement pursuant to Section 14(f) of the Securities Exchange Act of 1934 and Rule 14f-1 thereunder, attached as Annex A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Schedule, is hereby amended and supplemented as follows:</w:t>
      </w:r>
    </w:p>
    <w:p>
      <w:pPr>
        <w:spacing w:after="0" w:line="10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Pursuant to the Merger Agreement, the Offer commenced on July 28, 2005. The Offer is set to expire at 12:00 midnight on Wednesday, August 31, 2005, unless the Purchaser extends 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NATIONAL VISION, INC.</w:t>
      </w:r>
    </w:p>
    <w:p>
      <w:pPr>
        <w:spacing w:after="0" w:line="225" w:lineRule="exact"/>
        <w:rPr>
          <w:sz w:val="20"/>
          <w:szCs w:val="20"/>
          <w:color w:val="auto"/>
        </w:rPr>
      </w:pPr>
    </w:p>
    <w:p>
      <w:pPr>
        <w:ind w:left="5800"/>
        <w:spacing w:after="0"/>
        <w:tabs>
          <w:tab w:leader="none" w:pos="6260" w:val="left"/>
        </w:tabs>
        <w:rPr>
          <w:sz w:val="20"/>
          <w:szCs w:val="20"/>
          <w:color w:val="auto"/>
        </w:rPr>
      </w:pPr>
      <w:r>
        <w:rPr>
          <w:rFonts w:ascii="Arial" w:cs="Arial" w:eastAsia="Arial" w:hAnsi="Arial"/>
          <w:sz w:val="18"/>
          <w:szCs w:val="18"/>
          <w:color w:val="auto"/>
        </w:rPr>
        <w:t>By:</w:t>
        <w:tab/>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Mitchell Goodman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2005</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sectPr>
      <w:pgSz w:w="11900" w:h="16838" w:orient="portrait"/>
      <w:cols w:equalWidth="0" w:num="1">
        <w:col w:w="10760"/>
      </w:cols>
      <w:pgMar w:left="240" w:top="419"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2020-02-20T06:21:47Z</dcterms:created>
  <dcterms:modified xsi:type="dcterms:W3CDTF">2020-02-20T06:21:47Z</dcterms:modified>
</cp:coreProperties>
</file>