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943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437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26035"/>
                    </a:xfrm>
                    <a:prstGeom prst="rect">
                      <a:avLst/>
                    </a:prstGeom>
                    <a:noFill/>
                  </pic:spPr>
                </pic:pic>
              </a:graphicData>
            </a:graphic>
          </wp:anchor>
        </w:drawing>
        <w:t>UNITED STATES</w:t>
      </w:r>
    </w:p>
    <w:p>
      <w:pPr>
        <w:spacing w:after="0" w:line="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5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10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February 26, 2025</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001-38257</w:t>
      </w:r>
    </w:p>
    <w:p>
      <w:pPr>
        <w:spacing w:after="0" w:line="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52"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9"/>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color w:val="auto"/>
              </w:rPr>
              <w:t>incorporation)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0"/>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80" w:type="dxa"/>
            <w:vAlign w:val="bottom"/>
          </w:tcPr>
          <w:p>
            <w:pPr>
              <w:spacing w:after="0"/>
              <w:rPr>
                <w:sz w:val="23"/>
                <w:szCs w:val="23"/>
                <w:color w:val="auto"/>
              </w:rPr>
            </w:pP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80" w:type="dxa"/>
            <w:vAlign w:val="bottom"/>
          </w:tcPr>
          <w:p>
            <w:pPr>
              <w:spacing w:after="0"/>
              <w:rPr>
                <w:sz w:val="18"/>
                <w:szCs w:val="18"/>
                <w:color w:val="auto"/>
              </w:rPr>
            </w:pPr>
          </w:p>
        </w:tc>
      </w:tr>
      <w:tr>
        <w:trPr>
          <w:trHeight w:val="276"/>
        </w:trPr>
        <w:tc>
          <w:tcPr>
            <w:tcW w:w="5520" w:type="dxa"/>
            <w:vAlign w:val="bottom"/>
          </w:tcPr>
          <w:p>
            <w:pPr>
              <w:jc w:val="center"/>
              <w:ind w:left="189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80" w:type="dxa"/>
            <w:vAlign w:val="bottom"/>
          </w:tcPr>
          <w:p>
            <w:pPr>
              <w:spacing w:after="0"/>
              <w:rPr>
                <w:sz w:val="23"/>
                <w:szCs w:val="23"/>
                <w:color w:val="auto"/>
              </w:rPr>
            </w:pPr>
          </w:p>
        </w:tc>
      </w:tr>
      <w:tr>
        <w:trPr>
          <w:trHeight w:val="210"/>
        </w:trPr>
        <w:tc>
          <w:tcPr>
            <w:tcW w:w="552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80" w:type="dxa"/>
            <w:vAlign w:val="bottom"/>
          </w:tcPr>
          <w:p>
            <w:pPr>
              <w:spacing w:after="0"/>
              <w:rPr>
                <w:sz w:val="18"/>
                <w:szCs w:val="18"/>
                <w:color w:val="auto"/>
              </w:rPr>
            </w:pPr>
          </w:p>
        </w:tc>
      </w:tr>
    </w:tbl>
    <w:p>
      <w:pPr>
        <w:spacing w:after="0" w:line="8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65"/>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69437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372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6943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100"/>
          </w:cols>
          <w:pgMar w:left="320" w:top="1190"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2025, National Vision Holdings, Inc. (“National Vision”) issued a press release announcing financial results for the quarter and full fiscal year ended December 28,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release is furnished herewith as Exhibit 99.1 and incorporated by reference herein.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04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480" w:type="dxa"/>
            <w:vAlign w:val="bottom"/>
          </w:tcPr>
          <w:p>
            <w:pPr>
              <w:spacing w:after="0"/>
              <w:rPr>
                <w:sz w:val="17"/>
                <w:szCs w:val="17"/>
                <w:color w:val="auto"/>
              </w:rPr>
            </w:pPr>
          </w:p>
        </w:tc>
      </w:tr>
      <w:tr>
        <w:trPr>
          <w:trHeight w:val="210"/>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February 26, 2025.</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2025</w:t>
            </w:r>
          </w:p>
        </w:tc>
        <w:tc>
          <w:tcPr>
            <w:tcW w:w="2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940" w:type="dxa"/>
            <w:vAlign w:val="bottom"/>
          </w:tcPr>
          <w:p>
            <w:pPr>
              <w:spacing w:after="0"/>
              <w:rPr>
                <w:sz w:val="18"/>
                <w:szCs w:val="18"/>
                <w:color w:val="auto"/>
              </w:rPr>
            </w:pPr>
          </w:p>
        </w:tc>
        <w:tc>
          <w:tcPr>
            <w:tcW w:w="2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940" w:type="dxa"/>
            <w:vAlign w:val="bottom"/>
          </w:tcPr>
          <w:p>
            <w:pPr>
              <w:spacing w:after="0"/>
              <w:rPr>
                <w:sz w:val="20"/>
                <w:szCs w:val="20"/>
                <w:color w:val="auto"/>
              </w:rPr>
            </w:pPr>
          </w:p>
        </w:tc>
        <w:tc>
          <w:tcPr>
            <w:tcW w:w="2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396875</wp:posOffset>
            </wp:positionV>
            <wp:extent cx="1105535" cy="857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Holdings, Inc. Reports Fourth Quarter and Fiscal 2024 Financial Results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Strong Fourth Quarter Results Reflect Successful Execution on Store-Level Transformation Initiatives</w:t>
      </w:r>
    </w:p>
    <w:p>
      <w:pPr>
        <w:ind w:left="3380" w:right="2220" w:hanging="1165"/>
        <w:spacing w:after="0" w:line="244" w:lineRule="auto"/>
        <w:rPr>
          <w:sz w:val="20"/>
          <w:szCs w:val="20"/>
          <w:color w:val="auto"/>
        </w:rPr>
      </w:pPr>
      <w:r>
        <w:rPr>
          <w:rFonts w:ascii="Times New Roman" w:cs="Times New Roman" w:eastAsia="Times New Roman" w:hAnsi="Times New Roman"/>
          <w:sz w:val="21"/>
          <w:szCs w:val="21"/>
          <w:i w:val="1"/>
          <w:iCs w:val="1"/>
          <w:color w:val="auto"/>
        </w:rPr>
        <w:t>Introduced Targeted Initiatives to Broaden Appeal and Expand Customer Base Actions Taken to Reduce Costs and Strengthen Profitability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highlights:</w:t>
      </w:r>
    </w:p>
    <w:p>
      <w:pPr>
        <w:spacing w:after="0" w:line="11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from continuing operations of $437.3 million, an increase of 3.9% as compared to Q4 2023</w:t>
      </w:r>
    </w:p>
    <w:p>
      <w:pPr>
        <w:spacing w:after="0" w:line="2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2.6% and Adjusted Comparable Store Sales Growth of 1.5% as compared to Q4 2023</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loss from continuing operations of $(29.4) million, Diluted EPS from continuing operations of $(0.37)</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from continuing operations increased to $3.2 million from $(2.7) million in Q4 2023</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Diluted EPS from continuing operations of $(0.04) compared with $(0.04) in Q4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highlights:</w:t>
      </w:r>
    </w:p>
    <w:p>
      <w:pPr>
        <w:spacing w:after="0" w:line="119"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from continuing operations of $1,823.3 million, an increase of 3.8% as compared to fiscal year 2023</w:t>
      </w:r>
    </w:p>
    <w:p>
      <w:pPr>
        <w:spacing w:after="0" w:line="2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1.9% and Adjusted Comparable Store Sales Growth of 1.3% as compared to fiscal year 2023</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loss from continuing operations of $(27.2) million and Diluted EPS from continuing operations of $(0.35)</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from continuing operations of $65.5 million compared with $53.9 million in fiscal year 2023</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Diluted EPS from continuing operations increased to $0.52 compared with $0.47 in fiscal year 2023</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 February 26, 2025 -- National Vision Holdings, Inc. (NASDAQ: EYE) (“National Vision” or the “Company”) today reported its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fourth quarter and fiscal year ended December 28, 2024, and is providing its outlook for fiscal 2025.</w:t>
      </w:r>
    </w:p>
    <w:p>
      <w:pPr>
        <w:spacing w:after="0" w:line="3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“Fiscal 2024 was an important year for National Vision as we took decisive steps to strengthen our foundation and accelerate our transformation,” said Reade Fahs, National Vision's CEO. “We began implementing meaningful change throughout the organization including optimizing our store fleet and bringing in exceptional talent across key roles who have helped to accelerate our efforts. This was evident in the fourth quarter, as we delivered our eighth consecutive quarter of positive comparable store sales growth driven by new selling methods, targeted pricing actions and continued to see acceleration in managed vision care sales. I'm particularly proud of how our teams have embraced new ideas and ways of working, which has been and will be essential to our continued progress. The strong results we delivered in the fourth quarter reflect the early benefits of these efforts and reinforce our confidence that we're on the right track to create sustained value for our shareholders."</w:t>
      </w:r>
    </w:p>
    <w:p>
      <w:pPr>
        <w:spacing w:after="0" w:line="21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Alex Wilkes, National Vision’s President added, “As we embark on this next phase of our transformation, we are taking specific actions to create an improved store experience and to build our brand around an expanded view of our customer base. The America’s Best brand has diverse appeal, lending support to our go forward strategy of targeting value-seeking consumers across income demographics. Our priorities are focused on driving comparable store sales with an intense focus on disciplined expense management as demonstrated by our decision to eliminate just over 10% of our existing corporate support positions, aligning talent with our strategic priorities, and meaningfully reducing SG&amp;A spend to set the stage to deliver improved profitability.”</w:t>
      </w:r>
    </w:p>
    <w:p>
      <w:pPr>
        <w:spacing w:after="0" w:line="2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release includes certain Non-GAAP Financial Measures that are not recognized under generally accepted accounting principles (“GAAP”). Please see “Non-GAAP Financial Measures” and “Reconciliation of Non-GAAP to GAAP Financial Measures” below for more information.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During fiscal 2024, the Company ceased its Walmart and AC Lens operations and, accordingly, the consolidated financial statements reflect the results of our former Legacy segment and the substantial majority of AC Lens operations as discontinued</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operations for all periods presented. Unless otherwise noted, amounts and disclosures below relate to the Company’s continuing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Summary compared to Fourth Quarter 2023</w:t>
      </w:r>
    </w:p>
    <w:p>
      <w:pPr>
        <w:spacing w:after="0" w:line="121" w:lineRule="exact"/>
        <w:rPr>
          <w:sz w:val="20"/>
          <w:szCs w:val="20"/>
          <w:color w:val="auto"/>
        </w:rPr>
      </w:pPr>
    </w:p>
    <w:p>
      <w:pPr>
        <w:jc w:val="both"/>
        <w:ind w:left="340" w:hanging="332"/>
        <w:spacing w:after="0" w:line="255"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3.9% to $437.3 million compared to the fourth quarter of 2023 and was primarily driven by growth from new store sales and Adjusted Comparable Store Sales Growth and the effect of unearned revenue, partially offset by the effect of converted and closed stores and lower revenue from our dedicated e-commerce consumer website, DiscountContacts.com. Net revenue includes a positive 0.8% impact from the timing of unearned revenue in the current-year period compared with the prior-year period.</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2.6% and Adjusted Comparable Store Sales Growth was 1.5%, reflecting a higher average ticket, partially offset by a decrease in customer transactions primarily attributed to the timing shift of the Christmas holiday period relative to the prior year period.</w:t>
      </w: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20 new stores, closed seven America’s Best and four Eyeglass World stores, converted four Eyeglass World stores to America's best stores, and ended the quarter with 1,240 stores. Overall, store count grew 4.4% from December 30, 2023 to December 28, 2024. Store closures and conversions during the period resulted from the completion of the Company's previously announced store fleet review.</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0.3% to $185.0 million compared to the fourth quarter of 2023. As a percentage of net revenue, costs applicable to revenue decreased 150 basis points to 42.3% compared with the fourth quarter of 2023 and were primarily driven by a decrease in optometrist-related costs, higher eyeglass margin and higher eyeglass mix, partially offset by other mix and margin effects.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Selling, general and administrative expenses (SG&amp;A) increased 3.3% to $233.1 million compared with the fourth quarter of 2023. Adjusted SG&amp;A increased 4.8% to $226.6 million compared with the fourth quarter of 2023. As a percentage of net revenue, SG&amp;A decreased 30 basis points to 53.3%, compared to the fourth quarter of 2023, primarily driven by year-over-year reductions in employee compensation benefits associated with the corporate cost savings initiative that occurred in 2023, and lower advertising expense. These lower costs were partially offset by higher occupancy and payroll expenses and higher amortization of cloud-based software investments. As a percentage of net revenue, Adjusted SG&amp;A increased 40 basis points to 51.8% compared with the fourth quarter of 2023, driven by higher legal and professional fees related to the Company's investment in its transformation initiatives and cost saving opportunities, higher payroll, and higher amortization of cloud-based software investments, partially offset by lower advertising expense and other operating expenses.</w:t>
      </w:r>
    </w:p>
    <w:p>
      <w:pPr>
        <w:spacing w:after="0" w:line="3" w:lineRule="exact"/>
        <w:rPr>
          <w:rFonts w:ascii="Times New Roman" w:cs="Times New Roman" w:eastAsia="Times New Roman" w:hAnsi="Times New Roman"/>
          <w:sz w:val="18"/>
          <w:szCs w:val="18"/>
          <w:i w:val="1"/>
          <w:iCs w:val="1"/>
          <w:color w:val="auto"/>
        </w:rPr>
      </w:pPr>
    </w:p>
    <w:p>
      <w:pPr>
        <w:ind w:left="340" w:right="2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of $22.7 million decreased 2.6% from the prior-year period, primarily driven by lower investments in labs and distribution center, partially offset by investments in new store openings and remote medicine technology.</w:t>
      </w: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Loss from continuing operations, net of tax, increased to $(29.4) million from $(14.7) million in the fourth quarter of 2023. Income (loss) from continuing operations, net of tax, margin was (6.7)% compared to (3.5)% in the fourth quarter of 2023.</w:t>
      </w: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loss per share (EPS) from continuing operations increased to $(0.37), compared to $(0.19) in the fourth quarter of 2023, primarily related to a non-cash goodwill impairment charge. Adjusted Diluted EPS was $(0.04) compared with $(0.04) in the fourth quarter of 2023. The net change in margin on unearned revenue benefited both Diluted EPS and Adjusted Diluted EPS by $0.02.</w:t>
      </w:r>
    </w:p>
    <w:p>
      <w:pPr>
        <w:spacing w:after="0" w:line="1" w:lineRule="exact"/>
        <w:rPr>
          <w:rFonts w:ascii="Times New Roman" w:cs="Times New Roman" w:eastAsia="Times New Roman" w:hAnsi="Times New Roman"/>
          <w:sz w:val="18"/>
          <w:szCs w:val="18"/>
          <w:i w:val="1"/>
          <w:iCs w:val="1"/>
          <w:color w:val="auto"/>
        </w:rPr>
      </w:pPr>
    </w:p>
    <w:p>
      <w:pPr>
        <w:jc w:val="both"/>
        <w:ind w:left="340" w:hanging="332"/>
        <w:spacing w:after="0" w:line="255"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(loss) increased 217.8% to $3.2 million compared with the fourth quarter of 2023. Adjusted Operating Margin was 0.7% for the fourth quarter of 2024 compared to (0.7)% for the fourth quarter of 2023. The net change in margin on unearned revenue benefited income (loss) from continuing operations, net of tax, by $1.9 million and Adjusted Operating Income by $2.5 million.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Summary compared to Fiscal 2023</w:t>
      </w:r>
    </w:p>
    <w:p>
      <w:pPr>
        <w:spacing w:after="0" w:line="121" w:lineRule="exact"/>
        <w:rPr>
          <w:sz w:val="20"/>
          <w:szCs w:val="20"/>
          <w:color w:val="auto"/>
        </w:rPr>
      </w:pPr>
    </w:p>
    <w:p>
      <w:pPr>
        <w:jc w:val="both"/>
        <w:ind w:left="340" w:hanging="332"/>
        <w:spacing w:after="0" w:line="255"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3.8% to $1,823.3 million compared to the prior-year period and was primarily driven by growth from new store sales, Adjusted Comparable Store Sales Growth and the effect of unearned revenue, partially offset by the effect of converted and closed stores and lower revenue from our dedicated e-commerce consumer website, DiscountContacts.com. Net revenue includes a positive 0.5% impact from the timing of unearned revenue in the current-year period compared with the prior-year period.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1.9% and Adjusted Comparable Store Sales Growth was 1.3%, primarily due to higher average ticket.</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69 new stores, converted 24 Eyeglass World stores to America’s Best stores, closed 11 America’s Best stores, five Eyeglass World stores, and one Military store as a result of the host partner’s decision to cease its overall operations , ending the period with 1,240 stores. Overall, store count grew 4.4% from December 30, 2023 to December 28, 2024. Store closures and conversions during the period primarily resulted from the completion of the Company's previously announced store fleet review.</w:t>
      </w:r>
    </w:p>
    <w:p>
      <w:pPr>
        <w:sectPr>
          <w:pgSz w:w="11900" w:h="16838" w:orient="portrait"/>
          <w:cols w:equalWidth="0" w:num="1">
            <w:col w:w="11240"/>
          </w:cols>
          <w:pgMar w:left="320" w:top="929" w:right="339" w:bottom="1440" w:gutter="0" w:footer="0" w:header="0"/>
        </w:sectPr>
      </w:pPr>
    </w:p>
    <w:bookmarkStart w:id="5" w:name="page6"/>
    <w:bookmarkEnd w:id="5"/>
    <w:p>
      <w:pPr>
        <w:jc w:val="both"/>
        <w:ind w:left="340" w:hanging="332"/>
        <w:spacing w:after="0" w:line="257"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4.0% to $764.1 million compared to the prior-year period. As a percentage of net revenue, compared with the prior-year period, costs applicable to revenue increased 10 basis points to 41.9%, mainly due to lower eyeglass mix, higher optometrist-related costs, and other mix and margin effects. As a percentage of revenue, these increased costs were partially offset by higher exam revenue.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3.7% to $938.5 million compared with the same period in 2023. Adjusted SG&amp;A increased 2.8% to $903.9 million compared with the same period in 2023. As a percentage of net revenue, SG&amp;A remained at 51.5%, compared to the same period of 2023, and was impacted by a decrease in performance-based incentive compensation, offset by increases in occupancy, legal and professional related to the Company's investment in process and technology enhancement initiatives, and litigation settlement expenses. As a percentage of net revenue, Adjusted SG&amp;A decreased 50 basis points to 49.6% driven by a decrease in performance-based incentive compensation expenses, partially offset by higher occupancy expense.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of $91.3 million increased 1.6% from the prior-year period, primarily driven by new store openings and investments in remote medicine technology, partially offset by lower depreciation of labs and distribution center.</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Income (loss) from continuing operations, net of tax, decreased to $(27.2) million compared to $3.5 million in the same period in 2023. Income (loss) from continuing operations, net of tax, margin decreased to (1.5)% compared to 0.2% in the same period in 2023.</w:t>
      </w: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EPS from continuing operations was $(0.35) compared to $0.05 in the same period in 2023, primarily related to a non-cash goodwill impairment charge. Adjusted Diluted EPS increased to $0.52 from $0.47 in the same period in 2023. The net change in margin on unearned revenue benefited both Diluted EPS and Adjusted Diluted EPS by $0.06.</w:t>
      </w:r>
    </w:p>
    <w:p>
      <w:pPr>
        <w:spacing w:after="0" w:line="1" w:lineRule="exact"/>
        <w:rPr>
          <w:rFonts w:ascii="Times New Roman" w:cs="Times New Roman" w:eastAsia="Times New Roman" w:hAnsi="Times New Roman"/>
          <w:sz w:val="18"/>
          <w:szCs w:val="18"/>
          <w:i w:val="1"/>
          <w:iCs w:val="1"/>
          <w:color w:val="auto"/>
        </w:rPr>
      </w:pPr>
    </w:p>
    <w:p>
      <w:pPr>
        <w:jc w:val="both"/>
        <w:ind w:left="340" w:hanging="332"/>
        <w:spacing w:after="0" w:line="255"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increased 21.5% to $65.5 million compared with the same period of 2023. Adjusted Operating Margin was 3.6% compared with 3.1% for the same period in 2023. The net change in margin on unearned revenue benefited income (loss) from continuing operations, net of tax, by $4.4 million and Adjusted Operating Income by $6.0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w:t>
      </w:r>
    </w:p>
    <w:p>
      <w:pPr>
        <w:spacing w:after="0" w:line="121" w:lineRule="exact"/>
        <w:rPr>
          <w:sz w:val="20"/>
          <w:szCs w:val="20"/>
          <w:color w:val="auto"/>
        </w:rPr>
      </w:pPr>
    </w:p>
    <w:p>
      <w:pPr>
        <w:ind w:left="340" w:right="20" w:hanging="332"/>
        <w:spacing w:after="0" w:line="261"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Vision’s cash balance was $73.9 million as of December 28, 2024. The Company had no borrowings under its $300.0 million first lien revolving credit facility (“Revolving Loans”), exclusive of letters of credit of $6.4 million.</w:t>
      </w:r>
    </w:p>
    <w:p>
      <w:pPr>
        <w:ind w:left="340" w:hanging="332"/>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$350.0 million as of December 28, 2024, consisting of outstanding first lien term loans, the 2.50% convertible senior notes due on May 15, (the “2025 Notes”) and finance lease obligations, net of unamortized discounts.</w:t>
      </w: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for fiscal year 2024 were $133.6 million compared to $173.0 million for fiscal year 2023.</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fiscal year 2024 totaled $95.5 million compared to $114.8 million for fiscal year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Outlook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operating in a macro-economic environment that may impact consumer demand. The Company’s fiscal 2025 outlook reflects what the company is aware of today with respect to current expected or estimated impacts related to macro-economic factors, including inflation, geopolitical instability and risks of recession, as well as constraints on exam capacity; however, the ultimate impact of these factors on the Company’s financial outlook remains uncertain and is subject to dynamic market conditions, unexpected disruptions including additional regulatory actions impacting international trade such as tariffs, and other macroeconomic risks and uncertainties. The outlook shown below assumes no material deterioration to the Company’s current business operations as a result of such factors.</w:t>
      </w:r>
    </w:p>
    <w:p>
      <w:pPr>
        <w:sectPr>
          <w:pgSz w:w="11900" w:h="16838" w:orient="portrait"/>
          <w:cols w:equalWidth="0" w:num="1">
            <w:col w:w="11240"/>
          </w:cols>
          <w:pgMar w:left="320" w:top="931" w:right="339" w:bottom="1440" w:gutter="0" w:footer="0" w:header="0"/>
        </w:sectPr>
      </w:pPr>
    </w:p>
    <w:bookmarkStart w:id="6" w:name="page7"/>
    <w:bookmarkEnd w:id="6"/>
    <w:p>
      <w:pPr>
        <w:spacing w:after="0" w:line="271" w:lineRule="auto"/>
        <w:rPr>
          <w:sz w:val="20"/>
          <w:szCs w:val="20"/>
          <w:color w:val="auto"/>
        </w:rPr>
      </w:pPr>
      <w:r>
        <w:rPr>
          <w:rFonts w:ascii="Times New Roman" w:cs="Times New Roman" w:eastAsia="Times New Roman" w:hAnsi="Times New Roman"/>
          <w:sz w:val="18"/>
          <w:szCs w:val="18"/>
          <w:color w:val="auto"/>
        </w:rPr>
        <w:t>The Company is providing the following outlook for the 53 weeks ending January 3, 2026. The Company estimates the 53rd week of fiscal 2025 will contribute approximately $35 million to net revenue, and approximately $3 million to adjusted operating income.</w:t>
      </w:r>
    </w:p>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544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Fiscal 2025 Outlook</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5440" w:type="dxa"/>
            <w:vAlign w:val="bottom"/>
            <w:gridSpan w:val="2"/>
            <w:shd w:val="clear" w:color="auto" w:fill="CCEEFF"/>
          </w:tcPr>
          <w:p>
            <w:pPr>
              <w:jc w:val="right"/>
              <w:ind w:right="2310"/>
              <w:spacing w:after="0"/>
              <w:rPr>
                <w:sz w:val="20"/>
                <w:szCs w:val="20"/>
                <w:color w:val="auto"/>
              </w:rPr>
            </w:pPr>
            <w:r>
              <w:rPr>
                <w:rFonts w:ascii="Times New Roman" w:cs="Times New Roman" w:eastAsia="Times New Roman" w:hAnsi="Times New Roman"/>
                <w:sz w:val="18"/>
                <w:szCs w:val="18"/>
                <w:color w:val="auto"/>
              </w:rPr>
              <w:t>30-35</w:t>
            </w:r>
          </w:p>
        </w:tc>
      </w:tr>
      <w:tr>
        <w:trPr>
          <w:trHeight w:val="229"/>
        </w:trPr>
        <w:tc>
          <w:tcPr>
            <w:tcW w:w="5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Comparable Store Sales Growth</w:t>
            </w:r>
            <w:r>
              <w:rPr>
                <w:rFonts w:ascii="Times New Roman" w:cs="Times New Roman" w:eastAsia="Times New Roman" w:hAnsi="Times New Roman"/>
                <w:sz w:val="23"/>
                <w:szCs w:val="23"/>
                <w:color w:val="auto"/>
                <w:vertAlign w:val="superscript"/>
              </w:rPr>
              <w:t>(1)(2)</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- 3.5%</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 billion</w:t>
            </w:r>
          </w:p>
        </w:tc>
        <w:tc>
          <w:tcPr>
            <w:tcW w:w="2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98"/>
              </w:rPr>
              <w:t>- $1.955 billion</w:t>
            </w:r>
          </w:p>
        </w:tc>
      </w:tr>
      <w:tr>
        <w:trPr>
          <w:trHeight w:val="229"/>
        </w:trPr>
        <w:tc>
          <w:tcPr>
            <w:tcW w:w="5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(2)</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million</w:t>
            </w:r>
          </w:p>
        </w:tc>
        <w:tc>
          <w:tcPr>
            <w:tcW w:w="266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w w:val="99"/>
              </w:rPr>
              <w:t>- $88 million</w:t>
            </w:r>
          </w:p>
        </w:tc>
      </w:tr>
      <w:tr>
        <w:trPr>
          <w:trHeight w:val="229"/>
        </w:trPr>
        <w:tc>
          <w:tcPr>
            <w:tcW w:w="5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(2)(3)</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$0.64</w:t>
            </w:r>
          </w:p>
        </w:tc>
      </w:tr>
      <w:tr>
        <w:trPr>
          <w:trHeight w:val="230"/>
        </w:trPr>
        <w:tc>
          <w:tcPr>
            <w:tcW w:w="5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million</w:t>
            </w:r>
          </w:p>
        </w:tc>
        <w:tc>
          <w:tcPr>
            <w:tcW w:w="266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w w:val="99"/>
              </w:rPr>
              <w:t>- $96 million</w:t>
            </w:r>
          </w:p>
        </w:tc>
      </w:tr>
      <w:tr>
        <w:trPr>
          <w:trHeight w:val="229"/>
        </w:trPr>
        <w:tc>
          <w:tcPr>
            <w:tcW w:w="5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w:t>
            </w:r>
            <w:r>
              <w:rPr>
                <w:rFonts w:ascii="Times New Roman" w:cs="Times New Roman" w:eastAsia="Times New Roman" w:hAnsi="Times New Roman"/>
                <w:sz w:val="23"/>
                <w:szCs w:val="23"/>
                <w:color w:val="auto"/>
                <w:vertAlign w:val="superscript"/>
              </w:rPr>
              <w:t>(5)</w:t>
            </w:r>
          </w:p>
        </w:tc>
        <w:tc>
          <w:tcPr>
            <w:tcW w:w="5440" w:type="dxa"/>
            <w:vAlign w:val="bottom"/>
            <w:gridSpan w:val="2"/>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$17 million - $19 million</w:t>
            </w:r>
          </w:p>
        </w:tc>
      </w:tr>
      <w:tr>
        <w:trPr>
          <w:trHeight w:val="230"/>
        </w:trPr>
        <w:tc>
          <w:tcPr>
            <w:tcW w:w="5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(6)</w:t>
            </w:r>
          </w:p>
        </w:tc>
        <w:tc>
          <w:tcPr>
            <w:tcW w:w="5440" w:type="dxa"/>
            <w:vAlign w:val="bottom"/>
            <w:gridSpan w:val="2"/>
          </w:tcPr>
          <w:p>
            <w:pPr>
              <w:jc w:val="right"/>
              <w:ind w:right="237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5440" w:type="dxa"/>
            <w:vAlign w:val="bottom"/>
            <w:gridSpan w:val="2"/>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$90 million - $95 million</w:t>
            </w:r>
          </w:p>
        </w:tc>
      </w:tr>
    </w:tbl>
    <w:p>
      <w:pPr>
        <w:spacing w:after="0" w:line="131" w:lineRule="exact"/>
        <w:rPr>
          <w:sz w:val="20"/>
          <w:szCs w:val="20"/>
          <w:color w:val="auto"/>
        </w:rPr>
      </w:pPr>
    </w:p>
    <w:p>
      <w:pPr>
        <w:ind w:left="440" w:hanging="108"/>
        <w:spacing w:after="0"/>
        <w:tabs>
          <w:tab w:leader="none" w:pos="440" w:val="left"/>
        </w:tabs>
        <w:numPr>
          <w:ilvl w:val="0"/>
          <w:numId w:val="9"/>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For the 52 weeks ending December 27, 2025.</w:t>
      </w:r>
    </w:p>
    <w:p>
      <w:pPr>
        <w:ind w:left="440" w:hanging="108"/>
        <w:spacing w:after="0" w:line="204" w:lineRule="auto"/>
        <w:tabs>
          <w:tab w:leader="none" w:pos="440" w:val="left"/>
        </w:tabs>
        <w:numPr>
          <w:ilvl w:val="0"/>
          <w:numId w:val="10"/>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 xml:space="preserve">Refer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for more information.</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spacing w:after="0" w:line="196" w:lineRule="auto"/>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23"/>
          <w:szCs w:val="23"/>
          <w:i w:val="1"/>
          <w:iCs w:val="1"/>
          <w:color w:val="auto"/>
          <w:vertAlign w:val="superscript"/>
        </w:rPr>
        <w:t>3</w:t>
      </w:r>
      <w:r>
        <w:rPr>
          <w:rFonts w:ascii="Times New Roman" w:cs="Times New Roman" w:eastAsia="Times New Roman" w:hAnsi="Times New Roman"/>
          <w:sz w:val="18"/>
          <w:szCs w:val="18"/>
          <w:i w:val="1"/>
          <w:iCs w:val="1"/>
          <w:color w:val="auto"/>
        </w:rPr>
        <w:t xml:space="preserve"> Assumes approximately 79 million shares.</w:t>
      </w:r>
    </w:p>
    <w:p>
      <w:pPr>
        <w:ind w:left="340" w:right="360"/>
        <w:spacing w:after="0" w:line="231" w:lineRule="auto"/>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22"/>
          <w:szCs w:val="22"/>
          <w:i w:val="1"/>
          <w:iCs w:val="1"/>
          <w:color w:val="auto"/>
          <w:vertAlign w:val="superscript"/>
        </w:rPr>
        <w:t>4</w:t>
      </w:r>
      <w:r>
        <w:rPr>
          <w:rFonts w:ascii="Times New Roman" w:cs="Times New Roman" w:eastAsia="Times New Roman" w:hAnsi="Times New Roman"/>
          <w:sz w:val="17"/>
          <w:szCs w:val="17"/>
          <w:i w:val="1"/>
          <w:iCs w:val="1"/>
          <w:color w:val="auto"/>
        </w:rPr>
        <w:t xml:space="preserve"> Includes amortization of acquisition intangibles of approximately $0.7 million, which is excluded in the definition of Adjusted Operating Income. </w:t>
      </w:r>
      <w:r>
        <w:rPr>
          <w:rFonts w:ascii="Times New Roman" w:cs="Times New Roman" w:eastAsia="Times New Roman" w:hAnsi="Times New Roman"/>
          <w:sz w:val="22"/>
          <w:szCs w:val="22"/>
          <w:i w:val="1"/>
          <w:iCs w:val="1"/>
          <w:color w:val="auto"/>
          <w:vertAlign w:val="superscript"/>
        </w:rPr>
        <w:t>5</w:t>
      </w:r>
      <w:r>
        <w:rPr>
          <w:rFonts w:ascii="Times New Roman" w:cs="Times New Roman" w:eastAsia="Times New Roman" w:hAnsi="Times New Roman"/>
          <w:sz w:val="17"/>
          <w:szCs w:val="17"/>
          <w:i w:val="1"/>
          <w:iCs w:val="1"/>
          <w:color w:val="auto"/>
        </w:rPr>
        <w:t xml:space="preserve"> Before the impact of gains or losses on change in fair value of derivatives and charges related to debt discounts and deferred financing costs.</w:t>
      </w:r>
    </w:p>
    <w:p>
      <w:pPr>
        <w:ind w:left="340"/>
        <w:spacing w:after="0"/>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23"/>
          <w:szCs w:val="23"/>
          <w:i w:val="1"/>
          <w:iCs w:val="1"/>
          <w:color w:val="auto"/>
          <w:vertAlign w:val="superscript"/>
        </w:rPr>
        <w:t>6</w:t>
      </w:r>
      <w:r>
        <w:rPr>
          <w:rFonts w:ascii="Times New Roman" w:cs="Times New Roman" w:eastAsia="Times New Roman" w:hAnsi="Times New Roman"/>
          <w:sz w:val="18"/>
          <w:szCs w:val="18"/>
          <w:i w:val="1"/>
          <w:iCs w:val="1"/>
          <w:color w:val="auto"/>
        </w:rPr>
        <w:t xml:space="preserve"> Excluding the impact of vesting of restricted stock units and stock option exercises.</w:t>
      </w:r>
    </w:p>
    <w:p>
      <w:pPr>
        <w:spacing w:after="0" w:line="3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The fiscal 2025 outlook information provided in this release includes Adjusted Operating Income and Adjusted Diluted EPS guidance.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 discuss the fourth quarter 2024 financial results and fiscal-year 2025 guidance today, February 26, 2025, at 8:00 a.m. Eastern Time. To pre-register for the conference call and obtain a dial-in number and passcode please refer to the “Investors” section of the Company's website at </w:t>
      </w:r>
      <w:r>
        <w:rPr>
          <w:rFonts w:ascii="Times New Roman" w:cs="Times New Roman" w:eastAsia="Times New Roman" w:hAnsi="Times New Roman"/>
          <w:sz w:val="18"/>
          <w:szCs w:val="18"/>
          <w:u w:val="single" w:color="auto"/>
          <w:color w:val="006EBF"/>
        </w:rPr>
        <w:t>www.nationalvision.com/investors</w:t>
      </w:r>
      <w:r>
        <w:rPr>
          <w:rFonts w:ascii="Times New Roman" w:cs="Times New Roman" w:eastAsia="Times New Roman" w:hAnsi="Times New Roman"/>
          <w:sz w:val="18"/>
          <w:szCs w:val="18"/>
          <w:color w:val="auto"/>
        </w:rPr>
        <w:t xml:space="preserve">. A live audio webcast of the conference call will be available on the “Investors” section of the Company’s website </w:t>
      </w:r>
      <w:r>
        <w:rPr>
          <w:rFonts w:ascii="Times New Roman" w:cs="Times New Roman" w:eastAsia="Times New Roman" w:hAnsi="Times New Roman"/>
          <w:sz w:val="18"/>
          <w:szCs w:val="18"/>
          <w:u w:val="single" w:color="auto"/>
          <w:color w:val="006EBF"/>
        </w:rPr>
        <w:t>www.nationalvision.com/investors</w:t>
      </w:r>
      <w:r>
        <w:rPr>
          <w:rFonts w:ascii="Times New Roman" w:cs="Times New Roman" w:eastAsia="Times New Roman" w:hAnsi="Times New Roman"/>
          <w:sz w:val="18"/>
          <w:szCs w:val="18"/>
          <w:color w:val="auto"/>
        </w:rPr>
        <w:t>, where presentation materials will be posted prior to the conference call. A replay of the audio webcast will also be archived on the “Investors” section of the Company’s website.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National Vision Holdings, Inc. (NASDAQ: EYE) is one of the largest optical retail companies in the United States with over 1,200 stores in 38 states and Puerto Rico. With a mission of helping people by making quality eye care and eyewear more affordable and accessible, the company operates four retail brands: America’s Best, Eyeglass World, and Vista Opticals inside select Fred Meyer stores and on select military bases, and an e-commerce website DiscountContacts.com, offering a variety of products and services for customers’ eye care needs. For more information, please visit www.nationalvision.com.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2025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market</w:t>
      </w:r>
    </w:p>
    <w:p>
      <w:pPr>
        <w:sectPr>
          <w:pgSz w:w="11900" w:h="16838" w:orient="portrait"/>
          <w:cols w:equalWidth="0" w:num="1">
            <w:col w:w="11240"/>
          </w:cols>
          <w:pgMar w:left="320" w:top="931" w:right="339" w:bottom="1440" w:gutter="0" w:footer="0" w:header="0"/>
        </w:sectPr>
      </w:pPr>
    </w:p>
    <w:bookmarkStart w:id="7" w:name="page8"/>
    <w:bookmarkEnd w:id="7"/>
    <w:p>
      <w:pPr>
        <w:jc w:val="both"/>
        <w:spacing w:after="0" w:line="234" w:lineRule="auto"/>
        <w:rPr>
          <w:sz w:val="20"/>
          <w:szCs w:val="20"/>
          <w:color w:val="auto"/>
        </w:rPr>
      </w:pPr>
      <w:r>
        <w:rPr>
          <w:rFonts w:ascii="Times New Roman" w:cs="Times New Roman" w:eastAsia="Times New Roman" w:hAnsi="Times New Roman"/>
          <w:sz w:val="18"/>
          <w:szCs w:val="18"/>
          <w:color w:val="auto"/>
        </w:rPr>
        <w:t>volatility, an overall decline in the health of the economy, global macroeconomic conditions and other factors may affect consumer spending or behavior, which could materially harm our sales, profitability and financial condition; we may not be successful in implementing our transformation initiatives, or in anticipating the impact of important strategic initiatives, and our plans for implementing such initiatives may be altered or delayed due to various factors, which may have an adverse impact on our business and financial results;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our success depends substantially on the value of our owned brands, and failure to maintain, protect, and enhance their value could have a negative impact on our business, financial condition, and results of operations; if we fail to open and operate new stores (including as a result of store conversions) in a timely and cost-effective manner or fail to successfully enter new markets, our financial performance could be materially and adversely affected; our growth is dependent on our ability to increase sales in existing stores and to successfully reinvest in existing stores; if we are unable to successfully implement our pricing strategies, it could have an adverse impact on our business; we are a low-cost provider and our business model relies on the low 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Customer Relationship Management (“CRM”), and other technological, systems and capabilities; our growth strategy could strain our existing resources and cause the performance of our existing stores to suffer; we are subject to risks associated with leasing substantial amounts of space, including future increases in occupancy costs; our e-commerce and omni-channel business faces distinct risks, and our failure to successfully manage those risks could have a negative impact on our profitability; if we fail to retain our existing senior management team or attract qualified new personnel such failure could have a material adverse effect on our business, financial condition and results of operations; our operating results and inventory levels fluctuate on a seasonal basis; catastrophic events, including changing climate and weather patterns leading to severe weather and natural disasters may cause significant business interruptions and expenditures;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our profitability and cash flows may be negatively affected if we are not successful in managing our inventory balances and inventory shrinkage; we depend on our distribution centers and optical laboratories and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 if the performance of our Host brands declines or we are unable to maintain or extend our operating relationships with our Host partners, our business, profitability and cash flows may be adversely affected and we may be required to incur impairment charges; the termination of our partnership with Walmart has had, and may continue to have, an impact on our business, revenues, profitability and cash flows, which impact could be material; we may incur losses arising from our investments in technological innovators in the optical retail industry, including artificial intelligence, which would negatively affect our financial results; sustainability issues, including those related to climate change, could have a material adverse effect on our business, financial condition and results of operations; our future operational success depends on our 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and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and failure to adhere to such laws and regulations would adversely affect our business;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 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by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 Additional information about these and other factors that could cause National Vision’s results to differ</w:t>
      </w:r>
    </w:p>
    <w:p>
      <w:pPr>
        <w:sectPr>
          <w:pgSz w:w="11900" w:h="16838" w:orient="portrait"/>
          <w:cols w:equalWidth="0" w:num="1">
            <w:col w:w="11240"/>
          </w:cols>
          <w:pgMar w:left="320" w:top="918" w:right="339" w:bottom="1440" w:gutter="0" w:footer="0" w:header="0"/>
        </w:sectPr>
      </w:pPr>
    </w:p>
    <w:bookmarkStart w:id="8" w:name="page9"/>
    <w:bookmarkEnd w:id="8"/>
    <w:p>
      <w:pPr>
        <w:jc w:val="both"/>
        <w:spacing w:after="0" w:line="245" w:lineRule="auto"/>
        <w:rPr>
          <w:sz w:val="20"/>
          <w:szCs w:val="20"/>
          <w:color w:val="auto"/>
        </w:rPr>
      </w:pPr>
      <w:r>
        <w:rPr>
          <w:rFonts w:ascii="Times New Roman" w:cs="Times New Roman" w:eastAsia="Times New Roman" w:hAnsi="Times New Roman"/>
          <w:sz w:val="18"/>
          <w:szCs w:val="18"/>
          <w:color w:val="auto"/>
        </w:rPr>
        <w:t>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EBITDA: </w:t>
      </w:r>
      <w:r>
        <w:rPr>
          <w:rFonts w:ascii="Times New Roman" w:cs="Times New Roman" w:eastAsia="Times New Roman" w:hAnsi="Times New Roman"/>
          <w:sz w:val="18"/>
          <w:szCs w:val="18"/>
          <w:color w:val="auto"/>
        </w:rPr>
        <w:t>We define EBITDA from continuing operations as net income (loss), minus income (loss) from discontinued operations, net of tax, plus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(income), net, income tax provision (benefit), and depreciation and amortization.</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w:t>
      </w:r>
      <w:r>
        <w:rPr>
          <w:rFonts w:ascii="Times New Roman" w:cs="Times New Roman" w:eastAsia="Times New Roman" w:hAnsi="Times New Roman"/>
          <w:sz w:val="18"/>
          <w:szCs w:val="18"/>
          <w:color w:val="auto"/>
        </w:rPr>
        <w:t>We define Adjusted Operating Income from continuing operations as net income (loss), minus income (loss)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discontinued operations, net of tax,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Enterprise Resource Planning (“ERP”) and Customer Relationship Management ("CRM") implementation expenses and certain other expenses.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Margin: </w:t>
      </w:r>
      <w:r>
        <w:rPr>
          <w:rFonts w:ascii="Times New Roman" w:cs="Times New Roman" w:eastAsia="Times New Roman" w:hAnsi="Times New Roman"/>
          <w:sz w:val="18"/>
          <w:szCs w:val="18"/>
          <w:color w:val="auto"/>
        </w:rPr>
        <w:t>We define Adjusted Operating Margin from continuing operations as Adjusted Operating Income from continuing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percentage of total net revenue.</w:t>
      </w:r>
    </w:p>
    <w:p>
      <w:pPr>
        <w:spacing w:after="0" w:line="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from continuing operations as net income (loss), minus income (loss) from discontinued operations,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tax,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and certain other expenses.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color w:val="auto"/>
        </w:rPr>
        <w:t>We define Adjusted EBITDA Margin from continuing operations as Adjusted EBITDA from continuing operations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total net revenue.</w:t>
      </w:r>
    </w:p>
    <w:p>
      <w:pPr>
        <w:spacing w:after="0" w:line="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Diluted EPS: </w:t>
      </w:r>
      <w:r>
        <w:rPr>
          <w:rFonts w:ascii="Times New Roman" w:cs="Times New Roman" w:eastAsia="Times New Roman" w:hAnsi="Times New Roman"/>
          <w:sz w:val="18"/>
          <w:szCs w:val="18"/>
          <w:color w:val="auto"/>
        </w:rPr>
        <w:t>We define Adjusted Diluted EPS from continuing operations as diluted earnings (loss) per share, minus diluted earnings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discontinued operations,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2025 Notes when not required under U.S. GAAP to be added back for diluted earnings (loss) per share, derivative fair value adjustments, ERP and CRM implementation expenses, certain other expenses, and related tax effects.</w:t>
      </w:r>
    </w:p>
    <w:p>
      <w:pPr>
        <w:sectPr>
          <w:pgSz w:w="11900" w:h="16838" w:orient="portrait"/>
          <w:cols w:equalWidth="0" w:num="1">
            <w:col w:w="11240"/>
          </w:cols>
          <w:pgMar w:left="320" w:top="918" w:right="339" w:bottom="1440" w:gutter="0" w:footer="0" w:header="0"/>
        </w:sectPr>
      </w:pPr>
    </w:p>
    <w:bookmarkStart w:id="9" w:name="page10"/>
    <w:bookmarkEnd w:id="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w:t>
      </w:r>
      <w:r>
        <w:rPr>
          <w:rFonts w:ascii="Times New Roman" w:cs="Times New Roman" w:eastAsia="Times New Roman" w:hAnsi="Times New Roman"/>
          <w:sz w:val="18"/>
          <w:szCs w:val="18"/>
          <w:color w:val="auto"/>
        </w:rPr>
        <w:t>We define Adjusted SG&amp;A from continuing operations as SG&amp;A from continuing operations adjusted to exclude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expense, litigation settlement, secondary offering expenses, management realignment expenses, long-term incentive plan expenses, ERP and CRM implementation expenses, and certain other expenses.</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Percent of Net Revenue: </w:t>
      </w:r>
      <w:r>
        <w:rPr>
          <w:rFonts w:ascii="Times New Roman" w:cs="Times New Roman" w:eastAsia="Times New Roman" w:hAnsi="Times New Roman"/>
          <w:sz w:val="18"/>
          <w:szCs w:val="18"/>
          <w:color w:val="auto"/>
        </w:rPr>
        <w:t>We define Adjusted SG&amp;A Percent of Net Revenue from continuing operations as Adjusted SG&amp;A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continuing operations as a percentage of total net revenue.</w:t>
      </w:r>
    </w:p>
    <w:p>
      <w:pPr>
        <w:spacing w:after="0" w:line="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Comparable Store Sales Growth: </w:t>
      </w:r>
      <w:r>
        <w:rPr>
          <w:rFonts w:ascii="Times New Roman" w:cs="Times New Roman" w:eastAsia="Times New Roman" w:hAnsi="Times New Roman"/>
          <w:sz w:val="18"/>
          <w:szCs w:val="18"/>
          <w:color w:val="auto"/>
        </w:rPr>
        <w:t>We measure Adjusted Comparable Store Sales Growth as the increase or decrease in sales recorded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92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As of</w:t>
            </w:r>
          </w:p>
        </w:tc>
        <w:tc>
          <w:tcPr>
            <w:tcW w:w="200" w:type="dxa"/>
            <w:vAlign w:val="bottom"/>
          </w:tcPr>
          <w:p>
            <w:pPr>
              <w:spacing w:after="0"/>
              <w:rPr>
                <w:sz w:val="17"/>
                <w:szCs w:val="17"/>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As of</w:t>
            </w:r>
          </w:p>
        </w:tc>
      </w:tr>
      <w:tr>
        <w:trPr>
          <w:trHeight w:val="239"/>
        </w:trPr>
        <w:tc>
          <w:tcPr>
            <w:tcW w:w="7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28, 2024</w:t>
            </w:r>
          </w:p>
        </w:tc>
        <w:tc>
          <w:tcPr>
            <w:tcW w:w="20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30, 2023</w:t>
            </w:r>
          </w:p>
        </w:tc>
      </w:tr>
      <w:tr>
        <w:trPr>
          <w:trHeight w:val="214"/>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119,908</w:t>
            </w:r>
          </w:p>
        </w:tc>
      </w:tr>
      <w:tr>
        <w:trPr>
          <w:trHeight w:val="229"/>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40,012</w:t>
            </w: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396,670</w:t>
            </w:r>
          </w:p>
        </w:tc>
      </w:tr>
      <w:tr>
        <w:trPr>
          <w:trHeight w:val="216"/>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360,187</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w:t>
            </w: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406,275</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23"/>
        </w:trPr>
        <w:tc>
          <w:tcPr>
            <w:tcW w:w="7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1,775,841</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2,007,771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67,556</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123,288</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48,117</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62,867</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85,090</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71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397,700</w:t>
            </w:r>
          </w:p>
        </w:tc>
      </w:tr>
      <w:tr>
        <w:trPr>
          <w:trHeight w:val="216"/>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450,771</w:t>
            </w: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376,814</w:t>
            </w: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3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87,884</w:t>
            </w: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945,393</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6"/>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85,444 and 84,831 shares issued as of</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December 28, 2024 and December 30, 2023, respectively; 78,775 and 78,311 shares outstanding as</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December 28, 2024 and December 30, 2023, respectively</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r>
      <w:tr>
        <w:trPr>
          <w:trHeight w:val="176"/>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Treasury stock, at cost; 6,669 and 6,520 shares as of December 28, 2024 and December 30,</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2023, respectively</w:t>
            </w: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(217,686)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2,007,771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46" w:right="3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National Vision Holdings, Inc. and Subsidiaries Consolidated Statements of Operations and Comprehensive (Loss) Income </w:t>
      </w:r>
      <w:r>
        <w:rPr>
          <w:rFonts w:ascii="Times New Roman" w:cs="Times New Roman" w:eastAsia="Times New Roman" w:hAnsi="Times New Roman"/>
          <w:sz w:val="18"/>
          <w:szCs w:val="18"/>
          <w:i w:val="1"/>
          <w:iCs w:val="1"/>
          <w:color w:val="auto"/>
        </w:rPr>
        <w:t>In Thousands, Except Earnings Per Share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ind w:left="42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Fiscal Year</w:t>
            </w:r>
          </w:p>
        </w:tc>
        <w:tc>
          <w:tcPr>
            <w:tcW w:w="820" w:type="dxa"/>
            <w:vAlign w:val="bottom"/>
          </w:tcPr>
          <w:p>
            <w:pPr>
              <w:spacing w:after="0"/>
              <w:rPr>
                <w:sz w:val="18"/>
                <w:szCs w:val="18"/>
                <w:color w:val="auto"/>
              </w:rPr>
            </w:pPr>
          </w:p>
        </w:tc>
      </w:tr>
      <w:tr>
        <w:trPr>
          <w:trHeight w:val="172"/>
        </w:trPr>
        <w:tc>
          <w:tcPr>
            <w:tcW w:w="6200" w:type="dxa"/>
            <w:vAlign w:val="bottom"/>
          </w:tcPr>
          <w:p>
            <w:pPr>
              <w:spacing w:after="0"/>
              <w:rPr>
                <w:sz w:val="14"/>
                <w:szCs w:val="14"/>
                <w:color w:val="auto"/>
              </w:rPr>
            </w:pPr>
          </w:p>
        </w:tc>
        <w:tc>
          <w:tcPr>
            <w:tcW w:w="1280" w:type="dxa"/>
            <w:vAlign w:val="bottom"/>
            <w:tcBorders>
              <w:top w:val="single" w:sz="8" w:color="auto"/>
            </w:tcBorders>
            <w:gridSpan w:val="3"/>
          </w:tcPr>
          <w:p>
            <w:pPr>
              <w:jc w:val="center"/>
              <w:ind w:right="120"/>
              <w:spacing w:after="0" w:line="172" w:lineRule="exact"/>
              <w:rPr>
                <w:sz w:val="20"/>
                <w:szCs w:val="20"/>
                <w:color w:val="auto"/>
              </w:rPr>
            </w:pPr>
            <w:r>
              <w:rPr>
                <w:rFonts w:ascii="Times New Roman" w:cs="Times New Roman" w:eastAsia="Times New Roman" w:hAnsi="Times New Roman"/>
                <w:sz w:val="18"/>
                <w:szCs w:val="18"/>
                <w:color w:val="auto"/>
                <w:w w:val="98"/>
              </w:rPr>
              <w:t>December 28,</w:t>
            </w:r>
          </w:p>
        </w:tc>
        <w:tc>
          <w:tcPr>
            <w:tcW w:w="1200" w:type="dxa"/>
            <w:vAlign w:val="bottom"/>
            <w:tcBorders>
              <w:top w:val="single" w:sz="8" w:color="auto"/>
            </w:tcBorders>
            <w:gridSpan w:val="2"/>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December 30,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184"/>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1,463,139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1,423,229</w:t>
            </w:r>
          </w:p>
        </w:tc>
      </w:tr>
      <w:tr>
        <w:trPr>
          <w:trHeight w:val="22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333,142</w:t>
            </w: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1,756,371</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424,011</w:t>
            </w:r>
          </w:p>
        </w:tc>
      </w:tr>
      <w:tr>
        <w:trPr>
          <w:trHeight w:val="230"/>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310,644</w:t>
            </w: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734,655</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904,757</w:t>
            </w:r>
          </w:p>
        </w:tc>
      </w:tr>
      <w:tr>
        <w:trPr>
          <w:trHeight w:val="22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89,874</w:t>
            </w: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2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997,226</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w:t>
            </w: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r>
      <w:tr>
        <w:trPr>
          <w:trHeight w:val="22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r>
      <w:tr>
        <w:trPr>
          <w:trHeight w:val="22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(69,447)</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(65,901)</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6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30"/>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30"/>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78,313</w:t>
            </w:r>
          </w:p>
        </w:tc>
      </w:tr>
      <w:tr>
        <w:trPr>
          <w:trHeight w:val="230"/>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78,596</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(65,901)</w:t>
            </w:r>
          </w:p>
        </w:tc>
      </w:tr>
      <w:tr>
        <w:trPr>
          <w:trHeight w:val="230"/>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29"/>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i w:val="1"/>
          <w:iCs w:val="1"/>
          <w:color w:val="auto"/>
        </w:rPr>
        <w:t>Note: Diluted EPS related to the 2025 Notes is calculated using the if-converted method. The 2025 Notes were anti-dilutive for all periods disclosed above and therefore, excluded from the computation of the weighted average shares for diluted EPS. Some of the EPS totals in the table above may not foot due to rounding differences.</w:t>
      </w:r>
    </w:p>
    <w:p>
      <w:pPr>
        <w:sectPr>
          <w:pgSz w:w="11900" w:h="16838" w:orient="portrait"/>
          <w:cols w:equalWidth="0" w:num="1">
            <w:col w:w="11240"/>
          </w:cols>
          <w:pgMar w:left="320" w:top="846"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Fiscal Year 2024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Fiscal Year 2023</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(65,901)</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operating activities: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98,252</w:t>
            </w: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debt discount and deferred financing costs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cloud computing implementation costs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 impairment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82,413</w:t>
            </w: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r>
      <w:tr>
        <w:trPr>
          <w:trHeight w:val="22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r>
      <w:tr>
        <w:trPr>
          <w:trHeight w:val="230"/>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(gains) on change in fair value of derivatives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2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 adjustments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w:t>
            </w: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 and liabilities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30"/>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2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and unearned revenue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w:t>
            </w:r>
          </w:p>
        </w:tc>
      </w:tr>
      <w:tr>
        <w:trPr>
          <w:trHeight w:val="229"/>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32,479</w:t>
            </w: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173,033</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(114,774)</w:t>
            </w:r>
          </w:p>
        </w:tc>
      </w:tr>
      <w:tr>
        <w:trPr>
          <w:trHeight w:val="229"/>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(115,822)</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Repayments on long-term debt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r>
      <w:tr>
        <w:trPr>
          <w:trHeight w:val="230"/>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30"/>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(28,415)</w:t>
            </w: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30"/>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(136,808)</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(79,597)</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230,624</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151,027</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 information:</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accrued at the end of the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r>
    </w:tbl>
    <w:p>
      <w:pPr>
        <w:sectPr>
          <w:pgSz w:w="11900" w:h="16838" w:orient="portrait"/>
          <w:cols w:equalWidth="0" w:num="1">
            <w:col w:w="11180"/>
          </w:cols>
          <w:pgMar w:left="360" w:top="846"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from Continuing Operations to Net Income (loss)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Three Months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Three Months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Fiscal Year 2024</w:t>
            </w:r>
          </w:p>
        </w:tc>
        <w:tc>
          <w:tcPr>
            <w:tcW w:w="120" w:type="dxa"/>
            <w:vAlign w:val="bottom"/>
          </w:tcPr>
          <w:p>
            <w:pPr>
              <w:spacing w:after="0"/>
              <w:rPr>
                <w:sz w:val="14"/>
                <w:szCs w:val="14"/>
                <w:color w:val="auto"/>
              </w:rPr>
            </w:pPr>
          </w:p>
        </w:tc>
        <w:tc>
          <w:tcPr>
            <w:tcW w:w="1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8"/>
              </w:rPr>
              <w:t>Fiscal Year 2023</w:t>
            </w:r>
          </w:p>
        </w:tc>
        <w:tc>
          <w:tcPr>
            <w:tcW w:w="0" w:type="dxa"/>
            <w:vAlign w:val="bottom"/>
          </w:tcPr>
          <w:p>
            <w:pPr>
              <w:spacing w:after="0"/>
              <w:rPr>
                <w:sz w:val="1"/>
                <w:szCs w:val="1"/>
                <w:color w:val="auto"/>
              </w:rPr>
            </w:pPr>
          </w:p>
        </w:tc>
      </w:tr>
      <w:tr>
        <w:trPr>
          <w:trHeight w:val="213"/>
        </w:trPr>
        <w:tc>
          <w:tcPr>
            <w:tcW w:w="5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28, 2024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30, 2023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(28,591)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(15,987)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(28,499)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(65,901)</w:t>
            </w:r>
          </w:p>
        </w:tc>
        <w:tc>
          <w:tcPr>
            <w:tcW w:w="0" w:type="dxa"/>
            <w:vAlign w:val="bottom"/>
          </w:tcPr>
          <w:p>
            <w:pPr>
              <w:spacing w:after="0"/>
              <w:rPr>
                <w:sz w:val="1"/>
                <w:szCs w:val="1"/>
                <w:color w:val="auto"/>
              </w:rPr>
            </w:pPr>
          </w:p>
        </w:tc>
      </w:tr>
      <w:tr>
        <w:trPr>
          <w:trHeight w:val="21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(69,447)</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continuing operations, net of tax</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(29,437)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3,546</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14,339</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6,006</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19,203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(Gain) loss on extinguishment of debt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(c)</w:t>
            </w: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39,851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2,699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Litigation settlement </w:t>
            </w:r>
            <w:r>
              <w:rPr>
                <w:rFonts w:ascii="Times New Roman" w:cs="Times New Roman" w:eastAsia="Times New Roman" w:hAnsi="Times New Roman"/>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ERP and CRM implementation expenses </w:t>
            </w:r>
            <w:r>
              <w:rPr>
                <w:rFonts w:ascii="Times New Roman" w:cs="Times New Roman" w:eastAsia="Times New Roman" w:hAnsi="Times New Roman"/>
                <w:sz w:val="21"/>
                <w:szCs w:val="21"/>
                <w:color w:val="auto"/>
                <w:vertAlign w:val="superscript"/>
              </w:rPr>
              <w:t>(g)</w:t>
            </w: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(h)</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4,484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8,849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7,018</w:t>
            </w:r>
          </w:p>
        </w:tc>
        <w:tc>
          <w:tcPr>
            <w:tcW w:w="0" w:type="dxa"/>
            <w:vAlign w:val="bottom"/>
          </w:tcPr>
          <w:p>
            <w:pPr>
              <w:spacing w:after="0"/>
              <w:rPr>
                <w:sz w:val="1"/>
                <w:szCs w:val="1"/>
                <w:color w:val="auto"/>
              </w:rPr>
            </w:pPr>
          </w:p>
        </w:tc>
      </w:tr>
      <w:tr>
        <w:trPr>
          <w:trHeight w:val="209"/>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Operating Income (loss) from continuing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3,228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65,489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53,894</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income (loss) margin from continuing operations, net of tax</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Operating Margin from continuing operations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4"/>
          <w:szCs w:val="14"/>
          <w:i w:val="1"/>
          <w:iCs w:val="1"/>
          <w:color w:val="auto"/>
        </w:rPr>
        <w:t>Note: Percentages reflect line item as a percentage of net revenue, adjusted for rounding.</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from Continuing Operations and Adjusted EBITDA from Continuing Operations to Net Income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Three Months</w:t>
            </w: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Three Months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Fiscal Year 2024</w:t>
            </w:r>
          </w:p>
        </w:tc>
        <w:tc>
          <w:tcPr>
            <w:tcW w:w="120" w:type="dxa"/>
            <w:vAlign w:val="bottom"/>
          </w:tcPr>
          <w:p>
            <w:pPr>
              <w:spacing w:after="0"/>
              <w:rPr>
                <w:sz w:val="14"/>
                <w:szCs w:val="14"/>
                <w:color w:val="auto"/>
              </w:rPr>
            </w:pPr>
          </w:p>
        </w:tc>
        <w:tc>
          <w:tcPr>
            <w:tcW w:w="1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8"/>
              </w:rPr>
              <w:t>Fiscal Year 2023</w:t>
            </w:r>
          </w:p>
        </w:tc>
        <w:tc>
          <w:tcPr>
            <w:tcW w:w="0" w:type="dxa"/>
            <w:vAlign w:val="bottom"/>
          </w:tcPr>
          <w:p>
            <w:pPr>
              <w:spacing w:after="0"/>
              <w:rPr>
                <w:sz w:val="1"/>
                <w:szCs w:val="1"/>
                <w:color w:val="auto"/>
              </w:rPr>
            </w:pPr>
          </w:p>
        </w:tc>
      </w:tr>
      <w:tr>
        <w:trPr>
          <w:trHeight w:val="213"/>
        </w:trPr>
        <w:tc>
          <w:tcPr>
            <w:tcW w:w="5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28, 2024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30, 2023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(28,591)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(15,987)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(28,499)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(65,901)</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(69,447)</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continuing operations, net of tax</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(14,739)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3,546</w:t>
            </w:r>
          </w:p>
        </w:tc>
        <w:tc>
          <w:tcPr>
            <w:tcW w:w="0" w:type="dxa"/>
            <w:vAlign w:val="bottom"/>
          </w:tcPr>
          <w:p>
            <w:pPr>
              <w:spacing w:after="0"/>
              <w:rPr>
                <w:sz w:val="1"/>
                <w:szCs w:val="1"/>
                <w:color w:val="auto"/>
              </w:rPr>
            </w:pP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14,339</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6,006</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22,746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23,353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91,349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89,874</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EBITDA from continuing operations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10,336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81,849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113,765</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(a)</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19,203</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(Gain) loss on extinguishment of debt </w:t>
            </w:r>
            <w:r>
              <w:rPr>
                <w:rFonts w:ascii="Times New Roman" w:cs="Times New Roman" w:eastAsia="Times New Roman" w:hAnsi="Times New Roman"/>
                <w:sz w:val="21"/>
                <w:szCs w:val="21"/>
                <w:color w:val="auto"/>
                <w:vertAlign w:val="superscript"/>
              </w:rPr>
              <w:t>(b)</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(c)</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39,851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2,699</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Litigation settlement </w:t>
            </w:r>
            <w:r>
              <w:rPr>
                <w:rFonts w:ascii="Times New Roman" w:cs="Times New Roman" w:eastAsia="Times New Roman" w:hAnsi="Times New Roman"/>
                <w:sz w:val="21"/>
                <w:szCs w:val="21"/>
                <w:color w:val="auto"/>
                <w:vertAlign w:val="superscript"/>
              </w:rPr>
              <w:t>(d)</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ERP and CRM implementation expenses </w:t>
            </w:r>
            <w:r>
              <w:rPr>
                <w:rFonts w:ascii="Times New Roman" w:cs="Times New Roman" w:eastAsia="Times New Roman" w:hAnsi="Times New Roman"/>
                <w:sz w:val="21"/>
                <w:szCs w:val="21"/>
                <w:color w:val="auto"/>
                <w:vertAlign w:val="superscript"/>
              </w:rPr>
              <w:t>(g)</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(h)</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4,103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5,487</w:t>
            </w:r>
          </w:p>
        </w:tc>
        <w:tc>
          <w:tcPr>
            <w:tcW w:w="0" w:type="dxa"/>
            <w:vAlign w:val="bottom"/>
          </w:tcPr>
          <w:p>
            <w:pPr>
              <w:spacing w:after="0"/>
              <w:rPr>
                <w:sz w:val="1"/>
                <w:szCs w:val="1"/>
                <w:color w:val="auto"/>
              </w:rPr>
            </w:pPr>
          </w:p>
        </w:tc>
      </w:tr>
      <w:tr>
        <w:trPr>
          <w:trHeight w:val="234"/>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 from continuing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25,805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20,232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155,525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142,237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income (loss) margin from continuing operations, net of tax</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2"/>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 Margin from continuing operations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i w:val="1"/>
          <w:iCs w:val="1"/>
          <w:color w:val="auto"/>
        </w:rPr>
        <w:t>Note: Percentages reflect line item as a percentage of net revenue, adjusted for rounding.</w:t>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Reconciliation of Adjusted Diluted EPS from Continuing Operations to Diluted EPS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Three Months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Three Months</w:t>
            </w: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13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3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Fiscal Year 2024</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Fiscal Year 2023</w:t>
            </w:r>
          </w:p>
        </w:tc>
        <w:tc>
          <w:tcPr>
            <w:tcW w:w="0" w:type="dxa"/>
            <w:vAlign w:val="bottom"/>
          </w:tcPr>
          <w:p>
            <w:pPr>
              <w:spacing w:after="0"/>
              <w:rPr>
                <w:sz w:val="1"/>
                <w:szCs w:val="1"/>
                <w:color w:val="auto"/>
              </w:rPr>
            </w:pPr>
          </w:p>
        </w:tc>
      </w:tr>
      <w:tr>
        <w:trPr>
          <w:trHeight w:val="213"/>
        </w:trPr>
        <w:tc>
          <w:tcPr>
            <w:tcW w:w="5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28, 2024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30, 2023</w:t>
            </w:r>
          </w:p>
        </w:tc>
        <w:tc>
          <w:tcPr>
            <w:tcW w:w="10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Diluted EPS from discontinued operations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 from continuing operations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(Gain) loss on extinguishment of debt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(c)</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Litigation settlement </w:t>
            </w:r>
            <w:r>
              <w:rPr>
                <w:rFonts w:ascii="Times New Roman" w:cs="Times New Roman" w:eastAsia="Times New Roman" w:hAnsi="Times New Roman"/>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debt discounts and deferred financing costs </w:t>
            </w:r>
            <w:r>
              <w:rPr>
                <w:rFonts w:ascii="Times New Roman" w:cs="Times New Roman" w:eastAsia="Times New Roman" w:hAnsi="Times New Roman"/>
                <w:sz w:val="21"/>
                <w:szCs w:val="21"/>
                <w:color w:val="auto"/>
                <w:vertAlign w:val="superscript"/>
              </w:rPr>
              <w:t>(e)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Derivative fair value adjustments </w:t>
            </w:r>
            <w:r>
              <w:rPr>
                <w:rFonts w:ascii="Times New Roman" w:cs="Times New Roman" w:eastAsia="Times New Roman" w:hAnsi="Times New Roman"/>
                <w:sz w:val="21"/>
                <w:szCs w:val="21"/>
                <w:color w:val="auto"/>
                <w:vertAlign w:val="superscript"/>
              </w:rPr>
              <w:t>(f)</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ERP and CRM implementation expenses </w:t>
            </w:r>
            <w:r>
              <w:rPr>
                <w:rFonts w:ascii="Times New Roman" w:cs="Times New Roman" w:eastAsia="Times New Roman" w:hAnsi="Times New Roman"/>
                <w:sz w:val="21"/>
                <w:szCs w:val="21"/>
                <w:color w:val="auto"/>
                <w:vertAlign w:val="superscript"/>
              </w:rPr>
              <w:t>(g)</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(h)</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Tax effects</w:t>
            </w:r>
            <w:r>
              <w:rPr>
                <w:rFonts w:ascii="Times New Roman" w:cs="Times New Roman" w:eastAsia="Times New Roman" w:hAnsi="Times New Roman"/>
                <w:sz w:val="21"/>
                <w:szCs w:val="21"/>
                <w:color w:val="auto"/>
                <w:vertAlign w:val="superscript"/>
              </w:rPr>
              <w:t>(i)</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34"/>
        </w:trPr>
        <w:tc>
          <w:tcPr>
            <w:tcW w:w="5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Diluted EPS from continuing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Weighted average diluted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78,754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78,269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78,592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78,596</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4"/>
          <w:szCs w:val="14"/>
          <w:i w:val="1"/>
          <w:iCs w:val="1"/>
          <w:color w:val="auto"/>
        </w:rPr>
        <w:t>Note: Some of the totals in the table above do not foot due to rounding differences.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SG&amp;A from Continuing Operations to SG&amp;A from Continuing Operations</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Three Months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Three Months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0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Fiscal Year 2024</w:t>
            </w:r>
          </w:p>
        </w:tc>
        <w:tc>
          <w:tcPr>
            <w:tcW w:w="100" w:type="dxa"/>
            <w:vAlign w:val="bottom"/>
          </w:tcPr>
          <w:p>
            <w:pPr>
              <w:spacing w:after="0"/>
              <w:rPr>
                <w:sz w:val="14"/>
                <w:szCs w:val="14"/>
                <w:color w:val="auto"/>
              </w:rPr>
            </w:pPr>
          </w:p>
        </w:tc>
        <w:tc>
          <w:tcPr>
            <w:tcW w:w="1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8"/>
              </w:rPr>
              <w:t>Fiscal Year 2023</w:t>
            </w:r>
          </w:p>
        </w:tc>
        <w:tc>
          <w:tcPr>
            <w:tcW w:w="0" w:type="dxa"/>
            <w:vAlign w:val="bottom"/>
          </w:tcPr>
          <w:p>
            <w:pPr>
              <w:spacing w:after="0"/>
              <w:rPr>
                <w:sz w:val="1"/>
                <w:szCs w:val="1"/>
                <w:color w:val="auto"/>
              </w:rPr>
            </w:pPr>
          </w:p>
        </w:tc>
      </w:tr>
      <w:tr>
        <w:trPr>
          <w:trHeight w:val="213"/>
        </w:trPr>
        <w:tc>
          <w:tcPr>
            <w:tcW w:w="5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28, 2024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30, 2023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SG&amp;A from continuing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233,052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225,642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938,524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904,757</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(a)</w:t>
            </w: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19,203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Litigation settlement </w:t>
            </w:r>
            <w:r>
              <w:rPr>
                <w:rFonts w:ascii="Times New Roman" w:cs="Times New Roman" w:eastAsia="Times New Roman" w:hAnsi="Times New Roman"/>
                <w:sz w:val="21"/>
                <w:szCs w:val="21"/>
                <w:color w:val="auto"/>
                <w:vertAlign w:val="superscript"/>
              </w:rPr>
              <w:t>(d)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ERP and CRM implementation expenses </w:t>
            </w:r>
            <w:r>
              <w:rPr>
                <w:rFonts w:ascii="Times New Roman" w:cs="Times New Roman" w:eastAsia="Times New Roman" w:hAnsi="Times New Roman"/>
                <w:sz w:val="21"/>
                <w:szCs w:val="21"/>
                <w:color w:val="auto"/>
                <w:vertAlign w:val="superscript"/>
              </w:rPr>
              <w:t>(g)</w:t>
            </w: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(h)</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4,178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7,494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5,491</w:t>
            </w:r>
          </w:p>
        </w:tc>
        <w:tc>
          <w:tcPr>
            <w:tcW w:w="0" w:type="dxa"/>
            <w:vAlign w:val="bottom"/>
          </w:tcPr>
          <w:p>
            <w:pPr>
              <w:spacing w:after="0"/>
              <w:rPr>
                <w:sz w:val="1"/>
                <w:szCs w:val="1"/>
                <w:color w:val="auto"/>
              </w:rPr>
            </w:pPr>
          </w:p>
        </w:tc>
      </w:tr>
      <w:tr>
        <w:trPr>
          <w:trHeight w:val="209"/>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SG&amp;A from continuing operations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226,557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216,270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903,882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879,579</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SG&amp;A from continuing operations Percent of Net Revenue</w:t>
            </w: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53.3 %</w:t>
            </w:r>
          </w:p>
        </w:tc>
        <w:tc>
          <w:tcPr>
            <w:tcW w:w="146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53.6 %</w:t>
            </w:r>
          </w:p>
        </w:tc>
        <w:tc>
          <w:tcPr>
            <w:tcW w:w="14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51.5 %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51.5 %</w:t>
            </w:r>
          </w:p>
        </w:tc>
      </w:tr>
      <w:tr>
        <w:trPr>
          <w:trHeight w:val="21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SG&amp;A from continuing operations Percent of Net Revenue</w:t>
            </w:r>
          </w:p>
        </w:tc>
        <w:tc>
          <w:tcPr>
            <w:tcW w:w="16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51.8 %</w:t>
            </w:r>
          </w:p>
        </w:tc>
        <w:tc>
          <w:tcPr>
            <w:tcW w:w="14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51.4 %</w:t>
            </w:r>
          </w:p>
        </w:tc>
        <w:tc>
          <w:tcPr>
            <w:tcW w:w="144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49.6 %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50.1 %</w:t>
            </w:r>
          </w:p>
        </w:tc>
      </w:tr>
    </w:tbl>
    <w:p>
      <w:pPr>
        <w:ind w:left="140"/>
        <w:spacing w:after="0"/>
        <w:rPr>
          <w:sz w:val="20"/>
          <w:szCs w:val="20"/>
          <w:color w:val="auto"/>
        </w:rPr>
      </w:pPr>
      <w:r>
        <w:rPr>
          <w:rFonts w:ascii="Times New Roman" w:cs="Times New Roman" w:eastAsia="Times New Roman" w:hAnsi="Times New Roman"/>
          <w:sz w:val="16"/>
          <w:szCs w:val="16"/>
          <w:i w:val="1"/>
          <w:iCs w:val="1"/>
          <w:color w:val="auto"/>
        </w:rPr>
        <w:t>Note: Percentages reflect line item as a percentage of net revenue.</w:t>
      </w:r>
    </w:p>
    <w:p>
      <w:pPr>
        <w:spacing w:after="0" w:line="185"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27" w:lineRule="exact"/>
        <w:rPr>
          <w:rFonts w:ascii="Times New Roman" w:cs="Times New Roman" w:eastAsia="Times New Roman" w:hAnsi="Times New Roman"/>
          <w:sz w:val="14"/>
          <w:szCs w:val="14"/>
          <w:color w:val="auto"/>
        </w:rPr>
      </w:pPr>
    </w:p>
    <w:p>
      <w:pPr>
        <w:ind w:left="420" w:right="640" w:hanging="412"/>
        <w:spacing w:after="0" w:line="254" w:lineRule="auto"/>
        <w:tabs>
          <w:tab w:leader="none" w:pos="4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extinguishment (gain) loss related to the repurchase of the 2025 Notes of $217.7 million during fiscal year 2024 and $100.0 million during the three and twelve months ended December 30, 2023.</w:t>
      </w:r>
    </w:p>
    <w:p>
      <w:pPr>
        <w:ind w:left="420" w:right="620" w:hanging="412"/>
        <w:spacing w:after="0" w:line="259" w:lineRule="auto"/>
        <w:tabs>
          <w:tab w:leader="none" w:pos="41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related to non-cash impairment charges, primarily impairment of Eyeglass World goodwill, Fred Meyer contracts and relationship asset, and impairment of property, equipment and lease-related assets on closed or underperforming stores and certain store closure decisions made as part of the Company’s store optimization review.</w:t>
      </w:r>
    </w:p>
    <w:p>
      <w:pPr>
        <w:ind w:left="400" w:hanging="392"/>
        <w:spacing w:after="0"/>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settlement of certain litigation.</w:t>
      </w:r>
    </w:p>
    <w:p>
      <w:pPr>
        <w:spacing w:after="0" w:line="14" w:lineRule="exact"/>
        <w:rPr>
          <w:rFonts w:ascii="Times New Roman" w:cs="Times New Roman" w:eastAsia="Times New Roman" w:hAnsi="Times New Roman"/>
          <w:sz w:val="14"/>
          <w:szCs w:val="14"/>
          <w:color w:val="auto"/>
        </w:rPr>
      </w:pPr>
    </w:p>
    <w:p>
      <w:pPr>
        <w:ind w:left="420" w:right="640" w:hanging="412"/>
        <w:spacing w:after="0" w:line="254" w:lineRule="auto"/>
        <w:tabs>
          <w:tab w:leader="none" w:pos="41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jc w:val="both"/>
        <w:ind w:left="420" w:right="640" w:hanging="412"/>
        <w:spacing w:after="0" w:line="260" w:lineRule="auto"/>
        <w:tabs>
          <w:tab w:leader="none" w:pos="41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ind w:left="400" w:hanging="392"/>
        <w:spacing w:after="0"/>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the Company’s ERP and CRM implementation.</w:t>
      </w:r>
    </w:p>
    <w:p>
      <w:pPr>
        <w:spacing w:after="0" w:line="14" w:lineRule="exact"/>
        <w:rPr>
          <w:rFonts w:ascii="Times New Roman" w:cs="Times New Roman" w:eastAsia="Times New Roman" w:hAnsi="Times New Roman"/>
          <w:sz w:val="14"/>
          <w:szCs w:val="14"/>
          <w:color w:val="auto"/>
        </w:rPr>
      </w:pPr>
    </w:p>
    <w:p>
      <w:pPr>
        <w:jc w:val="both"/>
        <w:ind w:left="420" w:right="620" w:hanging="412"/>
        <w:spacing w:after="0" w:line="258" w:lineRule="auto"/>
        <w:tabs>
          <w:tab w:leader="none" w:pos="4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$5.8 million and $2.2 million for fiscal years 2024 and 2023, respectively, costs related to an early lease termination of $0.3 million and $0.7 million for the three and twelve months ended December 28, 2024, respectively, and other expenses and adjustments. Other adjustments for both Adjusted Operating Income and Adjusted Diluted EPS include amortization of the increase in carrying values of finite-lived intangible assets resulting from the application of purchase accounting following the acquisition of the Company by affiliates of KKR &amp; Co. Inc. Adjusted Diluted EPS is also adjusted to include debt issuance costs. Other adjustments for Adjusted SG&amp;A exclude gains and losses on other investments and optometrist-related store optimization costs.</w:t>
      </w:r>
    </w:p>
    <w:p>
      <w:pPr>
        <w:sectPr>
          <w:pgSz w:w="11900" w:h="16838" w:orient="portrait"/>
          <w:cols w:equalWidth="0" w:num="1">
            <w:col w:w="11220"/>
          </w:cols>
          <w:pgMar w:left="320" w:top="873" w:right="359" w:bottom="1440" w:gutter="0" w:footer="0" w:header="0"/>
        </w:sectPr>
      </w:pPr>
    </w:p>
    <w:bookmarkStart w:id="15" w:name="page16"/>
    <w:bookmarkEnd w:id="15"/>
    <w:p>
      <w:pPr>
        <w:ind w:left="420" w:right="660" w:hanging="412"/>
        <w:spacing w:after="0" w:line="302" w:lineRule="auto"/>
        <w:tabs>
          <w:tab w:leader="none" w:pos="40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 excluding a portion of Eyeglass World goodwill impairment charge, which was disallowed for income tax purposes, and including tax expense (benefit) from stock-based compensation.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to Total Comparable Store Sales Growth</w:t>
      </w:r>
    </w:p>
    <w:p>
      <w:pPr>
        <w:spacing w:after="0" w:line="11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 xml:space="preserve">Comparable store sales growth from continuing operations </w:t>
      </w:r>
      <w:r>
        <w:rPr>
          <w:rFonts w:ascii="Times New Roman" w:cs="Times New Roman" w:eastAsia="Times New Roman" w:hAnsi="Times New Roman"/>
          <w:sz w:val="23"/>
          <w:szCs w:val="23"/>
          <w:color w:val="auto"/>
          <w:vertAlign w:val="superscript"/>
        </w:rPr>
        <w:t>(a)</w:t>
      </w:r>
    </w:p>
    <w:tbl>
      <w:tblPr>
        <w:tblLayout w:type="fixed"/>
        <w:tblInd w:w="0" w:type="dxa"/>
        <w:tblCellMar>
          <w:top w:w="0" w:type="dxa"/>
          <w:left w:w="0" w:type="dxa"/>
          <w:bottom w:w="0" w:type="dxa"/>
          <w:right w:w="0" w:type="dxa"/>
        </w:tblCellMar>
      </w:tblPr>
      <w:tr>
        <w:trPr>
          <w:trHeight w:val="156"/>
        </w:trPr>
        <w:tc>
          <w:tcPr>
            <w:tcW w:w="4080" w:type="dxa"/>
            <w:vAlign w:val="bottom"/>
          </w:tcPr>
          <w:p>
            <w:pPr>
              <w:spacing w:after="0"/>
              <w:rPr>
                <w:sz w:val="13"/>
                <w:szCs w:val="13"/>
                <w:color w:val="auto"/>
              </w:rPr>
            </w:pPr>
          </w:p>
        </w:tc>
        <w:tc>
          <w:tcPr>
            <w:tcW w:w="1460" w:type="dxa"/>
            <w:vAlign w:val="bottom"/>
            <w:tcBorders>
              <w:top w:val="single" w:sz="8" w:color="auto"/>
            </w:tcBorders>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rPr>
              <w:t>Three Months</w:t>
            </w:r>
          </w:p>
        </w:tc>
        <w:tc>
          <w:tcPr>
            <w:tcW w:w="1480" w:type="dxa"/>
            <w:vAlign w:val="bottom"/>
            <w:tcBorders>
              <w:top w:val="single" w:sz="8" w:color="auto"/>
            </w:tcBorders>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rPr>
              <w:t>Three Months</w:t>
            </w:r>
          </w:p>
        </w:tc>
        <w:tc>
          <w:tcPr>
            <w:tcW w:w="1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4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Fiscal Year 2024</w:t>
            </w: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Fiscal Year 2023</w:t>
            </w:r>
          </w:p>
        </w:tc>
        <w:tc>
          <w:tcPr>
            <w:tcW w:w="13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 xml:space="preserve">2025 Outlook </w:t>
            </w:r>
            <w:r>
              <w:rPr>
                <w:rFonts w:ascii="Times New Roman" w:cs="Times New Roman" w:eastAsia="Times New Roman" w:hAnsi="Times New Roman"/>
                <w:sz w:val="21"/>
                <w:szCs w:val="21"/>
                <w:color w:val="auto"/>
                <w:vertAlign w:val="superscript"/>
              </w:rPr>
              <w:t>(b)</w:t>
            </w:r>
          </w:p>
        </w:tc>
        <w:tc>
          <w:tcPr>
            <w:tcW w:w="0" w:type="dxa"/>
            <w:vAlign w:val="bottom"/>
          </w:tcPr>
          <w:p>
            <w:pPr>
              <w:spacing w:after="0"/>
              <w:rPr>
                <w:sz w:val="1"/>
                <w:szCs w:val="1"/>
                <w:color w:val="auto"/>
              </w:rPr>
            </w:pPr>
          </w:p>
        </w:tc>
      </w:tr>
      <w:tr>
        <w:trPr>
          <w:trHeight w:val="216"/>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28, 2024</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30, 2023</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Best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Eyeglass World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Military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 Meyer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comparable store sales growth from continuing</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 - 3.5%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for effects of: </w:t>
            </w:r>
            <w:r>
              <w:rPr>
                <w:rFonts w:ascii="Times New Roman" w:cs="Times New Roman" w:eastAsia="Times New Roman" w:hAnsi="Times New Roman"/>
                <w:sz w:val="23"/>
                <w:szCs w:val="23"/>
                <w:color w:val="auto"/>
                <w:vertAlign w:val="superscript"/>
              </w:rPr>
              <w:t>(b)</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&amp; deferred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Comparable Store Sales Growth from</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 - 3.0%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68" w:lineRule="auto"/>
        <w:tabs>
          <w:tab w:leader="none" w:pos="33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comparable store sales from continuing operations is calculated based on consolidated net revenue from continuing operations excluding the impact of (i) other segments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consolidated financial statements.</w:t>
      </w:r>
    </w:p>
    <w:p>
      <w:pPr>
        <w:spacing w:after="0" w:line="77" w:lineRule="exact"/>
        <w:rPr>
          <w:rFonts w:ascii="Times New Roman" w:cs="Times New Roman" w:eastAsia="Times New Roman" w:hAnsi="Times New Roman"/>
          <w:sz w:val="14"/>
          <w:szCs w:val="14"/>
          <w:color w:val="auto"/>
        </w:rPr>
      </w:pPr>
    </w:p>
    <w:p>
      <w:pPr>
        <w:jc w:val="both"/>
        <w:ind w:left="340" w:right="20" w:hanging="332"/>
        <w:spacing w:after="0" w:line="27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Comparable Store Sales Growth from continuing operations includes the effect of deferred and unearned revenue as if such revenues were earned at the point of sale, resulting in the following changes from total comparable store sales growth based on consolidated net revenue from continuing operations; with respect to the Company’s 2025 Outlook, Adjusted Comparable Store Sales Growth includes an estimated 0.5% decrease for the effect of deferred and unearned revenue as if such revenues were earned at the point of sale.</w:t>
      </w:r>
    </w:p>
    <w:p>
      <w:pPr>
        <w:sectPr>
          <w:pgSz w:w="11900" w:h="16838" w:orient="portrait"/>
          <w:cols w:equalWidth="0" w:num="1">
            <w:col w:w="11240"/>
          </w:cols>
          <w:pgMar w:left="320" w:top="88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investor.relations@nationalvision.com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Tamara Gonzalez</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Churchill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media@nationalvision.com</w:t>
      </w:r>
    </w:p>
    <w:sectPr>
      <w:pgSz w:w="11900" w:h="16838" w:orient="portrait"/>
      <w:cols w:equalWidth="0" w:num="1">
        <w:col w:w="10139"/>
      </w:cols>
      <w:pgMar w:left="320" w:top="9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2025-02-26T05:15:51Z</dcterms:created>
  <dcterms:modified xsi:type="dcterms:W3CDTF">2025-02-26T05:15:51Z</dcterms:modified>
</cp:coreProperties>
</file>