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ind w:left="1807"/>
        <w:spacing w:after="0"/>
        <w:rPr>
          <w:sz w:val="20"/>
          <w:szCs w:val="20"/>
          <w:color w:val="auto"/>
        </w:rPr>
      </w:pPr>
      <w:r>
        <w:rPr>
          <w:rFonts w:ascii="Arial" w:cs="Arial" w:eastAsia="Arial" w:hAnsi="Arial"/>
          <w:sz w:val="18"/>
          <w:szCs w:val="18"/>
          <w:b w:val="1"/>
          <w:bCs w:val="1"/>
          <w:color w:val="auto"/>
        </w:rPr>
        <w:t>As filed with the Securities and Exchange Commission on November 14, 2018</w:t>
      </w:r>
    </w:p>
    <w:p>
      <w:pPr>
        <w:spacing w:after="0" w:line="27" w:lineRule="exact"/>
        <w:rPr>
          <w:sz w:val="24"/>
          <w:szCs w:val="24"/>
          <w:color w:val="auto"/>
        </w:rPr>
      </w:pPr>
    </w:p>
    <w:p>
      <w:pPr>
        <w:ind w:left="6827"/>
        <w:spacing w:after="0"/>
        <w:rPr>
          <w:sz w:val="20"/>
          <w:szCs w:val="20"/>
          <w:color w:val="auto"/>
        </w:rPr>
      </w:pPr>
      <w:r>
        <w:rPr>
          <w:rFonts w:ascii="Arial" w:cs="Arial" w:eastAsia="Arial" w:hAnsi="Arial"/>
          <w:sz w:val="16"/>
          <w:szCs w:val="16"/>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80645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04" w:lineRule="exact"/>
        <w:rPr>
          <w:sz w:val="24"/>
          <w:szCs w:val="24"/>
          <w:color w:val="auto"/>
        </w:rPr>
      </w:pPr>
    </w:p>
    <w:p>
      <w:pPr>
        <w:jc w:val="center"/>
        <w:ind w:right="13"/>
        <w:spacing w:after="0"/>
        <w:rPr>
          <w:sz w:val="20"/>
          <w:szCs w:val="20"/>
          <w:color w:val="auto"/>
        </w:rPr>
      </w:pPr>
      <w:r>
        <w:rPr>
          <w:rFonts w:ascii="Arial" w:cs="Arial" w:eastAsia="Arial" w:hAnsi="Arial"/>
          <w:sz w:val="18"/>
          <w:szCs w:val="18"/>
          <w:b w:val="1"/>
          <w:bCs w:val="1"/>
          <w:color w:val="auto"/>
        </w:rPr>
        <w:t>UNITED STATES</w:t>
      </w:r>
    </w:p>
    <w:p>
      <w:pPr>
        <w:jc w:val="center"/>
        <w:ind w:right="1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137795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FORM S-3</w:t>
      </w:r>
    </w:p>
    <w:p>
      <w:pPr>
        <w:jc w:val="center"/>
        <w:ind w:right="13"/>
        <w:spacing w:after="0" w:line="233" w:lineRule="auto"/>
        <w:rPr>
          <w:sz w:val="20"/>
          <w:szCs w:val="20"/>
          <w:color w:val="auto"/>
        </w:rPr>
      </w:pPr>
      <w:r>
        <w:rPr>
          <w:rFonts w:ascii="Arial" w:cs="Arial" w:eastAsia="Arial" w:hAnsi="Arial"/>
          <w:sz w:val="20"/>
          <w:szCs w:val="20"/>
          <w:b w:val="1"/>
          <w:bCs w:val="1"/>
          <w:color w:val="auto"/>
        </w:rPr>
        <w:t>REGISTRATION STATEMENT</w:t>
      </w:r>
    </w:p>
    <w:p>
      <w:pPr>
        <w:jc w:val="center"/>
        <w:ind w:right="13"/>
        <w:spacing w:after="0" w:line="226" w:lineRule="auto"/>
        <w:rPr>
          <w:sz w:val="20"/>
          <w:szCs w:val="20"/>
          <w:color w:val="auto"/>
        </w:rPr>
      </w:pPr>
      <w:r>
        <w:rPr>
          <w:rFonts w:ascii="Arial" w:cs="Arial" w:eastAsia="Arial" w:hAnsi="Arial"/>
          <w:sz w:val="20"/>
          <w:szCs w:val="20"/>
          <w:b w:val="1"/>
          <w:bCs w:val="1"/>
          <w:i w:val="1"/>
          <w:iCs w:val="1"/>
          <w:color w:val="auto"/>
        </w:rPr>
        <w:t>UNDER</w:t>
      </w:r>
    </w:p>
    <w:p>
      <w:pPr>
        <w:jc w:val="center"/>
        <w:ind w:right="13"/>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137795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21" w:lineRule="exact"/>
        <w:rPr>
          <w:sz w:val="24"/>
          <w:szCs w:val="24"/>
          <w:color w:val="auto"/>
        </w:rPr>
      </w:pPr>
    </w:p>
    <w:p>
      <w:pPr>
        <w:jc w:val="center"/>
        <w:ind w:right="13"/>
        <w:spacing w:after="0"/>
        <w:rPr>
          <w:sz w:val="20"/>
          <w:szCs w:val="20"/>
          <w:color w:val="auto"/>
        </w:rPr>
      </w:pPr>
      <w:r>
        <w:rPr>
          <w:rFonts w:ascii="Arial" w:cs="Arial" w:eastAsia="Arial" w:hAnsi="Arial"/>
          <w:sz w:val="25"/>
          <w:szCs w:val="25"/>
          <w:b w:val="1"/>
          <w:bCs w:val="1"/>
          <w:color w:val="auto"/>
        </w:rPr>
        <w:t>National Vision Holdings, Inc.</w:t>
      </w:r>
    </w:p>
    <w:p>
      <w:pPr>
        <w:jc w:val="center"/>
        <w:ind w:right="1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73660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ectPr>
          <w:pgSz w:w="11900" w:h="16838" w:orient="portrait"/>
          <w:cols w:equalWidth="0" w:num="1">
            <w:col w:w="9567"/>
          </w:cols>
          <w:pgMar w:left="1173" w:top="238" w:right="1159" w:bottom="917" w:gutter="0" w:footer="0" w:header="0"/>
        </w:sectPr>
      </w:pPr>
    </w:p>
    <w:p>
      <w:pPr>
        <w:spacing w:after="0" w:line="291" w:lineRule="exact"/>
        <w:rPr>
          <w:sz w:val="24"/>
          <w:szCs w:val="24"/>
          <w:color w:val="auto"/>
        </w:rPr>
      </w:pPr>
    </w:p>
    <w:p>
      <w:pPr>
        <w:jc w:val="center"/>
        <w:ind w:left="947"/>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46-4841717</w:t>
      </w:r>
    </w:p>
    <w:p>
      <w:pPr>
        <w:spacing w:after="0" w:line="73" w:lineRule="exact"/>
        <w:rPr>
          <w:sz w:val="24"/>
          <w:szCs w:val="24"/>
          <w:color w:val="auto"/>
        </w:rPr>
      </w:pPr>
    </w:p>
    <w:p>
      <w:pPr>
        <w:sectPr>
          <w:pgSz w:w="11900" w:h="16838" w:orient="portrait"/>
          <w:cols w:equalWidth="0" w:num="2">
            <w:col w:w="5247" w:space="720"/>
            <w:col w:w="3600"/>
          </w:cols>
          <w:pgMar w:left="1173" w:top="238" w:right="1159" w:bottom="917" w:gutter="0" w:footer="0" w:header="0"/>
          <w:type w:val="continuous"/>
        </w:sectPr>
      </w:pPr>
    </w:p>
    <w:p>
      <w:pPr>
        <w:ind w:left="2207"/>
        <w:spacing w:after="0"/>
        <w:rPr>
          <w:sz w:val="20"/>
          <w:szCs w:val="20"/>
          <w:color w:val="auto"/>
        </w:rPr>
      </w:pPr>
      <w:r>
        <w:rPr>
          <w:rFonts w:ascii="Arial" w:cs="Arial" w:eastAsia="Arial" w:hAnsi="Arial"/>
          <w:sz w:val="13"/>
          <w:szCs w:val="13"/>
          <w:b w:val="1"/>
          <w:bCs w:val="1"/>
          <w:color w:val="auto"/>
        </w:rPr>
        <w:t>(State or other jurisdiction of</w:t>
      </w:r>
    </w:p>
    <w:p>
      <w:pPr>
        <w:spacing w:after="0" w:line="29" w:lineRule="exact"/>
        <w:rPr>
          <w:sz w:val="24"/>
          <w:szCs w:val="24"/>
          <w:color w:val="auto"/>
        </w:rPr>
      </w:pPr>
    </w:p>
    <w:p>
      <w:pPr>
        <w:ind w:left="2227"/>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5087" w:space="720"/>
            <w:col w:w="3760"/>
          </w:cols>
          <w:pgMar w:left="1173" w:top="238" w:right="1159" w:bottom="917" w:gutter="0" w:footer="0" w:header="0"/>
          <w:type w:val="continuous"/>
        </w:sectPr>
      </w:pPr>
    </w:p>
    <w:p>
      <w:pPr>
        <w:jc w:val="center"/>
        <w:ind w:right="-6"/>
        <w:spacing w:after="0"/>
        <w:rPr>
          <w:sz w:val="20"/>
          <w:szCs w:val="20"/>
          <w:color w:val="auto"/>
        </w:rPr>
      </w:pPr>
      <w:r>
        <w:rPr>
          <w:rFonts w:ascii="Arial" w:cs="Arial" w:eastAsia="Arial" w:hAnsi="Arial"/>
          <w:sz w:val="14"/>
          <w:szCs w:val="14"/>
          <w:b w:val="1"/>
          <w:bCs w:val="1"/>
          <w:color w:val="auto"/>
        </w:rPr>
        <w:t>2435 Commerce Avenue</w:t>
      </w:r>
    </w:p>
    <w:p>
      <w:pPr>
        <w:spacing w:after="0" w:line="6"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Bldg. 2200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Duluth, Georgia 30096-4980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Telephone: 770-822-3600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133350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Mitchell Goodman, Esq.</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2435 Commerce Avenue</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Bldg. 2200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Duluth, Georgia 30096-4980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Telephone: 770-822-4208</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142240</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i w:val="1"/>
          <w:iCs w:val="1"/>
          <w:color w:val="auto"/>
        </w:rPr>
        <w:t>With a copy to:</w:t>
      </w:r>
    </w:p>
    <w:p>
      <w:pPr>
        <w:spacing w:after="0" w:line="65" w:lineRule="exact"/>
        <w:rPr>
          <w:sz w:val="24"/>
          <w:szCs w:val="24"/>
          <w:color w:val="auto"/>
        </w:rPr>
      </w:pPr>
    </w:p>
    <w:p>
      <w:pPr>
        <w:ind w:left="4007"/>
        <w:spacing w:after="0"/>
        <w:rPr>
          <w:sz w:val="20"/>
          <w:szCs w:val="20"/>
          <w:color w:val="auto"/>
        </w:rPr>
      </w:pPr>
      <w:r>
        <w:rPr>
          <w:rFonts w:ascii="Arial" w:cs="Arial" w:eastAsia="Arial" w:hAnsi="Arial"/>
          <w:sz w:val="14"/>
          <w:szCs w:val="14"/>
          <w:b w:val="1"/>
          <w:bCs w:val="1"/>
          <w:color w:val="auto"/>
        </w:rPr>
        <w:t>Joseph H. Kaufman, Esq.</w:t>
      </w:r>
    </w:p>
    <w:p>
      <w:pPr>
        <w:spacing w:after="0" w:line="17" w:lineRule="exact"/>
        <w:rPr>
          <w:sz w:val="24"/>
          <w:szCs w:val="24"/>
          <w:color w:val="auto"/>
        </w:rPr>
      </w:pPr>
    </w:p>
    <w:p>
      <w:pPr>
        <w:ind w:left="3827"/>
        <w:spacing w:after="0"/>
        <w:rPr>
          <w:sz w:val="20"/>
          <w:szCs w:val="20"/>
          <w:color w:val="auto"/>
        </w:rPr>
      </w:pPr>
      <w:r>
        <w:rPr>
          <w:rFonts w:ascii="Arial" w:cs="Arial" w:eastAsia="Arial" w:hAnsi="Arial"/>
          <w:sz w:val="14"/>
          <w:szCs w:val="14"/>
          <w:b w:val="1"/>
          <w:bCs w:val="1"/>
          <w:color w:val="auto"/>
        </w:rPr>
        <w:t>Simpson Thacher &amp; Bartlett LLP</w:t>
      </w:r>
    </w:p>
    <w:p>
      <w:pPr>
        <w:spacing w:after="0" w:line="1" w:lineRule="exact"/>
        <w:rPr>
          <w:sz w:val="24"/>
          <w:szCs w:val="24"/>
          <w:color w:val="auto"/>
        </w:rPr>
      </w:pPr>
    </w:p>
    <w:p>
      <w:pPr>
        <w:ind w:left="4167"/>
        <w:spacing w:after="0"/>
        <w:rPr>
          <w:sz w:val="20"/>
          <w:szCs w:val="20"/>
          <w:color w:val="auto"/>
        </w:rPr>
      </w:pPr>
      <w:r>
        <w:rPr>
          <w:rFonts w:ascii="Arial" w:cs="Arial" w:eastAsia="Arial" w:hAnsi="Arial"/>
          <w:sz w:val="14"/>
          <w:szCs w:val="14"/>
          <w:b w:val="1"/>
          <w:bCs w:val="1"/>
          <w:color w:val="auto"/>
        </w:rPr>
        <w:t>425 Lexington Avenue</w:t>
      </w:r>
    </w:p>
    <w:p>
      <w:pPr>
        <w:spacing w:after="0" w:line="1" w:lineRule="exact"/>
        <w:rPr>
          <w:sz w:val="24"/>
          <w:szCs w:val="24"/>
          <w:color w:val="auto"/>
        </w:rPr>
      </w:pPr>
    </w:p>
    <w:p>
      <w:pPr>
        <w:ind w:left="3847"/>
        <w:spacing w:after="0"/>
        <w:rPr>
          <w:sz w:val="20"/>
          <w:szCs w:val="20"/>
          <w:color w:val="auto"/>
        </w:rPr>
      </w:pPr>
      <w:r>
        <w:rPr>
          <w:rFonts w:ascii="Arial" w:cs="Arial" w:eastAsia="Arial" w:hAnsi="Arial"/>
          <w:sz w:val="14"/>
          <w:szCs w:val="14"/>
          <w:b w:val="1"/>
          <w:bCs w:val="1"/>
          <w:color w:val="auto"/>
        </w:rPr>
        <w:t>New York, New York 10017-3954</w:t>
      </w:r>
    </w:p>
    <w:p>
      <w:pPr>
        <w:spacing w:after="0" w:line="1" w:lineRule="exact"/>
        <w:rPr>
          <w:sz w:val="24"/>
          <w:szCs w:val="24"/>
          <w:color w:val="auto"/>
        </w:rPr>
      </w:pPr>
    </w:p>
    <w:p>
      <w:pPr>
        <w:ind w:left="4047"/>
        <w:spacing w:after="0"/>
        <w:rPr>
          <w:sz w:val="20"/>
          <w:szCs w:val="20"/>
          <w:color w:val="auto"/>
        </w:rPr>
      </w:pPr>
      <w:r>
        <w:rPr>
          <w:rFonts w:ascii="Arial" w:cs="Arial" w:eastAsia="Arial" w:hAnsi="Arial"/>
          <w:sz w:val="14"/>
          <w:szCs w:val="14"/>
          <w:b w:val="1"/>
          <w:bCs w:val="1"/>
          <w:color w:val="auto"/>
        </w:rPr>
        <w:t>Telephone: (212)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73660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62" w:lineRule="exact"/>
        <w:rPr>
          <w:sz w:val="24"/>
          <w:szCs w:val="24"/>
          <w:color w:val="auto"/>
        </w:rPr>
      </w:pPr>
    </w:p>
    <w:p>
      <w:pPr>
        <w:ind w:left="367"/>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59" w:lineRule="exact"/>
        <w:rPr>
          <w:sz w:val="24"/>
          <w:szCs w:val="24"/>
          <w:color w:val="auto"/>
        </w:rPr>
      </w:pPr>
    </w:p>
    <w:p>
      <w:pPr>
        <w:ind w:left="367"/>
        <w:spacing w:after="0"/>
        <w:rPr>
          <w:sz w:val="20"/>
          <w:szCs w:val="20"/>
          <w:color w:val="auto"/>
        </w:rPr>
      </w:pPr>
      <w:r>
        <w:rPr>
          <w:rFonts w:ascii="Arial" w:cs="Arial" w:eastAsia="Arial" w:hAnsi="Arial"/>
          <w:sz w:val="13"/>
          <w:szCs w:val="13"/>
          <w:color w:val="auto"/>
        </w:rPr>
        <w:t>If the only securities being registered on this Form are being offered pursuant to dividend or interest reinvestment plans, please check the following box. o</w:t>
      </w:r>
    </w:p>
    <w:p>
      <w:pPr>
        <w:spacing w:after="0" w:line="67" w:lineRule="exact"/>
        <w:rPr>
          <w:sz w:val="24"/>
          <w:szCs w:val="24"/>
          <w:color w:val="auto"/>
        </w:rPr>
      </w:pPr>
    </w:p>
    <w:p>
      <w:pPr>
        <w:ind w:left="7" w:right="120" w:firstLine="360"/>
        <w:spacing w:after="0" w:line="181"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7" w:right="40" w:firstLine="360"/>
        <w:spacing w:after="0" w:line="27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7" w:right="660" w:firstLine="360"/>
        <w:spacing w:after="0" w:line="27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7" w:right="160" w:firstLine="36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7" w:right="580" w:firstLine="360"/>
        <w:spacing w:after="0" w:line="27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66" w:lineRule="exact"/>
        <w:rPr>
          <w:sz w:val="24"/>
          <w:szCs w:val="24"/>
          <w:color w:val="auto"/>
        </w:rPr>
      </w:pPr>
    </w:p>
    <w:p>
      <w:pPr>
        <w:ind w:left="7" w:right="40" w:firstLine="360"/>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7"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194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r>
        <w:trPr>
          <w:trHeight w:val="187"/>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2440" w:type="dxa"/>
            <w:vAlign w:val="bottom"/>
          </w:tcPr>
          <w:p>
            <w:pPr>
              <w:ind w:left="360"/>
              <w:spacing w:after="0"/>
              <w:rPr>
                <w:sz w:val="20"/>
                <w:szCs w:val="20"/>
                <w:color w:val="auto"/>
              </w:rPr>
            </w:pPr>
            <w:r>
              <w:rPr>
                <w:rFonts w:ascii="Arial" w:cs="Arial" w:eastAsia="Arial" w:hAnsi="Arial"/>
                <w:sz w:val="14"/>
                <w:szCs w:val="14"/>
                <w:color w:val="auto"/>
              </w:rPr>
              <w:t>o</w:t>
            </w:r>
          </w:p>
        </w:tc>
        <w:tc>
          <w:tcPr>
            <w:tcW w:w="4020" w:type="dxa"/>
            <w:vAlign w:val="bottom"/>
          </w:tcPr>
          <w:p>
            <w:pPr>
              <w:ind w:left="194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r>
        <w:trPr>
          <w:trHeight w:val="189"/>
        </w:trPr>
        <w:tc>
          <w:tcPr>
            <w:tcW w:w="1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20" w:type="dxa"/>
            <w:vAlign w:val="bottom"/>
          </w:tcPr>
          <w:p>
            <w:pPr>
              <w:ind w:left="194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bl>
    <w:p>
      <w:pPr>
        <w:spacing w:after="0" w:line="47" w:lineRule="exact"/>
        <w:rPr>
          <w:sz w:val="24"/>
          <w:szCs w:val="24"/>
          <w:color w:val="auto"/>
        </w:rPr>
      </w:pPr>
    </w:p>
    <w:p>
      <w:pPr>
        <w:ind w:left="7" w:right="200" w:firstLine="3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45085</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17"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7" w:type="dxa"/>
        <w:tblCellMar>
          <w:top w:w="0" w:type="dxa"/>
          <w:left w:w="0" w:type="dxa"/>
          <w:bottom w:w="0" w:type="dxa"/>
          <w:right w:w="0" w:type="dxa"/>
        </w:tblCellMar>
      </w:tblPr>
      <w:tr>
        <w:trPr>
          <w:trHeight w:val="41"/>
        </w:trPr>
        <w:tc>
          <w:tcPr>
            <w:tcW w:w="34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119"/>
        </w:trPr>
        <w:tc>
          <w:tcPr>
            <w:tcW w:w="34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16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1260" w:type="dxa"/>
            <w:vAlign w:val="bottom"/>
          </w:tcPr>
          <w:p>
            <w:pPr>
              <w:spacing w:after="0"/>
              <w:rPr>
                <w:sz w:val="10"/>
                <w:szCs w:val="10"/>
                <w:color w:val="auto"/>
              </w:rPr>
            </w:pPr>
          </w:p>
        </w:tc>
      </w:tr>
      <w:tr>
        <w:trPr>
          <w:trHeight w:val="145"/>
        </w:trPr>
        <w:tc>
          <w:tcPr>
            <w:tcW w:w="3440" w:type="dxa"/>
            <w:vAlign w:val="bottom"/>
            <w:tcBorders>
              <w:right w:val="single" w:sz="8" w:color="auto"/>
            </w:tcBorders>
          </w:tcPr>
          <w:p>
            <w:pPr>
              <w:jc w:val="center"/>
              <w:ind w:right="8"/>
              <w:spacing w:after="0" w:line="145" w:lineRule="exact"/>
              <w:rPr>
                <w:sz w:val="20"/>
                <w:szCs w:val="20"/>
                <w:color w:val="auto"/>
              </w:rPr>
            </w:pPr>
            <w:r>
              <w:rPr>
                <w:rFonts w:ascii="Arial" w:cs="Arial" w:eastAsia="Arial" w:hAnsi="Arial"/>
                <w:sz w:val="14"/>
                <w:szCs w:val="14"/>
                <w:b w:val="1"/>
                <w:bCs w:val="1"/>
                <w:color w:val="auto"/>
                <w:w w:val="93"/>
              </w:rPr>
              <w:t>Title of Each Class of</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Amount</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6"/>
              </w:rPr>
              <w:t>Offering Price per</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 Offering</w:t>
            </w: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02"/>
        </w:trPr>
        <w:tc>
          <w:tcPr>
            <w:tcW w:w="34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Securities to be Registered</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8"/>
              </w:rPr>
              <w:t>to be Registered</w:t>
            </w:r>
            <w:r>
              <w:rPr>
                <w:rFonts w:ascii="Arial" w:cs="Arial" w:eastAsia="Arial" w:hAnsi="Arial"/>
                <w:sz w:val="23"/>
                <w:szCs w:val="23"/>
                <w:b w:val="1"/>
                <w:bCs w:val="1"/>
                <w:color w:val="auto"/>
                <w:w w:val="88"/>
                <w:vertAlign w:val="superscript"/>
              </w:rPr>
              <w:t>(1)</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6"/>
              </w:rPr>
              <w:t>Share</w:t>
            </w:r>
            <w:r>
              <w:rPr>
                <w:rFonts w:ascii="Arial" w:cs="Arial" w:eastAsia="Arial" w:hAnsi="Arial"/>
                <w:sz w:val="23"/>
                <w:szCs w:val="23"/>
                <w:b w:val="1"/>
                <w:bCs w:val="1"/>
                <w:color w:val="auto"/>
                <w:w w:val="86"/>
                <w:vertAlign w:val="superscript"/>
              </w:rPr>
              <w:t>(1)</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6"/>
              </w:rPr>
              <w:t>Price</w:t>
            </w:r>
            <w:r>
              <w:rPr>
                <w:rFonts w:ascii="Arial" w:cs="Arial" w:eastAsia="Arial" w:hAnsi="Arial"/>
                <w:sz w:val="23"/>
                <w:szCs w:val="23"/>
                <w:b w:val="1"/>
                <w:bCs w:val="1"/>
                <w:color w:val="auto"/>
                <w:w w:val="86"/>
                <w:vertAlign w:val="superscript"/>
              </w:rPr>
              <w:t>(1)</w:t>
            </w:r>
          </w:p>
        </w:tc>
        <w:tc>
          <w:tcPr>
            <w:tcW w:w="12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Registration Fee</w:t>
            </w:r>
            <w:r>
              <w:rPr>
                <w:rFonts w:ascii="Arial" w:cs="Arial" w:eastAsia="Arial" w:hAnsi="Arial"/>
                <w:sz w:val="23"/>
                <w:szCs w:val="23"/>
                <w:b w:val="1"/>
                <w:bCs w:val="1"/>
                <w:color w:val="auto"/>
                <w:w w:val="90"/>
                <w:vertAlign w:val="superscript"/>
              </w:rPr>
              <w:t>(2)</w:t>
            </w:r>
          </w:p>
        </w:tc>
      </w:tr>
      <w:tr>
        <w:trPr>
          <w:trHeight w:val="183"/>
        </w:trPr>
        <w:tc>
          <w:tcPr>
            <w:tcW w:w="3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Common Stock, par value $0.01 per share</w:t>
            </w: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48"/>
        </w:trPr>
        <w:tc>
          <w:tcPr>
            <w:tcW w:w="34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bl>
    <w:p>
      <w:pPr>
        <w:spacing w:after="0" w:line="157" w:lineRule="exact"/>
        <w:rPr>
          <w:sz w:val="24"/>
          <w:szCs w:val="24"/>
          <w:color w:val="auto"/>
        </w:rPr>
      </w:pPr>
    </w:p>
    <w:p>
      <w:pPr>
        <w:ind w:left="347" w:right="160" w:hanging="347"/>
        <w:spacing w:after="0" w:line="273"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Omitted pursuant to General Instructions II.E of Form S-3. An indeterminate amount of shares of common stock is being registered as may from time to time be issued at indeterminate prices.</w:t>
      </w:r>
    </w:p>
    <w:p>
      <w:pPr>
        <w:spacing w:after="0" w:line="65" w:lineRule="exact"/>
        <w:rPr>
          <w:rFonts w:ascii="Arial" w:cs="Arial" w:eastAsia="Arial" w:hAnsi="Arial"/>
          <w:sz w:val="14"/>
          <w:szCs w:val="14"/>
          <w:color w:val="auto"/>
        </w:rPr>
      </w:pPr>
    </w:p>
    <w:p>
      <w:pPr>
        <w:ind w:left="347" w:right="200" w:hanging="347"/>
        <w:spacing w:after="0" w:line="273"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under the Securities Act, the registrant is deferring payment of the registration fee. Registration fees will be paid subsequently on a “pay as you go”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6071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165100</wp:posOffset>
            </wp:positionV>
            <wp:extent cx="6071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474345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917"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154940</wp:posOffset>
            </wp:positionV>
            <wp:extent cx="1346200" cy="103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National Vision Holdings,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selling stockholders may offer and sell from time to time shares of our common stock.</w:t>
      </w:r>
    </w:p>
    <w:p>
      <w:pPr>
        <w:spacing w:after="0" w:line="2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selling stockholders will determine when they sell shares of our common stock, which may be sold on a continuous or delayed basis directly, to or through agents, dealers or underwriters as designated from time to time, or through a combination of these methods. The selling stockholders reserve the sole right to accept, and they and any agents, dealers and underwriters reserve the right to reject, in whole or in part, any proposed purchase of shares of our common stock. If any agents, dealers or underwriters are involved in the sale of any shares of our common stock, the applicable prospectus supplement will set forth any applicable commissions or discounts payable to them. We will not receive any proceeds from the sale of the shares of our common stock by the selling stockholders.</w:t>
      </w:r>
    </w:p>
    <w:p>
      <w:pPr>
        <w:spacing w:after="0" w:line="18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Each time any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or free writing prospectus may also add, update, change or clarify information contained in or incorporated by reference in this prospectus. This prospectus may not be used to sell shares of our common stock unless accompanied by a prospectus supplement describing the method and terms of the offering.</w:t>
      </w:r>
    </w:p>
    <w:p>
      <w:pPr>
        <w:spacing w:after="0" w:line="17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You should carefully read this prospectus and any applicable prospectus supplement and free writing prospectus, together with any documents we incorporate by reference, before you invest in our common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or NASDAQ, under the symbol “EYE.”</w:t>
      </w:r>
    </w:p>
    <w:p>
      <w:pPr>
        <w:spacing w:after="0" w:line="225" w:lineRule="exact"/>
        <w:rPr>
          <w:sz w:val="20"/>
          <w:szCs w:val="20"/>
          <w:color w:val="auto"/>
        </w:rPr>
      </w:pPr>
    </w:p>
    <w:p>
      <w:pPr>
        <w:ind w:right="20" w:firstLine="360"/>
        <w:spacing w:after="0" w:line="286"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7">
        <w:r>
          <w:rPr>
            <w:rFonts w:ascii="Arial" w:cs="Arial" w:eastAsia="Arial" w:hAnsi="Arial"/>
            <w:sz w:val="17"/>
            <w:szCs w:val="17"/>
            <w:b w:val="1"/>
            <w:bCs w:val="1"/>
            <w:i w:val="1"/>
            <w:iCs w:val="1"/>
            <w:u w:val="single" w:color="auto"/>
            <w:color w:val="0000EE"/>
          </w:rPr>
          <w:t>4</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of this prospectus and the risk factors in any applicable prospectus supplement and in any documents we incorporate by reference herein or therein to read about factors you should consider before buying shares of our common stock.</w:t>
      </w:r>
    </w:p>
    <w:p>
      <w:pPr>
        <w:spacing w:after="0" w:line="166"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980" w:type="dxa"/>
            <w:vAlign w:val="bottom"/>
            <w:gridSpan w:val="15"/>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4"/>
          </w:tcPr>
          <w:p>
            <w:pPr>
              <w:jc w:val="right"/>
              <w:ind w:right="410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About This Prospectus</w:t>
              </w:r>
            </w:hyperlink>
          </w:p>
        </w:tc>
        <w:tc>
          <w:tcPr>
            <w:tcW w:w="2340" w:type="dxa"/>
            <w:vAlign w:val="bottom"/>
            <w:gridSpan w:val="6"/>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National Vision Holdings, Inc.</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Risk Factors</w:t>
              </w:r>
            </w:hyperlink>
          </w:p>
        </w:tc>
        <w:tc>
          <w:tcPr>
            <w:tcW w:w="3080" w:type="dxa"/>
            <w:vAlign w:val="bottom"/>
            <w:gridSpan w:val="12"/>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Special Note Regarding Forward-Looking Statements</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Capital Stock</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Selling Stockholders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60" w:type="dxa"/>
            <w:vAlign w:val="bottom"/>
            <w:gridSpan w:val="6"/>
          </w:tcPr>
          <w:p>
            <w:pPr>
              <w:spacing w:after="0" w:line="189"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Plan of Distribution</w:t>
              </w:r>
            </w:hyperlink>
          </w:p>
        </w:tc>
        <w:tc>
          <w:tcPr>
            <w:tcW w:w="2500" w:type="dxa"/>
            <w:vAlign w:val="bottom"/>
            <w:gridSpan w:val="8"/>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shd w:val="clear" w:color="auto" w:fill="CCEEFF"/>
          </w:tcPr>
          <w:p>
            <w:pPr>
              <w:spacing w:after="0" w:line="189"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Legal Matters</w:t>
              </w:r>
            </w:hyperlink>
          </w:p>
        </w:tc>
        <w:tc>
          <w:tcPr>
            <w:tcW w:w="2980" w:type="dxa"/>
            <w:vAlign w:val="bottom"/>
            <w:gridSpan w:val="11"/>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2980" w:type="dxa"/>
            <w:vAlign w:val="bottom"/>
            <w:gridSpan w:val="11"/>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2"/>
            <w:shd w:val="clear" w:color="auto" w:fill="CCEEFF"/>
          </w:tcPr>
          <w:p>
            <w:pPr>
              <w:spacing w:after="0" w:line="189"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Where You Can Find More Information</w:t>
              </w:r>
            </w:hyperlink>
          </w:p>
        </w:tc>
        <w:tc>
          <w:tcPr>
            <w:tcW w:w="1120" w:type="dxa"/>
            <w:vAlign w:val="bottom"/>
            <w:gridSpan w:val="2"/>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gridSpan w:val="9"/>
          </w:tcPr>
          <w:p>
            <w:pPr>
              <w:spacing w:after="0" w:line="189"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Incorporation by Reference</w:t>
              </w:r>
            </w:hyperlink>
          </w:p>
        </w:tc>
        <w:tc>
          <w:tcPr>
            <w:tcW w:w="880" w:type="dxa"/>
            <w:vAlign w:val="bottom"/>
            <w:gridSpan w:val="3"/>
          </w:tcPr>
          <w:p>
            <w:pPr>
              <w:spacing w:after="0"/>
              <w:rPr>
                <w:sz w:val="16"/>
                <w:szCs w:val="16"/>
                <w:color w:val="auto"/>
              </w:rPr>
            </w:pPr>
          </w:p>
        </w:tc>
        <w:tc>
          <w:tcPr>
            <w:tcW w:w="1120" w:type="dxa"/>
            <w:vAlign w:val="bottom"/>
            <w:gridSpan w:val="2"/>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This prospectus is part of a registration statement on Form S-3 that we filed with the SEC using a “shelf” registration process. Under this shelf registration process, certain selling stockholders may, from time to time, offer and/or sell shares of our common stock in one or more offerings or resales. This prospectus provides you with a general description of the shares of our common stock that such selling stockholders may offer. Each time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may also add, update, change or clarify information contained in or incorporated by reference in this prospectus. If there is any inconsistency between the information in this prospectus and the information in the prospectus supplement, you should rely on the information in the prospectus supplement.</w:t>
      </w:r>
    </w:p>
    <w:p>
      <w:pPr>
        <w:spacing w:after="0" w:line="57" w:lineRule="exact"/>
        <w:rPr>
          <w:sz w:val="20"/>
          <w:szCs w:val="20"/>
          <w:color w:val="auto"/>
        </w:rPr>
      </w:pPr>
    </w:p>
    <w:p>
      <w:pPr>
        <w:ind w:right="740" w:firstLine="360"/>
        <w:spacing w:after="0" w:line="282" w:lineRule="auto"/>
        <w:rPr>
          <w:sz w:val="20"/>
          <w:szCs w:val="20"/>
          <w:color w:val="auto"/>
        </w:rPr>
      </w:pPr>
      <w:r>
        <w:rPr>
          <w:rFonts w:ascii="Arial" w:cs="Arial" w:eastAsia="Arial" w:hAnsi="Arial"/>
          <w:sz w:val="18"/>
          <w:szCs w:val="18"/>
          <w:b w:val="1"/>
          <w:bCs w:val="1"/>
          <w:color w:val="auto"/>
        </w:rPr>
        <w:t>THIS PROSPECTUS MAY NOT BE USED TO SELL ANY SHARES OF OUR COMMON STOCK UNLESS ACCOMPANIED BY A PROSPECTUS SUPPLEMENT.</w:t>
      </w:r>
    </w:p>
    <w:p>
      <w:pPr>
        <w:spacing w:after="0" w:line="5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See “Incorporation by Reference”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or deemed incorporated by reference as exhibits to the registration statement of which this prospectus is a part. The registration statement, including the exhibits and documents incorporated by reference in this prospectus, can be read on the SEC website or at the SEC offices mentioned under the heading “Where You Can Find More Information.”</w:t>
      </w:r>
    </w:p>
    <w:p>
      <w:pPr>
        <w:spacing w:after="0" w:line="75" w:lineRule="exact"/>
        <w:rPr>
          <w:sz w:val="20"/>
          <w:szCs w:val="20"/>
          <w:color w:val="auto"/>
        </w:rPr>
      </w:pPr>
    </w:p>
    <w:p>
      <w:pPr>
        <w:ind w:right="200" w:firstLine="360"/>
        <w:spacing w:after="0" w:line="28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or in any prospectus supplement or free writing prospectus that we authorize to be delivered to you. Neither we nor any selling stockholders have authorized anyone to provide any information or to make any representations other than those contained, or incorporated by reference, in this prospectus or in any prospectus supplement or free writing prospectus we have prepared. Neither we nor any selling stockholders take responsibility for, or can provide assurance as to the reliability of, any other information that others may provide you. We and any selling stockholders are offering to sell, and seeking offers to buy, securities only in jurisdictions where offers and sales are permitted. You should assume that the information contained, or incorporated by reference, in this prospectus and in any prospectus supplement or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65" w:lineRule="exact"/>
        <w:rPr>
          <w:sz w:val="20"/>
          <w:szCs w:val="20"/>
          <w:color w:val="auto"/>
        </w:rPr>
      </w:pPr>
    </w:p>
    <w:p>
      <w:pPr>
        <w:jc w:val="both"/>
        <w:ind w:right="180" w:firstLine="360"/>
        <w:spacing w:after="0" w:line="279" w:lineRule="auto"/>
        <w:rPr>
          <w:sz w:val="20"/>
          <w:szCs w:val="20"/>
          <w:color w:val="auto"/>
        </w:rPr>
      </w:pPr>
      <w:r>
        <w:rPr>
          <w:rFonts w:ascii="Arial" w:cs="Arial" w:eastAsia="Arial" w:hAnsi="Arial"/>
          <w:sz w:val="17"/>
          <w:szCs w:val="17"/>
          <w:color w:val="auto"/>
        </w:rPr>
        <w:t>In this prospectus,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we have not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“Risk Factors” and “Management’s Discussion and Analysis of Financial Condition and Results of Operations” in our Annual Report (as defined herein) and “Management’s Discussion and Analysis of Financial Condition and Results of Operations” in our Quarterly Reports (as defined herein), each of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Neither we nor the selling stockholders can guarantee the accuracy or completeness of any such information contained, or incorporated by reference, in this prospectus.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tradenames referred to in this prospectus and any applicable prospectus supplement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and any applicable prospectus supplement (or in documents we have incorporated by reference) are the property of their respective owners.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121"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1,067 retail stores across five brands and 20 consumer websites as of September 29, 2018.</w:t>
      </w:r>
    </w:p>
    <w:p>
      <w:pPr>
        <w:spacing w:after="0" w:line="7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provides, or arranges for the provision of, optometric services at certain optometric offices next to Walmart and Sam’s Club stores in California. We support our brands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7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to bolster its e-commerce platform.</w:t>
      </w:r>
    </w:p>
    <w:p>
      <w:pPr>
        <w:spacing w:after="0" w:line="63"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In March 2014, NVI was acquired by affiliates of Kohlberg Kravis Roberts &amp; Co. L.P., or KKR Sponsor. National Vision Holdings, Inc. was incorporated in Delaware on February 14, 2014 under the name “Nautilus Parent, Inc.” and NVI became our wholly-owned subsidiary in connection with the acquisition of the Company by affiliates of KKR Sponsor in March 2014.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5"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An investment in our common stock involves risk. Before investing in our common stock, in addition to the risks and uncertainties described below under “Special Note Regarding Forward-Looking Statements,” you should carefully consider the risks and uncertainties discussed under “Risk Factors,” “Management’s Discussion and Analysis of Financial Condition and Results of Operations” and our audited consolidated financial statements and related notes thereto in our Annual Report on Form 10-K for the fiscal year ended December 30, 2017, or the Annual Report, and “Management’s Discussion and Analysis of Financial Condition and Results of Operations” and our unaudited condensed consolidated financial statements and related notes thereto in our Quarterly Reports on Form 10-Q for the quarterly periods ended March 31, 2018, June 30, 2018 and September 29, 2018, or our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common stock pursuant to this prospectus. Any of these risks could materially and adversely affect our business, financial condition, or results of operations.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Certain matters we discuss in this prospectus and in any prospectus supplement or free writing prospectus that we may provide to you in connection with an offering of our common stock described in this prospectus, and in the documents we incorporate or are deemed to be incorporated by reference by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and any prospectus supplement. Such risks, uncertainties, and other important factors include, among others, the risks, uncertainties and factors set forth under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“Risk Factors” and “Management’s Discussion and Analysis of Financial Condition and Results of Operations” in our Annual Report and “Management’s Discussion and Analysis of Financial Condition and Results of Operations” in our Quarterly Reports, which are incorporated herein by reference. You should evaluate all forward-looking statements made, or incorporated by reference, in this prospectus in the context of these risks and uncertainties.</w:t>
      </w:r>
    </w:p>
    <w:p>
      <w:pPr>
        <w:spacing w:after="0" w:line="64"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not receive any of the proceeds from a sale of shares of our common stock by any selling stockholders.</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or Board of Directors, determines otherwise, we will issue all shares of our capital stock in uncertificated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57"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KKR Sponsor and Berkshire, or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20" w:firstLine="360"/>
        <w:spacing w:after="0" w:line="268"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the Sponsors under the stockholders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w:t>
      </w:r>
    </w:p>
    <w:p>
      <w:pPr>
        <w:spacing w:after="0" w:line="8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influence or obtain control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60" w:firstLine="360"/>
        <w:spacing w:after="0" w:line="263"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Any amendment, alteration, change, addition, rescission or repeal of our amended and restated bylaws by our stockholders requires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12" w:lineRule="auto"/>
        <w:rPr>
          <w:sz w:val="20"/>
          <w:szCs w:val="20"/>
          <w:color w:val="auto"/>
        </w:rPr>
      </w:pPr>
      <w:r>
        <w:rPr>
          <w:rFonts w:ascii="Arial" w:cs="Arial" w:eastAsia="Arial" w:hAnsi="Arial"/>
          <w:sz w:val="18"/>
          <w:szCs w:val="18"/>
          <w:color w:val="auto"/>
        </w:rPr>
        <w:t>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2" w:lineRule="exact"/>
        <w:rPr>
          <w:sz w:val="20"/>
          <w:szCs w:val="20"/>
          <w:color w:val="auto"/>
        </w:rPr>
      </w:pPr>
    </w:p>
    <w:p>
      <w:pPr>
        <w:ind w:left="700" w:hanging="35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 for stockholders to amend our amended and restated bylaws;</w:t>
      </w:r>
    </w:p>
    <w:p>
      <w:pPr>
        <w:spacing w:after="0" w:line="111" w:lineRule="exact"/>
        <w:rPr>
          <w:rFonts w:ascii="Arial" w:cs="Arial" w:eastAsia="Arial" w:hAnsi="Arial"/>
          <w:sz w:val="17"/>
          <w:szCs w:val="17"/>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w:t>
      </w:r>
    </w:p>
    <w:p>
      <w:pPr>
        <w:spacing w:after="0" w:line="112" w:lineRule="exact"/>
        <w:rPr>
          <w:sz w:val="20"/>
          <w:szCs w:val="20"/>
          <w:color w:val="auto"/>
        </w:rPr>
      </w:pPr>
    </w:p>
    <w:p>
      <w:pPr>
        <w:ind w:right="12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Information about selling stockholders will be set forth in a prospectus supplement, in a post-effective amendment or in filings we will make with the SEC that are incorporated by reference in this prospectus.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selling stockholders may sell the shares of our common stock covered by this prospectus in any of the following ways (or in any combination):</w:t>
      </w:r>
    </w:p>
    <w:p>
      <w:pPr>
        <w:spacing w:after="0" w:line="62" w:lineRule="exact"/>
        <w:rPr>
          <w:sz w:val="20"/>
          <w:szCs w:val="20"/>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or through underwriters, brokers or dealers (acting as agent or principal);</w:t>
      </w:r>
    </w:p>
    <w:p>
      <w:pPr>
        <w:spacing w:after="0" w:line="117" w:lineRule="exact"/>
        <w:rPr>
          <w:rFonts w:ascii="Arial" w:cs="Arial" w:eastAsia="Arial" w:hAnsi="Arial"/>
          <w:sz w:val="18"/>
          <w:szCs w:val="18"/>
          <w:color w:val="auto"/>
        </w:rPr>
      </w:pPr>
    </w:p>
    <w:p>
      <w:pPr>
        <w:ind w:left="700" w:right="160" w:hanging="356"/>
        <w:spacing w:after="0" w:line="308"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through a block trade in which the broker or dealer engaged to handle the block trade will attempt to sell the securities as an agent, but may position and resell a portion of the block as principal to facilitate the transaction;</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directly to one or more purchasers, including through a specific bidding or auction process or otherwise;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directly to or through agents;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w:t>
      </w:r>
    </w:p>
    <w:p>
      <w:pPr>
        <w:spacing w:after="0" w:line="62"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Each time that the selling stockholders sell shares of our common stock covered by this prospectus, we will provide a prospectus supplement that will describe the method of distribution and set forth the terms and conditions of the offering of such shares, including:</w:t>
      </w:r>
    </w:p>
    <w:p>
      <w:pPr>
        <w:spacing w:after="0" w:line="73" w:lineRule="exact"/>
        <w:rPr>
          <w:sz w:val="20"/>
          <w:szCs w:val="20"/>
          <w:color w:val="auto"/>
        </w:rPr>
      </w:pPr>
    </w:p>
    <w:p>
      <w:pPr>
        <w:ind w:left="700" w:right="12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shares underwritten or purchased by each of them;</w:t>
      </w:r>
    </w:p>
    <w:p>
      <w:pPr>
        <w:spacing w:after="0" w:line="62" w:lineRule="exact"/>
        <w:rPr>
          <w:rFonts w:ascii="Arial" w:cs="Arial" w:eastAsia="Arial" w:hAnsi="Arial"/>
          <w:sz w:val="18"/>
          <w:szCs w:val="18"/>
          <w:color w:val="auto"/>
        </w:rPr>
      </w:pPr>
    </w:p>
    <w:p>
      <w:pPr>
        <w:jc w:val="both"/>
        <w:ind w:left="700" w:right="40" w:hanging="356"/>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of the shares and the proceeds to the selling stockholders, and any underwriting discounts, commissions, concessions or agency fees allowed or reallowed or paid to dealers, and other items constituting underwriters’, dealers’, or agents’ compensation, as applicable;</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options under which underwriters may purchase additional shares from the selling stockholders;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securities exchange or market on which the shares may be listed or traded.</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Any offering price and any discounts, commissions, concessions or agency fees allowed or reallowed or paid to dealers may be changed from time to time. The selling stockholders may determine the price or other terms of the shares of our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selling stockholders sell securities to a dealer acting as a principal, the dealer may resell such securities at varying prices to be determined by such dealer in its discretion at the time of resale without consulting with the selling stockholders and such resale prices may not be disclosed in the applicable prospectus supplement.</w:t>
      </w:r>
    </w:p>
    <w:p>
      <w:pPr>
        <w:spacing w:after="0" w:line="7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The selling stockholders may distribute the shares from time to time in one or more transactions at a fixed price or at prices that may be changed from time to time, at market prices prevailing at the time of sale, at prices relating to such prevailing market prices or at negotiated prices. Any of the prices may represent a discount of then-prevailing market prices.</w:t>
      </w:r>
    </w:p>
    <w:p>
      <w:pPr>
        <w:spacing w:after="0" w:line="5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Underwriters, dealers or any other third parties described above may offer and sell the offered shares from time to time in one or more transactions, including negotiated transactions, at a fixed public offering price or at varying prices determined at the time of sale. If underwriters or dealers are used in the sale of any shares, the shares will be acquired by the underwriters or dealers for their own account and may be resold from time to time in one or more 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purchase the shares will be subject to certain conditions precedent. The underwriters will be obligated to purchase all of the shares if they purchase any of the shares (other than any shares purchased upon exercise of any option to purchase additional shares), unless otherwise specified in the prospectus supplement. The selling stockholders may use underwriters with whom we have a material relationship. We will describe the nature of any such relationship in the prospectus supplement, naming the underwriter or underwriters.</w:t>
      </w:r>
    </w:p>
    <w:p>
      <w:pPr>
        <w:spacing w:after="0" w:line="8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selling stockholders may sell the shares through agents from time to time. The prospectus supplement will name any agent involved in the offer or sale of the shares and any commissions paid to them. Generally, any agent will be acting on a best efforts basis for the period of its appointment. The selling stockholders may engage in at the market offerings into an existing trading market in accordance with Rule 415(a)(4) under the Securities Act. The selling stockholders may authorize underwriters, dealers or agents to solicit offers by certain purchasers to purchase the shares from the selling stockholders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any commissions to be paid for solicitation of these contracts. Any underwriters, broker-dealers and agents that participate in the distribution of the shares may be deemed to be “underwriters” as defined in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Offered shares may also be offered and sold, if so indicated in the applicable prospectus supplement, in connection with a remarketing upon their purchase, in accordance with a redemption or repayment pursuant to their terms, or otherwise, by one or more marketing firms, acting as principals for their own accounts or as agents for the selling stockholders. Any remarketing firm will be identified and the terms of its agreements, if any, with us and its compensation will be described in the applicable prospectus supplement.</w:t>
      </w:r>
    </w:p>
    <w:p>
      <w:pPr>
        <w:spacing w:after="0" w:line="80"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Underwriters or agents may purchase and sell the shares in the open market. These transactions may include over-allotments or short sales of the securities, stabilizing transactions, syndicate covering transactions and penalty bids.</w:t>
      </w:r>
    </w:p>
    <w:p>
      <w:pPr>
        <w:spacing w:after="0" w:line="3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consist of bids or purchases for the purpose of preventing or retarding a decline in the market price of the shares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under the symbol “EYE.”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at the time of any offering made under this prospectus a member of the Financial Industry Regulatory Authority, Inc., or FINRA, participating in the offering has a “conflict of interest” as defined in FINRA’s Rule 5121, or Rule 5121, that offering will be conducted in accordance with the relevant provisions of Rule 5121.</w:t>
      </w:r>
    </w:p>
    <w:p>
      <w:pPr>
        <w:spacing w:after="0" w:line="7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There can be no assurance that the selling stockholders will sell all or any of the shares of common stock offered by this prospectus.</w:t>
      </w:r>
    </w:p>
    <w:p>
      <w:pPr>
        <w:spacing w:after="0" w:line="62" w:lineRule="exact"/>
        <w:rPr>
          <w:sz w:val="20"/>
          <w:szCs w:val="20"/>
          <w:color w:val="auto"/>
        </w:rPr>
      </w:pPr>
    </w:p>
    <w:p>
      <w:pPr>
        <w:ind w:right="620" w:firstLine="360"/>
        <w:spacing w:after="0" w:line="308" w:lineRule="auto"/>
        <w:rPr>
          <w:sz w:val="20"/>
          <w:szCs w:val="20"/>
          <w:color w:val="auto"/>
        </w:rPr>
      </w:pPr>
      <w:r>
        <w:rPr>
          <w:rFonts w:ascii="Arial" w:cs="Arial" w:eastAsia="Arial" w:hAnsi="Arial"/>
          <w:sz w:val="17"/>
          <w:szCs w:val="17"/>
          <w:color w:val="auto"/>
        </w:rPr>
        <w:t>The selling stockholders may also sell securities under Rule 144 of the Securities Act, if available, or pursuant to other available exemptions from registration requirements under the Securities Act, rather than under this prospectus.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99" w:firstLine="360"/>
        <w:spacing w:after="0" w:line="264" w:lineRule="auto"/>
        <w:rPr>
          <w:sz w:val="20"/>
          <w:szCs w:val="20"/>
          <w:color w:val="auto"/>
        </w:rPr>
      </w:pPr>
      <w:r>
        <w:rPr>
          <w:rFonts w:ascii="Arial" w:cs="Arial" w:eastAsia="Arial" w:hAnsi="Arial"/>
          <w:sz w:val="18"/>
          <w:szCs w:val="18"/>
          <w:color w:val="auto"/>
        </w:rPr>
        <w:t>Agents, dealers and underwriters may be entitled to indemnification by us and the selling stockholders against certain civil liabilities, including liabilities under the Securities Act, or to contribution with respect to payments which the agents, dealers or underwriters may be required to make in respect thereof.</w:t>
      </w:r>
    </w:p>
    <w:p>
      <w:pPr>
        <w:spacing w:after="0" w:line="73" w:lineRule="exact"/>
        <w:rPr>
          <w:sz w:val="20"/>
          <w:szCs w:val="20"/>
          <w:color w:val="auto"/>
        </w:rPr>
      </w:pPr>
    </w:p>
    <w:p>
      <w:pPr>
        <w:jc w:val="both"/>
        <w:ind w:right="119" w:firstLine="360"/>
        <w:spacing w:after="0" w:line="277" w:lineRule="auto"/>
        <w:rPr>
          <w:sz w:val="20"/>
          <w:szCs w:val="20"/>
          <w:color w:val="auto"/>
        </w:rPr>
      </w:pPr>
      <w:r>
        <w:rPr>
          <w:rFonts w:ascii="Arial" w:cs="Arial" w:eastAsia="Arial" w:hAnsi="Arial"/>
          <w:sz w:val="18"/>
          <w:szCs w:val="18"/>
          <w:color w:val="auto"/>
        </w:rPr>
        <w:t>The specific terms of the lock-up provisions in respect of any given offering will be described in the applicable prospectus supplement.</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Unless we state otherwise in the applicable prospectus supplement, the validity of the shares of common stock offered by this prospectus will be passed upon for us and the selling stockholders by Simpson Thacher &amp; Bartlett LLP, New York, New York.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consolidated financial statements incorporated in this prospectus by reference from the Company’s Annual Report on Form 10-K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and all documents that we subsequently file with the SEC under Sections 13(a), 13(c), 14 or 15(d) of the Exchange Act prior to the termination of the offering of shares by means of this prospectus but excluding any documents furnished to, rather than filed with, the SEC, will also be incorporated by reference in this prospectus and deemed to be part of this prospectus, from their respective filing dates:</w:t>
      </w:r>
    </w:p>
    <w:p>
      <w:pPr>
        <w:spacing w:after="0" w:line="58" w:lineRule="exact"/>
        <w:rPr>
          <w:sz w:val="20"/>
          <w:szCs w:val="20"/>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filed on May 15, 2018, June 30, 2018, filed on August 14, 2018, and September 29, 2018, filed on November 13, 2018;</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Reports on Form 8-K filed on January 23, 2018, March 19, 2018, June 7, 2018, July 30, 2018, September 10, 2018 and October 9, 2018; and</w:t>
      </w:r>
    </w:p>
    <w:p>
      <w:pPr>
        <w:spacing w:after="0" w:line="62" w:lineRule="exact"/>
        <w:rPr>
          <w:rFonts w:ascii="Arial" w:cs="Arial" w:eastAsia="Arial" w:hAnsi="Arial"/>
          <w:sz w:val="18"/>
          <w:szCs w:val="18"/>
          <w:color w:val="auto"/>
        </w:rPr>
      </w:pPr>
    </w:p>
    <w:p>
      <w:pPr>
        <w:ind w:left="700" w:right="340" w:hanging="356"/>
        <w:spacing w:after="0" w:line="308"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1189990</wp:posOffset>
            </wp:positionV>
            <wp:extent cx="1346200" cy="1046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60"/>
        <w:spacing w:after="0"/>
        <w:rPr>
          <w:sz w:val="20"/>
          <w:szCs w:val="20"/>
          <w:color w:val="auto"/>
        </w:rPr>
      </w:pPr>
      <w:r>
        <w:rPr>
          <w:rFonts w:ascii="Arial" w:cs="Arial" w:eastAsia="Arial" w:hAnsi="Arial"/>
          <w:sz w:val="32"/>
          <w:szCs w:val="32"/>
          <w:b w:val="1"/>
          <w:bCs w:val="1"/>
          <w:color w:val="auto"/>
        </w:rPr>
        <w:t>National Vision Holdings, Inc.</w:t>
      </w:r>
    </w:p>
    <w:p>
      <w:pPr>
        <w:spacing w:after="0" w:line="200" w:lineRule="exact"/>
        <w:rPr>
          <w:sz w:val="20"/>
          <w:szCs w:val="20"/>
          <w:color w:val="auto"/>
        </w:rPr>
      </w:pPr>
    </w:p>
    <w:p>
      <w:pPr>
        <w:spacing w:after="0" w:line="283"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739140</wp:posOffset>
            </wp:positionV>
            <wp:extent cx="1449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42"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149225</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2764790</wp:posOffset>
            </wp:positionV>
            <wp:extent cx="6071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2807970</wp:posOffset>
            </wp:positionV>
            <wp:extent cx="60718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3116580</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type w:val="continuous"/>
        </w:sectPr>
      </w:pPr>
    </w:p>
    <w:bookmarkStart w:id="24" w:name="page25"/>
    <w:bookmarkEnd w:id="2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647"/>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7" w:right="180" w:firstLine="360"/>
        <w:spacing w:after="0" w:line="311" w:lineRule="auto"/>
        <w:rPr>
          <w:sz w:val="20"/>
          <w:szCs w:val="20"/>
          <w:color w:val="auto"/>
        </w:rPr>
      </w:pPr>
      <w:r>
        <w:rPr>
          <w:rFonts w:ascii="Arial" w:cs="Arial" w:eastAsia="Arial" w:hAnsi="Arial"/>
          <w:sz w:val="16"/>
          <w:szCs w:val="16"/>
          <w:color w:val="auto"/>
        </w:rPr>
        <w:t>The following table sets forth the expenses payable by the Registrant in connection with the issuance and distribution of common stock being registered hereby (other than underwriting discounts and commissions). All of such expenses are estimates, except for the Financial Industry Regulatory Authority, or FINRA, filing fee. All of such expenses will be borne by the Registrant.</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225,500</w:t>
            </w:r>
          </w:p>
        </w:tc>
        <w:tc>
          <w:tcPr>
            <w:tcW w:w="100" w:type="dxa"/>
            <w:vAlign w:val="bottom"/>
          </w:tcPr>
          <w:p>
            <w:pPr>
              <w:spacing w:after="0"/>
              <w:rPr>
                <w:sz w:val="20"/>
                <w:szCs w:val="20"/>
                <w:color w:val="auto"/>
              </w:rPr>
            </w:pPr>
          </w:p>
        </w:tc>
      </w:tr>
      <w:tr>
        <w:trPr>
          <w:trHeight w:val="25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Registrar and transfer agent fees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7"/>
        </w:trPr>
        <w:tc>
          <w:tcPr>
            <w:tcW w:w="8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accordance with Rules 456(b) and 457(r), payment of the registration fee is deferred.</w:t>
      </w:r>
    </w:p>
    <w:p>
      <w:pPr>
        <w:spacing w:after="0" w:line="109" w:lineRule="exact"/>
        <w:rPr>
          <w:sz w:val="20"/>
          <w:szCs w:val="20"/>
          <w:color w:val="auto"/>
        </w:rPr>
      </w:pPr>
    </w:p>
    <w:p>
      <w:pPr>
        <w:ind w:left="347" w:right="100" w:hanging="347"/>
        <w:spacing w:after="0" w:line="273" w:lineRule="auto"/>
        <w:tabs>
          <w:tab w:leader="none" w:pos="347"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Estimated expenses are not presently known. The applicable prospectus supplement will set forth the estimated amount of such expenses payable in respect of any offering of shares of our common stock.</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85" w:lineRule="exact"/>
        <w:rPr>
          <w:sz w:val="20"/>
          <w:szCs w:val="20"/>
          <w:color w:val="auto"/>
        </w:rPr>
      </w:pPr>
    </w:p>
    <w:p>
      <w:pPr>
        <w:ind w:left="7" w:right="40" w:firstLine="360"/>
        <w:spacing w:after="0" w:line="28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20" w:firstLine="360"/>
        <w:spacing w:after="0" w:line="276"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6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85"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5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underwriting agreement that we may enter into provides for indemnification by the underwriters of us and our officers and directors, and by us of the underwriters, for certain liabilities arising under the Securities Act of 1933, as amended, or the Securities Act, or otherwise in connection with an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the Exhibit Index immediately preceding the signature pages hereto, which is incorporated by reference as if</w:t>
      </w:r>
      <w:r>
        <w:rPr>
          <w:rFonts w:ascii="Arial" w:cs="Arial" w:eastAsia="Arial" w:hAnsi="Arial"/>
          <w:sz w:val="18"/>
          <w:szCs w:val="18"/>
          <w:i w:val="1"/>
          <w:iCs w:val="1"/>
          <w:color w:val="auto"/>
        </w:rPr>
        <w:t xml:space="preserve"> </w:t>
      </w:r>
      <w:r>
        <w:rPr>
          <w:rFonts w:ascii="Arial" w:cs="Arial" w:eastAsia="Arial" w:hAnsi="Arial"/>
          <w:sz w:val="18"/>
          <w:szCs w:val="18"/>
          <w:color w:val="auto"/>
        </w:rPr>
        <w:t>fully set forth herein.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720" w:right="20"/>
        <w:spacing w:after="0" w:line="308" w:lineRule="auto"/>
        <w:rPr>
          <w:rFonts w:ascii="Arial" w:cs="Arial" w:eastAsia="Arial" w:hAnsi="Arial"/>
          <w:sz w:val="18"/>
          <w:szCs w:val="18"/>
          <w:color w:val="auto"/>
        </w:rPr>
      </w:pPr>
      <w:r>
        <w:rPr>
          <w:rFonts w:ascii="Arial" w:cs="Arial" w:eastAsia="Arial" w:hAnsi="Arial"/>
          <w:sz w:val="17"/>
          <w:szCs w:val="17"/>
          <w:color w:val="auto"/>
        </w:rPr>
        <w:t>Schedule I − Condensed Financial Information of National Vision Holdings, Inc. (incorporated by reference to Schedule I as filed in Part II. Item 8 of the Registrant’s Annual Report for the fiscal year ended December 30,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060" w:right="300" w:hanging="351"/>
        <w:spacing w:after="0" w:line="277" w:lineRule="auto"/>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420" w:hanging="346"/>
        <w:spacing w:after="0"/>
        <w:tabs>
          <w:tab w:leader="none" w:pos="14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420" w:right="80" w:hanging="346"/>
        <w:spacing w:after="0" w:line="297" w:lineRule="auto"/>
        <w:tabs>
          <w:tab w:leader="none" w:pos="1420" w:val="left"/>
        </w:tabs>
        <w:numPr>
          <w:ilvl w:val="2"/>
          <w:numId w:val="1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440" w:right="20"/>
        <w:spacing w:after="0" w:line="259" w:lineRule="auto"/>
        <w:rPr>
          <w:sz w:val="20"/>
          <w:szCs w:val="20"/>
          <w:color w:val="auto"/>
        </w:rPr>
      </w:pPr>
      <w:r>
        <w:rPr>
          <w:rFonts w:ascii="Arial" w:cs="Arial" w:eastAsia="Arial" w:hAnsi="Arial"/>
          <w:sz w:val="18"/>
          <w:szCs w:val="18"/>
          <w:color w:val="auto"/>
        </w:rPr>
        <w:t>maximum offering range may be reflected in the form of prospectus filed with the Securities and Exchange Commission, or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9" w:lineRule="exact"/>
        <w:rPr>
          <w:sz w:val="20"/>
          <w:szCs w:val="20"/>
          <w:color w:val="auto"/>
        </w:rPr>
      </w:pPr>
    </w:p>
    <w:p>
      <w:pPr>
        <w:ind w:left="1420" w:right="60" w:hanging="346"/>
        <w:spacing w:after="0" w:line="291" w:lineRule="auto"/>
        <w:tabs>
          <w:tab w:leader="none" w:pos="14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this registration statement or any material change to such information in this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paragraphs (a)(1)(i), (a)(1)(ii) and (a)(1)(iii) do not apply if the information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is contained in a form of prospectus filed pursuant to Rule 424(b) that is part of this registration statement.</w:t>
      </w:r>
    </w:p>
    <w:p>
      <w:pPr>
        <w:spacing w:after="0" w:line="59" w:lineRule="exact"/>
        <w:rPr>
          <w:rFonts w:ascii="Arial" w:cs="Arial" w:eastAsia="Arial" w:hAnsi="Arial"/>
          <w:sz w:val="16"/>
          <w:szCs w:val="16"/>
          <w:color w:val="auto"/>
        </w:rPr>
      </w:pPr>
    </w:p>
    <w:p>
      <w:pPr>
        <w:ind w:left="1060" w:right="100" w:hanging="351"/>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1060" w:right="320" w:hanging="351"/>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060" w:hanging="35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420" w:right="80" w:hanging="346"/>
        <w:spacing w:after="0" w:line="342" w:lineRule="auto"/>
        <w:tabs>
          <w:tab w:leader="none" w:pos="14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 w:lineRule="exact"/>
        <w:rPr>
          <w:rFonts w:ascii="Arial" w:cs="Arial" w:eastAsia="Arial" w:hAnsi="Arial"/>
          <w:sz w:val="16"/>
          <w:szCs w:val="16"/>
          <w:color w:val="auto"/>
        </w:rPr>
      </w:pPr>
    </w:p>
    <w:p>
      <w:pPr>
        <w:ind w:left="1420" w:hanging="346"/>
        <w:spacing w:after="0" w:line="286" w:lineRule="auto"/>
        <w:tabs>
          <w:tab w:leader="none" w:pos="14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3" w:lineRule="exact"/>
        <w:rPr>
          <w:rFonts w:ascii="Arial" w:cs="Arial" w:eastAsia="Arial" w:hAnsi="Arial"/>
          <w:sz w:val="16"/>
          <w:szCs w:val="16"/>
          <w:color w:val="auto"/>
        </w:rPr>
      </w:pPr>
    </w:p>
    <w:p>
      <w:pPr>
        <w:ind w:left="1060" w:right="100" w:hanging="351"/>
        <w:spacing w:after="0" w:line="25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rFonts w:ascii="Arial" w:cs="Arial" w:eastAsia="Arial" w:hAnsi="Arial"/>
          <w:sz w:val="18"/>
          <w:szCs w:val="18"/>
          <w:color w:val="auto"/>
        </w:rPr>
      </w:pPr>
    </w:p>
    <w:p>
      <w:pPr>
        <w:ind w:left="1420" w:right="240" w:hanging="346"/>
        <w:spacing w:after="0" w:line="277"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420" w:right="260" w:hanging="346"/>
        <w:spacing w:after="0" w:line="277"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420" w:right="200" w:hanging="34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 w:lineRule="exact"/>
        <w:rPr>
          <w:rFonts w:ascii="Arial" w:cs="Arial" w:eastAsia="Arial" w:hAnsi="Arial"/>
          <w:sz w:val="16"/>
          <w:szCs w:val="16"/>
          <w:color w:val="auto"/>
        </w:rPr>
      </w:pPr>
    </w:p>
    <w:p>
      <w:pPr>
        <w:ind w:left="1420" w:hanging="346"/>
        <w:spacing w:after="0"/>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140" w:lineRule="exact"/>
        <w:rPr>
          <w:rFonts w:ascii="Arial" w:cs="Arial" w:eastAsia="Arial" w:hAnsi="Arial"/>
          <w:sz w:val="16"/>
          <w:szCs w:val="16"/>
          <w:color w:val="auto"/>
        </w:rPr>
      </w:pPr>
    </w:p>
    <w:p>
      <w:pPr>
        <w:ind w:left="700" w:hanging="356"/>
        <w:spacing w:after="0" w:line="255"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Arial" w:cs="Arial" w:eastAsia="Arial" w:hAnsi="Arial"/>
          <w:sz w:val="18"/>
          <w:szCs w:val="18"/>
          <w:color w:val="auto"/>
        </w:rPr>
      </w:pPr>
    </w:p>
    <w:p>
      <w:pPr>
        <w:ind w:left="700" w:right="100" w:hanging="356"/>
        <w:spacing w:after="0" w:line="289"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120" w:type="dxa"/>
            <w:vAlign w:val="bottom"/>
            <w:gridSpan w:val="2"/>
          </w:tcPr>
          <w:p>
            <w:pPr>
              <w:ind w:left="2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20"/>
        </w:trPr>
        <w:tc>
          <w:tcPr>
            <w:tcW w:w="680" w:type="dxa"/>
            <w:vAlign w:val="bottom"/>
            <w:gridSpan w:val="5"/>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80" w:type="dxa"/>
            <w:vAlign w:val="bottom"/>
            <w:gridSpan w:val="5"/>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120" w:type="dxa"/>
            <w:vAlign w:val="bottom"/>
            <w:gridSpan w:val="2"/>
          </w:tcPr>
          <w:p>
            <w:pPr>
              <w:ind w:left="3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Form of Underwriting Agreement for shares of common stock registered hereby</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 w:type="dxa"/>
            <w:vAlign w:val="bottom"/>
            <w:gridSpan w:val="2"/>
            <w:shd w:val="clear" w:color="auto" w:fill="CCEEFF"/>
          </w:tcPr>
          <w:p>
            <w:pPr>
              <w:spacing w:after="0" w:line="189" w:lineRule="exact"/>
              <w:rPr>
                <w:rFonts w:ascii="Arial" w:cs="Arial" w:eastAsia="Arial" w:hAnsi="Arial"/>
                <w:sz w:val="18"/>
                <w:szCs w:val="18"/>
                <w:color w:val="0000EE"/>
              </w:rPr>
            </w:pPr>
            <w:hyperlink r:id="rId5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8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2"/>
              </w:rPr>
              <w:t>Second Amended and Restated Certificate of Incorporation of National Vision Holdings, Inc. (incorporated by reference</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88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 Exhibit 3.1 to the Registrant’s Current Report on Form 8-K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 w:type="dxa"/>
            <w:vAlign w:val="bottom"/>
            <w:gridSpan w:val="2"/>
            <w:shd w:val="clear" w:color="auto" w:fill="CCEEFF"/>
          </w:tcPr>
          <w:p>
            <w:pPr>
              <w:spacing w:after="0" w:line="189" w:lineRule="exact"/>
              <w:rPr>
                <w:rFonts w:ascii="Arial" w:cs="Arial" w:eastAsia="Arial" w:hAnsi="Arial"/>
                <w:sz w:val="18"/>
                <w:szCs w:val="18"/>
                <w:color w:val="0000EE"/>
              </w:rPr>
            </w:pPr>
            <w:hyperlink r:id="rId56">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8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1"/>
              </w:rPr>
              <w:t>Second Amended and Restated Bylaws of National Vision Holdings, Inc. (incorporated by reference to Exhibit 3.2 to the</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88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Registrant’s Current Report on Form 8-K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 w:type="dxa"/>
            <w:vAlign w:val="bottom"/>
            <w:gridSpan w:val="2"/>
            <w:shd w:val="clear" w:color="auto" w:fill="CCEEFF"/>
          </w:tcPr>
          <w:p>
            <w:pPr>
              <w:spacing w:after="0" w:line="189" w:lineRule="exact"/>
              <w:rPr>
                <w:rFonts w:ascii="Arial" w:cs="Arial" w:eastAsia="Arial" w:hAnsi="Arial"/>
                <w:sz w:val="18"/>
                <w:szCs w:val="18"/>
                <w:color w:val="0000EE"/>
              </w:rPr>
            </w:pPr>
            <w:hyperlink r:id="rId5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8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Form of Common Stock Certificate (incorporated by reference to Exhibit 4.1 to Amendment No. 2 to the Registrant’s</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88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filed on October 16,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 w:type="dxa"/>
            <w:vAlign w:val="bottom"/>
            <w:gridSpan w:val="2"/>
            <w:shd w:val="clear" w:color="auto" w:fill="CCEEFF"/>
          </w:tcPr>
          <w:p>
            <w:pPr>
              <w:spacing w:after="0" w:line="189" w:lineRule="exact"/>
              <w:rPr>
                <w:rFonts w:ascii="Arial" w:cs="Arial" w:eastAsia="Arial" w:hAnsi="Arial"/>
                <w:sz w:val="18"/>
                <w:szCs w:val="18"/>
                <w:color w:val="0000EE"/>
              </w:rPr>
            </w:pPr>
            <w:hyperlink r:id="rId58">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8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5"/>
              </w:rPr>
              <w:t>Registration Rights Agreement, dated as of March 13, 2014, by and among National Vision Holdings, Inc. (formerly</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88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w w:val="96"/>
              </w:rPr>
              <w:t>known as Nautilus Parent, Inc.) and the stockholders party thereto (incorporated by reference to Exhibit 4.2 to the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200" w:type="dxa"/>
            <w:vAlign w:val="bottom"/>
            <w:shd w:val="clear" w:color="auto" w:fill="CCEEFF"/>
          </w:tcPr>
          <w:p>
            <w:pPr>
              <w:spacing w:after="0"/>
              <w:rPr>
                <w:sz w:val="19"/>
                <w:szCs w:val="19"/>
                <w:color w:val="auto"/>
              </w:rPr>
            </w:pPr>
          </w:p>
        </w:tc>
        <w:tc>
          <w:tcPr>
            <w:tcW w:w="888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Opinion of Simpson Thacher &amp; Bartlett LLP</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80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p>
        </w:tc>
        <w:tc>
          <w:tcPr>
            <w:tcW w:w="888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Consent of Simpson Thacher &amp; Bartlett LLP (included in Exhibit 5.1)</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80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2**</w:t>
            </w:r>
          </w:p>
        </w:tc>
        <w:tc>
          <w:tcPr>
            <w:tcW w:w="888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80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 w:type="dxa"/>
            <w:vAlign w:val="bottom"/>
            <w:gridSpan w:val="4"/>
            <w:shd w:val="clear" w:color="auto" w:fill="CCEEFF"/>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888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Power of Attorney (included on signature pages to this Registration Statement)</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bottom w:val="single" w:sz="8" w:color="auto"/>
            </w:tcBorders>
          </w:tcPr>
          <w:p>
            <w:pPr>
              <w:spacing w:after="0"/>
              <w:rPr>
                <w:sz w:val="15"/>
                <w:szCs w:val="15"/>
                <w:color w:val="auto"/>
              </w:rPr>
            </w:pPr>
          </w:p>
        </w:tc>
        <w:tc>
          <w:tcPr>
            <w:tcW w:w="18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0" w:type="dxa"/>
            <w:vAlign w:val="bottom"/>
            <w:tcBorders>
              <w:top w:val="single" w:sz="8" w:color="CCEEFF"/>
              <w:bottom w:val="single" w:sz="8" w:color="auto"/>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580" w:type="dxa"/>
            <w:vAlign w:val="bottom"/>
            <w:tcBorders>
              <w:top w:val="single" w:sz="8" w:color="CCEEFF"/>
              <w:bottom w:val="single" w:sz="8" w:color="auto"/>
            </w:tcBorders>
          </w:tcPr>
          <w:p>
            <w:pPr>
              <w:spacing w:after="0"/>
              <w:rPr>
                <w:sz w:val="15"/>
                <w:szCs w:val="15"/>
                <w:color w:val="auto"/>
              </w:rPr>
            </w:pPr>
          </w:p>
        </w:tc>
        <w:tc>
          <w:tcPr>
            <w:tcW w:w="80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 w:right="1880" w:hanging="7"/>
        <w:spacing w:after="0" w:line="434" w:lineRule="auto"/>
        <w:tabs>
          <w:tab w:leader="none" w:pos="358"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 be filed, if necessary, by amendment or as an exhibit to a Current Report on Form 8-K and incorporated by reference herein. ** Filed herewith.</w:t>
      </w:r>
    </w:p>
    <w:p>
      <w:pPr>
        <w:spacing w:after="0" w:line="5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180" w:firstLine="360"/>
        <w:spacing w:after="0" w:line="293"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Duluth, State of Georgia, on November 14, 2018.</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National Vision Holdings, Inc.</w:t>
      </w:r>
    </w:p>
    <w:p>
      <w:pPr>
        <w:spacing w:after="0" w:line="279"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L. Reade Fahs</w:t>
            </w:r>
          </w:p>
        </w:tc>
      </w:tr>
      <w:tr>
        <w:trPr>
          <w:trHeight w:val="237"/>
        </w:trPr>
        <w:tc>
          <w:tcPr>
            <w:tcW w:w="5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L. Reade Fahs</w:t>
            </w:r>
          </w:p>
        </w:tc>
      </w:tr>
      <w:tr>
        <w:trPr>
          <w:trHeight w:val="243"/>
        </w:trPr>
        <w:tc>
          <w:tcPr>
            <w:tcW w:w="5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 Reade Fahs, Patrick R. Moore, Mitchell Goodman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w:t>
      </w:r>
    </w:p>
    <w:p>
      <w:pPr>
        <w:sectPr>
          <w:pgSz w:w="11900" w:h="16838" w:orient="portrait"/>
          <w:cols w:equalWidth="0" w:num="1">
            <w:col w:w="9560"/>
          </w:cols>
          <w:pgMar w:left="1180" w:top="279" w:right="11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following persons in the capacities indicated on November 14, 2018:</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941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6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L. Reade Fahs</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Patrick R. Moore</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Chris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Chris Beasley</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Felix Gernburd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Felix Gernburd</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Virginia A. Hepner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Virginia A. Hepner</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 Randolph Peeler</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Nathaniel H.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Nathaniel H. Taylor</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David M. Tehle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David M. Tehle</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Thomas V.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Thomas V.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6350</wp:posOffset>
            </wp:positionV>
            <wp:extent cx="3053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00"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Senior Vice President, Chief Financial Officer</w:t>
      </w:r>
    </w:p>
    <w:p>
      <w:pPr>
        <w:spacing w:after="0" w:line="4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(principal financial officer)</w:t>
      </w:r>
    </w:p>
    <w:p>
      <w:pPr>
        <w:spacing w:after="0" w:line="305"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Senior Vice President, Accounting</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(principal accounting officer)</w:t>
      </w:r>
    </w:p>
    <w:p>
      <w:pPr>
        <w:spacing w:after="0" w:line="278"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4960" w:space="540"/>
            <w:col w:w="4060"/>
          </w:cols>
          <w:pgMar w:left="1180" w:top="279" w:right="115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Simpson Thacher &amp; Bartlett LLP</w:t>
      </w:r>
    </w:p>
    <w:p>
      <w:pPr>
        <w:spacing w:after="0" w:line="25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425 LEXINGTON AVENUE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NEW YORK, NY 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142875</wp:posOffset>
            </wp:positionV>
            <wp:extent cx="7289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TELLEPHONE: +1-212-455-2000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+1-212-455-2502</w:t>
      </w:r>
    </w:p>
    <w:p>
      <w:pPr>
        <w:spacing w:after="0" w:line="211"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Direct Dial Number</w:t>
      </w:r>
      <w:r>
        <w:rPr>
          <w:sz w:val="20"/>
          <w:szCs w:val="20"/>
          <w:color w:val="auto"/>
        </w:rPr>
        <w:tab/>
      </w:r>
      <w:r>
        <w:rPr>
          <w:rFonts w:ascii="Arial" w:cs="Arial" w:eastAsia="Arial" w:hAnsi="Arial"/>
          <w:sz w:val="16"/>
          <w:szCs w:val="16"/>
          <w:color w:val="auto"/>
        </w:rPr>
        <w:t>E-mail Address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 Bldg.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30096-4980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acted as counsel to National Vision Holdings, Inc., a Delaware corporation (the “Company”), in connection with the Registration Statement on Form S-3 (the “Registration Statement”) filed by the Company with the Securities and Exchange Commission under the Securities Act of 1933, as amended (the “Securities Act”), relating to the sale by certain selling stockholders of shares of common stock, par value $0.01 per share, of the Company (the “Shares”). The Shares may be sold or delivered from time to time for an indeterminate aggregate initial offering price as set forth in the Registration Statement, any amendment thereto, the prospectus contained therein (the “Prospectus”) and supplements to the Prospectus and pursuant to Rule 415 under the Securities Act.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examined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ind w:right="20" w:firstLine="648"/>
        <w:spacing w:after="0" w:line="277"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the Shares have been validly issued and are fully paid and nonassessable.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hereby consent to the filing of this opinion letter as Exhibit 5 to the Registration Statement and to the use of our name under the caption “Legal Matters” in the Prospectus included in the Registration Statement.</w:t>
      </w:r>
    </w:p>
    <w:p>
      <w:pPr>
        <w:spacing w:after="0" w:line="1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March 8, 2018, relating to the consolidated financial statements of National Vision Holdings, Inc. and subsidiaries appearing in the Annual Report on Form 10-K of National Vision Holdings, Inc. for the year ended December 30, 2017, and to the reference to us under the heading “Experts” in the Prospectus, which is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6B68079A"/>
    <w:multiLevelType w:val="hybridMultilevel"/>
    <w:lvl w:ilvl="0">
      <w:lvlJc w:val="left"/>
      <w:lvlText w:val="%1"/>
      <w:numFmt w:val="decimal"/>
      <w:start w:val="1"/>
    </w:lvl>
    <w:lvl w:ilvl="1">
      <w:lvlJc w:val="left"/>
      <w:lvlText w:val="(%2)"/>
      <w:numFmt w:val="lowerRoman"/>
      <w:start w:val="3"/>
    </w:lvl>
  </w:abstractNum>
  <w:abstractNum w:abstractNumId="14">
    <w:nsid w:val="4E6AFB66"/>
    <w:multiLevelType w:val="hybridMultilevel"/>
    <w:lvl w:ilvl="0">
      <w:lvlJc w:val="left"/>
      <w:lvlText w:val="(%1)"/>
      <w:numFmt w:val="decimal"/>
      <w:start w:val="2"/>
    </w:lvl>
    <w:lvl w:ilvl="1">
      <w:lvlJc w:val="left"/>
      <w:lvlText w:val="(%2)"/>
      <w:numFmt w:val="lowerRoman"/>
      <w:start w:val="1"/>
    </w:lvl>
  </w:abstractNum>
  <w:abstractNum w:abstractNumId="15">
    <w:nsid w:val="25E45D32"/>
    <w:multiLevelType w:val="hybridMultilevel"/>
    <w:lvl w:ilvl="0">
      <w:lvlJc w:val="left"/>
      <w:lvlText w:val="%1"/>
      <w:numFmt w:val="lowerLetter"/>
      <w:start w:val="1"/>
    </w:lvl>
    <w:lvl w:ilvl="1">
      <w:lvlJc w:val="left"/>
      <w:lvlText w:val="(%2)"/>
      <w:numFmt w:val="lowerRoman"/>
      <w:start w:val="2"/>
    </w:lvl>
  </w:abstractNum>
  <w:abstractNum w:abstractNumId="16">
    <w:nsid w:val="519B500D"/>
    <w:multiLevelType w:val="hybridMultilevel"/>
    <w:lvl w:ilvl="0">
      <w:lvlJc w:val="left"/>
      <w:lvlText w:val="(%1)"/>
      <w:numFmt w:val="lowerLetter"/>
      <w:start w:val="2"/>
    </w:lvl>
    <w:lvl w:ilvl="1">
      <w:lvlJc w:val="left"/>
      <w:lvlText w:val="%2"/>
      <w:numFmt w:val="lowerRoman"/>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55" Type="http://schemas.openxmlformats.org/officeDocument/2006/relationships/hyperlink" Target="http://www.sec.gov/Archives/edgar/data/1710155/000156761917002270/s001582x19_ex3-1.htm" TargetMode="External"/><Relationship Id="rId56" Type="http://schemas.openxmlformats.org/officeDocument/2006/relationships/hyperlink" Target="http://www.sec.gov/Archives/edgar/data/1710155/000156761917002270/s001582x19_ex3-2.htm" TargetMode="External"/><Relationship Id="rId57" Type="http://schemas.openxmlformats.org/officeDocument/2006/relationships/hyperlink" Target="http://www.sec.gov/Archives/edgar/data/1710155/000156761917002184/s001582x10_ex4-1.htm" TargetMode="External"/><Relationship Id="rId58" Type="http://schemas.openxmlformats.org/officeDocument/2006/relationships/hyperlink" Target="http://www.sec.gov/Archives/edgar/data/1710155/000156761917002082/s001582x7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2019-12-08T17:09:57Z</dcterms:created>
  <dcterms:modified xsi:type="dcterms:W3CDTF">2019-12-08T17:09:57Z</dcterms:modified>
</cp:coreProperties>
</file>