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0205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1714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May 12, 2020</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248" w:lineRule="exact"/>
        <w:rPr>
          <w:sz w:val="24"/>
          <w:szCs w:val="24"/>
          <w:color w:val="auto"/>
        </w:rPr>
      </w:pPr>
    </w:p>
    <w:tbl>
      <w:tblPr>
        <w:tblLayout w:type="fixed"/>
        <w:tblInd w:w="2240" w:type="dxa"/>
        <w:tblCellMar>
          <w:top w:w="0" w:type="dxa"/>
          <w:left w:w="0" w:type="dxa"/>
          <w:bottom w:w="0" w:type="dxa"/>
          <w:right w:w="0" w:type="dxa"/>
        </w:tblCellMar>
      </w:tblPr>
      <w:tr>
        <w:trPr>
          <w:trHeight w:val="21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1"/>
              </w:rPr>
              <w:t>Delaware</w:t>
            </w:r>
          </w:p>
        </w:tc>
        <w:tc>
          <w:tcPr>
            <w:tcW w:w="282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3"/>
              </w:rPr>
              <w:t>(State or other jurisdiction of</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(I.R.S. Employer</w:t>
            </w:r>
          </w:p>
        </w:tc>
      </w:tr>
      <w:tr>
        <w:trPr>
          <w:trHeight w:val="206"/>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4"/>
              </w:rPr>
              <w:t>incorporation or organization)</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6"/>
              </w:rPr>
              <w:t>Identification No.)</w:t>
            </w:r>
          </w:p>
        </w:tc>
      </w:tr>
      <w:tr>
        <w:trPr>
          <w:trHeight w:val="54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89"/>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2"/>
              </w:rPr>
              <w:t>Building 2200</w:t>
            </w: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560" w:type="dxa"/>
            <w:vAlign w:val="bottom"/>
          </w:tcPr>
          <w:p>
            <w:pPr>
              <w:ind w:left="3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(Zip Code)</w:t>
            </w:r>
          </w:p>
        </w:tc>
      </w:tr>
    </w:tbl>
    <w:p>
      <w:pPr>
        <w:spacing w:after="0" w:line="6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7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3"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4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EYE</w:t>
            </w:r>
          </w:p>
        </w:tc>
        <w:tc>
          <w:tcPr>
            <w:tcW w:w="41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2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p>
      <w:pPr>
        <w:spacing w:after="0" w:line="41" w:lineRule="exact"/>
        <w:rPr>
          <w:sz w:val="24"/>
          <w:szCs w:val="24"/>
          <w:color w:val="auto"/>
        </w:rPr>
      </w:pPr>
    </w:p>
    <w:p>
      <w:pPr>
        <w:spacing w:after="0" w:line="196" w:lineRule="exact"/>
        <w:tabs>
          <w:tab w:leader="none" w:pos="8320" w:val="left"/>
        </w:tabs>
        <w:rPr>
          <w:sz w:val="20"/>
          <w:szCs w:val="20"/>
          <w:color w:val="auto"/>
        </w:rPr>
      </w:pPr>
      <w:r>
        <w:rPr>
          <w:rFonts w:ascii="Arial" w:cs="Arial" w:eastAsia="Arial" w:hAnsi="Arial"/>
          <w:sz w:val="17"/>
          <w:szCs w:val="17"/>
          <w:color w:val="auto"/>
        </w:rPr>
        <w:t>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0205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12, 2020, National Vision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and sold $402.5 million aggregate principal amount of its 2.50% Convertible Senior Notes due 2025 (the “</w:t>
      </w:r>
      <w:r>
        <w:rPr>
          <w:rFonts w:ascii="Arial" w:cs="Arial" w:eastAsia="Arial" w:hAnsi="Arial"/>
          <w:sz w:val="18"/>
          <w:szCs w:val="18"/>
          <w:u w:val="single" w:color="auto"/>
          <w:color w:val="auto"/>
        </w:rPr>
        <w:t>Notes</w:t>
      </w:r>
      <w:r>
        <w:rPr>
          <w:rFonts w:ascii="Arial" w:cs="Arial" w:eastAsia="Arial" w:hAnsi="Arial"/>
          <w:sz w:val="18"/>
          <w:szCs w:val="18"/>
          <w:color w:val="auto"/>
        </w:rPr>
        <w:t>”) (which principal amount included $52.5 million issued pursuant to the full exercise by the initial purchasers of their option to purchase additional Notes), pursuant to an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as of May 12, 2020, between the Company and U.S.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The Notes were sold only to persons reasonably believed to be qualified institutional buyers in reliance on Rule 144A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will pay interest semi-annually in arrears in cash on May 15 and November 15 of each year at a rate of 2.50% per year, commencing on November 15, 2020. The Notes will mature on May 15, 2025, unless earlier repurchased, redeemed or converted.</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Notes are the Company’s senior unsecured obligations that rank senior in right of payment to the Company’s future indebtedness that is expressly subordinated to the Notes, rank equally in right of payment with the Company’s future senior unsecured indebtedness that is not so subordinated, effectively subordinated to the Company’s future secured indebtedness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 to February 15, 2025, the Notes will be convertible at the option of the holder only under the following circumstances:</w:t>
      </w:r>
    </w:p>
    <w:p>
      <w:pPr>
        <w:spacing w:after="0" w:line="117" w:lineRule="exact"/>
        <w:rPr>
          <w:sz w:val="20"/>
          <w:szCs w:val="20"/>
          <w:color w:val="auto"/>
        </w:rPr>
      </w:pPr>
    </w:p>
    <w:p>
      <w:pPr>
        <w:jc w:val="both"/>
        <w:ind w:left="500" w:hanging="6"/>
        <w:spacing w:after="0" w:line="279" w:lineRule="auto"/>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any calendar quarter commencing after the calendar quarter ending on September 30, 2020 (and only during such calendar quarter), if the Last Reported Sale Price (as defined in the Indenture) per share of the Company’s common stock exceeds 130% of the Conversion Price (as defined in the Indenture) for each of at least 20 Trading Days (as defined in the Indenture), whether or not consecutive, during the 30 consecutive Trading Days ending on, and including, the last Trading Day of the immediately preceding calendar quarter;</w:t>
      </w:r>
    </w:p>
    <w:p>
      <w:pPr>
        <w:spacing w:after="0" w:line="63" w:lineRule="exact"/>
        <w:rPr>
          <w:rFonts w:ascii="Arial" w:cs="Arial" w:eastAsia="Arial" w:hAnsi="Arial"/>
          <w:sz w:val="17"/>
          <w:szCs w:val="17"/>
          <w:color w:val="auto"/>
        </w:rPr>
      </w:pPr>
    </w:p>
    <w:p>
      <w:pPr>
        <w:jc w:val="both"/>
        <w:ind w:left="500" w:hanging="6"/>
        <w:spacing w:after="0" w:line="259" w:lineRule="auto"/>
        <w:tabs>
          <w:tab w:leader="none" w:pos="777"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ten consecutive Trading Day period (such ten consecutive trading day period, the “measurement period”) in which the Trading Price (as defined in the Indenture) per $1,000 principal amount of Notes for each Trading Day of the measurement period was less than 98% of the product of the Last Reported Sale Price per share of the Company’s common stock on such Trading Day and the Conversion Rate (as described below) on such Trading Day;</w:t>
      </w:r>
    </w:p>
    <w:p>
      <w:pPr>
        <w:spacing w:after="0" w:line="78" w:lineRule="exact"/>
        <w:rPr>
          <w:rFonts w:ascii="Arial" w:cs="Arial" w:eastAsia="Arial" w:hAnsi="Arial"/>
          <w:sz w:val="18"/>
          <w:szCs w:val="18"/>
          <w:color w:val="auto"/>
        </w:rPr>
      </w:pPr>
    </w:p>
    <w:p>
      <w:pPr>
        <w:ind w:left="800" w:hanging="30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the Company’s common stock, as described in the Indenture; or</w:t>
      </w:r>
    </w:p>
    <w:p>
      <w:pPr>
        <w:spacing w:after="0" w:line="117" w:lineRule="exact"/>
        <w:rPr>
          <w:rFonts w:ascii="Arial" w:cs="Arial" w:eastAsia="Arial" w:hAnsi="Arial"/>
          <w:sz w:val="18"/>
          <w:szCs w:val="18"/>
          <w:color w:val="auto"/>
        </w:rPr>
      </w:pPr>
    </w:p>
    <w:p>
      <w:pPr>
        <w:ind w:left="800" w:hanging="30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Company calls such Notes for redemption.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or after February 15, 2025 until 5:00 p.m., New York City time, on the second Scheduled Trading Day (as defined in the Indenture) immediately before the maturity date, the Notes will be convertible at the option of the holder at any time.</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Notes will initially be convertible at a Conversion Rate of 32.0783 shares of common stock per $1,000 principal amount of Notes, which is equivalent to an initial Conversion Price of approximately $31.17 per share of common stock. The Conversion Rate is subject to adjustment upon certain events. Upon conversion, the Company will satisfy its conversion obligation by paying or delivering, at its election, cash, shares of its common stock or a combination of cash and shares of its common stock, as applicable.</w:t>
      </w:r>
    </w:p>
    <w:p>
      <w:pPr>
        <w:spacing w:after="0" w:line="79"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The Company will have the option to redeem the Notes in whole or in part at any time on or after May 22, 2023 and on or before the 40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Scheduled Trading Day immediately before the maturity date if the Last Reported Sale Price per share of the Company’s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Notes to be redeemed, plus accrued and unpaid interest, if any, to, but excluding, the redemption date.</w:t>
      </w:r>
    </w:p>
    <w:p>
      <w:pPr>
        <w:spacing w:after="0" w:line="9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Upon a Fundamental Change (as defined in the Indenture), holders may, subject to certain exceptions, require the Company to purchase their Notes in whole or in part for cash at a price equal to the principal amount of the Notes to be purchased, plus accrued and unpaid interest, if any, to, but excluding, the Fundamental Change Repurchase Date (as defined in the Indenture). In addition, upon a Make-Whole Fundamental Change (as defined in the Indenture), the Company will, under certain circumstances, increase the applicable Conversion Rate for a holder that elects to convert its Notes in connection with such Make-Whole Fundamental Change. No adjustment to the Conversion Rate will be made if the Stock Price (as defined in the Indenture) in such Make-Whole Fundamental Change is either less than $24.45 per share or greater than $175.00 per share. The Company will not increase the Conversion Rate to an amount that exceeds 40.8997 shares per $1,000 principal amount of Notes, subject to adjustment. The Indenture also contains a customary merger covenant.</w:t>
      </w:r>
    </w:p>
    <w:p>
      <w:pPr>
        <w:sectPr>
          <w:pgSz w:w="11900" w:h="16838" w:orient="portrait"/>
          <w:cols w:equalWidth="0" w:num="1">
            <w:col w:w="11240"/>
          </w:cols>
          <w:pgMar w:left="320" w:top="661" w:right="339" w:bottom="1440" w:gutter="0" w:footer="0" w:header="0"/>
        </w:sectPr>
      </w:pPr>
    </w:p>
    <w:bookmarkStart w:id="2" w:name="page3"/>
    <w:bookmarkEnd w:id="2"/>
    <w:p>
      <w:pPr>
        <w:jc w:val="both"/>
        <w:ind w:firstLine="486"/>
        <w:spacing w:after="0" w:line="272" w:lineRule="auto"/>
        <w:rPr>
          <w:sz w:val="20"/>
          <w:szCs w:val="20"/>
          <w:color w:val="auto"/>
        </w:rPr>
      </w:pPr>
      <w:r>
        <w:rPr>
          <w:rFonts w:ascii="Arial" w:cs="Arial" w:eastAsia="Arial" w:hAnsi="Arial"/>
          <w:sz w:val="17"/>
          <w:szCs w:val="17"/>
          <w:color w:val="auto"/>
        </w:rPr>
        <w:t>Under the Indenture, the Notes may be accelerated upon the occurrence of certain customary events of default. If certain bankruptcy and insolvency-related events of default with respect to the Company occur, the principal of, and accrued and unpaid interest on, all of the then outstanding Notes shall automatically become due and payable. If any other event of default occurs and is continuing, the Trustee by notice to the Company, or the holders of the Notes of at least 25% in principal amount of the outstanding Notes by notice to the Company and the Trustee, may declare the principal of, and accrued and unpaid interest on, all of the then outstanding Notes to be due and payable. Notwithstanding the foregoing, the Indenture provides that, to the extent the Company elects, the sole remedy for an event of default relating to certain failures by the Company to comply with reporting covenant in the Indenture consists exclusively of the right to receive additional interest on the Notes.</w:t>
      </w:r>
    </w:p>
    <w:p>
      <w:pPr>
        <w:spacing w:after="0" w:line="6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foregoing description of the Indenture is qualified in its entirety by the copy thereof which is attached as Exhibit 4.1 (which includes the form of 2.50% Convertible Senior Notes due 2025) to this Current Report on Form 8-K and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in connection with the Notes and Indenture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information set forth in Item 1.01 in connection with the Notes and Indenture is incorporated herein by reference. The Company offered and sold the Notes to the initial purchasers in reliance on the exemption from registration provided by Section 4(a)(2) of the Securities Act, and for resale by the initial purchasers to persons reasonably believed to be qualified institutional buyers pursuant to the exemption from registration provided by Rule 144A under the Securities Act. The Company relied on these exemptions from registration based in part on representations made by the initial purchasers in the purchase agreement, dated May 7, 2020, by and between the Company and Goldman Sachs &amp; Co. LLC and BofA Securities, Inc. as the representative of the initial purchasers named therein. The shares of the Company’s common stock issuable upon conversion of the Notes, if any, have not been registered under the Securities Act and may not be offered or sold in the United States absent registration or an applicable exemption from registration requirements.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On May 7, 2020, the Company issued a press release announcing its intent to offer, subject to market and other conditions, the Notes in a private offering. The full text of the press release is furnished as Exhibit 99.1 to this Current Report on Form 8-K and is incorporated herein by reference.</w:t>
      </w:r>
    </w:p>
    <w:p>
      <w:pPr>
        <w:spacing w:after="0" w:line="1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May 7, 2020, the Company issued a press release announcing the pricing of the private offering of the Notes. The full text of the press release is furnished as Exhibit 99.2 to this Current Report on Form 8-K and is incorporated herein by reference.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included in this Current Report on Form 8-K is neither an offer to sell nor a solicitation of an offer to buy any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240"/>
          </w:cols>
          <w:pgMar w:left="320" w:top="6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160" w:type="dxa"/>
            <w:vAlign w:val="bottom"/>
          </w:tcPr>
          <w:p>
            <w:pPr>
              <w:ind w:left="246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360" w:type="dxa"/>
            <w:vAlign w:val="bottom"/>
          </w:tcPr>
          <w:p>
            <w:pPr>
              <w:spacing w:after="0"/>
              <w:rPr>
                <w:sz w:val="24"/>
                <w:szCs w:val="24"/>
                <w:color w:val="auto"/>
              </w:rPr>
            </w:pPr>
          </w:p>
        </w:tc>
        <w:tc>
          <w:tcPr>
            <w:tcW w:w="9380" w:type="dxa"/>
            <w:vAlign w:val="bottom"/>
            <w:gridSpan w:val="3"/>
          </w:tcPr>
          <w:p>
            <w:pPr>
              <w:ind w:left="38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91"/>
        </w:trPr>
        <w:tc>
          <w:tcPr>
            <w:tcW w:w="84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99.1</w:t>
              </w:r>
            </w:hyperlink>
          </w:p>
        </w:tc>
        <w:tc>
          <w:tcPr>
            <w:tcW w:w="360" w:type="dxa"/>
            <w:vAlign w:val="bottom"/>
          </w:tcPr>
          <w:p>
            <w:pPr>
              <w:spacing w:after="0"/>
              <w:rPr>
                <w:sz w:val="24"/>
                <w:szCs w:val="24"/>
                <w:color w:val="auto"/>
              </w:rPr>
            </w:pPr>
          </w:p>
        </w:tc>
        <w:tc>
          <w:tcPr>
            <w:tcW w:w="9380" w:type="dxa"/>
            <w:vAlign w:val="bottom"/>
            <w:gridSpan w:val="3"/>
          </w:tcPr>
          <w:p>
            <w:pPr>
              <w:ind w:left="380"/>
              <w:spacing w:after="0"/>
              <w:rPr>
                <w:sz w:val="20"/>
                <w:szCs w:val="20"/>
                <w:color w:val="auto"/>
              </w:rPr>
            </w:pPr>
            <w:r>
              <w:rPr>
                <w:rFonts w:ascii="Arial" w:cs="Arial" w:eastAsia="Arial" w:hAnsi="Arial"/>
                <w:sz w:val="18"/>
                <w:szCs w:val="18"/>
                <w:color w:val="auto"/>
              </w:rPr>
              <w:t>National Vision Holdings, Inc. Press Release dated May 7, 2020.</w:t>
            </w:r>
          </w:p>
        </w:tc>
      </w:tr>
      <w:tr>
        <w:trPr>
          <w:trHeight w:val="270"/>
        </w:trPr>
        <w:tc>
          <w:tcPr>
            <w:tcW w:w="840" w:type="dxa"/>
            <w:vAlign w:val="bottom"/>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99.2</w:t>
              </w:r>
            </w:hyperlink>
          </w:p>
        </w:tc>
        <w:tc>
          <w:tcPr>
            <w:tcW w:w="360" w:type="dxa"/>
            <w:vAlign w:val="bottom"/>
          </w:tcPr>
          <w:p>
            <w:pPr>
              <w:spacing w:after="0"/>
              <w:rPr>
                <w:sz w:val="23"/>
                <w:szCs w:val="23"/>
                <w:color w:val="auto"/>
              </w:rPr>
            </w:pPr>
          </w:p>
        </w:tc>
        <w:tc>
          <w:tcPr>
            <w:tcW w:w="9380" w:type="dxa"/>
            <w:vAlign w:val="bottom"/>
            <w:gridSpan w:val="3"/>
          </w:tcPr>
          <w:p>
            <w:pPr>
              <w:ind w:left="380"/>
              <w:spacing w:after="0"/>
              <w:rPr>
                <w:sz w:val="20"/>
                <w:szCs w:val="20"/>
                <w:color w:val="auto"/>
              </w:rPr>
            </w:pPr>
            <w:r>
              <w:rPr>
                <w:rFonts w:ascii="Arial" w:cs="Arial" w:eastAsia="Arial" w:hAnsi="Arial"/>
                <w:sz w:val="18"/>
                <w:szCs w:val="18"/>
                <w:color w:val="auto"/>
              </w:rPr>
              <w:t>National Vision Holdings, Inc. Press Release dated May 7, 2020.</w:t>
            </w:r>
          </w:p>
        </w:tc>
      </w:tr>
      <w:tr>
        <w:trPr>
          <w:trHeight w:val="270"/>
        </w:trPr>
        <w:tc>
          <w:tcPr>
            <w:tcW w:w="84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4.1</w:t>
              </w:r>
            </w:hyperlink>
          </w:p>
        </w:tc>
        <w:tc>
          <w:tcPr>
            <w:tcW w:w="360" w:type="dxa"/>
            <w:vAlign w:val="bottom"/>
          </w:tcPr>
          <w:p>
            <w:pPr>
              <w:spacing w:after="0"/>
              <w:rPr>
                <w:sz w:val="23"/>
                <w:szCs w:val="23"/>
                <w:color w:val="auto"/>
              </w:rPr>
            </w:pPr>
          </w:p>
        </w:tc>
        <w:tc>
          <w:tcPr>
            <w:tcW w:w="9380" w:type="dxa"/>
            <w:vAlign w:val="bottom"/>
            <w:gridSpan w:val="3"/>
          </w:tcPr>
          <w:p>
            <w:pPr>
              <w:ind w:left="380"/>
              <w:spacing w:after="0"/>
              <w:rPr>
                <w:sz w:val="20"/>
                <w:szCs w:val="20"/>
                <w:color w:val="auto"/>
              </w:rPr>
            </w:pPr>
            <w:r>
              <w:rPr>
                <w:rFonts w:ascii="Arial" w:cs="Arial" w:eastAsia="Arial" w:hAnsi="Arial"/>
                <w:sz w:val="18"/>
                <w:szCs w:val="18"/>
                <w:color w:val="auto"/>
                <w:w w:val="90"/>
              </w:rPr>
              <w:t>Indenture, dated as of May 12, 2020, between National Vision Holdings, Inc. and U.S. Bank National Association, as trustee.</w:t>
            </w:r>
          </w:p>
        </w:tc>
      </w:tr>
      <w:tr>
        <w:trPr>
          <w:trHeight w:val="270"/>
        </w:trPr>
        <w:tc>
          <w:tcPr>
            <w:tcW w:w="84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4.2</w:t>
              </w:r>
            </w:hyperlink>
          </w:p>
        </w:tc>
        <w:tc>
          <w:tcPr>
            <w:tcW w:w="360" w:type="dxa"/>
            <w:vAlign w:val="bottom"/>
          </w:tcPr>
          <w:p>
            <w:pPr>
              <w:spacing w:after="0"/>
              <w:rPr>
                <w:sz w:val="23"/>
                <w:szCs w:val="23"/>
                <w:color w:val="auto"/>
              </w:rPr>
            </w:pPr>
          </w:p>
        </w:tc>
        <w:tc>
          <w:tcPr>
            <w:tcW w:w="9380" w:type="dxa"/>
            <w:vAlign w:val="bottom"/>
            <w:gridSpan w:val="3"/>
          </w:tcPr>
          <w:p>
            <w:pPr>
              <w:ind w:left="380"/>
              <w:spacing w:after="0"/>
              <w:rPr>
                <w:sz w:val="20"/>
                <w:szCs w:val="20"/>
                <w:color w:val="auto"/>
              </w:rPr>
            </w:pPr>
            <w:r>
              <w:rPr>
                <w:rFonts w:ascii="Arial" w:cs="Arial" w:eastAsia="Arial" w:hAnsi="Arial"/>
                <w:sz w:val="18"/>
                <w:szCs w:val="18"/>
                <w:color w:val="auto"/>
              </w:rPr>
              <w:t>Form of 2.50% Convertible Senior Note due 2025 (included as Exhibit A in Exhibit 4.1).</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3"/>
                <w:szCs w:val="23"/>
                <w:color w:val="auto"/>
              </w:rPr>
            </w:pPr>
          </w:p>
        </w:tc>
        <w:tc>
          <w:tcPr>
            <w:tcW w:w="9380" w:type="dxa"/>
            <w:vAlign w:val="bottom"/>
            <w:gridSpan w:val="3"/>
          </w:tcPr>
          <w:p>
            <w:pPr>
              <w:ind w:left="38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ectPr>
          <w:pgSz w:w="11900" w:h="16838" w:orient="portrait"/>
          <w:cols w:equalWidth="0" w:num="1">
            <w:col w:w="10580"/>
          </w:cols>
          <w:pgMar w:left="360" w:top="553" w:right="9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Date: May 12, 2020</w:t>
            </w:r>
          </w:p>
        </w:tc>
        <w:tc>
          <w:tcPr>
            <w:tcW w:w="2680" w:type="dxa"/>
            <w:vAlign w:val="bottom"/>
          </w:tcPr>
          <w:p>
            <w:pPr>
              <w:ind w:left="1320"/>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Jared Brandman</w:t>
            </w:r>
          </w:p>
        </w:tc>
      </w:tr>
      <w:tr>
        <w:trPr>
          <w:trHeight w:val="27"/>
        </w:trPr>
        <w:tc>
          <w:tcPr>
            <w:tcW w:w="2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2680" w:type="dxa"/>
            <w:vAlign w:val="bottom"/>
          </w:tcPr>
          <w:p>
            <w:pPr>
              <w:ind w:left="1320"/>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70"/>
        </w:trPr>
        <w:tc>
          <w:tcPr>
            <w:tcW w:w="2740" w:type="dxa"/>
            <w:vAlign w:val="bottom"/>
          </w:tcPr>
          <w:p>
            <w:pPr>
              <w:spacing w:after="0"/>
              <w:rPr>
                <w:sz w:val="23"/>
                <w:szCs w:val="23"/>
                <w:color w:val="auto"/>
              </w:rPr>
            </w:pPr>
          </w:p>
        </w:tc>
        <w:tc>
          <w:tcPr>
            <w:tcW w:w="2680" w:type="dxa"/>
            <w:vAlign w:val="bottom"/>
          </w:tcPr>
          <w:p>
            <w:pPr>
              <w:ind w:left="1320"/>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20"/>
          </w:cols>
          <w:pgMar w:left="320" w:top="553"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662305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NATIONAL VISION HOLDINGS, INC.</w:t>
      </w: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U.S. BANK NATIONAL ASSOCIATION</w:t>
      </w:r>
    </w:p>
    <w:p>
      <w:pPr>
        <w:spacing w:after="0" w:line="27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221615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INDENTURE</w:t>
      </w:r>
    </w:p>
    <w:p>
      <w:pPr>
        <w:spacing w:after="0" w:line="260"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Dated as of May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229870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2.50% Convertible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393065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684530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7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0"/>
        </w:trPr>
        <w:tc>
          <w:tcPr>
            <w:tcW w:w="1520" w:type="dxa"/>
            <w:vAlign w:val="bottom"/>
          </w:tcPr>
          <w:p>
            <w:pPr>
              <w:spacing w:after="0"/>
              <w:rPr>
                <w:sz w:val="24"/>
                <w:szCs w:val="24"/>
                <w:color w:val="auto"/>
              </w:rPr>
            </w:pPr>
          </w:p>
        </w:tc>
        <w:tc>
          <w:tcPr>
            <w:tcW w:w="9160" w:type="dxa"/>
            <w:vAlign w:val="bottom"/>
          </w:tcPr>
          <w:p>
            <w:pPr>
              <w:ind w:left="2940"/>
              <w:spacing w:after="0"/>
              <w:rPr>
                <w:sz w:val="20"/>
                <w:szCs w:val="20"/>
                <w:color w:val="auto"/>
              </w:rPr>
            </w:pPr>
            <w:r>
              <w:rPr>
                <w:rFonts w:ascii="Arial" w:cs="Arial" w:eastAsia="Arial" w:hAnsi="Arial"/>
                <w:sz w:val="22"/>
                <w:szCs w:val="22"/>
                <w:b w:val="1"/>
                <w:bCs w:val="1"/>
                <w:color w:val="auto"/>
              </w:rPr>
              <w:t>TABLE OF CONTENTS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8"/>
        </w:trPr>
        <w:tc>
          <w:tcPr>
            <w:tcW w:w="152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22"/>
                <w:szCs w:val="22"/>
                <w:b w:val="1"/>
                <w:bCs w:val="1"/>
                <w:color w:val="auto"/>
              </w:rPr>
              <w:t>Page</w:t>
            </w:r>
          </w:p>
        </w:tc>
      </w:tr>
      <w:tr>
        <w:trPr>
          <w:trHeight w:val="48"/>
        </w:trPr>
        <w:tc>
          <w:tcPr>
            <w:tcW w:w="1520" w:type="dxa"/>
            <w:vAlign w:val="bottom"/>
          </w:tcPr>
          <w:p>
            <w:pPr>
              <w:spacing w:after="0"/>
              <w:rPr>
                <w:sz w:val="4"/>
                <w:szCs w:val="4"/>
                <w:color w:val="auto"/>
              </w:rPr>
            </w:pPr>
          </w:p>
        </w:tc>
        <w:tc>
          <w:tcPr>
            <w:tcW w:w="91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97"/>
        </w:trPr>
        <w:tc>
          <w:tcPr>
            <w:tcW w:w="1520" w:type="dxa"/>
            <w:vAlign w:val="bottom"/>
            <w:shd w:val="clear" w:color="auto" w:fill="CCEEFF"/>
          </w:tcPr>
          <w:p>
            <w:pPr>
              <w:ind w:left="40"/>
              <w:spacing w:after="0"/>
              <w:rPr>
                <w:sz w:val="20"/>
                <w:szCs w:val="20"/>
                <w:color w:val="auto"/>
              </w:rPr>
            </w:pPr>
            <w:r>
              <w:rPr>
                <w:rFonts w:ascii="Arial" w:cs="Arial" w:eastAsia="Arial" w:hAnsi="Arial"/>
                <w:sz w:val="22"/>
                <w:szCs w:val="22"/>
                <w:color w:val="auto"/>
              </w:rPr>
              <w:t>Article 1.</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Definitions; Rules of Construction</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1</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1.01.</w:t>
            </w:r>
          </w:p>
        </w:tc>
        <w:tc>
          <w:tcPr>
            <w:tcW w:w="9160" w:type="dxa"/>
            <w:vAlign w:val="bottom"/>
          </w:tcPr>
          <w:p>
            <w:pPr>
              <w:ind w:left="200"/>
              <w:spacing w:after="0"/>
              <w:rPr>
                <w:sz w:val="20"/>
                <w:szCs w:val="20"/>
                <w:color w:val="auto"/>
              </w:rPr>
            </w:pPr>
            <w:r>
              <w:rPr>
                <w:rFonts w:ascii="Arial" w:cs="Arial" w:eastAsia="Arial" w:hAnsi="Arial"/>
                <w:sz w:val="22"/>
                <w:szCs w:val="22"/>
                <w:color w:val="auto"/>
              </w:rPr>
              <w:t>Definitions</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1</w:t>
            </w:r>
          </w:p>
        </w:tc>
      </w:tr>
      <w:tr>
        <w:trPr>
          <w:trHeight w:val="306"/>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1.02.</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Other Definitions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12</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1.03.</w:t>
            </w:r>
          </w:p>
        </w:tc>
        <w:tc>
          <w:tcPr>
            <w:tcW w:w="9160" w:type="dxa"/>
            <w:vAlign w:val="bottom"/>
          </w:tcPr>
          <w:p>
            <w:pPr>
              <w:ind w:left="200"/>
              <w:spacing w:after="0"/>
              <w:rPr>
                <w:sz w:val="20"/>
                <w:szCs w:val="20"/>
                <w:color w:val="auto"/>
              </w:rPr>
            </w:pPr>
            <w:r>
              <w:rPr>
                <w:rFonts w:ascii="Arial" w:cs="Arial" w:eastAsia="Arial" w:hAnsi="Arial"/>
                <w:sz w:val="22"/>
                <w:szCs w:val="22"/>
                <w:color w:val="auto"/>
              </w:rPr>
              <w:t>Rules of Construction</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13</w:t>
            </w:r>
          </w:p>
        </w:tc>
      </w:tr>
      <w:tr>
        <w:trPr>
          <w:trHeight w:val="305"/>
        </w:trPr>
        <w:tc>
          <w:tcPr>
            <w:tcW w:w="1520" w:type="dxa"/>
            <w:vAlign w:val="bottom"/>
            <w:shd w:val="clear" w:color="auto" w:fill="CCEEFF"/>
          </w:tcPr>
          <w:p>
            <w:pPr>
              <w:ind w:left="40"/>
              <w:spacing w:after="0"/>
              <w:rPr>
                <w:sz w:val="20"/>
                <w:szCs w:val="20"/>
                <w:color w:val="auto"/>
              </w:rPr>
            </w:pPr>
            <w:r>
              <w:rPr>
                <w:rFonts w:ascii="Arial" w:cs="Arial" w:eastAsia="Arial" w:hAnsi="Arial"/>
                <w:sz w:val="22"/>
                <w:szCs w:val="22"/>
                <w:color w:val="auto"/>
              </w:rPr>
              <w:t>Article 2.</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The Notes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14</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2.01.</w:t>
            </w:r>
          </w:p>
        </w:tc>
        <w:tc>
          <w:tcPr>
            <w:tcW w:w="9160" w:type="dxa"/>
            <w:vAlign w:val="bottom"/>
          </w:tcPr>
          <w:p>
            <w:pPr>
              <w:ind w:left="200"/>
              <w:spacing w:after="0"/>
              <w:rPr>
                <w:sz w:val="20"/>
                <w:szCs w:val="20"/>
                <w:color w:val="auto"/>
              </w:rPr>
            </w:pPr>
            <w:r>
              <w:rPr>
                <w:rFonts w:ascii="Arial" w:cs="Arial" w:eastAsia="Arial" w:hAnsi="Arial"/>
                <w:sz w:val="22"/>
                <w:szCs w:val="22"/>
                <w:color w:val="auto"/>
              </w:rPr>
              <w:t>Form, Dating and Denominations</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14</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2.02.</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Execution, Authentication and Delivery</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14</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2.03.</w:t>
            </w:r>
          </w:p>
        </w:tc>
        <w:tc>
          <w:tcPr>
            <w:tcW w:w="9160" w:type="dxa"/>
            <w:vAlign w:val="bottom"/>
          </w:tcPr>
          <w:p>
            <w:pPr>
              <w:ind w:left="200"/>
              <w:spacing w:after="0"/>
              <w:rPr>
                <w:sz w:val="20"/>
                <w:szCs w:val="20"/>
                <w:color w:val="auto"/>
              </w:rPr>
            </w:pPr>
            <w:r>
              <w:rPr>
                <w:rFonts w:ascii="Arial" w:cs="Arial" w:eastAsia="Arial" w:hAnsi="Arial"/>
                <w:sz w:val="22"/>
                <w:szCs w:val="22"/>
                <w:color w:val="auto"/>
              </w:rPr>
              <w:t>Initial Notes and Additional Notes</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15</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2.04.</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Method of Payment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15</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2.05.</w:t>
            </w:r>
          </w:p>
        </w:tc>
        <w:tc>
          <w:tcPr>
            <w:tcW w:w="9160" w:type="dxa"/>
            <w:vAlign w:val="bottom"/>
          </w:tcPr>
          <w:p>
            <w:pPr>
              <w:ind w:left="200"/>
              <w:spacing w:after="0"/>
              <w:rPr>
                <w:sz w:val="20"/>
                <w:szCs w:val="20"/>
                <w:color w:val="auto"/>
              </w:rPr>
            </w:pPr>
            <w:r>
              <w:rPr>
                <w:rFonts w:ascii="Arial" w:cs="Arial" w:eastAsia="Arial" w:hAnsi="Arial"/>
                <w:sz w:val="22"/>
                <w:szCs w:val="22"/>
                <w:color w:val="auto"/>
              </w:rPr>
              <w:t>Accrual of Interest; Defaulted Amounts; When Payment Date is Not a Business Day</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16</w:t>
            </w:r>
          </w:p>
        </w:tc>
      </w:tr>
      <w:tr>
        <w:trPr>
          <w:trHeight w:val="306"/>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2.06.</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Registrar, Paying Agent and Conversion Agent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17</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2.07.</w:t>
            </w:r>
          </w:p>
        </w:tc>
        <w:tc>
          <w:tcPr>
            <w:tcW w:w="9160" w:type="dxa"/>
            <w:vAlign w:val="bottom"/>
          </w:tcPr>
          <w:p>
            <w:pPr>
              <w:ind w:left="200"/>
              <w:spacing w:after="0"/>
              <w:rPr>
                <w:sz w:val="20"/>
                <w:szCs w:val="20"/>
                <w:color w:val="auto"/>
              </w:rPr>
            </w:pPr>
            <w:r>
              <w:rPr>
                <w:rFonts w:ascii="Arial" w:cs="Arial" w:eastAsia="Arial" w:hAnsi="Arial"/>
                <w:sz w:val="22"/>
                <w:szCs w:val="22"/>
                <w:color w:val="auto"/>
              </w:rPr>
              <w:t>Paying Agent and Conversion Agent to Hold Property in Trust</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18</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2.08.</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Holder Lists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18</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2.09.</w:t>
            </w:r>
          </w:p>
        </w:tc>
        <w:tc>
          <w:tcPr>
            <w:tcW w:w="9160" w:type="dxa"/>
            <w:vAlign w:val="bottom"/>
          </w:tcPr>
          <w:p>
            <w:pPr>
              <w:ind w:left="200"/>
              <w:spacing w:after="0"/>
              <w:rPr>
                <w:sz w:val="20"/>
                <w:szCs w:val="20"/>
                <w:color w:val="auto"/>
              </w:rPr>
            </w:pPr>
            <w:r>
              <w:rPr>
                <w:rFonts w:ascii="Arial" w:cs="Arial" w:eastAsia="Arial" w:hAnsi="Arial"/>
                <w:sz w:val="22"/>
                <w:szCs w:val="22"/>
                <w:color w:val="auto"/>
              </w:rPr>
              <w:t>Legends</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18</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2.10.</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Transfers and Exchanges; Certain Transfer Restrictions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19</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2.11.</w:t>
            </w:r>
          </w:p>
        </w:tc>
        <w:tc>
          <w:tcPr>
            <w:tcW w:w="9160" w:type="dxa"/>
            <w:vAlign w:val="bottom"/>
          </w:tcPr>
          <w:p>
            <w:pPr>
              <w:ind w:left="200"/>
              <w:spacing w:after="0"/>
              <w:rPr>
                <w:sz w:val="20"/>
                <w:szCs w:val="20"/>
                <w:color w:val="auto"/>
              </w:rPr>
            </w:pPr>
            <w:r>
              <w:rPr>
                <w:rFonts w:ascii="Arial" w:cs="Arial" w:eastAsia="Arial" w:hAnsi="Arial"/>
                <w:sz w:val="22"/>
                <w:szCs w:val="22"/>
                <w:color w:val="auto"/>
              </w:rPr>
              <w:t>Exchange and Cancellation of Notes to Be Converted, Redeemed or Repurchased</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24</w:t>
            </w:r>
          </w:p>
        </w:tc>
      </w:tr>
      <w:tr>
        <w:trPr>
          <w:trHeight w:val="306"/>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2.12.</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Removal of Transfer Restrictions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25</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2.13.</w:t>
            </w:r>
          </w:p>
        </w:tc>
        <w:tc>
          <w:tcPr>
            <w:tcW w:w="9160" w:type="dxa"/>
            <w:vAlign w:val="bottom"/>
          </w:tcPr>
          <w:p>
            <w:pPr>
              <w:ind w:left="200"/>
              <w:spacing w:after="0"/>
              <w:rPr>
                <w:sz w:val="20"/>
                <w:szCs w:val="20"/>
                <w:color w:val="auto"/>
              </w:rPr>
            </w:pPr>
            <w:r>
              <w:rPr>
                <w:rFonts w:ascii="Arial" w:cs="Arial" w:eastAsia="Arial" w:hAnsi="Arial"/>
                <w:sz w:val="22"/>
                <w:szCs w:val="22"/>
                <w:color w:val="auto"/>
              </w:rPr>
              <w:t>Replacement Notes</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25</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2.14.</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Registered Holders; Certain Rights with Respect to Global Notes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26</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2.15.</w:t>
            </w:r>
          </w:p>
        </w:tc>
        <w:tc>
          <w:tcPr>
            <w:tcW w:w="9160" w:type="dxa"/>
            <w:vAlign w:val="bottom"/>
          </w:tcPr>
          <w:p>
            <w:pPr>
              <w:ind w:left="200"/>
              <w:spacing w:after="0"/>
              <w:rPr>
                <w:sz w:val="20"/>
                <w:szCs w:val="20"/>
                <w:color w:val="auto"/>
              </w:rPr>
            </w:pPr>
            <w:r>
              <w:rPr>
                <w:rFonts w:ascii="Arial" w:cs="Arial" w:eastAsia="Arial" w:hAnsi="Arial"/>
                <w:sz w:val="22"/>
                <w:szCs w:val="22"/>
                <w:color w:val="auto"/>
              </w:rPr>
              <w:t>Cancellation</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26</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2.16.</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Notes Held by the Company or its Affiliates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26</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2.17.</w:t>
            </w:r>
          </w:p>
        </w:tc>
        <w:tc>
          <w:tcPr>
            <w:tcW w:w="9160" w:type="dxa"/>
            <w:vAlign w:val="bottom"/>
          </w:tcPr>
          <w:p>
            <w:pPr>
              <w:ind w:left="200"/>
              <w:spacing w:after="0"/>
              <w:rPr>
                <w:sz w:val="20"/>
                <w:szCs w:val="20"/>
                <w:color w:val="auto"/>
              </w:rPr>
            </w:pPr>
            <w:r>
              <w:rPr>
                <w:rFonts w:ascii="Arial" w:cs="Arial" w:eastAsia="Arial" w:hAnsi="Arial"/>
                <w:sz w:val="22"/>
                <w:szCs w:val="22"/>
                <w:color w:val="auto"/>
              </w:rPr>
              <w:t>Temporary Notes</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27</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2.18.</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Outstanding Notes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27</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2.19.</w:t>
            </w:r>
          </w:p>
        </w:tc>
        <w:tc>
          <w:tcPr>
            <w:tcW w:w="9160" w:type="dxa"/>
            <w:vAlign w:val="bottom"/>
          </w:tcPr>
          <w:p>
            <w:pPr>
              <w:ind w:left="200"/>
              <w:spacing w:after="0"/>
              <w:rPr>
                <w:sz w:val="20"/>
                <w:szCs w:val="20"/>
                <w:color w:val="auto"/>
              </w:rPr>
            </w:pPr>
            <w:r>
              <w:rPr>
                <w:rFonts w:ascii="Arial" w:cs="Arial" w:eastAsia="Arial" w:hAnsi="Arial"/>
                <w:sz w:val="22"/>
                <w:szCs w:val="22"/>
                <w:color w:val="auto"/>
              </w:rPr>
              <w:t>Repurchases by the Company</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28</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2.20.</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CUSIP Numbers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28</w:t>
            </w:r>
          </w:p>
        </w:tc>
      </w:tr>
      <w:tr>
        <w:trPr>
          <w:trHeight w:val="288"/>
        </w:trPr>
        <w:tc>
          <w:tcPr>
            <w:tcW w:w="1520" w:type="dxa"/>
            <w:vAlign w:val="bottom"/>
          </w:tcPr>
          <w:p>
            <w:pPr>
              <w:ind w:left="40"/>
              <w:spacing w:after="0"/>
              <w:rPr>
                <w:sz w:val="20"/>
                <w:szCs w:val="20"/>
                <w:color w:val="auto"/>
              </w:rPr>
            </w:pPr>
            <w:r>
              <w:rPr>
                <w:rFonts w:ascii="Arial" w:cs="Arial" w:eastAsia="Arial" w:hAnsi="Arial"/>
                <w:sz w:val="22"/>
                <w:szCs w:val="22"/>
                <w:color w:val="auto"/>
              </w:rPr>
              <w:t>Article 3.</w:t>
            </w:r>
          </w:p>
        </w:tc>
        <w:tc>
          <w:tcPr>
            <w:tcW w:w="9160" w:type="dxa"/>
            <w:vAlign w:val="bottom"/>
          </w:tcPr>
          <w:p>
            <w:pPr>
              <w:ind w:left="200"/>
              <w:spacing w:after="0"/>
              <w:rPr>
                <w:sz w:val="20"/>
                <w:szCs w:val="20"/>
                <w:color w:val="auto"/>
              </w:rPr>
            </w:pPr>
            <w:r>
              <w:rPr>
                <w:rFonts w:ascii="Arial" w:cs="Arial" w:eastAsia="Arial" w:hAnsi="Arial"/>
                <w:sz w:val="22"/>
                <w:szCs w:val="22"/>
                <w:color w:val="auto"/>
              </w:rPr>
              <w:t>Covenants</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28</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3.01.</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Payment on Notes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28</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3.02.</w:t>
            </w:r>
          </w:p>
        </w:tc>
        <w:tc>
          <w:tcPr>
            <w:tcW w:w="9160" w:type="dxa"/>
            <w:vAlign w:val="bottom"/>
          </w:tcPr>
          <w:p>
            <w:pPr>
              <w:ind w:left="200"/>
              <w:spacing w:after="0"/>
              <w:rPr>
                <w:sz w:val="20"/>
                <w:szCs w:val="20"/>
                <w:color w:val="auto"/>
              </w:rPr>
            </w:pPr>
            <w:r>
              <w:rPr>
                <w:rFonts w:ascii="Arial" w:cs="Arial" w:eastAsia="Arial" w:hAnsi="Arial"/>
                <w:sz w:val="22"/>
                <w:szCs w:val="22"/>
                <w:color w:val="auto"/>
              </w:rPr>
              <w:t>Exchange Act Reports</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28</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3.03.</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Rule 144A Information</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29</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3.04.</w:t>
            </w:r>
          </w:p>
        </w:tc>
        <w:tc>
          <w:tcPr>
            <w:tcW w:w="9160" w:type="dxa"/>
            <w:vAlign w:val="bottom"/>
          </w:tcPr>
          <w:p>
            <w:pPr>
              <w:ind w:left="200"/>
              <w:spacing w:after="0"/>
              <w:rPr>
                <w:sz w:val="20"/>
                <w:szCs w:val="20"/>
                <w:color w:val="auto"/>
              </w:rPr>
            </w:pPr>
            <w:r>
              <w:rPr>
                <w:rFonts w:ascii="Arial" w:cs="Arial" w:eastAsia="Arial" w:hAnsi="Arial"/>
                <w:sz w:val="22"/>
                <w:szCs w:val="22"/>
                <w:color w:val="auto"/>
              </w:rPr>
              <w:t>Additional Interest</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29</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3.05.</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Compliance and Default Certificates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30</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3.06.</w:t>
            </w:r>
          </w:p>
        </w:tc>
        <w:tc>
          <w:tcPr>
            <w:tcW w:w="9160" w:type="dxa"/>
            <w:vAlign w:val="bottom"/>
          </w:tcPr>
          <w:p>
            <w:pPr>
              <w:ind w:left="200"/>
              <w:spacing w:after="0"/>
              <w:rPr>
                <w:sz w:val="20"/>
                <w:szCs w:val="20"/>
                <w:color w:val="auto"/>
              </w:rPr>
            </w:pPr>
            <w:r>
              <w:rPr>
                <w:rFonts w:ascii="Arial" w:cs="Arial" w:eastAsia="Arial" w:hAnsi="Arial"/>
                <w:sz w:val="22"/>
                <w:szCs w:val="22"/>
                <w:color w:val="auto"/>
              </w:rPr>
              <w:t>Stay, Extension and Usury Laws</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30</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3.07.</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Corporate Existence</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31</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3.08.</w:t>
            </w:r>
          </w:p>
        </w:tc>
        <w:tc>
          <w:tcPr>
            <w:tcW w:w="9160" w:type="dxa"/>
            <w:vAlign w:val="bottom"/>
          </w:tcPr>
          <w:p>
            <w:pPr>
              <w:ind w:left="200"/>
              <w:spacing w:after="0"/>
              <w:rPr>
                <w:sz w:val="20"/>
                <w:szCs w:val="20"/>
                <w:color w:val="auto"/>
              </w:rPr>
            </w:pPr>
            <w:r>
              <w:rPr>
                <w:rFonts w:ascii="Arial" w:cs="Arial" w:eastAsia="Arial" w:hAnsi="Arial"/>
                <w:sz w:val="22"/>
                <w:szCs w:val="22"/>
                <w:color w:val="auto"/>
              </w:rPr>
              <w:t>Restriction on Acquisition of Notes by the Company and its Affiliates</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31</w:t>
            </w:r>
          </w:p>
        </w:tc>
      </w:tr>
      <w:tr>
        <w:trPr>
          <w:trHeight w:val="305"/>
        </w:trPr>
        <w:tc>
          <w:tcPr>
            <w:tcW w:w="1520" w:type="dxa"/>
            <w:vAlign w:val="bottom"/>
            <w:shd w:val="clear" w:color="auto" w:fill="CCEEFF"/>
          </w:tcPr>
          <w:p>
            <w:pPr>
              <w:ind w:left="40"/>
              <w:spacing w:after="0"/>
              <w:rPr>
                <w:sz w:val="20"/>
                <w:szCs w:val="20"/>
                <w:color w:val="auto"/>
              </w:rPr>
            </w:pPr>
            <w:r>
              <w:rPr>
                <w:rFonts w:ascii="Arial" w:cs="Arial" w:eastAsia="Arial" w:hAnsi="Arial"/>
                <w:sz w:val="22"/>
                <w:szCs w:val="22"/>
                <w:color w:val="auto"/>
              </w:rPr>
              <w:t>Article 4.</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Repurchase and Redemption</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31</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4.01.</w:t>
            </w:r>
          </w:p>
        </w:tc>
        <w:tc>
          <w:tcPr>
            <w:tcW w:w="9160" w:type="dxa"/>
            <w:vAlign w:val="bottom"/>
          </w:tcPr>
          <w:p>
            <w:pPr>
              <w:ind w:left="200"/>
              <w:spacing w:after="0"/>
              <w:rPr>
                <w:sz w:val="20"/>
                <w:szCs w:val="20"/>
                <w:color w:val="auto"/>
              </w:rPr>
            </w:pPr>
            <w:r>
              <w:rPr>
                <w:rFonts w:ascii="Arial" w:cs="Arial" w:eastAsia="Arial" w:hAnsi="Arial"/>
                <w:sz w:val="22"/>
                <w:szCs w:val="22"/>
                <w:color w:val="auto"/>
              </w:rPr>
              <w:t>No Sinking Fund</w:t>
            </w:r>
          </w:p>
        </w:tc>
        <w:tc>
          <w:tcPr>
            <w:tcW w:w="560" w:type="dxa"/>
            <w:vAlign w:val="bottom"/>
            <w:gridSpan w:val="2"/>
          </w:tcPr>
          <w:p>
            <w:pPr>
              <w:jc w:val="right"/>
              <w:ind w:right="100"/>
              <w:spacing w:after="0"/>
              <w:rPr>
                <w:sz w:val="20"/>
                <w:szCs w:val="20"/>
                <w:color w:val="auto"/>
              </w:rPr>
            </w:pPr>
            <w:r>
              <w:rPr>
                <w:rFonts w:ascii="Arial" w:cs="Arial" w:eastAsia="Arial" w:hAnsi="Arial"/>
                <w:sz w:val="22"/>
                <w:szCs w:val="22"/>
                <w:color w:val="auto"/>
              </w:rPr>
              <w:t>31</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4.02.</w:t>
            </w:r>
          </w:p>
        </w:tc>
        <w:tc>
          <w:tcPr>
            <w:tcW w:w="91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Right of Holders to Require the Company to Repurchase Notes upon a</w:t>
            </w: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342"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5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1"/>
              </w:rPr>
              <w:t>Page</w:t>
            </w:r>
          </w:p>
        </w:tc>
      </w:tr>
      <w:tr>
        <w:trPr>
          <w:trHeight w:val="479"/>
        </w:trPr>
        <w:tc>
          <w:tcPr>
            <w:tcW w:w="15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97"/>
        </w:trPr>
        <w:tc>
          <w:tcPr>
            <w:tcW w:w="1520" w:type="dxa"/>
            <w:vAlign w:val="bottom"/>
            <w:shd w:val="clear" w:color="auto" w:fill="CCEEFF"/>
          </w:tcPr>
          <w:p>
            <w:pPr>
              <w:spacing w:after="0"/>
              <w:rPr>
                <w:sz w:val="24"/>
                <w:szCs w:val="24"/>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Fundamental Change</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31</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4.03.</w:t>
            </w:r>
          </w:p>
        </w:tc>
        <w:tc>
          <w:tcPr>
            <w:tcW w:w="8800" w:type="dxa"/>
            <w:vAlign w:val="bottom"/>
          </w:tcPr>
          <w:p>
            <w:pPr>
              <w:ind w:left="200"/>
              <w:spacing w:after="0"/>
              <w:rPr>
                <w:sz w:val="20"/>
                <w:szCs w:val="20"/>
                <w:color w:val="auto"/>
              </w:rPr>
            </w:pPr>
            <w:r>
              <w:rPr>
                <w:rFonts w:ascii="Arial" w:cs="Arial" w:eastAsia="Arial" w:hAnsi="Arial"/>
                <w:sz w:val="22"/>
                <w:szCs w:val="22"/>
                <w:color w:val="auto"/>
              </w:rPr>
              <w:t>Right of the Company to Redeem the Notes</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36</w:t>
            </w:r>
          </w:p>
        </w:tc>
      </w:tr>
      <w:tr>
        <w:trPr>
          <w:trHeight w:val="305"/>
        </w:trPr>
        <w:tc>
          <w:tcPr>
            <w:tcW w:w="1520" w:type="dxa"/>
            <w:vAlign w:val="bottom"/>
            <w:shd w:val="clear" w:color="auto" w:fill="CCEEFF"/>
          </w:tcPr>
          <w:p>
            <w:pPr>
              <w:ind w:left="40"/>
              <w:spacing w:after="0"/>
              <w:rPr>
                <w:sz w:val="20"/>
                <w:szCs w:val="20"/>
                <w:color w:val="auto"/>
              </w:rPr>
            </w:pPr>
            <w:r>
              <w:rPr>
                <w:rFonts w:ascii="Arial" w:cs="Arial" w:eastAsia="Arial" w:hAnsi="Arial"/>
                <w:sz w:val="22"/>
                <w:szCs w:val="22"/>
                <w:color w:val="auto"/>
              </w:rPr>
              <w:t>Article 5.</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Conversion</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38</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5.01.</w:t>
            </w:r>
          </w:p>
        </w:tc>
        <w:tc>
          <w:tcPr>
            <w:tcW w:w="8800" w:type="dxa"/>
            <w:vAlign w:val="bottom"/>
          </w:tcPr>
          <w:p>
            <w:pPr>
              <w:ind w:left="200"/>
              <w:spacing w:after="0"/>
              <w:rPr>
                <w:sz w:val="20"/>
                <w:szCs w:val="20"/>
                <w:color w:val="auto"/>
              </w:rPr>
            </w:pPr>
            <w:r>
              <w:rPr>
                <w:rFonts w:ascii="Arial" w:cs="Arial" w:eastAsia="Arial" w:hAnsi="Arial"/>
                <w:sz w:val="22"/>
                <w:szCs w:val="22"/>
                <w:color w:val="auto"/>
              </w:rPr>
              <w:t>Right to Convert</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38</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5.02.</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Conversion Procedures</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42</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5.03.</w:t>
            </w:r>
          </w:p>
        </w:tc>
        <w:tc>
          <w:tcPr>
            <w:tcW w:w="8800" w:type="dxa"/>
            <w:vAlign w:val="bottom"/>
          </w:tcPr>
          <w:p>
            <w:pPr>
              <w:ind w:left="200"/>
              <w:spacing w:after="0"/>
              <w:rPr>
                <w:sz w:val="20"/>
                <w:szCs w:val="20"/>
                <w:color w:val="auto"/>
              </w:rPr>
            </w:pPr>
            <w:r>
              <w:rPr>
                <w:rFonts w:ascii="Arial" w:cs="Arial" w:eastAsia="Arial" w:hAnsi="Arial"/>
                <w:sz w:val="22"/>
                <w:szCs w:val="22"/>
                <w:color w:val="auto"/>
              </w:rPr>
              <w:t>Settlement upon Conversion</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44</w:t>
            </w:r>
          </w:p>
        </w:tc>
      </w:tr>
      <w:tr>
        <w:trPr>
          <w:trHeight w:val="306"/>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5.04.</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Reserve and Status of Common Stock Issued upon Conversion</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47</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5.05.</w:t>
            </w:r>
          </w:p>
        </w:tc>
        <w:tc>
          <w:tcPr>
            <w:tcW w:w="8800" w:type="dxa"/>
            <w:vAlign w:val="bottom"/>
          </w:tcPr>
          <w:p>
            <w:pPr>
              <w:ind w:left="200"/>
              <w:spacing w:after="0"/>
              <w:rPr>
                <w:sz w:val="20"/>
                <w:szCs w:val="20"/>
                <w:color w:val="auto"/>
              </w:rPr>
            </w:pPr>
            <w:r>
              <w:rPr>
                <w:rFonts w:ascii="Arial" w:cs="Arial" w:eastAsia="Arial" w:hAnsi="Arial"/>
                <w:sz w:val="22"/>
                <w:szCs w:val="22"/>
                <w:color w:val="auto"/>
              </w:rPr>
              <w:t>Adjustments to the Conversion Rate</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47</w:t>
            </w:r>
          </w:p>
        </w:tc>
      </w:tr>
      <w:tr>
        <w:trPr>
          <w:trHeight w:val="306"/>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5.06.</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Voluntary Adjustments</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58</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5.07.</w:t>
            </w:r>
          </w:p>
        </w:tc>
        <w:tc>
          <w:tcPr>
            <w:tcW w:w="8800" w:type="dxa"/>
            <w:vAlign w:val="bottom"/>
          </w:tcPr>
          <w:p>
            <w:pPr>
              <w:ind w:left="200"/>
              <w:spacing w:after="0"/>
              <w:rPr>
                <w:sz w:val="20"/>
                <w:szCs w:val="20"/>
                <w:color w:val="auto"/>
              </w:rPr>
            </w:pPr>
            <w:r>
              <w:rPr>
                <w:rFonts w:ascii="Arial" w:cs="Arial" w:eastAsia="Arial" w:hAnsi="Arial"/>
                <w:sz w:val="22"/>
                <w:szCs w:val="22"/>
                <w:color w:val="auto"/>
                <w:w w:val="94"/>
              </w:rPr>
              <w:t>Adjustments to the Conversion Rate in Connection with a Make-Whole Fundamental Change</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58</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5.08.</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Exchange in Lieu of Conversion</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60</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5.09.</w:t>
            </w:r>
          </w:p>
        </w:tc>
        <w:tc>
          <w:tcPr>
            <w:tcW w:w="8800" w:type="dxa"/>
            <w:vAlign w:val="bottom"/>
          </w:tcPr>
          <w:p>
            <w:pPr>
              <w:ind w:left="200"/>
              <w:spacing w:after="0"/>
              <w:rPr>
                <w:sz w:val="20"/>
                <w:szCs w:val="20"/>
                <w:color w:val="auto"/>
              </w:rPr>
            </w:pPr>
            <w:r>
              <w:rPr>
                <w:rFonts w:ascii="Arial" w:cs="Arial" w:eastAsia="Arial" w:hAnsi="Arial"/>
                <w:sz w:val="22"/>
                <w:szCs w:val="22"/>
                <w:color w:val="auto"/>
              </w:rPr>
              <w:t>Effect of Common Stock Change Event</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60</w:t>
            </w:r>
          </w:p>
        </w:tc>
      </w:tr>
      <w:tr>
        <w:trPr>
          <w:trHeight w:val="305"/>
        </w:trPr>
        <w:tc>
          <w:tcPr>
            <w:tcW w:w="1520" w:type="dxa"/>
            <w:vAlign w:val="bottom"/>
            <w:shd w:val="clear" w:color="auto" w:fill="CCEEFF"/>
          </w:tcPr>
          <w:p>
            <w:pPr>
              <w:ind w:left="40"/>
              <w:spacing w:after="0"/>
              <w:rPr>
                <w:sz w:val="20"/>
                <w:szCs w:val="20"/>
                <w:color w:val="auto"/>
              </w:rPr>
            </w:pPr>
            <w:r>
              <w:rPr>
                <w:rFonts w:ascii="Arial" w:cs="Arial" w:eastAsia="Arial" w:hAnsi="Arial"/>
                <w:sz w:val="22"/>
                <w:szCs w:val="22"/>
                <w:color w:val="auto"/>
              </w:rPr>
              <w:t>Article 6.</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Successors</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62</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6.01.</w:t>
            </w:r>
          </w:p>
        </w:tc>
        <w:tc>
          <w:tcPr>
            <w:tcW w:w="8800" w:type="dxa"/>
            <w:vAlign w:val="bottom"/>
          </w:tcPr>
          <w:p>
            <w:pPr>
              <w:ind w:left="200"/>
              <w:spacing w:after="0"/>
              <w:rPr>
                <w:sz w:val="20"/>
                <w:szCs w:val="20"/>
                <w:color w:val="auto"/>
              </w:rPr>
            </w:pPr>
            <w:r>
              <w:rPr>
                <w:rFonts w:ascii="Arial" w:cs="Arial" w:eastAsia="Arial" w:hAnsi="Arial"/>
                <w:sz w:val="22"/>
                <w:szCs w:val="22"/>
                <w:color w:val="auto"/>
              </w:rPr>
              <w:t>When the Company May Merge, Etc</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62</w:t>
            </w:r>
          </w:p>
        </w:tc>
      </w:tr>
      <w:tr>
        <w:trPr>
          <w:trHeight w:val="306"/>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6.02.</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Successor Corporation Substituted</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63</w:t>
            </w:r>
          </w:p>
        </w:tc>
      </w:tr>
      <w:tr>
        <w:trPr>
          <w:trHeight w:val="288"/>
        </w:trPr>
        <w:tc>
          <w:tcPr>
            <w:tcW w:w="1520" w:type="dxa"/>
            <w:vAlign w:val="bottom"/>
          </w:tcPr>
          <w:p>
            <w:pPr>
              <w:ind w:left="40"/>
              <w:spacing w:after="0"/>
              <w:rPr>
                <w:sz w:val="20"/>
                <w:szCs w:val="20"/>
                <w:color w:val="auto"/>
              </w:rPr>
            </w:pPr>
            <w:r>
              <w:rPr>
                <w:rFonts w:ascii="Arial" w:cs="Arial" w:eastAsia="Arial" w:hAnsi="Arial"/>
                <w:sz w:val="22"/>
                <w:szCs w:val="22"/>
                <w:color w:val="auto"/>
              </w:rPr>
              <w:t>Article 7.</w:t>
            </w:r>
          </w:p>
        </w:tc>
        <w:tc>
          <w:tcPr>
            <w:tcW w:w="8800" w:type="dxa"/>
            <w:vAlign w:val="bottom"/>
          </w:tcPr>
          <w:p>
            <w:pPr>
              <w:ind w:left="200"/>
              <w:spacing w:after="0"/>
              <w:rPr>
                <w:sz w:val="20"/>
                <w:szCs w:val="20"/>
                <w:color w:val="auto"/>
              </w:rPr>
            </w:pPr>
            <w:r>
              <w:rPr>
                <w:rFonts w:ascii="Arial" w:cs="Arial" w:eastAsia="Arial" w:hAnsi="Arial"/>
                <w:sz w:val="22"/>
                <w:szCs w:val="22"/>
                <w:color w:val="auto"/>
              </w:rPr>
              <w:t>Defaults and Remedies</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63</w:t>
            </w:r>
          </w:p>
        </w:tc>
      </w:tr>
      <w:tr>
        <w:trPr>
          <w:trHeight w:val="306"/>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7.01.</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Events of Default</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63</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7.02.</w:t>
            </w:r>
          </w:p>
        </w:tc>
        <w:tc>
          <w:tcPr>
            <w:tcW w:w="8800" w:type="dxa"/>
            <w:vAlign w:val="bottom"/>
          </w:tcPr>
          <w:p>
            <w:pPr>
              <w:ind w:left="200"/>
              <w:spacing w:after="0"/>
              <w:rPr>
                <w:sz w:val="20"/>
                <w:szCs w:val="20"/>
                <w:color w:val="auto"/>
              </w:rPr>
            </w:pPr>
            <w:r>
              <w:rPr>
                <w:rFonts w:ascii="Arial" w:cs="Arial" w:eastAsia="Arial" w:hAnsi="Arial"/>
                <w:sz w:val="22"/>
                <w:szCs w:val="22"/>
                <w:color w:val="auto"/>
              </w:rPr>
              <w:t>Acceleration</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65</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7.03.</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Sole Remedy for a Failure to Report</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65</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7.04.</w:t>
            </w:r>
          </w:p>
        </w:tc>
        <w:tc>
          <w:tcPr>
            <w:tcW w:w="8800" w:type="dxa"/>
            <w:vAlign w:val="bottom"/>
          </w:tcPr>
          <w:p>
            <w:pPr>
              <w:ind w:left="200"/>
              <w:spacing w:after="0"/>
              <w:rPr>
                <w:sz w:val="20"/>
                <w:szCs w:val="20"/>
                <w:color w:val="auto"/>
              </w:rPr>
            </w:pPr>
            <w:r>
              <w:rPr>
                <w:rFonts w:ascii="Arial" w:cs="Arial" w:eastAsia="Arial" w:hAnsi="Arial"/>
                <w:sz w:val="22"/>
                <w:szCs w:val="22"/>
                <w:color w:val="auto"/>
              </w:rPr>
              <w:t>Other Remedies</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67</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7.05.</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Waiver of Past Defaults</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67</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7.06.</w:t>
            </w:r>
          </w:p>
        </w:tc>
        <w:tc>
          <w:tcPr>
            <w:tcW w:w="8800" w:type="dxa"/>
            <w:vAlign w:val="bottom"/>
          </w:tcPr>
          <w:p>
            <w:pPr>
              <w:ind w:left="200"/>
              <w:spacing w:after="0"/>
              <w:rPr>
                <w:sz w:val="20"/>
                <w:szCs w:val="20"/>
                <w:color w:val="auto"/>
              </w:rPr>
            </w:pPr>
            <w:r>
              <w:rPr>
                <w:rFonts w:ascii="Arial" w:cs="Arial" w:eastAsia="Arial" w:hAnsi="Arial"/>
                <w:sz w:val="22"/>
                <w:szCs w:val="22"/>
                <w:color w:val="auto"/>
              </w:rPr>
              <w:t>Control by Majority</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67</w:t>
            </w:r>
          </w:p>
        </w:tc>
      </w:tr>
      <w:tr>
        <w:trPr>
          <w:trHeight w:val="306"/>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7.07.</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Limitation on Suits</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67</w:t>
            </w:r>
          </w:p>
        </w:tc>
      </w:tr>
      <w:tr>
        <w:trPr>
          <w:trHeight w:val="249"/>
        </w:trPr>
        <w:tc>
          <w:tcPr>
            <w:tcW w:w="1520" w:type="dxa"/>
            <w:vAlign w:val="bottom"/>
          </w:tcPr>
          <w:p>
            <w:pPr>
              <w:spacing w:after="0"/>
              <w:rPr>
                <w:sz w:val="21"/>
                <w:szCs w:val="21"/>
                <w:color w:val="auto"/>
              </w:rPr>
            </w:pPr>
          </w:p>
        </w:tc>
        <w:tc>
          <w:tcPr>
            <w:tcW w:w="8800" w:type="dxa"/>
            <w:vAlign w:val="bottom"/>
          </w:tcPr>
          <w:p>
            <w:pPr>
              <w:ind w:left="200"/>
              <w:spacing w:after="0" w:line="248" w:lineRule="exact"/>
              <w:rPr>
                <w:sz w:val="20"/>
                <w:szCs w:val="20"/>
                <w:color w:val="auto"/>
              </w:rPr>
            </w:pPr>
            <w:r>
              <w:rPr>
                <w:rFonts w:ascii="Arial" w:cs="Arial" w:eastAsia="Arial" w:hAnsi="Arial"/>
                <w:sz w:val="22"/>
                <w:szCs w:val="22"/>
                <w:color w:val="auto"/>
                <w:w w:val="98"/>
              </w:rPr>
              <w:t>Right of Holders to Institute Suit for the Enforcement of the Right to Receive Payment and</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83"/>
        </w:trPr>
        <w:tc>
          <w:tcPr>
            <w:tcW w:w="1520" w:type="dxa"/>
            <w:vAlign w:val="bottom"/>
          </w:tcPr>
          <w:p>
            <w:pPr>
              <w:ind w:left="180"/>
              <w:spacing w:after="0"/>
              <w:rPr>
                <w:sz w:val="20"/>
                <w:szCs w:val="20"/>
                <w:color w:val="auto"/>
              </w:rPr>
            </w:pPr>
            <w:r>
              <w:rPr>
                <w:rFonts w:ascii="Arial" w:cs="Arial" w:eastAsia="Arial" w:hAnsi="Arial"/>
                <w:sz w:val="22"/>
                <w:szCs w:val="22"/>
                <w:color w:val="auto"/>
              </w:rPr>
              <w:t>Section 7.08.</w:t>
            </w:r>
          </w:p>
        </w:tc>
        <w:tc>
          <w:tcPr>
            <w:tcW w:w="8800" w:type="dxa"/>
            <w:vAlign w:val="bottom"/>
          </w:tcPr>
          <w:p>
            <w:pPr>
              <w:ind w:left="200"/>
              <w:spacing w:after="0"/>
              <w:rPr>
                <w:sz w:val="20"/>
                <w:szCs w:val="20"/>
                <w:color w:val="auto"/>
              </w:rPr>
            </w:pPr>
            <w:r>
              <w:rPr>
                <w:rFonts w:ascii="Arial" w:cs="Arial" w:eastAsia="Arial" w:hAnsi="Arial"/>
                <w:sz w:val="22"/>
                <w:szCs w:val="22"/>
                <w:color w:val="auto"/>
              </w:rPr>
              <w:t>Conversion Consideration</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68</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7.09.</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Collection Suit by Trustee</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68</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7.10.</w:t>
            </w:r>
          </w:p>
        </w:tc>
        <w:tc>
          <w:tcPr>
            <w:tcW w:w="8800" w:type="dxa"/>
            <w:vAlign w:val="bottom"/>
          </w:tcPr>
          <w:p>
            <w:pPr>
              <w:ind w:left="200"/>
              <w:spacing w:after="0"/>
              <w:rPr>
                <w:sz w:val="20"/>
                <w:szCs w:val="20"/>
                <w:color w:val="auto"/>
              </w:rPr>
            </w:pPr>
            <w:r>
              <w:rPr>
                <w:rFonts w:ascii="Arial" w:cs="Arial" w:eastAsia="Arial" w:hAnsi="Arial"/>
                <w:sz w:val="22"/>
                <w:szCs w:val="22"/>
                <w:color w:val="auto"/>
              </w:rPr>
              <w:t>Trustee May File Proofs of Claim</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68</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7.11.</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Priorities</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69</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7.12.</w:t>
            </w:r>
          </w:p>
        </w:tc>
        <w:tc>
          <w:tcPr>
            <w:tcW w:w="8800" w:type="dxa"/>
            <w:vAlign w:val="bottom"/>
          </w:tcPr>
          <w:p>
            <w:pPr>
              <w:ind w:left="200"/>
              <w:spacing w:after="0"/>
              <w:rPr>
                <w:sz w:val="20"/>
                <w:szCs w:val="20"/>
                <w:color w:val="auto"/>
              </w:rPr>
            </w:pPr>
            <w:r>
              <w:rPr>
                <w:rFonts w:ascii="Arial" w:cs="Arial" w:eastAsia="Arial" w:hAnsi="Arial"/>
                <w:sz w:val="22"/>
                <w:szCs w:val="22"/>
                <w:color w:val="auto"/>
              </w:rPr>
              <w:t>Undertaking for Costs</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69</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7.13.</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Restoration of Rights</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70</w:t>
            </w:r>
          </w:p>
        </w:tc>
      </w:tr>
      <w:tr>
        <w:trPr>
          <w:trHeight w:val="289"/>
        </w:trPr>
        <w:tc>
          <w:tcPr>
            <w:tcW w:w="1520" w:type="dxa"/>
            <w:vAlign w:val="bottom"/>
          </w:tcPr>
          <w:p>
            <w:pPr>
              <w:ind w:left="40"/>
              <w:spacing w:after="0"/>
              <w:rPr>
                <w:sz w:val="20"/>
                <w:szCs w:val="20"/>
                <w:color w:val="auto"/>
              </w:rPr>
            </w:pPr>
            <w:r>
              <w:rPr>
                <w:rFonts w:ascii="Arial" w:cs="Arial" w:eastAsia="Arial" w:hAnsi="Arial"/>
                <w:sz w:val="22"/>
                <w:szCs w:val="22"/>
                <w:color w:val="auto"/>
              </w:rPr>
              <w:t>Article 8.</w:t>
            </w:r>
          </w:p>
        </w:tc>
        <w:tc>
          <w:tcPr>
            <w:tcW w:w="8800" w:type="dxa"/>
            <w:vAlign w:val="bottom"/>
          </w:tcPr>
          <w:p>
            <w:pPr>
              <w:ind w:left="200"/>
              <w:spacing w:after="0"/>
              <w:rPr>
                <w:sz w:val="20"/>
                <w:szCs w:val="20"/>
                <w:color w:val="auto"/>
              </w:rPr>
            </w:pPr>
            <w:r>
              <w:rPr>
                <w:rFonts w:ascii="Arial" w:cs="Arial" w:eastAsia="Arial" w:hAnsi="Arial"/>
                <w:sz w:val="22"/>
                <w:szCs w:val="22"/>
                <w:color w:val="auto"/>
              </w:rPr>
              <w:t>Amendments, Supplements and Waivers</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70</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8.01.</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Without the Consent of Holders</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70</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8.02.</w:t>
            </w:r>
          </w:p>
        </w:tc>
        <w:tc>
          <w:tcPr>
            <w:tcW w:w="8800" w:type="dxa"/>
            <w:vAlign w:val="bottom"/>
          </w:tcPr>
          <w:p>
            <w:pPr>
              <w:ind w:left="200"/>
              <w:spacing w:after="0"/>
              <w:rPr>
                <w:sz w:val="20"/>
                <w:szCs w:val="20"/>
                <w:color w:val="auto"/>
              </w:rPr>
            </w:pPr>
            <w:r>
              <w:rPr>
                <w:rFonts w:ascii="Arial" w:cs="Arial" w:eastAsia="Arial" w:hAnsi="Arial"/>
                <w:sz w:val="22"/>
                <w:szCs w:val="22"/>
                <w:color w:val="auto"/>
              </w:rPr>
              <w:t>With the Consent of Holders</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71</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8.03.</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Notice of Amendments, Supplements and Waivers</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72</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8.04.</w:t>
            </w:r>
          </w:p>
        </w:tc>
        <w:tc>
          <w:tcPr>
            <w:tcW w:w="8800" w:type="dxa"/>
            <w:vAlign w:val="bottom"/>
          </w:tcPr>
          <w:p>
            <w:pPr>
              <w:ind w:left="200"/>
              <w:spacing w:after="0"/>
              <w:rPr>
                <w:sz w:val="20"/>
                <w:szCs w:val="20"/>
                <w:color w:val="auto"/>
              </w:rPr>
            </w:pPr>
            <w:r>
              <w:rPr>
                <w:rFonts w:ascii="Arial" w:cs="Arial" w:eastAsia="Arial" w:hAnsi="Arial"/>
                <w:sz w:val="22"/>
                <w:szCs w:val="22"/>
                <w:color w:val="auto"/>
              </w:rPr>
              <w:t>Revocation, Effect and Solicitation of Consents; Special Record Dates; Etc</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72</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8.05.</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Notations and Exchanges</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73</w:t>
            </w:r>
          </w:p>
        </w:tc>
      </w:tr>
      <w:tr>
        <w:trPr>
          <w:trHeight w:val="288"/>
        </w:trPr>
        <w:tc>
          <w:tcPr>
            <w:tcW w:w="1520" w:type="dxa"/>
            <w:vAlign w:val="bottom"/>
          </w:tcPr>
          <w:p>
            <w:pPr>
              <w:ind w:left="180"/>
              <w:spacing w:after="0"/>
              <w:rPr>
                <w:sz w:val="20"/>
                <w:szCs w:val="20"/>
                <w:color w:val="auto"/>
              </w:rPr>
            </w:pPr>
            <w:r>
              <w:rPr>
                <w:rFonts w:ascii="Arial" w:cs="Arial" w:eastAsia="Arial" w:hAnsi="Arial"/>
                <w:sz w:val="22"/>
                <w:szCs w:val="22"/>
                <w:color w:val="auto"/>
              </w:rPr>
              <w:t>Section 8.06.</w:t>
            </w:r>
          </w:p>
        </w:tc>
        <w:tc>
          <w:tcPr>
            <w:tcW w:w="8800" w:type="dxa"/>
            <w:vAlign w:val="bottom"/>
          </w:tcPr>
          <w:p>
            <w:pPr>
              <w:ind w:left="200"/>
              <w:spacing w:after="0"/>
              <w:rPr>
                <w:sz w:val="20"/>
                <w:szCs w:val="20"/>
                <w:color w:val="auto"/>
              </w:rPr>
            </w:pPr>
            <w:r>
              <w:rPr>
                <w:rFonts w:ascii="Arial" w:cs="Arial" w:eastAsia="Arial" w:hAnsi="Arial"/>
                <w:sz w:val="22"/>
                <w:szCs w:val="22"/>
                <w:color w:val="auto"/>
              </w:rPr>
              <w:t>Trustee to Execute Supplemental Indentures</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73</w:t>
            </w:r>
          </w:p>
        </w:tc>
      </w:tr>
      <w:tr>
        <w:trPr>
          <w:trHeight w:val="305"/>
        </w:trPr>
        <w:tc>
          <w:tcPr>
            <w:tcW w:w="1520" w:type="dxa"/>
            <w:vAlign w:val="bottom"/>
            <w:shd w:val="clear" w:color="auto" w:fill="CCEEFF"/>
          </w:tcPr>
          <w:p>
            <w:pPr>
              <w:ind w:left="40"/>
              <w:spacing w:after="0"/>
              <w:rPr>
                <w:sz w:val="20"/>
                <w:szCs w:val="20"/>
                <w:color w:val="auto"/>
              </w:rPr>
            </w:pPr>
            <w:r>
              <w:rPr>
                <w:rFonts w:ascii="Arial" w:cs="Arial" w:eastAsia="Arial" w:hAnsi="Arial"/>
                <w:sz w:val="22"/>
                <w:szCs w:val="22"/>
                <w:color w:val="auto"/>
              </w:rPr>
              <w:t>Article 9.</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Satisfaction and Discharge</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73</w:t>
            </w:r>
          </w:p>
        </w:tc>
      </w:tr>
      <w:tr>
        <w:trPr>
          <w:trHeight w:val="289"/>
        </w:trPr>
        <w:tc>
          <w:tcPr>
            <w:tcW w:w="1520" w:type="dxa"/>
            <w:vAlign w:val="bottom"/>
          </w:tcPr>
          <w:p>
            <w:pPr>
              <w:ind w:left="180"/>
              <w:spacing w:after="0"/>
              <w:rPr>
                <w:sz w:val="20"/>
                <w:szCs w:val="20"/>
                <w:color w:val="auto"/>
              </w:rPr>
            </w:pPr>
            <w:r>
              <w:rPr>
                <w:rFonts w:ascii="Arial" w:cs="Arial" w:eastAsia="Arial" w:hAnsi="Arial"/>
                <w:sz w:val="22"/>
                <w:szCs w:val="22"/>
                <w:color w:val="auto"/>
              </w:rPr>
              <w:t>Section 9.01.</w:t>
            </w:r>
          </w:p>
        </w:tc>
        <w:tc>
          <w:tcPr>
            <w:tcW w:w="8800" w:type="dxa"/>
            <w:vAlign w:val="bottom"/>
          </w:tcPr>
          <w:p>
            <w:pPr>
              <w:ind w:left="200"/>
              <w:spacing w:after="0"/>
              <w:rPr>
                <w:sz w:val="20"/>
                <w:szCs w:val="20"/>
                <w:color w:val="auto"/>
              </w:rPr>
            </w:pPr>
            <w:r>
              <w:rPr>
                <w:rFonts w:ascii="Arial" w:cs="Arial" w:eastAsia="Arial" w:hAnsi="Arial"/>
                <w:sz w:val="22"/>
                <w:szCs w:val="22"/>
                <w:color w:val="auto"/>
              </w:rPr>
              <w:t>Termination of Company’s Obligations</w:t>
            </w:r>
          </w:p>
        </w:tc>
        <w:tc>
          <w:tcPr>
            <w:tcW w:w="920" w:type="dxa"/>
            <w:vAlign w:val="bottom"/>
            <w:gridSpan w:val="2"/>
          </w:tcPr>
          <w:p>
            <w:pPr>
              <w:jc w:val="center"/>
              <w:ind w:left="392"/>
              <w:spacing w:after="0"/>
              <w:rPr>
                <w:sz w:val="20"/>
                <w:szCs w:val="20"/>
                <w:color w:val="auto"/>
              </w:rPr>
            </w:pPr>
            <w:r>
              <w:rPr>
                <w:rFonts w:ascii="Arial" w:cs="Arial" w:eastAsia="Arial" w:hAnsi="Arial"/>
                <w:sz w:val="22"/>
                <w:szCs w:val="22"/>
                <w:color w:val="auto"/>
                <w:w w:val="89"/>
              </w:rPr>
              <w:t>73</w:t>
            </w:r>
          </w:p>
        </w:tc>
      </w:tr>
      <w:tr>
        <w:trPr>
          <w:trHeight w:val="305"/>
        </w:trPr>
        <w:tc>
          <w:tcPr>
            <w:tcW w:w="15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Section 9.02.</w:t>
            </w:r>
          </w:p>
        </w:tc>
        <w:tc>
          <w:tcPr>
            <w:tcW w:w="880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Repayment to Company</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22"/>
                <w:szCs w:val="22"/>
                <w:color w:val="auto"/>
                <w:w w:val="89"/>
              </w:rPr>
              <w:t>74</w:t>
            </w:r>
          </w:p>
        </w:tc>
      </w:tr>
    </w:tbl>
    <w:p>
      <w:pPr>
        <w:spacing w:after="0" w:line="200" w:lineRule="exact"/>
        <w:rPr>
          <w:sz w:val="20"/>
          <w:szCs w:val="20"/>
          <w:color w:val="auto"/>
        </w:rPr>
      </w:pPr>
    </w:p>
    <w:p>
      <w:pPr>
        <w:sectPr>
          <w:pgSz w:w="11900" w:h="16838" w:orient="portrait"/>
          <w:cols w:equalWidth="0" w:num="1">
            <w:col w:w="11240"/>
          </w:cols>
          <w:pgMar w:left="320" w:top="319"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40"/>
          </w:cols>
          <w:pgMar w:left="320" w:top="319"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Page</w:t>
            </w:r>
          </w:p>
        </w:tc>
      </w:tr>
      <w:tr>
        <w:trPr>
          <w:trHeight w:val="263"/>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r>
      <w:tr>
        <w:trPr>
          <w:trHeight w:val="297"/>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rPr>
              <w:t>Section 9.03.</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Reinstatement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74</w:t>
            </w:r>
          </w:p>
        </w:tc>
      </w:tr>
      <w:tr>
        <w:trPr>
          <w:trHeight w:val="288"/>
        </w:trPr>
        <w:tc>
          <w:tcPr>
            <w:tcW w:w="4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22"/>
                <w:szCs w:val="22"/>
                <w:color w:val="auto"/>
              </w:rPr>
              <w:t>Article 10.</w:t>
            </w:r>
          </w:p>
        </w:tc>
        <w:tc>
          <w:tcPr>
            <w:tcW w:w="8280" w:type="dxa"/>
            <w:vAlign w:val="bottom"/>
          </w:tcPr>
          <w:p>
            <w:pPr>
              <w:ind w:left="160"/>
              <w:spacing w:after="0"/>
              <w:rPr>
                <w:sz w:val="20"/>
                <w:szCs w:val="20"/>
                <w:color w:val="auto"/>
              </w:rPr>
            </w:pPr>
            <w:r>
              <w:rPr>
                <w:rFonts w:ascii="Arial" w:cs="Arial" w:eastAsia="Arial" w:hAnsi="Arial"/>
                <w:sz w:val="22"/>
                <w:szCs w:val="22"/>
                <w:color w:val="auto"/>
              </w:rPr>
              <w:t>Trustee</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74</w:t>
            </w:r>
          </w:p>
        </w:tc>
      </w:tr>
      <w:tr>
        <w:trPr>
          <w:trHeight w:val="306"/>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10.01.</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Duties of the Trustee</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74</w:t>
            </w:r>
          </w:p>
        </w:tc>
      </w:tr>
      <w:tr>
        <w:trPr>
          <w:trHeight w:val="288"/>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10.02.</w:t>
            </w:r>
          </w:p>
        </w:tc>
        <w:tc>
          <w:tcPr>
            <w:tcW w:w="8280" w:type="dxa"/>
            <w:vAlign w:val="bottom"/>
          </w:tcPr>
          <w:p>
            <w:pPr>
              <w:ind w:left="160"/>
              <w:spacing w:after="0"/>
              <w:rPr>
                <w:sz w:val="20"/>
                <w:szCs w:val="20"/>
                <w:color w:val="auto"/>
              </w:rPr>
            </w:pPr>
            <w:r>
              <w:rPr>
                <w:rFonts w:ascii="Arial" w:cs="Arial" w:eastAsia="Arial" w:hAnsi="Arial"/>
                <w:sz w:val="22"/>
                <w:szCs w:val="22"/>
                <w:color w:val="auto"/>
              </w:rPr>
              <w:t>Rights of the Trustee</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75</w:t>
            </w:r>
          </w:p>
        </w:tc>
      </w:tr>
      <w:tr>
        <w:trPr>
          <w:trHeight w:val="306"/>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10.03.</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Individual Rights of the Trustee</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77</w:t>
            </w:r>
          </w:p>
        </w:tc>
      </w:tr>
      <w:tr>
        <w:trPr>
          <w:trHeight w:val="288"/>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10.04.</w:t>
            </w:r>
          </w:p>
        </w:tc>
        <w:tc>
          <w:tcPr>
            <w:tcW w:w="8280" w:type="dxa"/>
            <w:vAlign w:val="bottom"/>
          </w:tcPr>
          <w:p>
            <w:pPr>
              <w:ind w:left="160"/>
              <w:spacing w:after="0"/>
              <w:rPr>
                <w:sz w:val="20"/>
                <w:szCs w:val="20"/>
                <w:color w:val="auto"/>
              </w:rPr>
            </w:pPr>
            <w:r>
              <w:rPr>
                <w:rFonts w:ascii="Arial" w:cs="Arial" w:eastAsia="Arial" w:hAnsi="Arial"/>
                <w:sz w:val="22"/>
                <w:szCs w:val="22"/>
                <w:color w:val="auto"/>
              </w:rPr>
              <w:t>Trustee’s Disclaimer</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77</w:t>
            </w:r>
          </w:p>
        </w:tc>
      </w:tr>
      <w:tr>
        <w:trPr>
          <w:trHeight w:val="305"/>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10.05.</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Notice of Defaults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77</w:t>
            </w:r>
          </w:p>
        </w:tc>
      </w:tr>
      <w:tr>
        <w:trPr>
          <w:trHeight w:val="289"/>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10.06.</w:t>
            </w:r>
          </w:p>
        </w:tc>
        <w:tc>
          <w:tcPr>
            <w:tcW w:w="8280" w:type="dxa"/>
            <w:vAlign w:val="bottom"/>
          </w:tcPr>
          <w:p>
            <w:pPr>
              <w:ind w:left="160"/>
              <w:spacing w:after="0"/>
              <w:rPr>
                <w:sz w:val="20"/>
                <w:szCs w:val="20"/>
                <w:color w:val="auto"/>
              </w:rPr>
            </w:pPr>
            <w:r>
              <w:rPr>
                <w:rFonts w:ascii="Arial" w:cs="Arial" w:eastAsia="Arial" w:hAnsi="Arial"/>
                <w:sz w:val="22"/>
                <w:szCs w:val="22"/>
                <w:color w:val="auto"/>
              </w:rPr>
              <w:t>Compensation and Indemnity</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77</w:t>
            </w:r>
          </w:p>
        </w:tc>
      </w:tr>
      <w:tr>
        <w:trPr>
          <w:trHeight w:val="305"/>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10.07.</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Replacement of the Trustee</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78</w:t>
            </w:r>
          </w:p>
        </w:tc>
      </w:tr>
      <w:tr>
        <w:trPr>
          <w:trHeight w:val="288"/>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10.08.</w:t>
            </w:r>
          </w:p>
        </w:tc>
        <w:tc>
          <w:tcPr>
            <w:tcW w:w="8280" w:type="dxa"/>
            <w:vAlign w:val="bottom"/>
          </w:tcPr>
          <w:p>
            <w:pPr>
              <w:ind w:left="160"/>
              <w:spacing w:after="0"/>
              <w:rPr>
                <w:sz w:val="20"/>
                <w:szCs w:val="20"/>
                <w:color w:val="auto"/>
              </w:rPr>
            </w:pPr>
            <w:r>
              <w:rPr>
                <w:rFonts w:ascii="Arial" w:cs="Arial" w:eastAsia="Arial" w:hAnsi="Arial"/>
                <w:sz w:val="22"/>
                <w:szCs w:val="22"/>
                <w:color w:val="auto"/>
              </w:rPr>
              <w:t>Successor Trustee by Merger, Etc</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79</w:t>
            </w:r>
          </w:p>
        </w:tc>
      </w:tr>
      <w:tr>
        <w:trPr>
          <w:trHeight w:val="306"/>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10.09.</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Eligibility; Disqualification</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79</w:t>
            </w:r>
          </w:p>
        </w:tc>
      </w:tr>
      <w:tr>
        <w:trPr>
          <w:trHeight w:val="288"/>
        </w:trPr>
        <w:tc>
          <w:tcPr>
            <w:tcW w:w="4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22"/>
                <w:szCs w:val="22"/>
                <w:color w:val="auto"/>
              </w:rPr>
              <w:t>Article 11.</w:t>
            </w:r>
          </w:p>
        </w:tc>
        <w:tc>
          <w:tcPr>
            <w:tcW w:w="8280" w:type="dxa"/>
            <w:vAlign w:val="bottom"/>
          </w:tcPr>
          <w:p>
            <w:pPr>
              <w:ind w:left="160"/>
              <w:spacing w:after="0"/>
              <w:rPr>
                <w:sz w:val="20"/>
                <w:szCs w:val="20"/>
                <w:color w:val="auto"/>
              </w:rPr>
            </w:pPr>
            <w:r>
              <w:rPr>
                <w:rFonts w:ascii="Arial" w:cs="Arial" w:eastAsia="Arial" w:hAnsi="Arial"/>
                <w:sz w:val="22"/>
                <w:szCs w:val="22"/>
                <w:color w:val="auto"/>
              </w:rPr>
              <w:t>Miscellaneous</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80</w:t>
            </w:r>
          </w:p>
        </w:tc>
      </w:tr>
      <w:tr>
        <w:trPr>
          <w:trHeight w:val="306"/>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11.01.</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Notices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80</w:t>
            </w:r>
          </w:p>
        </w:tc>
      </w:tr>
      <w:tr>
        <w:trPr>
          <w:trHeight w:val="288"/>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11.02.</w:t>
            </w:r>
          </w:p>
        </w:tc>
        <w:tc>
          <w:tcPr>
            <w:tcW w:w="8280" w:type="dxa"/>
            <w:vAlign w:val="bottom"/>
          </w:tcPr>
          <w:p>
            <w:pPr>
              <w:ind w:left="160"/>
              <w:spacing w:after="0"/>
              <w:rPr>
                <w:sz w:val="20"/>
                <w:szCs w:val="20"/>
                <w:color w:val="auto"/>
              </w:rPr>
            </w:pPr>
            <w:r>
              <w:rPr>
                <w:rFonts w:ascii="Arial" w:cs="Arial" w:eastAsia="Arial" w:hAnsi="Arial"/>
                <w:sz w:val="22"/>
                <w:szCs w:val="22"/>
                <w:color w:val="auto"/>
              </w:rPr>
              <w:t>Delivery of Officer’s Certificate and Opinion of Counsel as to Conditions Precedent</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81</w:t>
            </w:r>
          </w:p>
        </w:tc>
      </w:tr>
      <w:tr>
        <w:trPr>
          <w:trHeight w:val="305"/>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11.03.</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Statements Required in Officer’s Certificate and Opinion of Counsel</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82</w:t>
            </w:r>
          </w:p>
        </w:tc>
      </w:tr>
      <w:tr>
        <w:trPr>
          <w:trHeight w:val="288"/>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11.04.</w:t>
            </w:r>
          </w:p>
        </w:tc>
        <w:tc>
          <w:tcPr>
            <w:tcW w:w="8280" w:type="dxa"/>
            <w:vAlign w:val="bottom"/>
          </w:tcPr>
          <w:p>
            <w:pPr>
              <w:ind w:left="160"/>
              <w:spacing w:after="0"/>
              <w:rPr>
                <w:sz w:val="20"/>
                <w:szCs w:val="20"/>
                <w:color w:val="auto"/>
              </w:rPr>
            </w:pPr>
            <w:r>
              <w:rPr>
                <w:rFonts w:ascii="Arial" w:cs="Arial" w:eastAsia="Arial" w:hAnsi="Arial"/>
                <w:sz w:val="22"/>
                <w:szCs w:val="22"/>
                <w:color w:val="auto"/>
              </w:rPr>
              <w:t>Rules by the Trustee, the Registrar and the Paying Agent</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82</w:t>
            </w:r>
          </w:p>
        </w:tc>
      </w:tr>
      <w:tr>
        <w:trPr>
          <w:trHeight w:val="306"/>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11.05.</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No Personal Liability of Directors, Officers, Employees and Stockholders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82</w:t>
            </w:r>
          </w:p>
        </w:tc>
      </w:tr>
      <w:tr>
        <w:trPr>
          <w:trHeight w:val="288"/>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11.06.</w:t>
            </w:r>
          </w:p>
        </w:tc>
        <w:tc>
          <w:tcPr>
            <w:tcW w:w="8280" w:type="dxa"/>
            <w:vAlign w:val="bottom"/>
          </w:tcPr>
          <w:p>
            <w:pPr>
              <w:ind w:left="160"/>
              <w:spacing w:after="0"/>
              <w:rPr>
                <w:sz w:val="20"/>
                <w:szCs w:val="20"/>
                <w:color w:val="auto"/>
              </w:rPr>
            </w:pPr>
            <w:r>
              <w:rPr>
                <w:rFonts w:ascii="Arial" w:cs="Arial" w:eastAsia="Arial" w:hAnsi="Arial"/>
                <w:sz w:val="22"/>
                <w:szCs w:val="22"/>
                <w:color w:val="auto"/>
              </w:rPr>
              <w:t>No Stockholder Rights for Holders</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82</w:t>
            </w:r>
          </w:p>
        </w:tc>
      </w:tr>
      <w:tr>
        <w:trPr>
          <w:trHeight w:val="306"/>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11.07.</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Governing Law; Waiver of Jury Trial</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82</w:t>
            </w:r>
          </w:p>
        </w:tc>
      </w:tr>
      <w:tr>
        <w:trPr>
          <w:trHeight w:val="288"/>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11.08.</w:t>
            </w:r>
          </w:p>
        </w:tc>
        <w:tc>
          <w:tcPr>
            <w:tcW w:w="8280" w:type="dxa"/>
            <w:vAlign w:val="bottom"/>
          </w:tcPr>
          <w:p>
            <w:pPr>
              <w:ind w:left="160"/>
              <w:spacing w:after="0"/>
              <w:rPr>
                <w:sz w:val="20"/>
                <w:szCs w:val="20"/>
                <w:color w:val="auto"/>
              </w:rPr>
            </w:pPr>
            <w:r>
              <w:rPr>
                <w:rFonts w:ascii="Arial" w:cs="Arial" w:eastAsia="Arial" w:hAnsi="Arial"/>
                <w:sz w:val="22"/>
                <w:szCs w:val="22"/>
                <w:color w:val="auto"/>
              </w:rPr>
              <w:t>Submission to Jurisdiction</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83</w:t>
            </w:r>
          </w:p>
        </w:tc>
      </w:tr>
      <w:tr>
        <w:trPr>
          <w:trHeight w:val="305"/>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11.09.</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No Adverse Interpretation of Other Agreements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83</w:t>
            </w:r>
          </w:p>
        </w:tc>
      </w:tr>
      <w:tr>
        <w:trPr>
          <w:trHeight w:val="289"/>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11.10.</w:t>
            </w:r>
          </w:p>
        </w:tc>
        <w:tc>
          <w:tcPr>
            <w:tcW w:w="8280" w:type="dxa"/>
            <w:vAlign w:val="bottom"/>
          </w:tcPr>
          <w:p>
            <w:pPr>
              <w:ind w:left="160"/>
              <w:spacing w:after="0"/>
              <w:rPr>
                <w:sz w:val="20"/>
                <w:szCs w:val="20"/>
                <w:color w:val="auto"/>
              </w:rPr>
            </w:pPr>
            <w:r>
              <w:rPr>
                <w:rFonts w:ascii="Arial" w:cs="Arial" w:eastAsia="Arial" w:hAnsi="Arial"/>
                <w:sz w:val="22"/>
                <w:szCs w:val="22"/>
                <w:color w:val="auto"/>
              </w:rPr>
              <w:t>Successors</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83</w:t>
            </w:r>
          </w:p>
        </w:tc>
      </w:tr>
      <w:tr>
        <w:trPr>
          <w:trHeight w:val="305"/>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11.11.</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Force Majeure</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83</w:t>
            </w:r>
          </w:p>
        </w:tc>
      </w:tr>
      <w:tr>
        <w:trPr>
          <w:trHeight w:val="288"/>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11.12.</w:t>
            </w:r>
          </w:p>
        </w:tc>
        <w:tc>
          <w:tcPr>
            <w:tcW w:w="8280" w:type="dxa"/>
            <w:vAlign w:val="bottom"/>
          </w:tcPr>
          <w:p>
            <w:pPr>
              <w:ind w:left="160"/>
              <w:spacing w:after="0"/>
              <w:rPr>
                <w:sz w:val="20"/>
                <w:szCs w:val="20"/>
                <w:color w:val="auto"/>
              </w:rPr>
            </w:pPr>
            <w:r>
              <w:rPr>
                <w:rFonts w:ascii="Arial" w:cs="Arial" w:eastAsia="Arial" w:hAnsi="Arial"/>
                <w:sz w:val="22"/>
                <w:szCs w:val="22"/>
                <w:color w:val="auto"/>
              </w:rPr>
              <w:t>U.S.A. PATRIOT Act</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83</w:t>
            </w:r>
          </w:p>
        </w:tc>
      </w:tr>
      <w:tr>
        <w:trPr>
          <w:trHeight w:val="305"/>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11.13.</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Calculations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84</w:t>
            </w:r>
          </w:p>
        </w:tc>
      </w:tr>
      <w:tr>
        <w:trPr>
          <w:trHeight w:val="288"/>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11.14.</w:t>
            </w:r>
          </w:p>
        </w:tc>
        <w:tc>
          <w:tcPr>
            <w:tcW w:w="8280" w:type="dxa"/>
            <w:vAlign w:val="bottom"/>
          </w:tcPr>
          <w:p>
            <w:pPr>
              <w:ind w:left="160"/>
              <w:spacing w:after="0"/>
              <w:rPr>
                <w:sz w:val="20"/>
                <w:szCs w:val="20"/>
                <w:color w:val="auto"/>
              </w:rPr>
            </w:pPr>
            <w:r>
              <w:rPr>
                <w:rFonts w:ascii="Arial" w:cs="Arial" w:eastAsia="Arial" w:hAnsi="Arial"/>
                <w:sz w:val="22"/>
                <w:szCs w:val="22"/>
                <w:color w:val="auto"/>
              </w:rPr>
              <w:t>Severability</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84</w:t>
            </w:r>
          </w:p>
        </w:tc>
      </w:tr>
      <w:tr>
        <w:trPr>
          <w:trHeight w:val="305"/>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11.15.</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Counterparts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84</w:t>
            </w:r>
          </w:p>
        </w:tc>
      </w:tr>
      <w:tr>
        <w:trPr>
          <w:trHeight w:val="289"/>
        </w:trPr>
        <w:tc>
          <w:tcPr>
            <w:tcW w:w="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22"/>
                <w:szCs w:val="22"/>
                <w:color w:val="auto"/>
                <w:w w:val="96"/>
              </w:rPr>
              <w:t>Section 11.16.</w:t>
            </w:r>
          </w:p>
        </w:tc>
        <w:tc>
          <w:tcPr>
            <w:tcW w:w="8280" w:type="dxa"/>
            <w:vAlign w:val="bottom"/>
          </w:tcPr>
          <w:p>
            <w:pPr>
              <w:ind w:left="160"/>
              <w:spacing w:after="0"/>
              <w:rPr>
                <w:sz w:val="20"/>
                <w:szCs w:val="20"/>
                <w:color w:val="auto"/>
              </w:rPr>
            </w:pPr>
            <w:r>
              <w:rPr>
                <w:rFonts w:ascii="Arial" w:cs="Arial" w:eastAsia="Arial" w:hAnsi="Arial"/>
                <w:sz w:val="22"/>
                <w:szCs w:val="22"/>
                <w:color w:val="auto"/>
              </w:rPr>
              <w:t>Table of Contents, Headings, Etc</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84</w:t>
            </w:r>
          </w:p>
        </w:tc>
      </w:tr>
      <w:tr>
        <w:trPr>
          <w:trHeight w:val="305"/>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w w:val="96"/>
              </w:rPr>
              <w:t>Section 11.17.</w:t>
            </w:r>
          </w:p>
        </w:tc>
        <w:tc>
          <w:tcPr>
            <w:tcW w:w="82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Withholding Taxes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84</w:t>
            </w:r>
          </w:p>
        </w:tc>
      </w:tr>
      <w:tr>
        <w:trPr>
          <w:trHeight w:val="324"/>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line="229" w:lineRule="exact"/>
              <w:rPr>
                <w:sz w:val="20"/>
                <w:szCs w:val="20"/>
                <w:color w:val="auto"/>
              </w:rPr>
            </w:pPr>
            <w:r>
              <w:rPr>
                <w:rFonts w:ascii="Arial" w:cs="Arial" w:eastAsia="Arial" w:hAnsi="Arial"/>
                <w:sz w:val="22"/>
                <w:szCs w:val="22"/>
                <w:color w:val="auto"/>
                <w:w w:val="90"/>
              </w:rPr>
              <w:t>Exhibits</w:t>
            </w:r>
          </w:p>
        </w:tc>
        <w:tc>
          <w:tcPr>
            <w:tcW w:w="800" w:type="dxa"/>
            <w:vAlign w:val="bottom"/>
            <w:tcBorders>
              <w:bottom w:val="single" w:sz="8" w:color="CCEEFF"/>
            </w:tcBorders>
            <w:shd w:val="clear" w:color="auto" w:fill="CCEEFF"/>
          </w:tcPr>
          <w:p>
            <w:pPr>
              <w:spacing w:after="0"/>
              <w:rPr>
                <w:sz w:val="24"/>
                <w:szCs w:val="24"/>
                <w:color w:val="auto"/>
              </w:rPr>
            </w:pPr>
          </w:p>
        </w:tc>
        <w:tc>
          <w:tcPr>
            <w:tcW w:w="8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289"/>
        </w:trPr>
        <w:tc>
          <w:tcPr>
            <w:tcW w:w="40" w:type="dxa"/>
            <w:vAlign w:val="bottom"/>
          </w:tcPr>
          <w:p>
            <w:pPr>
              <w:spacing w:after="0"/>
              <w:rPr>
                <w:sz w:val="24"/>
                <w:szCs w:val="24"/>
                <w:color w:val="auto"/>
              </w:rPr>
            </w:pPr>
          </w:p>
        </w:tc>
        <w:tc>
          <w:tcPr>
            <w:tcW w:w="1520" w:type="dxa"/>
            <w:vAlign w:val="bottom"/>
            <w:gridSpan w:val="2"/>
          </w:tcPr>
          <w:p>
            <w:pPr>
              <w:spacing w:after="0"/>
              <w:rPr>
                <w:rFonts w:ascii="Arial" w:cs="Arial" w:eastAsia="Arial" w:hAnsi="Arial"/>
                <w:sz w:val="22"/>
                <w:szCs w:val="22"/>
                <w:u w:val="single" w:color="auto"/>
                <w:color w:val="0000EE"/>
              </w:rPr>
            </w:pPr>
            <w:hyperlink w:anchor="page96">
              <w:r>
                <w:rPr>
                  <w:rFonts w:ascii="Arial" w:cs="Arial" w:eastAsia="Arial" w:hAnsi="Arial"/>
                  <w:sz w:val="22"/>
                  <w:szCs w:val="22"/>
                  <w:u w:val="single" w:color="auto"/>
                  <w:color w:val="0000EE"/>
                </w:rPr>
                <w:t>Exhibit A:</w:t>
              </w:r>
            </w:hyperlink>
          </w:p>
        </w:tc>
        <w:tc>
          <w:tcPr>
            <w:tcW w:w="8280" w:type="dxa"/>
            <w:vAlign w:val="bottom"/>
          </w:tcPr>
          <w:p>
            <w:pPr>
              <w:ind w:left="160"/>
              <w:spacing w:after="0"/>
              <w:rPr>
                <w:rFonts w:ascii="Arial" w:cs="Arial" w:eastAsia="Arial" w:hAnsi="Arial"/>
                <w:sz w:val="22"/>
                <w:szCs w:val="22"/>
                <w:u w:val="single" w:color="auto"/>
                <w:color w:val="0000EE"/>
              </w:rPr>
            </w:pPr>
            <w:hyperlink w:anchor="page96">
              <w:r>
                <w:rPr>
                  <w:rFonts w:ascii="Arial" w:cs="Arial" w:eastAsia="Arial" w:hAnsi="Arial"/>
                  <w:sz w:val="22"/>
                  <w:szCs w:val="22"/>
                  <w:u w:val="single" w:color="auto"/>
                  <w:color w:val="0000EE"/>
                </w:rPr>
                <w:t>Form of Note</w:t>
              </w:r>
            </w:hyperlink>
          </w:p>
        </w:tc>
        <w:tc>
          <w:tcPr>
            <w:tcW w:w="1400" w:type="dxa"/>
            <w:vAlign w:val="bottom"/>
            <w:gridSpan w:val="2"/>
          </w:tcPr>
          <w:p>
            <w:pPr>
              <w:jc w:val="right"/>
              <w:ind w:right="100"/>
              <w:spacing w:after="0"/>
              <w:rPr>
                <w:rFonts w:ascii="Arial" w:cs="Arial" w:eastAsia="Arial" w:hAnsi="Arial"/>
                <w:sz w:val="22"/>
                <w:szCs w:val="22"/>
                <w:u w:val="single" w:color="auto"/>
                <w:color w:val="0000EE"/>
              </w:rPr>
            </w:pPr>
            <w:hyperlink w:anchor="page96">
              <w:r>
                <w:rPr>
                  <w:rFonts w:ascii="Arial" w:cs="Arial" w:eastAsia="Arial" w:hAnsi="Arial"/>
                  <w:sz w:val="22"/>
                  <w:szCs w:val="22"/>
                  <w:u w:val="single" w:color="auto"/>
                  <w:color w:val="0000EE"/>
                </w:rPr>
                <w:t>A-1</w:t>
              </w:r>
            </w:hyperlink>
          </w:p>
        </w:tc>
      </w:tr>
      <w:tr>
        <w:trPr>
          <w:trHeight w:val="305"/>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spacing w:after="0"/>
              <w:rPr>
                <w:rFonts w:ascii="Arial" w:cs="Arial" w:eastAsia="Arial" w:hAnsi="Arial"/>
                <w:sz w:val="22"/>
                <w:szCs w:val="22"/>
                <w:u w:val="single" w:color="auto"/>
                <w:color w:val="0000EE"/>
              </w:rPr>
            </w:pPr>
            <w:hyperlink w:anchor="page107">
              <w:r>
                <w:rPr>
                  <w:rFonts w:ascii="Arial" w:cs="Arial" w:eastAsia="Arial" w:hAnsi="Arial"/>
                  <w:sz w:val="22"/>
                  <w:szCs w:val="22"/>
                  <w:u w:val="single" w:color="auto"/>
                  <w:color w:val="0000EE"/>
                </w:rPr>
                <w:t>Exhibit B-1:</w:t>
              </w:r>
            </w:hyperlink>
          </w:p>
        </w:tc>
        <w:tc>
          <w:tcPr>
            <w:tcW w:w="8280" w:type="dxa"/>
            <w:vAlign w:val="bottom"/>
            <w:shd w:val="clear" w:color="auto" w:fill="CCEEFF"/>
          </w:tcPr>
          <w:p>
            <w:pPr>
              <w:ind w:left="160"/>
              <w:spacing w:after="0"/>
              <w:rPr>
                <w:rFonts w:ascii="Arial" w:cs="Arial" w:eastAsia="Arial" w:hAnsi="Arial"/>
                <w:sz w:val="22"/>
                <w:szCs w:val="22"/>
                <w:u w:val="single" w:color="auto"/>
                <w:color w:val="0000EE"/>
              </w:rPr>
            </w:pPr>
            <w:hyperlink w:anchor="page107">
              <w:r>
                <w:rPr>
                  <w:rFonts w:ascii="Arial" w:cs="Arial" w:eastAsia="Arial" w:hAnsi="Arial"/>
                  <w:sz w:val="22"/>
                  <w:szCs w:val="22"/>
                  <w:u w:val="single" w:color="auto"/>
                  <w:color w:val="0000EE"/>
                </w:rPr>
                <w:t>Form of Restricted Note Legend</w:t>
              </w:r>
            </w:hyperlink>
          </w:p>
        </w:tc>
        <w:tc>
          <w:tcPr>
            <w:tcW w:w="1400" w:type="dxa"/>
            <w:vAlign w:val="bottom"/>
            <w:gridSpan w:val="2"/>
            <w:shd w:val="clear" w:color="auto" w:fill="CCEEFF"/>
          </w:tcPr>
          <w:p>
            <w:pPr>
              <w:jc w:val="right"/>
              <w:ind w:right="100"/>
              <w:spacing w:after="0"/>
              <w:rPr>
                <w:rFonts w:ascii="Arial" w:cs="Arial" w:eastAsia="Arial" w:hAnsi="Arial"/>
                <w:sz w:val="22"/>
                <w:szCs w:val="22"/>
                <w:u w:val="single" w:color="auto"/>
                <w:color w:val="0000EE"/>
              </w:rPr>
            </w:pPr>
            <w:hyperlink w:anchor="page109">
              <w:r>
                <w:rPr>
                  <w:rFonts w:ascii="Arial" w:cs="Arial" w:eastAsia="Arial" w:hAnsi="Arial"/>
                  <w:sz w:val="22"/>
                  <w:szCs w:val="22"/>
                  <w:u w:val="single" w:color="auto"/>
                  <w:color w:val="0000EE"/>
                </w:rPr>
                <w:t>B1-1</w:t>
              </w:r>
            </w:hyperlink>
          </w:p>
        </w:tc>
      </w:tr>
      <w:tr>
        <w:trPr>
          <w:trHeight w:val="288"/>
        </w:trPr>
        <w:tc>
          <w:tcPr>
            <w:tcW w:w="40" w:type="dxa"/>
            <w:vAlign w:val="bottom"/>
          </w:tcPr>
          <w:p>
            <w:pPr>
              <w:spacing w:after="0"/>
              <w:rPr>
                <w:sz w:val="24"/>
                <w:szCs w:val="24"/>
                <w:color w:val="auto"/>
              </w:rPr>
            </w:pPr>
          </w:p>
        </w:tc>
        <w:tc>
          <w:tcPr>
            <w:tcW w:w="1520" w:type="dxa"/>
            <w:vAlign w:val="bottom"/>
            <w:gridSpan w:val="2"/>
          </w:tcPr>
          <w:p>
            <w:pPr>
              <w:spacing w:after="0"/>
              <w:rPr>
                <w:rFonts w:ascii="Arial" w:cs="Arial" w:eastAsia="Arial" w:hAnsi="Arial"/>
                <w:sz w:val="22"/>
                <w:szCs w:val="22"/>
                <w:u w:val="single" w:color="auto"/>
                <w:color w:val="0000EE"/>
              </w:rPr>
            </w:pPr>
            <w:hyperlink w:anchor="page109">
              <w:r>
                <w:rPr>
                  <w:rFonts w:ascii="Arial" w:cs="Arial" w:eastAsia="Arial" w:hAnsi="Arial"/>
                  <w:sz w:val="22"/>
                  <w:szCs w:val="22"/>
                  <w:u w:val="single" w:color="auto"/>
                  <w:color w:val="0000EE"/>
                </w:rPr>
                <w:t>Exhibit B-2:</w:t>
              </w:r>
            </w:hyperlink>
          </w:p>
        </w:tc>
        <w:tc>
          <w:tcPr>
            <w:tcW w:w="8280" w:type="dxa"/>
            <w:vAlign w:val="bottom"/>
          </w:tcPr>
          <w:p>
            <w:pPr>
              <w:ind w:left="160"/>
              <w:spacing w:after="0"/>
              <w:rPr>
                <w:rFonts w:ascii="Arial" w:cs="Arial" w:eastAsia="Arial" w:hAnsi="Arial"/>
                <w:sz w:val="22"/>
                <w:szCs w:val="22"/>
                <w:u w:val="single" w:color="auto"/>
                <w:color w:val="0000EE"/>
              </w:rPr>
            </w:pPr>
            <w:hyperlink w:anchor="page109">
              <w:r>
                <w:rPr>
                  <w:rFonts w:ascii="Arial" w:cs="Arial" w:eastAsia="Arial" w:hAnsi="Arial"/>
                  <w:sz w:val="22"/>
                  <w:szCs w:val="22"/>
                  <w:u w:val="single" w:color="auto"/>
                  <w:color w:val="0000EE"/>
                </w:rPr>
                <w:t>Form of Global Note Legend</w:t>
              </w:r>
            </w:hyperlink>
          </w:p>
        </w:tc>
        <w:tc>
          <w:tcPr>
            <w:tcW w:w="1400" w:type="dxa"/>
            <w:vAlign w:val="bottom"/>
            <w:gridSpan w:val="2"/>
          </w:tcPr>
          <w:p>
            <w:pPr>
              <w:jc w:val="right"/>
              <w:ind w:right="100"/>
              <w:spacing w:after="0"/>
              <w:rPr>
                <w:rFonts w:ascii="Arial" w:cs="Arial" w:eastAsia="Arial" w:hAnsi="Arial"/>
                <w:sz w:val="22"/>
                <w:szCs w:val="22"/>
                <w:u w:val="single" w:color="auto"/>
                <w:color w:val="0000EE"/>
              </w:rPr>
            </w:pPr>
            <w:hyperlink w:anchor="page109">
              <w:r>
                <w:rPr>
                  <w:rFonts w:ascii="Arial" w:cs="Arial" w:eastAsia="Arial" w:hAnsi="Arial"/>
                  <w:sz w:val="22"/>
                  <w:szCs w:val="22"/>
                  <w:u w:val="single" w:color="auto"/>
                  <w:color w:val="0000EE"/>
                </w:rPr>
                <w:t>B2-1</w:t>
              </w:r>
            </w:hyperlink>
          </w:p>
        </w:tc>
      </w:tr>
      <w:tr>
        <w:trPr>
          <w:trHeight w:val="305"/>
        </w:trPr>
        <w:tc>
          <w:tcPr>
            <w:tcW w:w="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spacing w:after="0"/>
              <w:rPr>
                <w:rFonts w:ascii="Arial" w:cs="Arial" w:eastAsia="Arial" w:hAnsi="Arial"/>
                <w:sz w:val="22"/>
                <w:szCs w:val="22"/>
                <w:u w:val="single" w:color="auto"/>
                <w:color w:val="0000EE"/>
              </w:rPr>
            </w:pPr>
            <w:hyperlink w:anchor="page110">
              <w:r>
                <w:rPr>
                  <w:rFonts w:ascii="Arial" w:cs="Arial" w:eastAsia="Arial" w:hAnsi="Arial"/>
                  <w:sz w:val="22"/>
                  <w:szCs w:val="22"/>
                  <w:u w:val="single" w:color="auto"/>
                  <w:color w:val="0000EE"/>
                </w:rPr>
                <w:t>Exhibit B-3:</w:t>
              </w:r>
            </w:hyperlink>
          </w:p>
        </w:tc>
        <w:tc>
          <w:tcPr>
            <w:tcW w:w="8280" w:type="dxa"/>
            <w:vAlign w:val="bottom"/>
            <w:shd w:val="clear" w:color="auto" w:fill="CCEEFF"/>
          </w:tcPr>
          <w:p>
            <w:pPr>
              <w:ind w:left="160"/>
              <w:spacing w:after="0"/>
              <w:rPr>
                <w:rFonts w:ascii="Arial" w:cs="Arial" w:eastAsia="Arial" w:hAnsi="Arial"/>
                <w:sz w:val="22"/>
                <w:szCs w:val="22"/>
                <w:u w:val="single" w:color="auto"/>
                <w:color w:val="0000EE"/>
              </w:rPr>
            </w:pPr>
            <w:hyperlink w:anchor="page110">
              <w:r>
                <w:rPr>
                  <w:rFonts w:ascii="Arial" w:cs="Arial" w:eastAsia="Arial" w:hAnsi="Arial"/>
                  <w:sz w:val="22"/>
                  <w:szCs w:val="22"/>
                  <w:u w:val="single" w:color="auto"/>
                  <w:color w:val="0000EE"/>
                </w:rPr>
                <w:t>Form of Non-Affiliate Legend</w:t>
              </w:r>
            </w:hyperlink>
          </w:p>
        </w:tc>
        <w:tc>
          <w:tcPr>
            <w:tcW w:w="1400" w:type="dxa"/>
            <w:vAlign w:val="bottom"/>
            <w:gridSpan w:val="2"/>
            <w:shd w:val="clear" w:color="auto" w:fill="CCEEFF"/>
          </w:tcPr>
          <w:p>
            <w:pPr>
              <w:jc w:val="right"/>
              <w:ind w:right="100"/>
              <w:spacing w:after="0"/>
              <w:rPr>
                <w:rFonts w:ascii="Arial" w:cs="Arial" w:eastAsia="Arial" w:hAnsi="Arial"/>
                <w:sz w:val="22"/>
                <w:szCs w:val="22"/>
                <w:u w:val="single" w:color="auto"/>
                <w:color w:val="0000EE"/>
              </w:rPr>
            </w:pPr>
            <w:hyperlink w:anchor="page110">
              <w:r>
                <w:rPr>
                  <w:rFonts w:ascii="Arial" w:cs="Arial" w:eastAsia="Arial" w:hAnsi="Arial"/>
                  <w:sz w:val="22"/>
                  <w:szCs w:val="22"/>
                  <w:u w:val="single" w:color="auto"/>
                  <w:color w:val="0000EE"/>
                </w:rPr>
                <w:t>B3-1</w:t>
              </w:r>
            </w:hyperlink>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40"/>
          </w:cols>
          <w:pgMar w:left="320" w:top="427"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22"/>
          <w:szCs w:val="22"/>
          <w:b w:val="1"/>
          <w:bCs w:val="1"/>
          <w:color w:val="auto"/>
        </w:rPr>
        <w:t>INDENTURE</w:t>
      </w:r>
      <w:r>
        <w:rPr>
          <w:rFonts w:ascii="Arial" w:cs="Arial" w:eastAsia="Arial" w:hAnsi="Arial"/>
          <w:sz w:val="22"/>
          <w:szCs w:val="22"/>
          <w:color w:val="auto"/>
        </w:rPr>
        <w:t>, dated as of May 12, 2020, between National Vision Holdings, Inc., a Delaware corporation, as issuer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and U.S. Bank National Association, as trustee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12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Each party to this Indenture (as defined below) agrees as follows for the benefit of the other party and for the equal and ratable benefit of the Holders (as defined below) of the Company’s 2.50% Convertible Senior Notes due 2025 (the “</w:t>
      </w:r>
      <w:r>
        <w:rPr>
          <w:rFonts w:ascii="Arial" w:cs="Arial" w:eastAsia="Arial" w:hAnsi="Arial"/>
          <w:sz w:val="19"/>
          <w:szCs w:val="19"/>
          <w:b w:val="1"/>
          <w:bCs w:val="1"/>
          <w:color w:val="auto"/>
        </w:rPr>
        <w:t>Notes</w:t>
      </w:r>
      <w:r>
        <w:rPr>
          <w:rFonts w:ascii="Arial" w:cs="Arial" w:eastAsia="Arial" w:hAnsi="Arial"/>
          <w:sz w:val="19"/>
          <w:szCs w:val="19"/>
          <w:color w:val="auto"/>
        </w:rPr>
        <w:t>”).</w:t>
      </w:r>
    </w:p>
    <w:p>
      <w:pPr>
        <w:spacing w:after="0" w:line="31" w:lineRule="exact"/>
        <w:rPr>
          <w:sz w:val="20"/>
          <w:szCs w:val="20"/>
          <w:color w:val="auto"/>
        </w:rPr>
      </w:pPr>
    </w:p>
    <w:p>
      <w:pPr>
        <w:ind w:left="2320"/>
        <w:spacing w:after="0"/>
        <w:tabs>
          <w:tab w:leader="none" w:pos="446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21"/>
          <w:szCs w:val="21"/>
          <w:b w:val="1"/>
          <w:bCs w:val="1"/>
          <w:color w:val="auto"/>
        </w:rPr>
        <w:t>DEFINITIONS; RULES OF CONSTRUCTION</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1.01.</w:t>
        <w:tab/>
        <w:t>DEFINITIONS.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Interest</w:t>
      </w:r>
      <w:r>
        <w:rPr>
          <w:rFonts w:ascii="Arial" w:cs="Arial" w:eastAsia="Arial" w:hAnsi="Arial"/>
          <w:sz w:val="22"/>
          <w:szCs w:val="22"/>
          <w:color w:val="auto"/>
        </w:rPr>
        <w:t xml:space="preserve">” means any interest that accrues on any Note pursuant to </w:t>
      </w:r>
      <w:r>
        <w:rPr>
          <w:rFonts w:ascii="Arial" w:cs="Arial" w:eastAsia="Arial" w:hAnsi="Arial"/>
          <w:sz w:val="22"/>
          <w:szCs w:val="22"/>
          <w:b w:val="1"/>
          <w:bCs w:val="1"/>
          <w:color w:val="auto"/>
        </w:rPr>
        <w:t>Section 3.04</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has the meaning set forth in Rule 144 as in effect on the Issue Date.</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Authorized Denomination</w:t>
      </w:r>
      <w:r>
        <w:rPr>
          <w:rFonts w:ascii="Arial" w:cs="Arial" w:eastAsia="Arial" w:hAnsi="Arial"/>
          <w:sz w:val="22"/>
          <w:szCs w:val="22"/>
          <w:color w:val="auto"/>
        </w:rPr>
        <w:t>” means, with respect to a Note, a minimum principal amount thereof equal to $1,000 or any integral multiple of $1,000 in excess thereof.</w:t>
      </w:r>
    </w:p>
    <w:p>
      <w:pPr>
        <w:spacing w:after="0" w:line="12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Law</w:t>
      </w:r>
      <w:r>
        <w:rPr>
          <w:rFonts w:ascii="Arial" w:cs="Arial" w:eastAsia="Arial" w:hAnsi="Arial"/>
          <w:sz w:val="22"/>
          <w:szCs w:val="22"/>
          <w:color w:val="auto"/>
        </w:rPr>
        <w:t>” means Title 11, United States Code, or any similar U.S. federal or state or non-U.S. law for the relief of debtors.</w:t>
      </w:r>
    </w:p>
    <w:p>
      <w:pPr>
        <w:spacing w:after="0" w:line="1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Bid Solicitation Agent</w:t>
      </w:r>
      <w:r>
        <w:rPr>
          <w:rFonts w:ascii="Arial" w:cs="Arial" w:eastAsia="Arial" w:hAnsi="Arial"/>
          <w:sz w:val="21"/>
          <w:szCs w:val="21"/>
          <w:color w:val="auto"/>
        </w:rPr>
        <w:t xml:space="preserve">” means the Person who is required to obtain bids for the Trading Price in accordance with </w:t>
      </w:r>
      <w:r>
        <w:rPr>
          <w:rFonts w:ascii="Arial" w:cs="Arial" w:eastAsia="Arial" w:hAnsi="Arial"/>
          <w:sz w:val="21"/>
          <w:szCs w:val="21"/>
          <w:b w:val="1"/>
          <w:bCs w:val="1"/>
          <w:color w:val="auto"/>
        </w:rPr>
        <w:t xml:space="preserve">Section 5.01(C)(i)(2) </w:t>
      </w:r>
      <w:r>
        <w:rPr>
          <w:rFonts w:ascii="Arial" w:cs="Arial" w:eastAsia="Arial" w:hAnsi="Arial"/>
          <w:sz w:val="21"/>
          <w:szCs w:val="21"/>
          <w:color w:val="auto"/>
        </w:rPr>
        <w:t>and the definition of “Trading Price.” The initial Bid Solicitation Agent on the Issue Date will be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may appoint any other Person (including any of the Company’s Subsidiaries) to be the Bid Solicitation Agent at any time after the Issue Date without prior notice.</w:t>
      </w:r>
    </w:p>
    <w:p>
      <w:pPr>
        <w:spacing w:after="0" w:line="12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 the board of directors of the Company or a committee of such board duly authorized to act on behalf of such board.</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a Sunday or any day on which the Federal Reserve Bank of New York is authorized or required by law or executive order to close or be closed.</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Close of Business</w:t>
      </w:r>
      <w:r>
        <w:rPr>
          <w:rFonts w:ascii="Arial" w:cs="Arial" w:eastAsia="Arial" w:hAnsi="Arial"/>
          <w:sz w:val="22"/>
          <w:szCs w:val="22"/>
          <w:color w:val="auto"/>
        </w:rPr>
        <w:t>” means 5:00 p.m., New York City time.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xml:space="preserve">” means the common stock, par value $0.01 per share, of the Company, subject to </w:t>
      </w:r>
      <w:r>
        <w:rPr>
          <w:rFonts w:ascii="Arial" w:cs="Arial" w:eastAsia="Arial" w:hAnsi="Arial"/>
          <w:sz w:val="19"/>
          <w:szCs w:val="19"/>
          <w:b w:val="1"/>
          <w:bCs w:val="1"/>
          <w:color w:val="auto"/>
        </w:rPr>
        <w:t>Section 5.09</w:t>
      </w:r>
      <w:r>
        <w:rPr>
          <w:rFonts w:ascii="Arial" w:cs="Arial" w:eastAsia="Arial" w:hAnsi="Arial"/>
          <w:sz w:val="19"/>
          <w:szCs w:val="19"/>
          <w:color w:val="auto"/>
        </w:rPr>
        <w:t>.</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xml:space="preserve">” means the Person named as such in the first paragraph of this Indenture and, subject to </w:t>
      </w:r>
      <w:r>
        <w:rPr>
          <w:rFonts w:ascii="Arial" w:cs="Arial" w:eastAsia="Arial" w:hAnsi="Arial"/>
          <w:sz w:val="22"/>
          <w:szCs w:val="22"/>
          <w:b w:val="1"/>
          <w:bCs w:val="1"/>
          <w:color w:val="auto"/>
        </w:rPr>
        <w:t>Article 6</w:t>
      </w:r>
      <w:r>
        <w:rPr>
          <w:rFonts w:ascii="Arial" w:cs="Arial" w:eastAsia="Arial" w:hAnsi="Arial"/>
          <w:sz w:val="22"/>
          <w:szCs w:val="22"/>
          <w:color w:val="auto"/>
        </w:rPr>
        <w:t>, its successors and assigns.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342" w:right="339" w:bottom="1440" w:gutter="0" w:footer="0" w:header="0"/>
        </w:sectPr>
      </w:pPr>
    </w:p>
    <w:bookmarkStart w:id="10" w:name="page11"/>
    <w:bookmarkEnd w:id="10"/>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Order</w:t>
      </w:r>
      <w:r>
        <w:rPr>
          <w:rFonts w:ascii="Arial" w:cs="Arial" w:eastAsia="Arial" w:hAnsi="Arial"/>
          <w:sz w:val="22"/>
          <w:szCs w:val="22"/>
          <w:color w:val="auto"/>
        </w:rPr>
        <w:t>” means a written request or order signed on behalf of the Company by one (1) of its Officers and delivered to the Trustee.</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Date</w:t>
      </w:r>
      <w:r>
        <w:rPr>
          <w:rFonts w:ascii="Arial" w:cs="Arial" w:eastAsia="Arial" w:hAnsi="Arial"/>
          <w:sz w:val="22"/>
          <w:szCs w:val="22"/>
          <w:color w:val="auto"/>
        </w:rPr>
        <w:t xml:space="preserve">” means, with respect to a Note, the first Business Day on which the requirements set forth in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5.02(A) </w:t>
      </w:r>
      <w:r>
        <w:rPr>
          <w:rFonts w:ascii="Arial" w:cs="Arial" w:eastAsia="Arial" w:hAnsi="Arial"/>
          <w:sz w:val="22"/>
          <w:szCs w:val="22"/>
          <w:color w:val="auto"/>
        </w:rPr>
        <w:t>to convert such Note are satisfied.</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Price</w:t>
      </w:r>
      <w:r>
        <w:rPr>
          <w:rFonts w:ascii="Arial" w:cs="Arial" w:eastAsia="Arial" w:hAnsi="Arial"/>
          <w:sz w:val="22"/>
          <w:szCs w:val="22"/>
          <w:color w:val="auto"/>
        </w:rPr>
        <w:t xml:space="preserve">” means, as of any time, an amount equal to (A) one thousand dollars ($1,000)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(B) the Conversion Rate in effect at such time.</w:t>
      </w:r>
    </w:p>
    <w:p>
      <w:pPr>
        <w:spacing w:after="0" w:line="10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Conversion Rate</w:t>
      </w:r>
      <w:r>
        <w:rPr>
          <w:rFonts w:ascii="Arial" w:cs="Arial" w:eastAsia="Arial" w:hAnsi="Arial"/>
          <w:sz w:val="19"/>
          <w:szCs w:val="19"/>
          <w:color w:val="auto"/>
        </w:rPr>
        <w:t xml:space="preserve">” initially means 32.0783 shares of Common Stock per $1,000 principal amount of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Conversion Rate is subject to adjustment pursuant to</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Article 5</w:t>
      </w:r>
      <w:r>
        <w:rPr>
          <w:rFonts w:ascii="Arial" w:cs="Arial" w:eastAsia="Arial" w:hAnsi="Arial"/>
          <w:sz w:val="19"/>
          <w:szCs w:val="19"/>
          <w:color w:val="auto"/>
        </w:rPr>
        <w:t>;</w:t>
      </w:r>
      <w:r>
        <w:rPr>
          <w:rFonts w:ascii="Arial" w:cs="Arial" w:eastAsia="Arial" w:hAnsi="Arial"/>
          <w:sz w:val="19"/>
          <w:szCs w:val="19"/>
          <w:i w:val="1"/>
          <w:iCs w:val="1"/>
          <w:color w:val="auto"/>
        </w:rPr>
        <w:t xml:space="preserve"> 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whenever this Indenture</w:t>
      </w:r>
      <w:r>
        <w:rPr>
          <w:rFonts w:ascii="Arial" w:cs="Arial" w:eastAsia="Arial" w:hAnsi="Arial"/>
          <w:sz w:val="19"/>
          <w:szCs w:val="19"/>
          <w:i w:val="1"/>
          <w:iCs w:val="1"/>
          <w:color w:val="auto"/>
        </w:rPr>
        <w:t xml:space="preserve"> </w:t>
      </w:r>
      <w:r>
        <w:rPr>
          <w:rFonts w:ascii="Arial" w:cs="Arial" w:eastAsia="Arial" w:hAnsi="Arial"/>
          <w:sz w:val="19"/>
          <w:szCs w:val="19"/>
          <w:color w:val="auto"/>
        </w:rPr>
        <w:t>refers to the Conversion Rate as of a particular date without setting forth a particular time on such date, such reference will be deemed to be to the Conversion Rate immediately after the Close of Business on such date.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Share</w:t>
      </w:r>
      <w:r>
        <w:rPr>
          <w:rFonts w:ascii="Arial" w:cs="Arial" w:eastAsia="Arial" w:hAnsi="Arial"/>
          <w:sz w:val="22"/>
          <w:szCs w:val="22"/>
          <w:color w:val="auto"/>
        </w:rPr>
        <w:t>” means any share of Common Stock issued or issuable upon conversion of any Note.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Corporate Trust Office</w:t>
      </w:r>
      <w:r>
        <w:rPr>
          <w:rFonts w:ascii="Arial" w:cs="Arial" w:eastAsia="Arial" w:hAnsi="Arial"/>
          <w:sz w:val="21"/>
          <w:szCs w:val="21"/>
          <w:color w:val="auto"/>
        </w:rPr>
        <w:t>” means the office of the Trustee or a Note Agent, as applicable, at which, at any particular time, its corporate trust business in respect of this Indenture is administered, which office as of the Issue Date for purposes of surrender for registration of transfer or exchange or for presentation for payment or repurchase or for conversion only is located at U.S. Bank National Association, 100 Wall Street, Suite 600, New York, NY 10005, Attn: Global Corporate Trust, Administrator – National Vision Holdings, Inc., or the principal corporate trust office of any successor Trustee or Note Agent, as applicable (or such other address as such successor Trustee or Note Agent, as applicable, may designate from time to time by notice to the Holders and the Company).</w:t>
      </w:r>
    </w:p>
    <w:p>
      <w:pPr>
        <w:spacing w:after="0" w:line="1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Daily Cash Amount</w:t>
      </w:r>
      <w:r>
        <w:rPr>
          <w:rFonts w:ascii="Arial" w:cs="Arial" w:eastAsia="Arial" w:hAnsi="Arial"/>
          <w:sz w:val="22"/>
          <w:szCs w:val="22"/>
          <w:color w:val="auto"/>
        </w:rPr>
        <w:t>” means, with respect to any VWAP Trading Day, the lesser of (A) the applicable Daily Maximum Cash Amount; and (B) the Daily Conversion Value for such VWAP Trading Day.</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Daily Conversion Value</w:t>
      </w:r>
      <w:r>
        <w:rPr>
          <w:rFonts w:ascii="Arial" w:cs="Arial" w:eastAsia="Arial" w:hAnsi="Arial"/>
          <w:sz w:val="22"/>
          <w:szCs w:val="22"/>
          <w:color w:val="auto"/>
        </w:rPr>
        <w:t>” means, with respect to any VWAP Trading Day, one-fortieth (1/40th) of the product of (A) the Conversion Rate on such VWAP Trading Day; and (B) the Daily VWAP per share of Common Stock on such VWAP Trading Day.</w:t>
      </w:r>
    </w:p>
    <w:p>
      <w:pPr>
        <w:spacing w:after="0" w:line="122"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Daily Maximum Cash Amount</w:t>
      </w:r>
      <w:r>
        <w:rPr>
          <w:rFonts w:ascii="Arial" w:cs="Arial" w:eastAsia="Arial" w:hAnsi="Arial"/>
          <w:sz w:val="22"/>
          <w:szCs w:val="22"/>
          <w:color w:val="auto"/>
        </w:rPr>
        <w:t>” means, with respect to the conversion of any Note, the quotient obtained by dividing (A) the Specified Dollar Amount applicable to such conversion by (B) forty (40).</w:t>
      </w:r>
    </w:p>
    <w:p>
      <w:pPr>
        <w:spacing w:after="0" w:line="10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Daily Share Amount</w:t>
      </w:r>
      <w:r>
        <w:rPr>
          <w:rFonts w:ascii="Arial" w:cs="Arial" w:eastAsia="Arial" w:hAnsi="Arial"/>
          <w:sz w:val="21"/>
          <w:szCs w:val="21"/>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60" w:right="339" w:bottom="1440" w:gutter="0" w:footer="0" w:header="0"/>
        </w:sectPr>
      </w:pPr>
    </w:p>
    <w:bookmarkStart w:id="11" w:name="page12"/>
    <w:bookmarkEnd w:id="11"/>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Daily VWAP</w:t>
      </w:r>
      <w:r>
        <w:rPr>
          <w:rFonts w:ascii="Arial" w:cs="Arial" w:eastAsia="Arial" w:hAnsi="Arial"/>
          <w:sz w:val="22"/>
          <w:szCs w:val="22"/>
          <w:color w:val="auto"/>
        </w:rPr>
        <w:t>” means, for any VWAP Trading Day, the per share volume-weighted average price of the Common Stock as displayed under the heading “Bloomberg VWAP” on Bloomberg page “EYE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spacing w:after="0" w:line="2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De-Legending Deadline Date</w:t>
      </w:r>
      <w:r>
        <w:rPr>
          <w:rFonts w:ascii="Arial" w:cs="Arial" w:eastAsia="Arial" w:hAnsi="Arial"/>
          <w:sz w:val="22"/>
          <w:szCs w:val="22"/>
          <w:color w:val="auto"/>
        </w:rPr>
        <w:t xml:space="preserve">” means, with respect to any Note, the fifteenth (15th) day after the Free Trade Date of such Note;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such fifteenth (15th) day is after a Regular Record Date and on or before the next Interest Payment Date, then the De-Legending Deadline Date for such Note will instead be the Business Day immediately after such Interest Payment Date.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means any event that is (or, after notice, passage of time or both, would be) an Event of Default.</w:t>
      </w:r>
    </w:p>
    <w:p>
      <w:pPr>
        <w:spacing w:after="0" w:line="26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 Settlement Method</w:t>
      </w:r>
      <w:r>
        <w:rPr>
          <w:rFonts w:ascii="Arial" w:cs="Arial" w:eastAsia="Arial" w:hAnsi="Arial"/>
          <w:sz w:val="19"/>
          <w:szCs w:val="19"/>
          <w:color w:val="auto"/>
        </w:rPr>
        <w:t xml:space="preserve">” means Combination Settlement with a Specified Dollar Amount of $1,000 per $1,000 principal amount of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may, from time to time, change the Default Settlement Method by sending notice of the new Default Settlement Method to the Holders, the Trustee and the Conversion Agent.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Depositary</w:t>
      </w:r>
      <w:r>
        <w:rPr>
          <w:rFonts w:ascii="Arial" w:cs="Arial" w:eastAsia="Arial" w:hAnsi="Arial"/>
          <w:sz w:val="22"/>
          <w:szCs w:val="22"/>
          <w:color w:val="auto"/>
        </w:rPr>
        <w:t>” means The Depository Trust Company or its successor.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Depositary Participant</w:t>
      </w:r>
      <w:r>
        <w:rPr>
          <w:rFonts w:ascii="Arial" w:cs="Arial" w:eastAsia="Arial" w:hAnsi="Arial"/>
          <w:sz w:val="22"/>
          <w:szCs w:val="22"/>
          <w:color w:val="auto"/>
        </w:rPr>
        <w:t>” means any member of, or participant in, the Depositary.</w:t>
      </w:r>
    </w:p>
    <w:p>
      <w:pPr>
        <w:spacing w:after="0" w:line="26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Depositary Procedures</w:t>
      </w:r>
      <w:r>
        <w:rPr>
          <w:rFonts w:ascii="Arial" w:cs="Arial" w:eastAsia="Arial" w:hAnsi="Arial"/>
          <w:sz w:val="22"/>
          <w:szCs w:val="22"/>
          <w:color w:val="auto"/>
        </w:rPr>
        <w:t>” means, with respect to any conversion, transfer, exchange or transaction involving a Global Note or any beneficial interest therein, the rules and procedures of the Depositary applicable to such conversion, transfer, exchange or transaction.</w:t>
      </w:r>
    </w:p>
    <w:p>
      <w:pPr>
        <w:spacing w:after="0" w:line="217"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in relation to a stock split or stock combination, means the first date on which the shares of Common Stock trade on the Relevant Stock Exchange, regular way, reflecting the relevant stock split or stock combination, as applicable.</w:t>
      </w:r>
    </w:p>
    <w:p>
      <w:pPr>
        <w:spacing w:after="0" w:line="13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Ex-Dividend Date</w:t>
      </w:r>
      <w:r>
        <w:rPr>
          <w:rFonts w:ascii="Arial" w:cs="Arial" w:eastAsia="Arial" w:hAnsi="Arial"/>
          <w:sz w:val="19"/>
          <w:szCs w:val="19"/>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342"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U.S. Securities Exchange Act of 1934, as amended.</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Exempted Fundamental Change</w:t>
      </w:r>
      <w:r>
        <w:rPr>
          <w:rFonts w:ascii="Arial" w:cs="Arial" w:eastAsia="Arial" w:hAnsi="Arial"/>
          <w:sz w:val="22"/>
          <w:szCs w:val="22"/>
          <w:color w:val="auto"/>
        </w:rPr>
        <w:t xml:space="preserve">” means any Fundamental Change with respect to which, in accordance with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4.02(I)</w:t>
      </w:r>
      <w:r>
        <w:rPr>
          <w:rFonts w:ascii="Arial" w:cs="Arial" w:eastAsia="Arial" w:hAnsi="Arial"/>
          <w:sz w:val="22"/>
          <w:szCs w:val="22"/>
          <w:color w:val="auto"/>
        </w:rPr>
        <w:t>, the Company is not required to offer to repurchase any Notes.</w:t>
      </w:r>
    </w:p>
    <w:p>
      <w:pPr>
        <w:spacing w:after="0" w:line="20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Free Trade Date</w:t>
      </w:r>
      <w:r>
        <w:rPr>
          <w:rFonts w:ascii="Arial" w:cs="Arial" w:eastAsia="Arial" w:hAnsi="Arial"/>
          <w:sz w:val="22"/>
          <w:szCs w:val="22"/>
          <w:color w:val="auto"/>
        </w:rPr>
        <w:t>” means, with respect to any Note, the date that is one (1) year after the Last Original Issue Date of such Note.</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Freely Tradable</w:t>
      </w:r>
      <w:r>
        <w:rPr>
          <w:rFonts w:ascii="Arial" w:cs="Arial" w:eastAsia="Arial" w:hAnsi="Arial"/>
          <w:sz w:val="19"/>
          <w:szCs w:val="19"/>
          <w:color w:val="auto"/>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from and after the Free Trade Date of such Note, such Note will not be “Freely Tradable” unless such Note (x) is not identified by a “restricted” CUSIP or ISIN number; and (y) is not represented by any certificate that bears the Restricted Note Legend. For the avoidance of doubt, (i) whether a Note is deemed to be identified by a “restricted” CUSIP or ISIN number or to bear the Restricted Note Legend is subject to </w:t>
      </w:r>
      <w:r>
        <w:rPr>
          <w:rFonts w:ascii="Arial" w:cs="Arial" w:eastAsia="Arial" w:hAnsi="Arial"/>
          <w:sz w:val="19"/>
          <w:szCs w:val="19"/>
          <w:b w:val="1"/>
          <w:bCs w:val="1"/>
          <w:color w:val="auto"/>
        </w:rPr>
        <w:t>Section 2.12</w:t>
      </w:r>
      <w:r>
        <w:rPr>
          <w:rFonts w:ascii="Arial" w:cs="Arial" w:eastAsia="Arial" w:hAnsi="Arial"/>
          <w:sz w:val="19"/>
          <w:szCs w:val="19"/>
          <w:color w:val="auto"/>
        </w:rPr>
        <w:t>; and (ii) the fact that a Note is identified by a CUSIP number but not an ISIN number will not, in itself, cause such Note to be deemed not to be Freely Tradable.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w:t>
      </w:r>
      <w:r>
        <w:rPr>
          <w:rFonts w:ascii="Arial" w:cs="Arial" w:eastAsia="Arial" w:hAnsi="Arial"/>
          <w:sz w:val="22"/>
          <w:szCs w:val="22"/>
          <w:color w:val="auto"/>
        </w:rPr>
        <w:t>” means any of the following events:</w:t>
      </w:r>
    </w:p>
    <w:p>
      <w:pPr>
        <w:spacing w:after="0" w:line="226" w:lineRule="exact"/>
        <w:rPr>
          <w:sz w:val="20"/>
          <w:szCs w:val="20"/>
          <w:color w:val="auto"/>
        </w:rPr>
      </w:pPr>
    </w:p>
    <w:p>
      <w:pPr>
        <w:jc w:val="both"/>
        <w:ind w:firstLine="656"/>
        <w:spacing w:after="0" w:line="250" w:lineRule="auto"/>
        <w:tabs>
          <w:tab w:leader="none" w:pos="1176" w:val="left"/>
        </w:tabs>
        <w:numPr>
          <w:ilvl w:val="0"/>
          <w:numId w:val="4"/>
        </w:numPr>
        <w:rPr>
          <w:rFonts w:ascii="Arial" w:cs="Arial" w:eastAsia="Arial" w:hAnsi="Arial"/>
          <w:sz w:val="22"/>
          <w:szCs w:val="22"/>
          <w:color w:val="auto"/>
        </w:rPr>
      </w:pPr>
      <w:r>
        <w:rPr>
          <w:rFonts w:ascii="Arial" w:cs="Arial" w:eastAsia="Arial" w:hAnsi="Arial"/>
          <w:sz w:val="22"/>
          <w:szCs w:val="22"/>
          <w:color w:val="auto"/>
        </w:rPr>
        <w:t>a “person” or “group” (within the meaning of Section 13(d)(3) of the Exchange Act) (other than the Company or its Wholly Owned Subsidiaries) has become the direct or indirect “beneficial owner” (as defined below) of shares of the Company’s common equity representing more than fifty percent (50%) of the voting power of all of the Company’s then-outstanding common equity;</w:t>
      </w:r>
    </w:p>
    <w:p>
      <w:pPr>
        <w:spacing w:after="0" w:line="228" w:lineRule="exact"/>
        <w:rPr>
          <w:rFonts w:ascii="Arial" w:cs="Arial" w:eastAsia="Arial" w:hAnsi="Arial"/>
          <w:sz w:val="22"/>
          <w:szCs w:val="22"/>
          <w:color w:val="auto"/>
        </w:rPr>
      </w:pPr>
    </w:p>
    <w:p>
      <w:pPr>
        <w:jc w:val="both"/>
        <w:ind w:firstLine="656"/>
        <w:spacing w:after="0" w:line="287" w:lineRule="auto"/>
        <w:tabs>
          <w:tab w:leader="none" w:pos="1249"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consummation of (i) any sale, lease or other transfer, in one transaction or a series of transactions, of all or substantially all of the assets of the Company and its Subsidiaries, taken as a whole, to any Person (other than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stock, other securities, cash or other property or assets;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transaction described in clause (ii) above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342"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 xml:space="preserve">pursuant to this </w:t>
      </w:r>
      <w:r>
        <w:rPr>
          <w:rFonts w:ascii="Arial" w:cs="Arial" w:eastAsia="Arial" w:hAnsi="Arial"/>
          <w:sz w:val="22"/>
          <w:szCs w:val="22"/>
          <w:b w:val="1"/>
          <w:bCs w:val="1"/>
          <w:color w:val="auto"/>
        </w:rPr>
        <w:t>clause (B)</w:t>
      </w:r>
      <w:r>
        <w:rPr>
          <w:rFonts w:ascii="Arial" w:cs="Arial" w:eastAsia="Arial" w:hAnsi="Arial"/>
          <w:sz w:val="22"/>
          <w:szCs w:val="22"/>
          <w:color w:val="auto"/>
        </w:rPr>
        <w:t>;</w:t>
      </w:r>
    </w:p>
    <w:p>
      <w:pPr>
        <w:spacing w:after="0" w:line="266" w:lineRule="exact"/>
        <w:rPr>
          <w:sz w:val="20"/>
          <w:szCs w:val="20"/>
          <w:color w:val="auto"/>
        </w:rPr>
      </w:pPr>
    </w:p>
    <w:p>
      <w:pPr>
        <w:ind w:left="1160" w:hanging="504"/>
        <w:spacing w:after="0"/>
        <w:tabs>
          <w:tab w:leader="none" w:pos="116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Company’s stockholders approve any plan or proposal for the liquidation or dissolution of the Company; or</w:t>
      </w:r>
    </w:p>
    <w:p>
      <w:pPr>
        <w:spacing w:after="0" w:line="294" w:lineRule="exact"/>
        <w:rPr>
          <w:rFonts w:ascii="Arial" w:cs="Arial" w:eastAsia="Arial" w:hAnsi="Arial"/>
          <w:sz w:val="19"/>
          <w:szCs w:val="19"/>
          <w:color w:val="auto"/>
        </w:rPr>
      </w:pPr>
    </w:p>
    <w:p>
      <w:pPr>
        <w:ind w:firstLine="656"/>
        <w:spacing w:after="0" w:line="263" w:lineRule="auto"/>
        <w:tabs>
          <w:tab w:leader="none" w:pos="1197"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Common Stock ceases to be listed on any of The New York Stock Exchange, The NASDAQ Global Market or The NASDAQ Global Select Market (or any of their respective successors);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a transaction or event described in</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clause (A)</w:t>
      </w:r>
      <w:r>
        <w:rPr>
          <w:rFonts w:ascii="Arial" w:cs="Arial" w:eastAsia="Arial" w:hAnsi="Arial"/>
          <w:sz w:val="21"/>
          <w:szCs w:val="21"/>
          <w:i w:val="1"/>
          <w:iCs w:val="1"/>
          <w:color w:val="auto"/>
        </w:rPr>
        <w:t xml:space="preserve"> </w:t>
      </w:r>
      <w:r>
        <w:rPr>
          <w:rFonts w:ascii="Arial" w:cs="Arial" w:eastAsia="Arial" w:hAnsi="Arial"/>
          <w:sz w:val="21"/>
          <w:szCs w:val="21"/>
          <w:color w:val="auto"/>
        </w:rPr>
        <w:t>or</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(B)</w:t>
      </w:r>
      <w:r>
        <w:rPr>
          <w:rFonts w:ascii="Arial" w:cs="Arial" w:eastAsia="Arial" w:hAnsi="Arial"/>
          <w:sz w:val="21"/>
          <w:szCs w:val="21"/>
          <w:i w:val="1"/>
          <w:iCs w:val="1"/>
          <w:color w:val="auto"/>
        </w:rPr>
        <w:t xml:space="preserve"> </w:t>
      </w:r>
      <w:r>
        <w:rPr>
          <w:rFonts w:ascii="Arial" w:cs="Arial" w:eastAsia="Arial" w:hAnsi="Arial"/>
          <w:sz w:val="21"/>
          <w:szCs w:val="21"/>
          <w:color w:val="auto"/>
        </w:rPr>
        <w:t>above will not constitute a Fundamental Change if at</w:t>
      </w:r>
      <w:r>
        <w:rPr>
          <w:rFonts w:ascii="Arial" w:cs="Arial" w:eastAsia="Arial" w:hAnsi="Arial"/>
          <w:sz w:val="21"/>
          <w:szCs w:val="21"/>
          <w:i w:val="1"/>
          <w:iCs w:val="1"/>
          <w:color w:val="auto"/>
        </w:rPr>
        <w:t xml:space="preserve"> </w:t>
      </w:r>
      <w:r>
        <w:rPr>
          <w:rFonts w:ascii="Arial" w:cs="Arial" w:eastAsia="Arial" w:hAnsi="Arial"/>
          <w:sz w:val="21"/>
          <w:szCs w:val="21"/>
          <w:color w:val="auto"/>
        </w:rPr>
        <w:t>least ninety percent (90%) of the consideration received or to be received by the holders of Common Stock (excluding cash payments for fractional shares or pursuant to dissenters rights), in connection with such transaction or event, consists of shares of common equity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For the purposes of this definition, (x) any transaction or event described in both </w:t>
      </w:r>
      <w:r>
        <w:rPr>
          <w:rFonts w:ascii="Arial" w:cs="Arial" w:eastAsia="Arial" w:hAnsi="Arial"/>
          <w:sz w:val="22"/>
          <w:szCs w:val="22"/>
          <w:b w:val="1"/>
          <w:bCs w:val="1"/>
          <w:color w:val="auto"/>
        </w:rPr>
        <w:t>clause (A)</w:t>
      </w:r>
      <w:r>
        <w:rPr>
          <w:rFonts w:ascii="Arial" w:cs="Arial" w:eastAsia="Arial" w:hAnsi="Arial"/>
          <w:sz w:val="22"/>
          <w:szCs w:val="22"/>
          <w:color w:val="auto"/>
        </w:rPr>
        <w:t xml:space="preserve"> and in </w:t>
      </w:r>
      <w:r>
        <w:rPr>
          <w:rFonts w:ascii="Arial" w:cs="Arial" w:eastAsia="Arial" w:hAnsi="Arial"/>
          <w:sz w:val="22"/>
          <w:szCs w:val="22"/>
          <w:b w:val="1"/>
          <w:bCs w:val="1"/>
          <w:color w:val="auto"/>
        </w:rPr>
        <w:t>clause (B)(i)</w:t>
      </w:r>
      <w:r>
        <w:rPr>
          <w:rFonts w:ascii="Arial" w:cs="Arial" w:eastAsia="Arial" w:hAnsi="Arial"/>
          <w:sz w:val="22"/>
          <w:szCs w:val="22"/>
          <w:color w:val="auto"/>
        </w:rPr>
        <w:t xml:space="preserve"> or </w:t>
      </w:r>
      <w:r>
        <w:rPr>
          <w:rFonts w:ascii="Arial" w:cs="Arial" w:eastAsia="Arial" w:hAnsi="Arial"/>
          <w:sz w:val="22"/>
          <w:szCs w:val="22"/>
          <w:b w:val="1"/>
          <w:bCs w:val="1"/>
          <w:color w:val="auto"/>
        </w:rPr>
        <w:t>(ii)</w:t>
      </w:r>
      <w:r>
        <w:rPr>
          <w:rFonts w:ascii="Arial" w:cs="Arial" w:eastAsia="Arial" w:hAnsi="Arial"/>
          <w:sz w:val="22"/>
          <w:szCs w:val="22"/>
          <w:color w:val="auto"/>
        </w:rPr>
        <w:t xml:space="preserve"> above (without regard to the proviso in </w:t>
      </w:r>
      <w:r>
        <w:rPr>
          <w:rFonts w:ascii="Arial" w:cs="Arial" w:eastAsia="Arial" w:hAnsi="Arial"/>
          <w:sz w:val="22"/>
          <w:szCs w:val="22"/>
          <w:b w:val="1"/>
          <w:bCs w:val="1"/>
          <w:color w:val="auto"/>
        </w:rPr>
        <w:t>clause (B)</w:t>
      </w:r>
      <w:r>
        <w:rPr>
          <w:rFonts w:ascii="Arial" w:cs="Arial" w:eastAsia="Arial" w:hAnsi="Arial"/>
          <w:sz w:val="22"/>
          <w:szCs w:val="22"/>
          <w:color w:val="auto"/>
        </w:rPr>
        <w:t xml:space="preserve">) will be deemed to occur solely pursuant to </w:t>
      </w:r>
      <w:r>
        <w:rPr>
          <w:rFonts w:ascii="Arial" w:cs="Arial" w:eastAsia="Arial" w:hAnsi="Arial"/>
          <w:sz w:val="22"/>
          <w:szCs w:val="22"/>
          <w:b w:val="1"/>
          <w:bCs w:val="1"/>
          <w:color w:val="auto"/>
        </w:rPr>
        <w:t>clause (B)</w:t>
      </w:r>
      <w:r>
        <w:rPr>
          <w:rFonts w:ascii="Arial" w:cs="Arial" w:eastAsia="Arial" w:hAnsi="Arial"/>
          <w:sz w:val="22"/>
          <w:szCs w:val="22"/>
          <w:color w:val="auto"/>
        </w:rPr>
        <w:t xml:space="preserve"> above (subject to such proviso); and (y) whether a Person is a “</w:t>
      </w:r>
      <w:r>
        <w:rPr>
          <w:rFonts w:ascii="Arial" w:cs="Arial" w:eastAsia="Arial" w:hAnsi="Arial"/>
          <w:sz w:val="22"/>
          <w:szCs w:val="22"/>
          <w:b w:val="1"/>
          <w:bCs w:val="1"/>
          <w:color w:val="auto"/>
        </w:rPr>
        <w:t>beneficial owner</w:t>
      </w:r>
      <w:r>
        <w:rPr>
          <w:rFonts w:ascii="Arial" w:cs="Arial" w:eastAsia="Arial" w:hAnsi="Arial"/>
          <w:sz w:val="22"/>
          <w:szCs w:val="22"/>
          <w:color w:val="auto"/>
        </w:rPr>
        <w:t>” and whether shares are “</w:t>
      </w:r>
      <w:r>
        <w:rPr>
          <w:rFonts w:ascii="Arial" w:cs="Arial" w:eastAsia="Arial" w:hAnsi="Arial"/>
          <w:sz w:val="22"/>
          <w:szCs w:val="22"/>
          <w:b w:val="1"/>
          <w:bCs w:val="1"/>
          <w:color w:val="auto"/>
        </w:rPr>
        <w:t>beneficially owned</w:t>
      </w:r>
      <w:r>
        <w:rPr>
          <w:rFonts w:ascii="Arial" w:cs="Arial" w:eastAsia="Arial" w:hAnsi="Arial"/>
          <w:sz w:val="22"/>
          <w:szCs w:val="22"/>
          <w:color w:val="auto"/>
        </w:rPr>
        <w:t>” will be determined in accordance with Rule 13d-3 under the Exchange Act.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Date</w:t>
      </w:r>
      <w:r>
        <w:rPr>
          <w:rFonts w:ascii="Arial" w:cs="Arial" w:eastAsia="Arial" w:hAnsi="Arial"/>
          <w:sz w:val="22"/>
          <w:szCs w:val="22"/>
          <w:color w:val="auto"/>
        </w:rPr>
        <w:t xml:space="preserve">” means the date fixed for the repurchase of any Notes by the Company pursuant to a Repurchase Upon Fundamental Change, subject to </w:t>
      </w:r>
      <w:r>
        <w:rPr>
          <w:rFonts w:ascii="Arial" w:cs="Arial" w:eastAsia="Arial" w:hAnsi="Arial"/>
          <w:sz w:val="22"/>
          <w:szCs w:val="22"/>
          <w:b w:val="1"/>
          <w:bCs w:val="1"/>
          <w:color w:val="auto"/>
        </w:rPr>
        <w:t>Section 4.02(C)</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Notice</w:t>
      </w:r>
      <w:r>
        <w:rPr>
          <w:rFonts w:ascii="Arial" w:cs="Arial" w:eastAsia="Arial" w:hAnsi="Arial"/>
          <w:sz w:val="22"/>
          <w:szCs w:val="22"/>
          <w:color w:val="auto"/>
        </w:rPr>
        <w:t xml:space="preserve">” means a notice (including a notice substantially in the form of the “Fundamental Change Repurchase Notice” set forth in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containing the information, or otherwise complying with the requirements, set forth in </w:t>
      </w:r>
      <w:r>
        <w:rPr>
          <w:rFonts w:ascii="Arial" w:cs="Arial" w:eastAsia="Arial" w:hAnsi="Arial"/>
          <w:sz w:val="22"/>
          <w:szCs w:val="22"/>
          <w:b w:val="1"/>
          <w:bCs w:val="1"/>
          <w:color w:val="auto"/>
        </w:rPr>
        <w:t>Section 4.02(F)(i)</w:t>
      </w:r>
      <w:r>
        <w:rPr>
          <w:rFonts w:ascii="Arial" w:cs="Arial" w:eastAsia="Arial" w:hAnsi="Arial"/>
          <w:sz w:val="22"/>
          <w:szCs w:val="22"/>
          <w:color w:val="auto"/>
        </w:rPr>
        <w:t xml:space="preserve"> and </w:t>
      </w:r>
      <w:r>
        <w:rPr>
          <w:rFonts w:ascii="Arial" w:cs="Arial" w:eastAsia="Arial" w:hAnsi="Arial"/>
          <w:sz w:val="22"/>
          <w:szCs w:val="22"/>
          <w:b w:val="1"/>
          <w:bCs w:val="1"/>
          <w:color w:val="auto"/>
        </w:rPr>
        <w:t>Section 4.02(F)(ii)</w:t>
      </w:r>
      <w:r>
        <w:rPr>
          <w:rFonts w:ascii="Arial" w:cs="Arial" w:eastAsia="Arial" w:hAnsi="Arial"/>
          <w:sz w:val="22"/>
          <w:szCs w:val="22"/>
          <w:color w:val="auto"/>
        </w:rPr>
        <w:t>.</w:t>
      </w:r>
    </w:p>
    <w:p>
      <w:pPr>
        <w:spacing w:after="0" w:line="2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Price</w:t>
      </w:r>
      <w:r>
        <w:rPr>
          <w:rFonts w:ascii="Arial" w:cs="Arial" w:eastAsia="Arial" w:hAnsi="Arial"/>
          <w:sz w:val="22"/>
          <w:szCs w:val="22"/>
          <w:color w:val="auto"/>
        </w:rPr>
        <w:t xml:space="preserve">” means the cash price payable by the Company to repurchase any Note upon its Repurchase Upon Fundamental Change, calculated pursuant to </w:t>
      </w:r>
      <w:r>
        <w:rPr>
          <w:rFonts w:ascii="Arial" w:cs="Arial" w:eastAsia="Arial" w:hAnsi="Arial"/>
          <w:sz w:val="22"/>
          <w:szCs w:val="22"/>
          <w:b w:val="1"/>
          <w:bCs w:val="1"/>
          <w:color w:val="auto"/>
        </w:rPr>
        <w:t>Section 4.02(D)</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Note</w:t>
      </w:r>
      <w:r>
        <w:rPr>
          <w:rFonts w:ascii="Arial" w:cs="Arial" w:eastAsia="Arial" w:hAnsi="Arial"/>
          <w:sz w:val="22"/>
          <w:szCs w:val="22"/>
          <w:color w:val="auto"/>
        </w:rPr>
        <w:t xml:space="preserve">” means a Note that is represented by a certificate substantially in the form set forth in </w:t>
      </w:r>
      <w:r>
        <w:rPr>
          <w:rFonts w:ascii="Arial" w:cs="Arial" w:eastAsia="Arial" w:hAnsi="Arial"/>
          <w:sz w:val="22"/>
          <w:szCs w:val="22"/>
          <w:b w:val="1"/>
          <w:bCs w:val="1"/>
          <w:color w:val="auto"/>
        </w:rPr>
        <w:t>Exhibit A</w:t>
      </w:r>
      <w:r>
        <w:rPr>
          <w:rFonts w:ascii="Arial" w:cs="Arial" w:eastAsia="Arial" w:hAnsi="Arial"/>
          <w:sz w:val="22"/>
          <w:szCs w:val="22"/>
          <w:color w:val="auto"/>
        </w:rPr>
        <w:t>, registered in the name of the Depositary or its nominee, duly executed by the Company and authenticated by the Trustee, and deposited with the Trustee, as custodian for the Depositary or its nominee.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Note Legend</w:t>
      </w:r>
      <w:r>
        <w:rPr>
          <w:rFonts w:ascii="Arial" w:cs="Arial" w:eastAsia="Arial" w:hAnsi="Arial"/>
          <w:sz w:val="22"/>
          <w:szCs w:val="22"/>
          <w:color w:val="auto"/>
        </w:rPr>
        <w:t xml:space="preserve">” means a legend substantially in the form set forth in </w:t>
      </w:r>
      <w:r>
        <w:rPr>
          <w:rFonts w:ascii="Arial" w:cs="Arial" w:eastAsia="Arial" w:hAnsi="Arial"/>
          <w:sz w:val="22"/>
          <w:szCs w:val="22"/>
          <w:b w:val="1"/>
          <w:bCs w:val="1"/>
          <w:color w:val="auto"/>
        </w:rPr>
        <w:t>Exhibit B-2</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w:t>
      </w:r>
      <w:r>
        <w:rPr>
          <w:rFonts w:ascii="Arial" w:cs="Arial" w:eastAsia="Arial" w:hAnsi="Arial"/>
          <w:sz w:val="22"/>
          <w:szCs w:val="22"/>
          <w:color w:val="auto"/>
        </w:rPr>
        <w:t>” means a person in whose name a Note is registered in the Register.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342"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w:t>
      </w:r>
      <w:r>
        <w:rPr>
          <w:rFonts w:ascii="Arial" w:cs="Arial" w:eastAsia="Arial" w:hAnsi="Arial"/>
          <w:sz w:val="22"/>
          <w:szCs w:val="22"/>
          <w:color w:val="auto"/>
        </w:rPr>
        <w:t>” means this Indenture, as amended or supplemented from time to time.</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Purchasers</w:t>
      </w:r>
      <w:r>
        <w:rPr>
          <w:rFonts w:ascii="Arial" w:cs="Arial" w:eastAsia="Arial" w:hAnsi="Arial"/>
          <w:sz w:val="22"/>
          <w:szCs w:val="22"/>
          <w:color w:val="auto"/>
        </w:rPr>
        <w:t>” means Goldman Sachs &amp; Co. LLC, BofA Securities, Inc., J.P. Morgan Securities LLC, Wells Fargo Securities, LLC, Fifth Third Securities, Inc. and SunTrust Robinson Humphrey, Inc.</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means, with respect to a Note, each May 15 and November 15 of each year, commencing on November 15, 2020 (or commencing on such other date specified in the certificate representing such Note). For the avoidance of doubt, the Maturity Date is an Interest Payment Date.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Date</w:t>
      </w:r>
      <w:r>
        <w:rPr>
          <w:rFonts w:ascii="Arial" w:cs="Arial" w:eastAsia="Arial" w:hAnsi="Arial"/>
          <w:sz w:val="22"/>
          <w:szCs w:val="22"/>
          <w:color w:val="auto"/>
        </w:rPr>
        <w:t>” means May 12, 2020.</w:t>
      </w:r>
    </w:p>
    <w:p>
      <w:pPr>
        <w:spacing w:after="0" w:line="26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Last Original Issue Date</w:t>
      </w:r>
      <w:r>
        <w:rPr>
          <w:rFonts w:ascii="Arial" w:cs="Arial" w:eastAsia="Arial" w:hAnsi="Arial"/>
          <w:sz w:val="19"/>
          <w:szCs w:val="19"/>
          <w:color w:val="auto"/>
        </w:rPr>
        <w:t xml:space="preserve">” means (A) with respect to any Notes issued pursuant to the Purchase Agreement, and any Notes issued in exchange therefor or in substitution thereof, the Issue Date; and (B) with respect to any Notes issued pursuant to </w:t>
      </w:r>
      <w:r>
        <w:rPr>
          <w:rFonts w:ascii="Arial" w:cs="Arial" w:eastAsia="Arial" w:hAnsi="Arial"/>
          <w:sz w:val="19"/>
          <w:szCs w:val="19"/>
          <w:b w:val="1"/>
          <w:bCs w:val="1"/>
          <w:color w:val="auto"/>
        </w:rPr>
        <w:t>Section 2.03(B)</w:t>
      </w:r>
      <w:r>
        <w:rPr>
          <w:rFonts w:ascii="Arial" w:cs="Arial" w:eastAsia="Arial" w:hAnsi="Arial"/>
          <w:sz w:val="19"/>
          <w:szCs w:val="19"/>
          <w:color w:val="auto"/>
        </w:rPr>
        <w:t>, and any Notes issued in exchange therefor or in substitution thereof, either (i) the later of (x) the date such</w:t>
      </w:r>
      <w:r>
        <w:rPr>
          <w:rFonts w:ascii="Arial" w:cs="Arial" w:eastAsia="Arial" w:hAnsi="Arial"/>
          <w:sz w:val="19"/>
          <w:szCs w:val="19"/>
          <w:b w:val="1"/>
          <w:bCs w:val="1"/>
          <w:color w:val="auto"/>
        </w:rPr>
        <w:t xml:space="preserve"> </w:t>
      </w:r>
      <w:r>
        <w:rPr>
          <w:rFonts w:ascii="Arial" w:cs="Arial" w:eastAsia="Arial" w:hAnsi="Arial"/>
          <w:sz w:val="19"/>
          <w:szCs w:val="19"/>
          <w:color w:val="auto"/>
        </w:rPr>
        <w:t>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Last Reported Sale Price</w:t>
      </w:r>
      <w:r>
        <w:rPr>
          <w:rFonts w:ascii="Arial" w:cs="Arial" w:eastAsia="Arial" w:hAnsi="Arial"/>
          <w:sz w:val="19"/>
          <w:szCs w:val="19"/>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Relevant Stock Exchange. If the Common Stock is not listed on a Relevant Stock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Conversion Agent will have any duty to determine the Last Reported Sale Price.</w:t>
      </w:r>
    </w:p>
    <w:p>
      <w:pPr>
        <w:spacing w:after="0" w:line="19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Make-Whole Fundamental Change</w:t>
      </w:r>
      <w:r>
        <w:rPr>
          <w:rFonts w:ascii="Arial" w:cs="Arial" w:eastAsia="Arial" w:hAnsi="Arial"/>
          <w:sz w:val="19"/>
          <w:szCs w:val="19"/>
          <w:color w:val="auto"/>
        </w:rPr>
        <w:t xml:space="preserve">” means (A) a Fundamental Change (determined after giving effect to the proviso immediately after </w:t>
      </w:r>
      <w:r>
        <w:rPr>
          <w:rFonts w:ascii="Arial" w:cs="Arial" w:eastAsia="Arial" w:hAnsi="Arial"/>
          <w:sz w:val="19"/>
          <w:szCs w:val="19"/>
          <w:b w:val="1"/>
          <w:bCs w:val="1"/>
          <w:color w:val="auto"/>
        </w:rPr>
        <w:t>clause (D)</w:t>
      </w:r>
      <w:r>
        <w:rPr>
          <w:rFonts w:ascii="Arial" w:cs="Arial" w:eastAsia="Arial" w:hAnsi="Arial"/>
          <w:sz w:val="19"/>
          <w:szCs w:val="19"/>
          <w:color w:val="auto"/>
        </w:rPr>
        <w:t xml:space="preserve"> of the definition thereof, but without regard to the proviso to </w:t>
      </w:r>
      <w:r>
        <w:rPr>
          <w:rFonts w:ascii="Arial" w:cs="Arial" w:eastAsia="Arial" w:hAnsi="Arial"/>
          <w:sz w:val="19"/>
          <w:szCs w:val="19"/>
          <w:b w:val="1"/>
          <w:bCs w:val="1"/>
          <w:color w:val="auto"/>
        </w:rPr>
        <w:t>clause (B)(ii)</w:t>
      </w:r>
      <w:r>
        <w:rPr>
          <w:rFonts w:ascii="Arial" w:cs="Arial" w:eastAsia="Arial" w:hAnsi="Arial"/>
          <w:sz w:val="19"/>
          <w:szCs w:val="19"/>
          <w:color w:val="auto"/>
        </w:rPr>
        <w:t xml:space="preserve"> of such definition); or</w:t>
      </w:r>
    </w:p>
    <w:p>
      <w:pPr>
        <w:spacing w:after="0" w:line="2" w:lineRule="exact"/>
        <w:rPr>
          <w:sz w:val="20"/>
          <w:szCs w:val="20"/>
          <w:color w:val="auto"/>
        </w:rPr>
      </w:pPr>
    </w:p>
    <w:p>
      <w:pPr>
        <w:jc w:val="both"/>
        <w:ind w:firstLine="8"/>
        <w:spacing w:after="0" w:line="244" w:lineRule="auto"/>
        <w:tabs>
          <w:tab w:leader="none" w:pos="367"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the sending of a Redemption Notice pursuant to </w:t>
      </w:r>
      <w:r>
        <w:rPr>
          <w:rFonts w:ascii="Arial" w:cs="Arial" w:eastAsia="Arial" w:hAnsi="Arial"/>
          <w:sz w:val="22"/>
          <w:szCs w:val="22"/>
          <w:b w:val="1"/>
          <w:bCs w:val="1"/>
          <w:color w:val="auto"/>
        </w:rPr>
        <w:t>Section 4.03(F)</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subject to </w:t>
      </w:r>
      <w:r>
        <w:rPr>
          <w:rFonts w:ascii="Arial" w:cs="Arial" w:eastAsia="Arial" w:hAnsi="Arial"/>
          <w:sz w:val="22"/>
          <w:szCs w:val="22"/>
          <w:b w:val="1"/>
          <w:bCs w:val="1"/>
          <w:color w:val="auto"/>
        </w:rPr>
        <w:t>Section 4.03(I)</w:t>
      </w:r>
      <w:r>
        <w:rPr>
          <w:rFonts w:ascii="Arial" w:cs="Arial" w:eastAsia="Arial" w:hAnsi="Arial"/>
          <w:sz w:val="22"/>
          <w:szCs w:val="22"/>
          <w:color w:val="auto"/>
        </w:rPr>
        <w:t xml:space="preserve">, the sending of a Redemption Notice will constitute a Make-Whole Fundamental Change only with respect to the Notes called (or deemed to be called pursuant to </w:t>
      </w:r>
      <w:r>
        <w:rPr>
          <w:rFonts w:ascii="Arial" w:cs="Arial" w:eastAsia="Arial" w:hAnsi="Arial"/>
          <w:sz w:val="22"/>
          <w:szCs w:val="22"/>
          <w:b w:val="1"/>
          <w:bCs w:val="1"/>
          <w:color w:val="auto"/>
        </w:rPr>
        <w:t>Section 4.03(I))</w:t>
      </w:r>
      <w:r>
        <w:rPr>
          <w:rFonts w:ascii="Arial" w:cs="Arial" w:eastAsia="Arial" w:hAnsi="Arial"/>
          <w:sz w:val="22"/>
          <w:szCs w:val="22"/>
          <w:color w:val="auto"/>
        </w:rPr>
        <w:t xml:space="preserve"> for Redemption pursuant to such Redemption Notice and not with respect to any other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342"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Make-Whole Fundamental Change Conversion Period</w:t>
      </w:r>
      <w:r>
        <w:rPr>
          <w:rFonts w:ascii="Arial" w:cs="Arial" w:eastAsia="Arial" w:hAnsi="Arial"/>
          <w:sz w:val="22"/>
          <w:szCs w:val="22"/>
          <w:color w:val="auto"/>
        </w:rPr>
        <w:t>” has the following meaning:</w:t>
      </w:r>
    </w:p>
    <w:p>
      <w:pPr>
        <w:spacing w:after="0" w:line="166" w:lineRule="exact"/>
        <w:rPr>
          <w:sz w:val="20"/>
          <w:szCs w:val="20"/>
          <w:color w:val="auto"/>
        </w:rPr>
      </w:pPr>
    </w:p>
    <w:p>
      <w:pPr>
        <w:jc w:val="both"/>
        <w:ind w:firstLine="656"/>
        <w:spacing w:after="0" w:line="264" w:lineRule="auto"/>
        <w:tabs>
          <w:tab w:leader="none" w:pos="1175" w:val="left"/>
        </w:tabs>
        <w:numPr>
          <w:ilvl w:val="0"/>
          <w:numId w:val="7"/>
        </w:numPr>
        <w:rPr>
          <w:rFonts w:ascii="Arial" w:cs="Arial" w:eastAsia="Arial" w:hAnsi="Arial"/>
          <w:sz w:val="21"/>
          <w:szCs w:val="21"/>
          <w:color w:val="auto"/>
        </w:rPr>
      </w:pPr>
      <w:r>
        <w:rPr>
          <w:rFonts w:ascii="Arial" w:cs="Arial" w:eastAsia="Arial" w:hAnsi="Arial"/>
          <w:sz w:val="21"/>
          <w:szCs w:val="21"/>
          <w:color w:val="auto"/>
        </w:rPr>
        <w:t xml:space="preserve">in the case of a Make-Whole Fundamental Change pursuant to </w:t>
      </w:r>
      <w:r>
        <w:rPr>
          <w:rFonts w:ascii="Arial" w:cs="Arial" w:eastAsia="Arial" w:hAnsi="Arial"/>
          <w:sz w:val="21"/>
          <w:szCs w:val="21"/>
          <w:b w:val="1"/>
          <w:bCs w:val="1"/>
          <w:color w:val="auto"/>
        </w:rPr>
        <w:t>clause (A)</w:t>
      </w:r>
      <w:r>
        <w:rPr>
          <w:rFonts w:ascii="Arial" w:cs="Arial" w:eastAsia="Arial" w:hAnsi="Arial"/>
          <w:sz w:val="21"/>
          <w:szCs w:val="21"/>
          <w:color w:val="auto"/>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210" w:lineRule="exact"/>
        <w:rPr>
          <w:rFonts w:ascii="Arial" w:cs="Arial" w:eastAsia="Arial" w:hAnsi="Arial"/>
          <w:sz w:val="21"/>
          <w:szCs w:val="21"/>
          <w:color w:val="auto"/>
        </w:rPr>
      </w:pPr>
    </w:p>
    <w:p>
      <w:pPr>
        <w:jc w:val="both"/>
        <w:ind w:firstLine="656"/>
        <w:spacing w:after="0" w:line="256" w:lineRule="auto"/>
        <w:tabs>
          <w:tab w:leader="none" w:pos="1167"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in the case of a Make-Whole Fundamental Change pursuant to </w:t>
      </w:r>
      <w:r>
        <w:rPr>
          <w:rFonts w:ascii="Arial" w:cs="Arial" w:eastAsia="Arial" w:hAnsi="Arial"/>
          <w:sz w:val="22"/>
          <w:szCs w:val="22"/>
          <w:b w:val="1"/>
          <w:bCs w:val="1"/>
          <w:color w:val="auto"/>
        </w:rPr>
        <w:t>clause (B)</w:t>
      </w:r>
      <w:r>
        <w:rPr>
          <w:rFonts w:ascii="Arial" w:cs="Arial" w:eastAsia="Arial" w:hAnsi="Arial"/>
          <w:sz w:val="22"/>
          <w:szCs w:val="22"/>
          <w:color w:val="auto"/>
        </w:rPr>
        <w:t xml:space="preserve"> of the definition thereof, the period from, and including, the Redemption Notice Date for the related Redemption to, and including, the Business Day immediately before the related Redemption Date;</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Conversion Date for the conversion of a Note that has been called (or deemed, pursuant to</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4.03(I)</w:t>
      </w:r>
      <w:r>
        <w:rPr>
          <w:rFonts w:ascii="Arial" w:cs="Arial" w:eastAsia="Arial" w:hAnsi="Arial"/>
          <w:sz w:val="19"/>
          <w:szCs w:val="19"/>
          <w:color w:val="auto"/>
        </w:rPr>
        <w:t xml:space="preserve">, to be called) for Redemption occurs during the Make-Whole Fundamental Change Conversion Period for both a Make-Whole Fundamental Change occurring pursuant to </w:t>
      </w:r>
      <w:r>
        <w:rPr>
          <w:rFonts w:ascii="Arial" w:cs="Arial" w:eastAsia="Arial" w:hAnsi="Arial"/>
          <w:sz w:val="19"/>
          <w:szCs w:val="19"/>
          <w:b w:val="1"/>
          <w:bCs w:val="1"/>
          <w:color w:val="auto"/>
        </w:rPr>
        <w:t>clause (A)</w:t>
      </w:r>
      <w:r>
        <w:rPr>
          <w:rFonts w:ascii="Arial" w:cs="Arial" w:eastAsia="Arial" w:hAnsi="Arial"/>
          <w:sz w:val="19"/>
          <w:szCs w:val="19"/>
          <w:color w:val="auto"/>
        </w:rPr>
        <w:t xml:space="preserve"> of the definition of “Make-Whole Fundamental Change” and a Make-Whole Fundamental Change resulting from such Redemption pursuant to </w:t>
      </w:r>
      <w:r>
        <w:rPr>
          <w:rFonts w:ascii="Arial" w:cs="Arial" w:eastAsia="Arial" w:hAnsi="Arial"/>
          <w:sz w:val="19"/>
          <w:szCs w:val="19"/>
          <w:b w:val="1"/>
          <w:bCs w:val="1"/>
          <w:color w:val="auto"/>
        </w:rPr>
        <w:t>clause (B)</w:t>
      </w:r>
      <w:r>
        <w:rPr>
          <w:rFonts w:ascii="Arial" w:cs="Arial" w:eastAsia="Arial" w:hAnsi="Arial"/>
          <w:sz w:val="19"/>
          <w:szCs w:val="19"/>
          <w:color w:val="auto"/>
        </w:rPr>
        <w:t xml:space="preserve"> of such definition, then, notwithstanding anything to the contrary in </w:t>
      </w:r>
      <w:r>
        <w:rPr>
          <w:rFonts w:ascii="Arial" w:cs="Arial" w:eastAsia="Arial" w:hAnsi="Arial"/>
          <w:sz w:val="19"/>
          <w:szCs w:val="19"/>
          <w:b w:val="1"/>
          <w:bCs w:val="1"/>
          <w:color w:val="auto"/>
        </w:rPr>
        <w:t>Section 5.07</w:t>
      </w:r>
      <w:r>
        <w:rPr>
          <w:rFonts w:ascii="Arial" w:cs="Arial" w:eastAsia="Arial" w:hAnsi="Arial"/>
          <w:sz w:val="19"/>
          <w:szCs w:val="19"/>
          <w:color w:val="auto"/>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Make-Whole Fundamental Change Effective Date</w:t>
      </w:r>
      <w:r>
        <w:rPr>
          <w:rFonts w:ascii="Arial" w:cs="Arial" w:eastAsia="Arial" w:hAnsi="Arial"/>
          <w:sz w:val="22"/>
          <w:szCs w:val="22"/>
          <w:color w:val="auto"/>
        </w:rPr>
        <w:t xml:space="preserve">” means (A) with respect to a Make-Whole Fundamental Change pursuant to </w:t>
      </w:r>
      <w:r>
        <w:rPr>
          <w:rFonts w:ascii="Arial" w:cs="Arial" w:eastAsia="Arial" w:hAnsi="Arial"/>
          <w:sz w:val="22"/>
          <w:szCs w:val="22"/>
          <w:b w:val="1"/>
          <w:bCs w:val="1"/>
          <w:color w:val="auto"/>
        </w:rPr>
        <w:t>clause (A)</w:t>
      </w:r>
      <w:r>
        <w:rPr>
          <w:rFonts w:ascii="Arial" w:cs="Arial" w:eastAsia="Arial" w:hAnsi="Arial"/>
          <w:sz w:val="22"/>
          <w:szCs w:val="22"/>
          <w:color w:val="auto"/>
        </w:rPr>
        <w:t xml:space="preserve"> of the definition thereof, the date on which such Make-Whole Fundamental Change occurs or becomes effective; and (B) with respect to a Make-Whole Fundamental Change pursuant to </w:t>
      </w:r>
      <w:r>
        <w:rPr>
          <w:rFonts w:ascii="Arial" w:cs="Arial" w:eastAsia="Arial" w:hAnsi="Arial"/>
          <w:sz w:val="22"/>
          <w:szCs w:val="22"/>
          <w:b w:val="1"/>
          <w:bCs w:val="1"/>
          <w:color w:val="auto"/>
        </w:rPr>
        <w:t>clause (B)</w:t>
      </w:r>
      <w:r>
        <w:rPr>
          <w:rFonts w:ascii="Arial" w:cs="Arial" w:eastAsia="Arial" w:hAnsi="Arial"/>
          <w:sz w:val="22"/>
          <w:szCs w:val="22"/>
          <w:color w:val="auto"/>
        </w:rPr>
        <w:t xml:space="preserve"> of the definition thereof, the applicable Redemption Notice Date.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 Disruption Event</w:t>
      </w:r>
      <w:r>
        <w:rPr>
          <w:rFonts w:ascii="Arial" w:cs="Arial" w:eastAsia="Arial" w:hAnsi="Arial"/>
          <w:sz w:val="22"/>
          <w:szCs w:val="22"/>
          <w:color w:val="auto"/>
        </w:rPr>
        <w:t>” means, with respect to any date, the occurrence or existence, during the one-half hour period ending at the scheduled close of trading on such date on the Relevant Stock Exchange, of any material suspension or limitation imposed on trading (by reason of movements in price exceeding limits permitted by the relevant exchange or otherwise) in the Common Stock (or such other relevant security) or in any options contracts or futures contracts relating to the Common Stock (or such other relevant security).</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May 15, 2025.</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Non-Affiliate Legend</w:t>
      </w:r>
      <w:r>
        <w:rPr>
          <w:rFonts w:ascii="Arial" w:cs="Arial" w:eastAsia="Arial" w:hAnsi="Arial"/>
          <w:sz w:val="22"/>
          <w:szCs w:val="22"/>
          <w:color w:val="auto"/>
        </w:rPr>
        <w:t xml:space="preserve">” means a legend substantially in the form set forth in </w:t>
      </w:r>
      <w:r>
        <w:rPr>
          <w:rFonts w:ascii="Arial" w:cs="Arial" w:eastAsia="Arial" w:hAnsi="Arial"/>
          <w:sz w:val="22"/>
          <w:szCs w:val="22"/>
          <w:b w:val="1"/>
          <w:bCs w:val="1"/>
          <w:color w:val="auto"/>
        </w:rPr>
        <w:t>Exhibit B-3</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 Agent</w:t>
      </w:r>
      <w:r>
        <w:rPr>
          <w:rFonts w:ascii="Arial" w:cs="Arial" w:eastAsia="Arial" w:hAnsi="Arial"/>
          <w:sz w:val="22"/>
          <w:szCs w:val="22"/>
          <w:color w:val="auto"/>
        </w:rPr>
        <w:t>” means any Registrar, Paying Agent or Conversion Agent.</w:t>
      </w:r>
    </w:p>
    <w:p>
      <w:pPr>
        <w:spacing w:after="0" w:line="260"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Notes</w:t>
      </w:r>
      <w:r>
        <w:rPr>
          <w:rFonts w:ascii="Arial" w:cs="Arial" w:eastAsia="Arial" w:hAnsi="Arial"/>
          <w:sz w:val="22"/>
          <w:szCs w:val="22"/>
          <w:color w:val="auto"/>
        </w:rPr>
        <w:t>” means the 2.50% Convertible Senior Notes due 2025 issued by the Company pursuant to this Indenture.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342" w:right="339" w:bottom="1440" w:gutter="0" w:footer="0" w:header="0"/>
        </w:sectPr>
      </w:pPr>
    </w:p>
    <w:bookmarkStart w:id="16" w:name="page17"/>
    <w:bookmarkEnd w:id="16"/>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Observation Period</w:t>
      </w:r>
      <w:r>
        <w:rPr>
          <w:rFonts w:ascii="Arial" w:cs="Arial" w:eastAsia="Arial" w:hAnsi="Arial"/>
          <w:sz w:val="21"/>
          <w:szCs w:val="21"/>
          <w:color w:val="auto"/>
        </w:rPr>
        <w:t xml:space="preserve">” means, with respect to any Note to be converted, (A) subject to </w:t>
      </w:r>
      <w:r>
        <w:rPr>
          <w:rFonts w:ascii="Arial" w:cs="Arial" w:eastAsia="Arial" w:hAnsi="Arial"/>
          <w:sz w:val="21"/>
          <w:szCs w:val="21"/>
          <w:b w:val="1"/>
          <w:bCs w:val="1"/>
          <w:color w:val="auto"/>
        </w:rPr>
        <w:t>clause (B)</w:t>
      </w:r>
      <w:r>
        <w:rPr>
          <w:rFonts w:ascii="Arial" w:cs="Arial" w:eastAsia="Arial" w:hAnsi="Arial"/>
          <w:sz w:val="21"/>
          <w:szCs w:val="21"/>
          <w:color w:val="auto"/>
        </w:rPr>
        <w:t xml:space="preserve"> below, if the Conversion Date for such Note occurs before February 15, 2025, the forty (40) consecutive VWAP Trading Days beginning on, and including, the third (3rd) VWAP Trading Day immediately after such Conversion Date; (B) if such Conversion Date occurs on or after the date the Company has sent a Redemption Notice calling all or any Notes for Redemption pursuant to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4.03(F) </w:t>
      </w:r>
      <w:r>
        <w:rPr>
          <w:rFonts w:ascii="Arial" w:cs="Arial" w:eastAsia="Arial" w:hAnsi="Arial"/>
          <w:sz w:val="21"/>
          <w:szCs w:val="21"/>
          <w:color w:val="auto"/>
        </w:rPr>
        <w:t>and before the Close of Business on the Business Day immediately before the related Redemption Date, the forty (40)</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consecutive VWAP Trading Days beginning on, and including, the forty first (41st) Scheduled Trading Day immediately before such Redemption Date; and (C) subject to </w:t>
      </w:r>
      <w:r>
        <w:rPr>
          <w:rFonts w:ascii="Arial" w:cs="Arial" w:eastAsia="Arial" w:hAnsi="Arial"/>
          <w:sz w:val="21"/>
          <w:szCs w:val="21"/>
          <w:b w:val="1"/>
          <w:bCs w:val="1"/>
          <w:color w:val="auto"/>
        </w:rPr>
        <w:t>clause (B)</w:t>
      </w:r>
      <w:r>
        <w:rPr>
          <w:rFonts w:ascii="Arial" w:cs="Arial" w:eastAsia="Arial" w:hAnsi="Arial"/>
          <w:sz w:val="21"/>
          <w:szCs w:val="21"/>
          <w:color w:val="auto"/>
        </w:rPr>
        <w:t xml:space="preserve"> above, if such Conversion Date occurs on or after February 15, 2025, the forty (40) consecutive VWAP Trading Days beginning on, and including, the forty first (41st) Scheduled Trading Day immediately before the Maturity Date.</w:t>
      </w:r>
    </w:p>
    <w:p>
      <w:pPr>
        <w:spacing w:after="0" w:line="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Officer</w:t>
      </w:r>
      <w:r>
        <w:rPr>
          <w:rFonts w:ascii="Arial" w:cs="Arial" w:eastAsia="Arial" w:hAnsi="Arial"/>
          <w:sz w:val="19"/>
          <w:szCs w:val="19"/>
          <w:color w:val="auto"/>
        </w:rPr>
        <w:t>” means the Chairman of the Board of Directors, the Chief Executive Officer, the President, the Chief Operating Officer, the Chief Financial Officer, the Treasurer, any Assistant Treasurer, the Controller, the Chief Accounting Officer, the General Counsel, the Secretary, any Executive Vice President, any Senior Vice President or any Vice President of the Company.</w:t>
      </w:r>
    </w:p>
    <w:p>
      <w:pPr>
        <w:spacing w:after="0" w:line="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Officer’s Certificate</w:t>
      </w:r>
      <w:r>
        <w:rPr>
          <w:rFonts w:ascii="Arial" w:cs="Arial" w:eastAsia="Arial" w:hAnsi="Arial"/>
          <w:sz w:val="22"/>
          <w:szCs w:val="22"/>
          <w:color w:val="auto"/>
        </w:rPr>
        <w:t xml:space="preserve">” means a certificate that is signed on behalf of the Company by one (1) of its Officers and that meets the requirements of </w:t>
      </w:r>
      <w:r>
        <w:rPr>
          <w:rFonts w:ascii="Arial" w:cs="Arial" w:eastAsia="Arial" w:hAnsi="Arial"/>
          <w:sz w:val="22"/>
          <w:szCs w:val="22"/>
          <w:b w:val="1"/>
          <w:bCs w:val="1"/>
          <w:color w:val="auto"/>
        </w:rPr>
        <w:t>Section 11.03</w:t>
      </w:r>
      <w:r>
        <w:rPr>
          <w:rFonts w:ascii="Arial" w:cs="Arial" w:eastAsia="Arial" w:hAnsi="Arial"/>
          <w:sz w:val="22"/>
          <w:szCs w:val="22"/>
          <w:color w:val="auto"/>
        </w:rPr>
        <w: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of Business</w:t>
      </w:r>
      <w:r>
        <w:rPr>
          <w:rFonts w:ascii="Arial" w:cs="Arial" w:eastAsia="Arial" w:hAnsi="Arial"/>
          <w:sz w:val="22"/>
          <w:szCs w:val="22"/>
          <w:color w:val="auto"/>
        </w:rPr>
        <w:t>” means 9:00 a.m., New York City time.</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Opinion of Counsel</w:t>
      </w:r>
      <w:r>
        <w:rPr>
          <w:rFonts w:ascii="Arial" w:cs="Arial" w:eastAsia="Arial" w:hAnsi="Arial"/>
          <w:sz w:val="22"/>
          <w:szCs w:val="22"/>
          <w:color w:val="auto"/>
        </w:rPr>
        <w:t xml:space="preserve">” means an opinion, from legal counsel (including an employee of, or counsel to, the Company or any of its Subsidiaries) reasonably acceptable to the Trustee, that meets the requirements of </w:t>
      </w:r>
      <w:r>
        <w:rPr>
          <w:rFonts w:ascii="Arial" w:cs="Arial" w:eastAsia="Arial" w:hAnsi="Arial"/>
          <w:sz w:val="22"/>
          <w:szCs w:val="22"/>
          <w:b w:val="1"/>
          <w:bCs w:val="1"/>
          <w:color w:val="auto"/>
        </w:rPr>
        <w:t>Section 11.03</w:t>
      </w:r>
      <w:r>
        <w:rPr>
          <w:rFonts w:ascii="Arial" w:cs="Arial" w:eastAsia="Arial" w:hAnsi="Arial"/>
          <w:sz w:val="22"/>
          <w:szCs w:val="22"/>
          <w:color w:val="auto"/>
        </w:rPr>
        <w:t>, subject to customary qualifications and exclusions.</w:t>
      </w:r>
    </w:p>
    <w:p>
      <w:pPr>
        <w:spacing w:after="0" w:line="1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or “</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2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Physical Note</w:t>
      </w:r>
      <w:r>
        <w:rPr>
          <w:rFonts w:ascii="Arial" w:cs="Arial" w:eastAsia="Arial" w:hAnsi="Arial"/>
          <w:sz w:val="22"/>
          <w:szCs w:val="22"/>
          <w:color w:val="auto"/>
        </w:rPr>
        <w:t xml:space="preserve">” means a Note (other than a Global Note) that is represented by a certificate substantially in the form set forth in </w:t>
      </w:r>
      <w:r>
        <w:rPr>
          <w:rFonts w:ascii="Arial" w:cs="Arial" w:eastAsia="Arial" w:hAnsi="Arial"/>
          <w:sz w:val="22"/>
          <w:szCs w:val="22"/>
          <w:b w:val="1"/>
          <w:bCs w:val="1"/>
          <w:color w:val="auto"/>
        </w:rPr>
        <w:t>Exhibit A</w:t>
      </w:r>
      <w:r>
        <w:rPr>
          <w:rFonts w:ascii="Arial" w:cs="Arial" w:eastAsia="Arial" w:hAnsi="Arial"/>
          <w:sz w:val="22"/>
          <w:szCs w:val="22"/>
          <w:color w:val="auto"/>
        </w:rPr>
        <w:t>, registered in the name of the Holder of such Note and duly executed by the Company and authenticated by the Trustee.</w:t>
      </w:r>
    </w:p>
    <w:p>
      <w:pPr>
        <w:spacing w:after="0" w:line="12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Agreement</w:t>
      </w:r>
      <w:r>
        <w:rPr>
          <w:rFonts w:ascii="Arial" w:cs="Arial" w:eastAsia="Arial" w:hAnsi="Arial"/>
          <w:sz w:val="22"/>
          <w:szCs w:val="22"/>
          <w:color w:val="auto"/>
        </w:rPr>
        <w:t>” means that certain Purchase Agreement, dated May 7, 2020, between the Company and the representatives of the Initial Purchasers.</w:t>
      </w:r>
    </w:p>
    <w:p>
      <w:pPr>
        <w:spacing w:after="0" w:line="1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Record Date</w:t>
      </w:r>
      <w:r>
        <w:rPr>
          <w:rFonts w:ascii="Arial" w:cs="Arial" w:eastAsia="Arial" w:hAnsi="Arial"/>
          <w:sz w:val="21"/>
          <w:szCs w:val="21"/>
          <w:color w:val="auto"/>
        </w:rPr>
        <w:t>” means, with respect to any dividend, distribution or other transaction or event in which the holders of the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other applicable security) entitled to receive such cash, securities or other property (whether such date is fixed by the Board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342"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of Directors, statute, contract or otherwise).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w:t>
      </w:r>
      <w:r>
        <w:rPr>
          <w:rFonts w:ascii="Arial" w:cs="Arial" w:eastAsia="Arial" w:hAnsi="Arial"/>
          <w:sz w:val="22"/>
          <w:szCs w:val="22"/>
          <w:color w:val="auto"/>
        </w:rPr>
        <w:t xml:space="preserve">” means the repurchase of any Note by the Company pursuant to </w:t>
      </w:r>
      <w:r>
        <w:rPr>
          <w:rFonts w:ascii="Arial" w:cs="Arial" w:eastAsia="Arial" w:hAnsi="Arial"/>
          <w:sz w:val="22"/>
          <w:szCs w:val="22"/>
          <w:b w:val="1"/>
          <w:bCs w:val="1"/>
          <w:color w:val="auto"/>
        </w:rPr>
        <w:t>Section 4.03</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Date</w:t>
      </w:r>
      <w:r>
        <w:rPr>
          <w:rFonts w:ascii="Arial" w:cs="Arial" w:eastAsia="Arial" w:hAnsi="Arial"/>
          <w:sz w:val="22"/>
          <w:szCs w:val="22"/>
          <w:color w:val="auto"/>
        </w:rPr>
        <w:t xml:space="preserve">” means the date fixed, pursuant to </w:t>
      </w:r>
      <w:r>
        <w:rPr>
          <w:rFonts w:ascii="Arial" w:cs="Arial" w:eastAsia="Arial" w:hAnsi="Arial"/>
          <w:sz w:val="22"/>
          <w:szCs w:val="22"/>
          <w:b w:val="1"/>
          <w:bCs w:val="1"/>
          <w:color w:val="auto"/>
        </w:rPr>
        <w:t>Section 4.03(D)</w:t>
      </w:r>
      <w:r>
        <w:rPr>
          <w:rFonts w:ascii="Arial" w:cs="Arial" w:eastAsia="Arial" w:hAnsi="Arial"/>
          <w:sz w:val="22"/>
          <w:szCs w:val="22"/>
          <w:color w:val="auto"/>
        </w:rPr>
        <w:t>, for the settlement of the repurchase of any Notes by the Company pursuant to a Redemption.</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Notice Date</w:t>
      </w:r>
      <w:r>
        <w:rPr>
          <w:rFonts w:ascii="Arial" w:cs="Arial" w:eastAsia="Arial" w:hAnsi="Arial"/>
          <w:sz w:val="22"/>
          <w:szCs w:val="22"/>
          <w:color w:val="auto"/>
        </w:rPr>
        <w:t xml:space="preserve">” means, with respect to a Redemption, the date on which the Company sends the Redemption Notice for such Redemption pursuant to </w:t>
      </w:r>
      <w:r>
        <w:rPr>
          <w:rFonts w:ascii="Arial" w:cs="Arial" w:eastAsia="Arial" w:hAnsi="Arial"/>
          <w:sz w:val="22"/>
          <w:szCs w:val="22"/>
          <w:b w:val="1"/>
          <w:bCs w:val="1"/>
          <w:color w:val="auto"/>
        </w:rPr>
        <w:t>Section 4.03(F)</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Price</w:t>
      </w:r>
      <w:r>
        <w:rPr>
          <w:rFonts w:ascii="Arial" w:cs="Arial" w:eastAsia="Arial" w:hAnsi="Arial"/>
          <w:sz w:val="22"/>
          <w:szCs w:val="22"/>
          <w:color w:val="auto"/>
        </w:rPr>
        <w:t xml:space="preserve">” means the cash price payable by the Company to redeem any Note upon its Redemption, calculated pursuant to </w:t>
      </w:r>
      <w:r>
        <w:rPr>
          <w:rFonts w:ascii="Arial" w:cs="Arial" w:eastAsia="Arial" w:hAnsi="Arial"/>
          <w:sz w:val="22"/>
          <w:szCs w:val="22"/>
          <w:b w:val="1"/>
          <w:bCs w:val="1"/>
          <w:color w:val="auto"/>
        </w:rPr>
        <w:t>Section 4.03(E)</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Regular Record Date</w:t>
      </w:r>
      <w:r>
        <w:rPr>
          <w:rFonts w:ascii="Arial" w:cs="Arial" w:eastAsia="Arial" w:hAnsi="Arial"/>
          <w:sz w:val="21"/>
          <w:szCs w:val="21"/>
          <w:color w:val="auto"/>
        </w:rPr>
        <w:t>” has the following meaning with respect to an Interest Payment Date: (A) if such Interest Payment Date occurs on May 15, the immediately preceding May 1; and (B) if such Interest Payment Date occurs on November 15, the immediately preceding November 1 (whether or not such May 1 or November 1 is a Business Day).</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Stock Exchange</w:t>
      </w:r>
      <w:r>
        <w:rPr>
          <w:rFonts w:ascii="Arial" w:cs="Arial" w:eastAsia="Arial" w:hAnsi="Arial"/>
          <w:sz w:val="22"/>
          <w:szCs w:val="22"/>
          <w:color w:val="auto"/>
        </w:rPr>
        <w:t>” means the NASDAQ Global Select Market, or, if the Common Stock is not then listed on the NASDAQ Global Select Market, the principal other U.S. national or regional securities exchange on which the Common Stock is then listed.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Repurchase Upon Fundamental Change</w:t>
      </w:r>
      <w:r>
        <w:rPr>
          <w:rFonts w:ascii="Arial" w:cs="Arial" w:eastAsia="Arial" w:hAnsi="Arial"/>
          <w:sz w:val="19"/>
          <w:szCs w:val="19"/>
          <w:color w:val="auto"/>
        </w:rPr>
        <w:t xml:space="preserve">” means the repurchase of any Note by the Company pursuant to </w:t>
      </w:r>
      <w:r>
        <w:rPr>
          <w:rFonts w:ascii="Arial" w:cs="Arial" w:eastAsia="Arial" w:hAnsi="Arial"/>
          <w:sz w:val="19"/>
          <w:szCs w:val="19"/>
          <w:b w:val="1"/>
          <w:bCs w:val="1"/>
          <w:color w:val="auto"/>
        </w:rPr>
        <w:t>Section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4.02</w:t>
      </w:r>
      <w:r>
        <w:rPr>
          <w:rFonts w:ascii="Arial" w:cs="Arial" w:eastAsia="Arial" w:hAnsi="Arial"/>
          <w:sz w:val="22"/>
          <w:szCs w:val="22"/>
          <w:color w:val="auto"/>
        </w:rPr>
        <w:t>.</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Responsible Officer</w:t>
      </w:r>
      <w:r>
        <w:rPr>
          <w:rFonts w:ascii="Arial" w:cs="Arial" w:eastAsia="Arial" w:hAnsi="Arial"/>
          <w:sz w:val="22"/>
          <w:szCs w:val="22"/>
          <w:color w:val="auto"/>
        </w:rPr>
        <w:t>” means (A) any officer of the Trustee assigned by the Trustee to administer its corporate trust matters and who has direct responsibility for the administration of this Indenture; and (B) with respect to a particular corporate trust matter, any other officer to whom such matter is referred because of his or her knowledge of, and familiarity with, the particular subject.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Note Legend</w:t>
      </w:r>
      <w:r>
        <w:rPr>
          <w:rFonts w:ascii="Arial" w:cs="Arial" w:eastAsia="Arial" w:hAnsi="Arial"/>
          <w:sz w:val="22"/>
          <w:szCs w:val="22"/>
          <w:color w:val="auto"/>
        </w:rPr>
        <w:t xml:space="preserve">” means a legend substantially in the form set forth in </w:t>
      </w:r>
      <w:r>
        <w:rPr>
          <w:rFonts w:ascii="Arial" w:cs="Arial" w:eastAsia="Arial" w:hAnsi="Arial"/>
          <w:sz w:val="22"/>
          <w:szCs w:val="22"/>
          <w:b w:val="1"/>
          <w:bCs w:val="1"/>
          <w:color w:val="auto"/>
        </w:rPr>
        <w:t>Exhibit B-1</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Stock Legend</w:t>
      </w:r>
      <w:r>
        <w:rPr>
          <w:rFonts w:ascii="Arial" w:cs="Arial" w:eastAsia="Arial" w:hAnsi="Arial"/>
          <w:sz w:val="22"/>
          <w:szCs w:val="22"/>
          <w:color w:val="auto"/>
        </w:rPr>
        <w:t>” means, with respect to any Conversion Share, a legend that imposes substantially the same restrictions on such Conversion Shares as the Restricted Note Legend.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w:t>
      </w:r>
      <w:r>
        <w:rPr>
          <w:rFonts w:ascii="Arial" w:cs="Arial" w:eastAsia="Arial" w:hAnsi="Arial"/>
          <w:sz w:val="22"/>
          <w:szCs w:val="22"/>
          <w:color w:val="auto"/>
        </w:rPr>
        <w:t>” means Rule 144 under the Securities Act (or any successor rule thereto), as the same may be amended from time to time.</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144A</w:t>
      </w:r>
      <w:r>
        <w:rPr>
          <w:rFonts w:ascii="Arial" w:cs="Arial" w:eastAsia="Arial" w:hAnsi="Arial"/>
          <w:sz w:val="22"/>
          <w:szCs w:val="22"/>
          <w:color w:val="auto"/>
        </w:rPr>
        <w:t>” means Rule 144A under the Securities Act (or any successor rule thereto), as the same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Scheduled Trading Day</w:t>
      </w:r>
      <w:r>
        <w:rPr>
          <w:rFonts w:ascii="Arial" w:cs="Arial" w:eastAsia="Arial" w:hAnsi="Arial"/>
          <w:sz w:val="22"/>
          <w:szCs w:val="22"/>
          <w:color w:val="auto"/>
        </w:rPr>
        <w:t>” means any day that is scheduled to be a Trading Day on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348"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22"/>
          <w:szCs w:val="22"/>
          <w:color w:val="auto"/>
        </w:rPr>
        <w:t>Relevant Stock Exchange. If the Common Stock is not so listed or traded on a Relevant Stock Exchange, then “Scheduled Trading Day” means a Business Day.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U.S.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U.S. Securities Act of 1933,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w:t>
      </w:r>
      <w:r>
        <w:rPr>
          <w:rFonts w:ascii="Arial" w:cs="Arial" w:eastAsia="Arial" w:hAnsi="Arial"/>
          <w:sz w:val="22"/>
          <w:szCs w:val="22"/>
          <w:color w:val="auto"/>
        </w:rPr>
        <w:t>” means any Note or Conversion Share.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Method</w:t>
      </w:r>
      <w:r>
        <w:rPr>
          <w:rFonts w:ascii="Arial" w:cs="Arial" w:eastAsia="Arial" w:hAnsi="Arial"/>
          <w:sz w:val="22"/>
          <w:szCs w:val="22"/>
          <w:color w:val="auto"/>
        </w:rPr>
        <w:t>” means Cash Settlement, Physical Settlement or Combination Settlement.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Significant Subsidiary</w:t>
      </w:r>
      <w:r>
        <w:rPr>
          <w:rFonts w:ascii="Arial" w:cs="Arial" w:eastAsia="Arial" w:hAnsi="Arial"/>
          <w:sz w:val="22"/>
          <w:szCs w:val="22"/>
          <w:color w:val="auto"/>
        </w:rPr>
        <w:t>” means, with respect to any Person, any Subsidiary of such Person that constitutes, or any group of Subsidiaries of such Person that, in the aggregate, would constitute, a “significant subsidiary” (as defined in Rule 1-02(w) of Regulation S-X under the Exchange Act) of such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Interest</w:t>
      </w:r>
      <w:r>
        <w:rPr>
          <w:rFonts w:ascii="Arial" w:cs="Arial" w:eastAsia="Arial" w:hAnsi="Arial"/>
          <w:sz w:val="22"/>
          <w:szCs w:val="22"/>
          <w:color w:val="auto"/>
        </w:rPr>
        <w:t xml:space="preserve">” means any interest that accrues on any Note pursuant to </w:t>
      </w:r>
      <w:r>
        <w:rPr>
          <w:rFonts w:ascii="Arial" w:cs="Arial" w:eastAsia="Arial" w:hAnsi="Arial"/>
          <w:sz w:val="22"/>
          <w:szCs w:val="22"/>
          <w:b w:val="1"/>
          <w:bCs w:val="1"/>
          <w:color w:val="auto"/>
        </w:rPr>
        <w:t>Section 7.03</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Dollar Amount</w:t>
      </w:r>
      <w:r>
        <w:rPr>
          <w:rFonts w:ascii="Arial" w:cs="Arial" w:eastAsia="Arial" w:hAnsi="Arial"/>
          <w:sz w:val="21"/>
          <w:szCs w:val="21"/>
          <w:color w:val="auto"/>
        </w:rPr>
        <w:t>” means, with respect to the conversion of a Note to which Combination Settlement applies, the maximum cash amount per $1,000 principal amount of such Note deliverable upon such conversion (excluding cash in lieu of any fractional share of Common Stock) as specified (or deemed specified) by the Company.</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Stock Price</w:t>
      </w:r>
      <w:r>
        <w:rPr>
          <w:rFonts w:ascii="Arial" w:cs="Arial" w:eastAsia="Arial" w:hAnsi="Arial"/>
          <w:sz w:val="21"/>
          <w:szCs w:val="21"/>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Arial" w:cs="Arial" w:eastAsia="Arial" w:hAnsi="Arial"/>
          <w:sz w:val="21"/>
          <w:szCs w:val="21"/>
          <w:b w:val="1"/>
          <w:bCs w:val="1"/>
          <w:color w:val="auto"/>
        </w:rPr>
        <w:t>clause (B)</w:t>
      </w:r>
      <w:r>
        <w:rPr>
          <w:rFonts w:ascii="Arial" w:cs="Arial" w:eastAsia="Arial" w:hAnsi="Arial"/>
          <w:sz w:val="21"/>
          <w:szCs w:val="21"/>
          <w:color w:val="auto"/>
        </w:rPr>
        <w:t xml:space="preserve">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348"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22"/>
          <w:szCs w:val="22"/>
          <w:color w:val="auto"/>
        </w:rPr>
        <w:t>limited liability company interests or otherwise; and (ii) such Person or any one or more of the other Subsidiaries of such Person is a controlling general partner of, or otherwise controls, such partnership or limited liability company.</w:t>
      </w:r>
    </w:p>
    <w:p>
      <w:pPr>
        <w:spacing w:after="0" w:line="11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Day</w:t>
      </w:r>
      <w:r>
        <w:rPr>
          <w:rFonts w:ascii="Arial" w:cs="Arial" w:eastAsia="Arial" w:hAnsi="Arial"/>
          <w:sz w:val="19"/>
          <w:szCs w:val="19"/>
          <w:color w:val="auto"/>
        </w:rPr>
        <w:t>” means any day on which (A) trading in the Common Stock (or other security for which a Last Reported Sale Price must be determined) generally occurs on the Relevant Stock Exchange or, if the Common Stock (or such other security) is not then listed on a Relevant Stock Exchange, on the principal other market on which the Common Stock (or such other security) is then traded; and (B) there is no Market Disruption Event. If the Common Stock (or such other security) is not so listed or traded on a Relevant Stock Exchange, then “Trading Day” means a Business Day.</w:t>
      </w:r>
    </w:p>
    <w:p>
      <w:pPr>
        <w:spacing w:after="0" w:line="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Trading Price</w:t>
      </w:r>
      <w:r>
        <w:rPr>
          <w:rFonts w:ascii="Arial" w:cs="Arial" w:eastAsia="Arial" w:hAnsi="Arial"/>
          <w:sz w:val="21"/>
          <w:szCs w:val="21"/>
          <w:color w:val="auto"/>
        </w:rPr>
        <w:t xml:space="preserve">” of the Notes on any Trading Day means the average of the secondary market bid quotations, expressed as a cash amount per $1,000 principal amount of Notes, obtained by the Bid Solicitation Agent for five million dollars ($5,000,000)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five million dollars ($5,000,000)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1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Transfer-Restricted Security</w:t>
      </w:r>
      <w:r>
        <w:rPr>
          <w:rFonts w:ascii="Arial" w:cs="Arial" w:eastAsia="Arial" w:hAnsi="Arial"/>
          <w:sz w:val="22"/>
          <w:szCs w:val="22"/>
          <w:color w:val="auto"/>
        </w:rPr>
        <w:t xml:space="preserve">” means any Security that constitutes a “restricted security” (as defined in Rule 144);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such Security will cease to be a Transfer-Restricted Security upon the earliest to occur of the following</w:t>
      </w:r>
      <w:r>
        <w:rPr>
          <w:rFonts w:ascii="Arial" w:cs="Arial" w:eastAsia="Arial" w:hAnsi="Arial"/>
          <w:sz w:val="22"/>
          <w:szCs w:val="22"/>
          <w:i w:val="1"/>
          <w:iCs w:val="1"/>
          <w:color w:val="auto"/>
        </w:rPr>
        <w:t xml:space="preserve"> </w:t>
      </w:r>
      <w:r>
        <w:rPr>
          <w:rFonts w:ascii="Arial" w:cs="Arial" w:eastAsia="Arial" w:hAnsi="Arial"/>
          <w:sz w:val="22"/>
          <w:szCs w:val="22"/>
          <w:color w:val="auto"/>
        </w:rPr>
        <w:t>events:</w:t>
      </w:r>
    </w:p>
    <w:p>
      <w:pPr>
        <w:spacing w:after="0" w:line="128" w:lineRule="exact"/>
        <w:rPr>
          <w:sz w:val="20"/>
          <w:szCs w:val="20"/>
          <w:color w:val="auto"/>
        </w:rPr>
      </w:pPr>
    </w:p>
    <w:p>
      <w:pPr>
        <w:ind w:firstLine="656"/>
        <w:spacing w:after="0" w:line="343" w:lineRule="auto"/>
        <w:tabs>
          <w:tab w:leader="none" w:pos="1190" w:val="left"/>
        </w:tabs>
        <w:numPr>
          <w:ilvl w:val="0"/>
          <w:numId w:val="8"/>
        </w:numPr>
        <w:rPr>
          <w:rFonts w:ascii="Arial" w:cs="Arial" w:eastAsia="Arial" w:hAnsi="Arial"/>
          <w:sz w:val="19"/>
          <w:szCs w:val="19"/>
          <w:color w:val="auto"/>
        </w:rPr>
      </w:pPr>
      <w:r>
        <w:rPr>
          <w:rFonts w:ascii="Arial" w:cs="Arial" w:eastAsia="Arial" w:hAnsi="Arial"/>
          <w:sz w:val="19"/>
          <w:szCs w:val="19"/>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50" w:lineRule="exact"/>
        <w:rPr>
          <w:rFonts w:ascii="Arial" w:cs="Arial" w:eastAsia="Arial" w:hAnsi="Arial"/>
          <w:sz w:val="19"/>
          <w:szCs w:val="19"/>
          <w:color w:val="auto"/>
        </w:rPr>
      </w:pPr>
    </w:p>
    <w:p>
      <w:pPr>
        <w:jc w:val="both"/>
        <w:ind w:firstLine="656"/>
        <w:spacing w:after="0" w:line="250" w:lineRule="auto"/>
        <w:tabs>
          <w:tab w:leader="none" w:pos="1180" w:val="left"/>
        </w:tabs>
        <w:numPr>
          <w:ilvl w:val="0"/>
          <w:numId w:val="8"/>
        </w:numPr>
        <w:rPr>
          <w:rFonts w:ascii="Arial" w:cs="Arial" w:eastAsia="Arial" w:hAnsi="Arial"/>
          <w:sz w:val="22"/>
          <w:szCs w:val="22"/>
          <w:color w:val="auto"/>
        </w:rPr>
      </w:pPr>
      <w:r>
        <w:rPr>
          <w:rFonts w:ascii="Arial" w:cs="Arial" w:eastAsia="Arial" w:hAnsi="Arial"/>
          <w:sz w:val="22"/>
          <w:szCs w:val="22"/>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33" w:lineRule="exact"/>
        <w:rPr>
          <w:rFonts w:ascii="Arial" w:cs="Arial" w:eastAsia="Arial" w:hAnsi="Arial"/>
          <w:sz w:val="22"/>
          <w:szCs w:val="22"/>
          <w:color w:val="auto"/>
        </w:rPr>
      </w:pPr>
    </w:p>
    <w:p>
      <w:pPr>
        <w:ind w:firstLine="656"/>
        <w:spacing w:after="0" w:line="263" w:lineRule="auto"/>
        <w:tabs>
          <w:tab w:leader="none" w:pos="1229" w:val="left"/>
        </w:tabs>
        <w:numPr>
          <w:ilvl w:val="0"/>
          <w:numId w:val="8"/>
        </w:numPr>
        <w:rPr>
          <w:rFonts w:ascii="Arial" w:cs="Arial" w:eastAsia="Arial" w:hAnsi="Arial"/>
          <w:sz w:val="22"/>
          <w:szCs w:val="22"/>
          <w:color w:val="auto"/>
        </w:rPr>
      </w:pPr>
      <w:r>
        <w:rPr>
          <w:rFonts w:ascii="Arial" w:cs="Arial" w:eastAsia="Arial" w:hAnsi="Arial"/>
          <w:sz w:val="22"/>
          <w:szCs w:val="22"/>
          <w:color w:val="auto"/>
        </w:rPr>
        <w:t>such Security is eligible for resale, by a Person that is not an Affiliate of the Company and that has not been an Affiliate of the Company during the immediately preceding</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348"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22"/>
          <w:szCs w:val="22"/>
          <w:color w:val="auto"/>
        </w:rPr>
        <w:t>three (3) months, pursuant to Rule 144 without any limitations thereunder as to volume, manner of sale, availability of current public information or notice.</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Trustee is under no obligation to determine whether any Security is a Transfer-Restricted Security and may conclusively rely on an Officer’s Certificate with respect thereto.</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 Indenture Act</w:t>
      </w:r>
      <w:r>
        <w:rPr>
          <w:rFonts w:ascii="Arial" w:cs="Arial" w:eastAsia="Arial" w:hAnsi="Arial"/>
          <w:sz w:val="22"/>
          <w:szCs w:val="22"/>
          <w:color w:val="auto"/>
        </w:rPr>
        <w:t>” means the U.S. Trust Indenture Act of 1939, as amended.</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Trustee</w:t>
      </w:r>
      <w:r>
        <w:rPr>
          <w:rFonts w:ascii="Arial" w:cs="Arial" w:eastAsia="Arial" w:hAnsi="Arial"/>
          <w:sz w:val="22"/>
          <w:szCs w:val="22"/>
          <w:color w:val="auto"/>
        </w:rPr>
        <w:t>” means the Person named as such in the first paragraph of this Indenture until a successor replaces it in accordance with the provisions of this Indenture and, thereafter, means such successor.</w:t>
      </w:r>
    </w:p>
    <w:p>
      <w:pPr>
        <w:spacing w:after="0" w:line="1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VWAP Market Disruption Event</w:t>
      </w:r>
      <w:r>
        <w:rPr>
          <w:rFonts w:ascii="Arial" w:cs="Arial" w:eastAsia="Arial" w:hAnsi="Arial"/>
          <w:sz w:val="22"/>
          <w:szCs w:val="22"/>
          <w:color w:val="auto"/>
        </w:rPr>
        <w:t>” means, with respect to any date, (A) the failure by the Relevant Stock Exchange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VWAP Trading Day</w:t>
      </w:r>
      <w:r>
        <w:rPr>
          <w:rFonts w:ascii="Arial" w:cs="Arial" w:eastAsia="Arial" w:hAnsi="Arial"/>
          <w:sz w:val="22"/>
          <w:szCs w:val="22"/>
          <w:color w:val="auto"/>
        </w:rPr>
        <w:t>” means a day on which (A) there is no VWAP Market Disruption Event; and (B) trading in the Common Stock generally occurs on the Relevant Stock Exchange. If the Common Stock is not so listed or traded on a Relevant Stock Exchange, then “VWAP Trading Day” means a Business Day.</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Wholly Owned Subsidiary</w:t>
      </w:r>
      <w:r>
        <w:rPr>
          <w:rFonts w:ascii="Arial" w:cs="Arial" w:eastAsia="Arial" w:hAnsi="Arial"/>
          <w:sz w:val="22"/>
          <w:szCs w:val="22"/>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22"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1.02.</w:t>
        <w:tab/>
        <w:t>OTHER DEFINITIONS.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Term</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Defined in Section</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Shares</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5.07(A)</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Combination Event</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6.01(A)</w:t>
            </w:r>
          </w:p>
        </w:tc>
      </w:tr>
      <w:tr>
        <w:trPr>
          <w:trHeight w:val="291"/>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Settlement</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5.03(A)</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Combination Settlement</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5.03(A)</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 Change Event</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5.09(A)</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Agent</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2.06(A)</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Consideration</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5.03(B)</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Interest</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2.05(B)</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Defaulted Amount</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2.05(B)</w:t>
            </w:r>
          </w:p>
        </w:tc>
      </w:tr>
      <w:tr>
        <w:trPr>
          <w:trHeight w:val="291"/>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7.01(A)</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Date</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5.05(A)(v)</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Time</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5.05(A)(v)</w:t>
            </w:r>
          </w:p>
        </w:tc>
      </w:tr>
      <w:tr>
        <w:trPr>
          <w:trHeight w:val="290"/>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Notice</w:t>
            </w:r>
            <w:r>
              <w:rPr>
                <w:rFonts w:ascii="Arial" w:cs="Arial" w:eastAsia="Arial" w:hAnsi="Arial"/>
                <w:sz w:val="22"/>
                <w:szCs w:val="22"/>
                <w:color w:val="auto"/>
              </w:rPr>
              <w:t>”</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4.02(E)</w:t>
            </w:r>
          </w:p>
        </w:tc>
      </w:tr>
      <w:tr>
        <w:trPr>
          <w:trHeight w:val="449"/>
        </w:trPr>
        <w:tc>
          <w:tcPr>
            <w:tcW w:w="4240" w:type="dxa"/>
            <w:vAlign w:val="bottom"/>
          </w:tcPr>
          <w:p>
            <w:pPr>
              <w:spacing w:after="0"/>
              <w:rPr>
                <w:sz w:val="24"/>
                <w:szCs w:val="24"/>
                <w:color w:val="auto"/>
              </w:rPr>
            </w:pPr>
          </w:p>
        </w:tc>
        <w:tc>
          <w:tcPr>
            <w:tcW w:w="7000" w:type="dxa"/>
            <w:vAlign w:val="bottom"/>
          </w:tcPr>
          <w:p>
            <w:pPr>
              <w:jc w:val="right"/>
              <w:ind w:right="5353"/>
              <w:spacing w:after="0"/>
              <w:rPr>
                <w:sz w:val="20"/>
                <w:szCs w:val="20"/>
                <w:color w:val="auto"/>
              </w:rPr>
            </w:pPr>
            <w:r>
              <w:rPr>
                <w:rFonts w:ascii="Arial" w:cs="Arial" w:eastAsia="Arial" w:hAnsi="Arial"/>
                <w:sz w:val="20"/>
                <w:szCs w:val="20"/>
                <w:color w:val="auto"/>
              </w:rPr>
              <w:t>-12-</w:t>
            </w:r>
          </w:p>
        </w:tc>
      </w:tr>
    </w:tbl>
    <w:p>
      <w:pPr>
        <w:sectPr>
          <w:pgSz w:w="11900" w:h="16838" w:orient="portrait"/>
          <w:cols w:equalWidth="0" w:num="1">
            <w:col w:w="11240"/>
          </w:cols>
          <w:pgMar w:left="320" w:top="348"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Right</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4.02(A)</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Notes</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2.03(A)</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Measurement Period</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5.01(C)(i)(2)</w:t>
            </w:r>
          </w:p>
        </w:tc>
      </w:tr>
      <w:tr>
        <w:trPr>
          <w:trHeight w:val="29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Paying Agent</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2.06(A)</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Physical Settlement</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5.03(A)</w:t>
            </w:r>
          </w:p>
        </w:tc>
      </w:tr>
      <w:tr>
        <w:trPr>
          <w:trHeight w:val="29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Notice</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4.03(F)</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Property</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5.09(A)</w:t>
            </w:r>
          </w:p>
        </w:tc>
      </w:tr>
      <w:tr>
        <w:trPr>
          <w:trHeight w:val="29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Property Unit</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5.09(A)</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2.06(B)</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Registrar</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2.06(A)</w:t>
            </w:r>
          </w:p>
        </w:tc>
      </w:tr>
      <w:tr>
        <w:trPr>
          <w:trHeight w:val="29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Reporting Event of Default</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7.03(A)</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Courts</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11.08</w:t>
            </w:r>
          </w:p>
        </w:tc>
      </w:tr>
      <w:tr>
        <w:trPr>
          <w:trHeight w:val="29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Spin-Off</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5.05(A)(iii)(2)</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Spin-Off Valuation Period</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5.05(A)(iii)(2)</w:t>
            </w:r>
          </w:p>
        </w:tc>
      </w:tr>
      <w:tr>
        <w:trPr>
          <w:trHeight w:val="29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Stated Interest</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2.05(A)</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Successor Corporation</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6.01(A)</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Successor Person</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5.09(A)</w:t>
            </w:r>
          </w:p>
        </w:tc>
      </w:tr>
      <w:tr>
        <w:trPr>
          <w:trHeight w:val="29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Tender/Exchange Offer Valuation Period</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5.05(A)(v)</w:t>
            </w:r>
          </w:p>
        </w:tc>
      </w:tr>
      <w:tr>
        <w:trPr>
          <w:trHeight w:val="291"/>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Price Condition</w:t>
            </w:r>
            <w:r>
              <w:rPr>
                <w:rFonts w:ascii="Arial" w:cs="Arial" w:eastAsia="Arial" w:hAnsi="Arial"/>
                <w:sz w:val="22"/>
                <w:szCs w:val="22"/>
                <w:color w:val="auto"/>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5.01(C)(i)(2)</w:t>
            </w:r>
          </w:p>
        </w:tc>
      </w:tr>
    </w:tbl>
    <w:p>
      <w:pPr>
        <w:spacing w:after="0" w:line="243"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21"/>
          <w:szCs w:val="21"/>
          <w:b w:val="1"/>
          <w:bCs w:val="1"/>
          <w:color w:val="auto"/>
        </w:rPr>
        <w:t>RULES OF CONSTRUCTION.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Indenture:</w:t>
      </w:r>
    </w:p>
    <w:p>
      <w:pPr>
        <w:spacing w:after="0" w:line="112" w:lineRule="exact"/>
        <w:rPr>
          <w:sz w:val="20"/>
          <w:szCs w:val="20"/>
          <w:color w:val="auto"/>
        </w:rPr>
      </w:pPr>
    </w:p>
    <w:p>
      <w:pPr>
        <w:ind w:left="1140" w:hanging="484"/>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125" w:lineRule="exact"/>
        <w:rPr>
          <w:rFonts w:ascii="Arial" w:cs="Arial" w:eastAsia="Arial" w:hAnsi="Arial"/>
          <w:sz w:val="22"/>
          <w:szCs w:val="22"/>
          <w:color w:val="auto"/>
        </w:rPr>
      </w:pPr>
    </w:p>
    <w:p>
      <w:pPr>
        <w:ind w:left="1120" w:hanging="464"/>
        <w:spacing w:after="0"/>
        <w:tabs>
          <w:tab w:leader="none" w:pos="112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“including” means “including without limitation”;</w:t>
      </w:r>
    </w:p>
    <w:p>
      <w:pPr>
        <w:spacing w:after="0" w:line="125" w:lineRule="exact"/>
        <w:rPr>
          <w:rFonts w:ascii="Arial" w:cs="Arial" w:eastAsia="Arial" w:hAnsi="Arial"/>
          <w:sz w:val="22"/>
          <w:szCs w:val="22"/>
          <w:color w:val="auto"/>
        </w:rPr>
      </w:pPr>
    </w:p>
    <w:p>
      <w:pPr>
        <w:ind w:left="1120" w:hanging="464"/>
        <w:spacing w:after="0"/>
        <w:tabs>
          <w:tab w:leader="none" w:pos="1120" w:val="left"/>
        </w:tabs>
        <w:numPr>
          <w:ilvl w:val="0"/>
          <w:numId w:val="9"/>
        </w:numPr>
        <w:rPr>
          <w:rFonts w:ascii="Arial" w:cs="Arial" w:eastAsia="Arial" w:hAnsi="Arial"/>
          <w:sz w:val="22"/>
          <w:szCs w:val="22"/>
          <w:color w:val="auto"/>
        </w:rPr>
      </w:pPr>
      <w:r>
        <w:rPr>
          <w:rFonts w:ascii="Arial" w:cs="Arial" w:eastAsia="Arial" w:hAnsi="Arial"/>
          <w:sz w:val="22"/>
          <w:szCs w:val="22"/>
          <w:color w:val="auto"/>
        </w:rPr>
        <w:t>“will” expresses a command;</w:t>
      </w:r>
    </w:p>
    <w:p>
      <w:pPr>
        <w:spacing w:after="0" w:line="125" w:lineRule="exact"/>
        <w:rPr>
          <w:rFonts w:ascii="Arial" w:cs="Arial" w:eastAsia="Arial" w:hAnsi="Arial"/>
          <w:sz w:val="22"/>
          <w:szCs w:val="22"/>
          <w:color w:val="auto"/>
        </w:rPr>
      </w:pPr>
    </w:p>
    <w:p>
      <w:pPr>
        <w:ind w:left="1140" w:hanging="484"/>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“average” of a set of numerical values refers to the arithmetic average of such numerical values;</w:t>
      </w:r>
    </w:p>
    <w:p>
      <w:pPr>
        <w:spacing w:after="0" w:line="125" w:lineRule="exact"/>
        <w:rPr>
          <w:rFonts w:ascii="Arial" w:cs="Arial" w:eastAsia="Arial" w:hAnsi="Arial"/>
          <w:sz w:val="22"/>
          <w:szCs w:val="22"/>
          <w:color w:val="auto"/>
        </w:rPr>
      </w:pPr>
    </w:p>
    <w:p>
      <w:pPr>
        <w:ind w:left="1120" w:hanging="464"/>
        <w:spacing w:after="0"/>
        <w:tabs>
          <w:tab w:leader="none" w:pos="1120" w:val="left"/>
        </w:tabs>
        <w:numPr>
          <w:ilvl w:val="0"/>
          <w:numId w:val="9"/>
        </w:numPr>
        <w:rPr>
          <w:rFonts w:ascii="Arial" w:cs="Arial" w:eastAsia="Arial" w:hAnsi="Arial"/>
          <w:sz w:val="22"/>
          <w:szCs w:val="22"/>
          <w:color w:val="auto"/>
        </w:rPr>
      </w:pPr>
      <w:r>
        <w:rPr>
          <w:rFonts w:ascii="Arial" w:cs="Arial" w:eastAsia="Arial" w:hAnsi="Arial"/>
          <w:sz w:val="22"/>
          <w:szCs w:val="22"/>
          <w:color w:val="auto"/>
        </w:rPr>
        <w:t>[Reserved]</w:t>
      </w:r>
    </w:p>
    <w:p>
      <w:pPr>
        <w:spacing w:after="0" w:line="125" w:lineRule="exact"/>
        <w:rPr>
          <w:rFonts w:ascii="Arial" w:cs="Arial" w:eastAsia="Arial" w:hAnsi="Arial"/>
          <w:sz w:val="22"/>
          <w:szCs w:val="22"/>
          <w:color w:val="auto"/>
        </w:rPr>
      </w:pPr>
    </w:p>
    <w:p>
      <w:pPr>
        <w:ind w:left="1100" w:hanging="444"/>
        <w:spacing w:after="0"/>
        <w:tabs>
          <w:tab w:leader="none" w:pos="1100" w:val="left"/>
        </w:tabs>
        <w:numPr>
          <w:ilvl w:val="0"/>
          <w:numId w:val="9"/>
        </w:numPr>
        <w:rPr>
          <w:rFonts w:ascii="Arial" w:cs="Arial" w:eastAsia="Arial" w:hAnsi="Arial"/>
          <w:sz w:val="19"/>
          <w:szCs w:val="19"/>
          <w:color w:val="auto"/>
        </w:rPr>
      </w:pPr>
      <w:r>
        <w:rPr>
          <w:rFonts w:ascii="Arial" w:cs="Arial" w:eastAsia="Arial" w:hAnsi="Arial"/>
          <w:sz w:val="19"/>
          <w:szCs w:val="19"/>
          <w:color w:val="auto"/>
        </w:rPr>
        <w:t>words in the singular include the plural and in the plural include the singular, unless the context requires otherwise;</w:t>
      </w:r>
    </w:p>
    <w:p>
      <w:pPr>
        <w:spacing w:after="0" w:line="159" w:lineRule="exact"/>
        <w:rPr>
          <w:rFonts w:ascii="Arial" w:cs="Arial" w:eastAsia="Arial" w:hAnsi="Arial"/>
          <w:sz w:val="19"/>
          <w:szCs w:val="19"/>
          <w:color w:val="auto"/>
        </w:rPr>
      </w:pPr>
    </w:p>
    <w:p>
      <w:pPr>
        <w:ind w:firstLine="656"/>
        <w:spacing w:after="0" w:line="276" w:lineRule="auto"/>
        <w:tabs>
          <w:tab w:leader="none" w:pos="1209" w:val="left"/>
        </w:tabs>
        <w:numPr>
          <w:ilvl w:val="0"/>
          <w:numId w:val="9"/>
        </w:numPr>
        <w:rPr>
          <w:rFonts w:ascii="Arial" w:cs="Arial" w:eastAsia="Arial" w:hAnsi="Arial"/>
          <w:sz w:val="22"/>
          <w:szCs w:val="22"/>
          <w:color w:val="auto"/>
        </w:rPr>
      </w:pPr>
      <w:r>
        <w:rPr>
          <w:rFonts w:ascii="Arial" w:cs="Arial" w:eastAsia="Arial" w:hAnsi="Arial"/>
          <w:sz w:val="22"/>
          <w:szCs w:val="22"/>
          <w:color w:val="auto"/>
        </w:rPr>
        <w:t>“herein,” “hereof” and other words of similar import refer to this Indenture as a whole and not to any particular Article, Section or other subdivision of this Indenture, unless the context requires otherwise;</w:t>
      </w:r>
    </w:p>
    <w:p>
      <w:pPr>
        <w:spacing w:after="0" w:line="52" w:lineRule="exact"/>
        <w:rPr>
          <w:rFonts w:ascii="Arial" w:cs="Arial" w:eastAsia="Arial" w:hAnsi="Arial"/>
          <w:sz w:val="22"/>
          <w:szCs w:val="22"/>
          <w:color w:val="auto"/>
        </w:rPr>
      </w:pPr>
    </w:p>
    <w:p>
      <w:pPr>
        <w:ind w:left="1280" w:hanging="624"/>
        <w:spacing w:after="0"/>
        <w:tabs>
          <w:tab w:leader="none" w:pos="1280" w:val="left"/>
        </w:tabs>
        <w:numPr>
          <w:ilvl w:val="0"/>
          <w:numId w:val="9"/>
        </w:numPr>
        <w:rPr>
          <w:rFonts w:ascii="Arial" w:cs="Arial" w:eastAsia="Arial" w:hAnsi="Arial"/>
          <w:sz w:val="19"/>
          <w:szCs w:val="19"/>
          <w:color w:val="auto"/>
        </w:rPr>
      </w:pPr>
      <w:r>
        <w:rPr>
          <w:rFonts w:ascii="Arial" w:cs="Arial" w:eastAsia="Arial" w:hAnsi="Arial"/>
          <w:sz w:val="19"/>
          <w:szCs w:val="19"/>
          <w:color w:val="auto"/>
        </w:rPr>
        <w:t>references to currency mean the lawful currency of the United States of America, unless the context requires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otherwise;</w:t>
      </w:r>
    </w:p>
    <w:p>
      <w:pPr>
        <w:spacing w:after="0" w:line="107" w:lineRule="exact"/>
        <w:rPr>
          <w:rFonts w:ascii="Arial" w:cs="Arial" w:eastAsia="Arial" w:hAnsi="Arial"/>
          <w:sz w:val="19"/>
          <w:szCs w:val="19"/>
          <w:color w:val="auto"/>
        </w:rPr>
      </w:pPr>
    </w:p>
    <w:p>
      <w:pPr>
        <w:ind w:left="1060" w:hanging="404"/>
        <w:spacing w:after="0"/>
        <w:tabs>
          <w:tab w:leader="none" w:pos="106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exhibits, schedules and other attachments to this Indenture are deemed to form part of this Indenture; and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490" w:right="339" w:bottom="1440" w:gutter="0" w:footer="0" w:header="0"/>
        </w:sectPr>
      </w:pPr>
    </w:p>
    <w:bookmarkStart w:id="22" w:name="page23"/>
    <w:bookmarkEnd w:id="22"/>
    <w:p>
      <w:pPr>
        <w:ind w:firstLine="656"/>
        <w:spacing w:after="0" w:line="282" w:lineRule="auto"/>
        <w:tabs>
          <w:tab w:leader="none" w:pos="10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interest</w:t>
      </w:r>
      <w:r>
        <w:rPr>
          <w:rFonts w:ascii="Arial" w:cs="Arial" w:eastAsia="Arial" w:hAnsi="Arial"/>
          <w:sz w:val="22"/>
          <w:szCs w:val="22"/>
          <w:color w:val="auto"/>
        </w:rPr>
        <w:t>,” when used with respect to a Note, includes any Additional Interest and Special Interest, unless the context requires otherwise.</w:t>
      </w:r>
    </w:p>
    <w:p>
      <w:pPr>
        <w:spacing w:after="0" w:line="148" w:lineRule="exact"/>
        <w:rPr>
          <w:sz w:val="20"/>
          <w:szCs w:val="20"/>
          <w:color w:val="auto"/>
        </w:rPr>
      </w:pPr>
    </w:p>
    <w:p>
      <w:pPr>
        <w:ind w:left="4480"/>
        <w:spacing w:after="0"/>
        <w:tabs>
          <w:tab w:leader="none" w:pos="550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21"/>
          <w:szCs w:val="21"/>
          <w:b w:val="1"/>
          <w:bCs w:val="1"/>
          <w:color w:val="auto"/>
        </w:rPr>
        <w:t>THE NOTES</w:t>
      </w:r>
    </w:p>
    <w:p>
      <w:pPr>
        <w:spacing w:after="0" w:line="233"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2.01.</w:t>
      </w:r>
      <w:r>
        <w:rPr>
          <w:sz w:val="20"/>
          <w:szCs w:val="20"/>
          <w:color w:val="auto"/>
        </w:rPr>
        <w:tab/>
      </w:r>
      <w:r>
        <w:rPr>
          <w:rFonts w:ascii="Arial" w:cs="Arial" w:eastAsia="Arial" w:hAnsi="Arial"/>
          <w:sz w:val="21"/>
          <w:szCs w:val="21"/>
          <w:b w:val="1"/>
          <w:bCs w:val="1"/>
          <w:color w:val="auto"/>
        </w:rPr>
        <w:t>FORM, DATING AND DENOMINATIONS.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The Notes and the Trustee’s certificate of authentication will be substantially in the form set forth in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The Notes will bear the legends required by </w:t>
      </w:r>
      <w:r>
        <w:rPr>
          <w:rFonts w:ascii="Arial" w:cs="Arial" w:eastAsia="Arial" w:hAnsi="Arial"/>
          <w:sz w:val="21"/>
          <w:szCs w:val="21"/>
          <w:b w:val="1"/>
          <w:bCs w:val="1"/>
          <w:color w:val="auto"/>
        </w:rPr>
        <w:t>Section 2.09</w:t>
      </w:r>
      <w:r>
        <w:rPr>
          <w:rFonts w:ascii="Arial" w:cs="Arial" w:eastAsia="Arial" w:hAnsi="Arial"/>
          <w:sz w:val="21"/>
          <w:szCs w:val="21"/>
          <w:color w:val="auto"/>
        </w:rPr>
        <w:t xml:space="preserve"> and may bear notations, legends or endorsements required by law, stock exchange rule or usage or the Depositary. Each Note will be dated as of the date of its authentication.</w:t>
      </w:r>
    </w:p>
    <w:p>
      <w:pPr>
        <w:spacing w:after="0" w:line="2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Arial" w:cs="Arial" w:eastAsia="Arial" w:hAnsi="Arial"/>
          <w:sz w:val="19"/>
          <w:szCs w:val="19"/>
          <w:b w:val="1"/>
          <w:bCs w:val="1"/>
          <w:color w:val="auto"/>
        </w:rPr>
        <w:t>Section 2.10</w:t>
      </w:r>
      <w:r>
        <w:rPr>
          <w:rFonts w:ascii="Arial" w:cs="Arial" w:eastAsia="Arial" w:hAnsi="Arial"/>
          <w:sz w:val="19"/>
          <w:szCs w:val="19"/>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Notes will be issuable only in registered form without interest coupons and only in Authorized Denominations.</w:t>
      </w:r>
    </w:p>
    <w:p>
      <w:pPr>
        <w:spacing w:after="0" w:line="2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Each certificate representing a Note will bear a unique registration number that is not affixed to any other certificate representing another outstanding Note.</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to the extent that any provision of any Note conflicts with the provisions of this Indenture, the provisions of this Indenture will control for purposes of this Indenture and such Note.</w:t>
      </w:r>
    </w:p>
    <w:p>
      <w:pPr>
        <w:spacing w:after="0" w:line="222"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2.02.</w:t>
        <w:tab/>
        <w:t>EXECUTION, AUTHENTICATION AND DELIVERY.</w:t>
      </w:r>
    </w:p>
    <w:p>
      <w:pPr>
        <w:spacing w:after="0" w:line="239" w:lineRule="exact"/>
        <w:rPr>
          <w:sz w:val="20"/>
          <w:szCs w:val="20"/>
          <w:color w:val="auto"/>
        </w:rPr>
      </w:pPr>
    </w:p>
    <w:p>
      <w:pPr>
        <w:jc w:val="both"/>
        <w:ind w:firstLine="656"/>
        <w:spacing w:after="0" w:line="319" w:lineRule="auto"/>
        <w:tabs>
          <w:tab w:leader="none" w:pos="1249"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Due Execution by the Company</w:t>
      </w:r>
      <w:r>
        <w:rPr>
          <w:rFonts w:ascii="Arial" w:cs="Arial" w:eastAsia="Arial" w:hAnsi="Arial"/>
          <w:sz w:val="19"/>
          <w:szCs w:val="19"/>
          <w:color w:val="auto"/>
        </w:rPr>
        <w:t>. At least one (1) duly authorized Officer will sign the Notes on behalf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by manual, electronic or facsimile signature. A Note’s validity will not be affected by the failure of any Officer whose signature is on any Note to hold, at the time such Note is authenticated, the same or any other office at the Company.</w:t>
      </w:r>
    </w:p>
    <w:p>
      <w:pPr>
        <w:spacing w:after="0" w:line="127" w:lineRule="exact"/>
        <w:rPr>
          <w:rFonts w:ascii="Arial" w:cs="Arial" w:eastAsia="Arial" w:hAnsi="Arial"/>
          <w:sz w:val="19"/>
          <w:szCs w:val="19"/>
          <w:color w:val="auto"/>
        </w:rPr>
      </w:pPr>
    </w:p>
    <w:p>
      <w:pPr>
        <w:ind w:left="1120" w:hanging="464"/>
        <w:spacing w:after="0"/>
        <w:tabs>
          <w:tab w:leader="none" w:pos="1120"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Authentication by the Trustee and Delivery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4"/>
        <w:spacing w:after="0" w:line="259" w:lineRule="auto"/>
        <w:tabs>
          <w:tab w:leader="none" w:pos="1705" w:val="left"/>
        </w:tabs>
        <w:numPr>
          <w:ilvl w:val="1"/>
          <w:numId w:val="11"/>
        </w:numPr>
        <w:rPr>
          <w:rFonts w:ascii="Arial" w:cs="Arial" w:eastAsia="Arial" w:hAnsi="Arial"/>
          <w:sz w:val="22"/>
          <w:szCs w:val="22"/>
          <w:color w:val="auto"/>
        </w:rPr>
      </w:pPr>
      <w:r>
        <w:rPr>
          <w:rFonts w:ascii="Arial" w:cs="Arial" w:eastAsia="Arial" w:hAnsi="Arial"/>
          <w:sz w:val="22"/>
          <w:szCs w:val="22"/>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80" w:lineRule="exact"/>
        <w:rPr>
          <w:rFonts w:ascii="Arial" w:cs="Arial" w:eastAsia="Arial" w:hAnsi="Arial"/>
          <w:sz w:val="22"/>
          <w:szCs w:val="22"/>
          <w:color w:val="auto"/>
        </w:rPr>
      </w:pPr>
    </w:p>
    <w:p>
      <w:pPr>
        <w:jc w:val="both"/>
        <w:ind w:left="660" w:firstLine="644"/>
        <w:spacing w:after="0" w:line="319" w:lineRule="auto"/>
        <w:tabs>
          <w:tab w:leader="none" w:pos="1806" w:val="left"/>
        </w:tabs>
        <w:numPr>
          <w:ilvl w:val="1"/>
          <w:numId w:val="11"/>
        </w:numPr>
        <w:rPr>
          <w:rFonts w:ascii="Arial" w:cs="Arial" w:eastAsia="Arial" w:hAnsi="Arial"/>
          <w:sz w:val="19"/>
          <w:szCs w:val="19"/>
          <w:color w:val="auto"/>
        </w:rPr>
      </w:pPr>
      <w:r>
        <w:rPr>
          <w:rFonts w:ascii="Arial" w:cs="Arial" w:eastAsia="Arial" w:hAnsi="Arial"/>
          <w:sz w:val="19"/>
          <w:szCs w:val="19"/>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Arial" w:cs="Arial" w:eastAsia="Arial" w:hAnsi="Arial"/>
          <w:sz w:val="19"/>
          <w:szCs w:val="19"/>
          <w:b w:val="1"/>
          <w:bCs w:val="1"/>
          <w:color w:val="auto"/>
        </w:rPr>
        <w:t>Section 2.02(A)</w:t>
      </w:r>
      <w:r>
        <w:rPr>
          <w:rFonts w:ascii="Arial" w:cs="Arial" w:eastAsia="Arial" w:hAnsi="Arial"/>
          <w:sz w:val="19"/>
          <w:szCs w:val="19"/>
          <w:color w:val="auto"/>
        </w:rPr>
        <w:t>; and (3) the Company delivers a</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342" w:right="339" w:bottom="1440" w:gutter="0" w:footer="0" w:header="0"/>
        </w:sectPr>
      </w:pPr>
    </w:p>
    <w:bookmarkStart w:id="23" w:name="page24"/>
    <w:bookmarkEnd w:id="23"/>
    <w:p>
      <w:pPr>
        <w:jc w:val="both"/>
        <w:ind w:left="660"/>
        <w:spacing w:after="0" w:line="250" w:lineRule="auto"/>
        <w:rPr>
          <w:sz w:val="20"/>
          <w:szCs w:val="20"/>
          <w:color w:val="auto"/>
        </w:rPr>
      </w:pPr>
      <w:r>
        <w:rPr>
          <w:rFonts w:ascii="Arial" w:cs="Arial" w:eastAsia="Arial" w:hAnsi="Arial"/>
          <w:sz w:val="22"/>
          <w:szCs w:val="22"/>
          <w:color w:val="auto"/>
        </w:rPr>
        <w:t>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134" w:lineRule="exact"/>
        <w:rPr>
          <w:sz w:val="20"/>
          <w:szCs w:val="20"/>
          <w:color w:val="auto"/>
        </w:rPr>
      </w:pPr>
    </w:p>
    <w:p>
      <w:pPr>
        <w:jc w:val="both"/>
        <w:ind w:left="660" w:firstLine="644"/>
        <w:spacing w:after="0" w:line="249" w:lineRule="auto"/>
        <w:tabs>
          <w:tab w:leader="none" w:pos="1852"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authentication agent was validly appointed to undertake.</w:t>
      </w:r>
    </w:p>
    <w:p>
      <w:pPr>
        <w:spacing w:after="0" w:line="13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2.03.</w:t>
        <w:tab/>
        <w:t>INITIAL NOTES AND ADDITIONAL NOTES.</w:t>
      </w:r>
    </w:p>
    <w:p>
      <w:pPr>
        <w:spacing w:after="0" w:line="185" w:lineRule="exact"/>
        <w:rPr>
          <w:sz w:val="20"/>
          <w:szCs w:val="20"/>
          <w:color w:val="auto"/>
        </w:rPr>
      </w:pPr>
    </w:p>
    <w:p>
      <w:pPr>
        <w:jc w:val="both"/>
        <w:ind w:firstLine="656"/>
        <w:spacing w:after="0" w:line="254" w:lineRule="auto"/>
        <w:tabs>
          <w:tab w:leader="none" w:pos="1141"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Initial Notes</w:t>
      </w:r>
      <w:r>
        <w:rPr>
          <w:rFonts w:ascii="Arial" w:cs="Arial" w:eastAsia="Arial" w:hAnsi="Arial"/>
          <w:sz w:val="22"/>
          <w:szCs w:val="22"/>
          <w:color w:val="auto"/>
        </w:rPr>
        <w:t>. On the Issue Date, there will be originally issued four hundred and two million five hundred thousand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dollars ($402,500,000) aggregate principal amount of Notes, subject to the provisions of this Indenture (including </w:t>
      </w:r>
      <w:r>
        <w:rPr>
          <w:rFonts w:ascii="Arial" w:cs="Arial" w:eastAsia="Arial" w:hAnsi="Arial"/>
          <w:sz w:val="22"/>
          <w:szCs w:val="22"/>
          <w:b w:val="1"/>
          <w:bCs w:val="1"/>
          <w:color w:val="auto"/>
        </w:rPr>
        <w:t>Section 2.02</w:t>
      </w:r>
      <w:r>
        <w:rPr>
          <w:rFonts w:ascii="Arial" w:cs="Arial" w:eastAsia="Arial" w:hAnsi="Arial"/>
          <w:sz w:val="22"/>
          <w:szCs w:val="22"/>
          <w:color w:val="auto"/>
        </w:rPr>
        <w:t xml:space="preserve">). Notes issued pursuant to this </w:t>
      </w:r>
      <w:r>
        <w:rPr>
          <w:rFonts w:ascii="Arial" w:cs="Arial" w:eastAsia="Arial" w:hAnsi="Arial"/>
          <w:sz w:val="22"/>
          <w:szCs w:val="22"/>
          <w:b w:val="1"/>
          <w:bCs w:val="1"/>
          <w:color w:val="auto"/>
        </w:rPr>
        <w:t>Section 2.03(A)</w:t>
      </w:r>
      <w:r>
        <w:rPr>
          <w:rFonts w:ascii="Arial" w:cs="Arial" w:eastAsia="Arial" w:hAnsi="Arial"/>
          <w:sz w:val="22"/>
          <w:szCs w:val="22"/>
          <w:color w:val="auto"/>
        </w:rPr>
        <w:t>, and any Notes issued in exchange therefor or in substitution thereof, are referred to in this Indenture as the “</w:t>
      </w:r>
      <w:r>
        <w:rPr>
          <w:rFonts w:ascii="Arial" w:cs="Arial" w:eastAsia="Arial" w:hAnsi="Arial"/>
          <w:sz w:val="22"/>
          <w:szCs w:val="22"/>
          <w:b w:val="1"/>
          <w:bCs w:val="1"/>
          <w:color w:val="auto"/>
        </w:rPr>
        <w:t>Initial Notes</w:t>
      </w:r>
      <w:r>
        <w:rPr>
          <w:rFonts w:ascii="Arial" w:cs="Arial" w:eastAsia="Arial" w:hAnsi="Arial"/>
          <w:sz w:val="22"/>
          <w:szCs w:val="22"/>
          <w:color w:val="auto"/>
        </w:rPr>
        <w:t>.”</w:t>
      </w:r>
    </w:p>
    <w:p>
      <w:pPr>
        <w:spacing w:after="0" w:line="130" w:lineRule="exact"/>
        <w:rPr>
          <w:rFonts w:ascii="Arial" w:cs="Arial" w:eastAsia="Arial" w:hAnsi="Arial"/>
          <w:sz w:val="22"/>
          <w:szCs w:val="22"/>
          <w:color w:val="auto"/>
        </w:rPr>
      </w:pPr>
    </w:p>
    <w:p>
      <w:pPr>
        <w:jc w:val="both"/>
        <w:ind w:firstLine="656"/>
        <w:spacing w:after="0" w:line="292" w:lineRule="auto"/>
        <w:tabs>
          <w:tab w:leader="none" w:pos="117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Additional Notes</w:t>
      </w:r>
      <w:r>
        <w:rPr>
          <w:rFonts w:ascii="Arial" w:cs="Arial" w:eastAsia="Arial" w:hAnsi="Arial"/>
          <w:sz w:val="19"/>
          <w:szCs w:val="19"/>
          <w:color w:val="auto"/>
        </w:rPr>
        <w:t>. Without the consent of, or notice to, any Holder, the Company may, subject to the provisions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this Indenture (including </w:t>
      </w:r>
      <w:r>
        <w:rPr>
          <w:rFonts w:ascii="Arial" w:cs="Arial" w:eastAsia="Arial" w:hAnsi="Arial"/>
          <w:sz w:val="19"/>
          <w:szCs w:val="19"/>
          <w:b w:val="1"/>
          <w:bCs w:val="1"/>
          <w:color w:val="auto"/>
        </w:rPr>
        <w:t>Section 2.02</w:t>
      </w:r>
      <w:r>
        <w:rPr>
          <w:rFonts w:ascii="Arial" w:cs="Arial" w:eastAsia="Arial" w:hAnsi="Arial"/>
          <w:sz w:val="19"/>
          <w:szCs w:val="19"/>
          <w:color w:val="auto"/>
        </w:rPr>
        <w:t xml:space="preserve">), issue additional Notes with the same terms as the Initial Notes (except, to the extent applicable, with respect to the date as of which interest begins to accrue on such additional Notes, the issue date, the first Interest Payment Date, the issue price, the Last Original Issue Date and the restrictions on transfer in respect of such additional Notes) in an unlimited aggregate principal amount, which additional Notes will, subject to the foregoing, be considered to be part of the same series of, and rank equally and ratably with, all other Notes issued under this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such additional Notes are not fungible with other Notes issued under this Indenture for federal income tax or federal securities laws purposes, then such additional Notes will be identified by a separate CUSIP number or by no CUSIP number.</w:t>
      </w:r>
    </w:p>
    <w:p>
      <w:pPr>
        <w:spacing w:after="0" w:line="95"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2.04.</w:t>
      </w:r>
      <w:r>
        <w:rPr>
          <w:sz w:val="20"/>
          <w:szCs w:val="20"/>
          <w:color w:val="auto"/>
        </w:rPr>
        <w:tab/>
      </w:r>
      <w:r>
        <w:rPr>
          <w:rFonts w:ascii="Arial" w:cs="Arial" w:eastAsia="Arial" w:hAnsi="Arial"/>
          <w:sz w:val="21"/>
          <w:szCs w:val="21"/>
          <w:b w:val="1"/>
          <w:bCs w:val="1"/>
          <w:color w:val="auto"/>
        </w:rPr>
        <w:t>METHOD OF PAYMENT.</w:t>
      </w:r>
    </w:p>
    <w:p>
      <w:pPr>
        <w:spacing w:after="0" w:line="185" w:lineRule="exact"/>
        <w:rPr>
          <w:sz w:val="20"/>
          <w:szCs w:val="20"/>
          <w:color w:val="auto"/>
        </w:rPr>
      </w:pPr>
    </w:p>
    <w:p>
      <w:pPr>
        <w:jc w:val="both"/>
        <w:ind w:firstLine="656"/>
        <w:spacing w:after="0" w:line="266" w:lineRule="auto"/>
        <w:tabs>
          <w:tab w:leader="none" w:pos="1128" w:val="left"/>
        </w:tabs>
        <w:numPr>
          <w:ilvl w:val="0"/>
          <w:numId w:val="14"/>
        </w:numPr>
        <w:rPr>
          <w:rFonts w:ascii="Arial" w:cs="Arial" w:eastAsia="Arial" w:hAnsi="Arial"/>
          <w:sz w:val="21"/>
          <w:szCs w:val="21"/>
          <w:color w:val="auto"/>
        </w:rPr>
      </w:pPr>
      <w:r>
        <w:rPr>
          <w:rFonts w:ascii="Arial" w:cs="Arial" w:eastAsia="Arial" w:hAnsi="Arial"/>
          <w:sz w:val="21"/>
          <w:szCs w:val="21"/>
          <w:i w:val="1"/>
          <w:iCs w:val="1"/>
          <w:color w:val="auto"/>
        </w:rPr>
        <w:t>Global Notes</w:t>
      </w:r>
      <w:r>
        <w:rPr>
          <w:rFonts w:ascii="Arial" w:cs="Arial" w:eastAsia="Arial" w:hAnsi="Arial"/>
          <w:sz w:val="21"/>
          <w:szCs w:val="21"/>
          <w:color w:val="auto"/>
        </w:rPr>
        <w:t>. The Company will pay, or cause the Paying Agent to pay, the principal (whether due upon maturity on</w:t>
      </w:r>
      <w:r>
        <w:rPr>
          <w:rFonts w:ascii="Arial" w:cs="Arial" w:eastAsia="Arial" w:hAnsi="Arial"/>
          <w:sz w:val="21"/>
          <w:szCs w:val="21"/>
          <w:i w:val="1"/>
          <w:iCs w:val="1"/>
          <w:color w:val="auto"/>
        </w:rPr>
        <w:t xml:space="preserve"> </w:t>
      </w:r>
      <w:r>
        <w:rPr>
          <w:rFonts w:ascii="Arial" w:cs="Arial" w:eastAsia="Arial" w:hAnsi="Arial"/>
          <w:sz w:val="21"/>
          <w:szCs w:val="21"/>
          <w:color w:val="auto"/>
        </w:rPr>
        <w:t>the Maturity Date, Redemption on a Redemption Date or repurchase on a Fundamental Change Repurchase Date or otherwise) of, interest on, and any cash Conversion Consideration due upon conversion of, any Global Note to the Depositary or its nominee, as the case may be, as the registered Holder of such Global Note, by wire transfer of immediately available funds no later than the time the same is due as provided in this Indenture.</w:t>
      </w:r>
    </w:p>
    <w:p>
      <w:pPr>
        <w:spacing w:after="0" w:line="119" w:lineRule="exact"/>
        <w:rPr>
          <w:rFonts w:ascii="Arial" w:cs="Arial" w:eastAsia="Arial" w:hAnsi="Arial"/>
          <w:sz w:val="21"/>
          <w:szCs w:val="21"/>
          <w:color w:val="auto"/>
        </w:rPr>
      </w:pPr>
    </w:p>
    <w:p>
      <w:pPr>
        <w:jc w:val="both"/>
        <w:ind w:firstLine="656"/>
        <w:spacing w:after="0" w:line="319" w:lineRule="auto"/>
        <w:tabs>
          <w:tab w:leader="none" w:pos="1129"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Physical Notes</w:t>
      </w:r>
      <w:r>
        <w:rPr>
          <w:rFonts w:ascii="Arial" w:cs="Arial" w:eastAsia="Arial" w:hAnsi="Arial"/>
          <w:sz w:val="19"/>
          <w:szCs w:val="19"/>
          <w:color w:val="auto"/>
        </w:rPr>
        <w:t>. The Company will pay, or cause the Paying Agent to pay, the principal (whether due upon maturity</w:t>
      </w:r>
      <w:r>
        <w:rPr>
          <w:rFonts w:ascii="Arial" w:cs="Arial" w:eastAsia="Arial" w:hAnsi="Arial"/>
          <w:sz w:val="19"/>
          <w:szCs w:val="19"/>
          <w:i w:val="1"/>
          <w:iCs w:val="1"/>
          <w:color w:val="auto"/>
        </w:rPr>
        <w:t xml:space="preserve"> </w:t>
      </w:r>
      <w:r>
        <w:rPr>
          <w:rFonts w:ascii="Arial" w:cs="Arial" w:eastAsia="Arial" w:hAnsi="Arial"/>
          <w:sz w:val="19"/>
          <w:szCs w:val="19"/>
          <w:color w:val="auto"/>
        </w:rPr>
        <w:t>on the Maturity Date, Redemption on a Redemption Date or repurchase on a Fundamental Change Repurchase Date or otherwise) of, interest on, and any cash Conversion Consideration due upon conversion of, any Physical Note no later than the time the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348" w:right="339" w:bottom="1440" w:gutter="0" w:footer="0" w:header="0"/>
        </w:sectPr>
      </w:pPr>
    </w:p>
    <w:bookmarkStart w:id="24" w:name="page25"/>
    <w:bookmarkEnd w:id="24"/>
    <w:p>
      <w:pPr>
        <w:jc w:val="both"/>
        <w:spacing w:after="0" w:line="284" w:lineRule="auto"/>
        <w:rPr>
          <w:sz w:val="20"/>
          <w:szCs w:val="20"/>
          <w:color w:val="auto"/>
        </w:rPr>
      </w:pPr>
      <w:r>
        <w:rPr>
          <w:rFonts w:ascii="Arial" w:cs="Arial" w:eastAsia="Arial" w:hAnsi="Arial"/>
          <w:sz w:val="19"/>
          <w:szCs w:val="19"/>
          <w:color w:val="auto"/>
        </w:rPr>
        <w:t>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(or the Paying Agent)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w:t>
      </w:r>
    </w:p>
    <w:p>
      <w:pPr>
        <w:spacing w:after="0" w:line="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with respect to the payment of any interest due on an Interest Payment Date, the immediately preceding Regular Record Date;</w:t>
      </w:r>
    </w:p>
    <w:p>
      <w:pPr>
        <w:spacing w:after="0" w:line="38" w:lineRule="exact"/>
        <w:rPr>
          <w:rFonts w:ascii="Arial" w:cs="Arial" w:eastAsia="Arial" w:hAnsi="Arial"/>
          <w:sz w:val="19"/>
          <w:szCs w:val="19"/>
          <w:color w:val="auto"/>
        </w:rPr>
      </w:pPr>
    </w:p>
    <w:p>
      <w:pPr>
        <w:ind w:firstLine="8"/>
        <w:spacing w:after="0" w:line="323" w:lineRule="auto"/>
        <w:tabs>
          <w:tab w:leader="none" w:pos="307" w:val="left"/>
        </w:tabs>
        <w:numPr>
          <w:ilvl w:val="0"/>
          <w:numId w:val="15"/>
        </w:numPr>
        <w:rPr>
          <w:rFonts w:ascii="Arial" w:cs="Arial" w:eastAsia="Arial" w:hAnsi="Arial"/>
          <w:sz w:val="19"/>
          <w:szCs w:val="19"/>
          <w:color w:val="auto"/>
        </w:rPr>
      </w:pPr>
      <w:r>
        <w:rPr>
          <w:rFonts w:ascii="Arial" w:cs="Arial" w:eastAsia="Arial" w:hAnsi="Arial"/>
          <w:sz w:val="19"/>
          <w:szCs w:val="19"/>
          <w:color w:val="auto"/>
        </w:rPr>
        <w:t>with respect to any cash Conversion Consideration due upon conversion, the applicable Conversion Date; and (z) with respect to any other payment, the date that is fifteen (15) calendar days immediately before the date such payment is due.</w:t>
      </w:r>
    </w:p>
    <w:p>
      <w:pPr>
        <w:spacing w:after="0" w:line="63"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Section 2.05. ACCRUAL OF INTEREST; DEFAULTED AMOUNTS; WHEN PAYMENT DATE IS NOT A BUSINESS DAY.</w:t>
      </w:r>
    </w:p>
    <w:p>
      <w:pPr>
        <w:spacing w:after="0" w:line="148" w:lineRule="exact"/>
        <w:rPr>
          <w:sz w:val="20"/>
          <w:szCs w:val="20"/>
          <w:color w:val="auto"/>
        </w:rPr>
      </w:pPr>
    </w:p>
    <w:p>
      <w:pPr>
        <w:jc w:val="both"/>
        <w:ind w:firstLine="656"/>
        <w:spacing w:after="0" w:line="290" w:lineRule="auto"/>
        <w:tabs>
          <w:tab w:leader="none" w:pos="1155"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Accrual of Interest</w:t>
      </w:r>
      <w:r>
        <w:rPr>
          <w:rFonts w:ascii="Arial" w:cs="Arial" w:eastAsia="Arial" w:hAnsi="Arial"/>
          <w:sz w:val="19"/>
          <w:szCs w:val="19"/>
          <w:color w:val="auto"/>
        </w:rPr>
        <w:t>. Each Note will accrue interest at a rate per annum equal to 2.50% (the “</w:t>
      </w:r>
      <w:r>
        <w:rPr>
          <w:rFonts w:ascii="Arial" w:cs="Arial" w:eastAsia="Arial" w:hAnsi="Arial"/>
          <w:sz w:val="19"/>
          <w:szCs w:val="19"/>
          <w:b w:val="1"/>
          <w:bCs w:val="1"/>
          <w:color w:val="auto"/>
        </w:rPr>
        <w:t>Stated Interest</w:t>
      </w:r>
      <w:r>
        <w:rPr>
          <w:rFonts w:ascii="Arial" w:cs="Arial" w:eastAsia="Arial" w:hAnsi="Arial"/>
          <w:sz w:val="19"/>
          <w:szCs w:val="19"/>
          <w:color w:val="auto"/>
        </w:rPr>
        <w:t>”), plus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Additional Interest and Special Interest that may accrue pursuant to </w:t>
      </w:r>
      <w:r>
        <w:rPr>
          <w:rFonts w:ascii="Arial" w:cs="Arial" w:eastAsia="Arial" w:hAnsi="Arial"/>
          <w:sz w:val="19"/>
          <w:szCs w:val="19"/>
          <w:b w:val="1"/>
          <w:bCs w:val="1"/>
          <w:color w:val="auto"/>
        </w:rPr>
        <w:t>Sections 3.04</w:t>
      </w:r>
      <w:r>
        <w:rPr>
          <w:rFonts w:ascii="Arial" w:cs="Arial" w:eastAsia="Arial" w:hAnsi="Arial"/>
          <w:sz w:val="19"/>
          <w:szCs w:val="19"/>
          <w:color w:val="auto"/>
        </w:rPr>
        <w:t xml:space="preserve"> and </w:t>
      </w:r>
      <w:r>
        <w:rPr>
          <w:rFonts w:ascii="Arial" w:cs="Arial" w:eastAsia="Arial" w:hAnsi="Arial"/>
          <w:sz w:val="19"/>
          <w:szCs w:val="19"/>
          <w:b w:val="1"/>
          <w:bCs w:val="1"/>
          <w:color w:val="auto"/>
        </w:rPr>
        <w:t>7.03</w:t>
      </w:r>
      <w:r>
        <w:rPr>
          <w:rFonts w:ascii="Arial" w:cs="Arial" w:eastAsia="Arial" w:hAnsi="Arial"/>
          <w:sz w:val="19"/>
          <w:szCs w:val="19"/>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Arial" w:cs="Arial" w:eastAsia="Arial" w:hAnsi="Arial"/>
          <w:sz w:val="19"/>
          <w:szCs w:val="19"/>
          <w:b w:val="1"/>
          <w:bCs w:val="1"/>
          <w:color w:val="auto"/>
        </w:rPr>
        <w:t>Sections 4.02(D)</w:t>
      </w:r>
      <w:r>
        <w:rPr>
          <w:rFonts w:ascii="Arial" w:cs="Arial" w:eastAsia="Arial" w:hAnsi="Arial"/>
          <w:sz w:val="19"/>
          <w:szCs w:val="19"/>
          <w:color w:val="auto"/>
        </w:rPr>
        <w:t xml:space="preserve">, </w:t>
      </w:r>
      <w:r>
        <w:rPr>
          <w:rFonts w:ascii="Arial" w:cs="Arial" w:eastAsia="Arial" w:hAnsi="Arial"/>
          <w:sz w:val="19"/>
          <w:szCs w:val="19"/>
          <w:b w:val="1"/>
          <w:bCs w:val="1"/>
          <w:color w:val="auto"/>
        </w:rPr>
        <w:t>4.03(E)</w:t>
      </w:r>
      <w:r>
        <w:rPr>
          <w:rFonts w:ascii="Arial" w:cs="Arial" w:eastAsia="Arial" w:hAnsi="Arial"/>
          <w:sz w:val="19"/>
          <w:szCs w:val="19"/>
          <w:color w:val="auto"/>
        </w:rPr>
        <w:t xml:space="preserve"> and </w:t>
      </w:r>
      <w:r>
        <w:rPr>
          <w:rFonts w:ascii="Arial" w:cs="Arial" w:eastAsia="Arial" w:hAnsi="Arial"/>
          <w:sz w:val="19"/>
          <w:szCs w:val="19"/>
          <w:b w:val="1"/>
          <w:bCs w:val="1"/>
          <w:color w:val="auto"/>
        </w:rPr>
        <w:t>5.02(D)</w:t>
      </w:r>
      <w:r>
        <w:rPr>
          <w:rFonts w:ascii="Arial" w:cs="Arial" w:eastAsia="Arial" w:hAnsi="Arial"/>
          <w:sz w:val="19"/>
          <w:szCs w:val="19"/>
          <w:color w:val="auto"/>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spacing w:after="0" w:line="154" w:lineRule="exact"/>
        <w:rPr>
          <w:rFonts w:ascii="Arial" w:cs="Arial" w:eastAsia="Arial" w:hAnsi="Arial"/>
          <w:sz w:val="19"/>
          <w:szCs w:val="19"/>
          <w:color w:val="auto"/>
        </w:rPr>
      </w:pPr>
    </w:p>
    <w:p>
      <w:pPr>
        <w:jc w:val="both"/>
        <w:ind w:firstLine="656"/>
        <w:spacing w:after="0" w:line="290" w:lineRule="auto"/>
        <w:tabs>
          <w:tab w:leader="none" w:pos="1156"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Defaulted Amounts</w:t>
      </w:r>
      <w:r>
        <w:rPr>
          <w:rFonts w:ascii="Arial" w:cs="Arial" w:eastAsia="Arial" w:hAnsi="Arial"/>
          <w:sz w:val="19"/>
          <w:szCs w:val="19"/>
          <w:color w:val="auto"/>
        </w:rPr>
        <w:t>. If the Company fails to pay any amount (a “</w:t>
      </w:r>
      <w:r>
        <w:rPr>
          <w:rFonts w:ascii="Arial" w:cs="Arial" w:eastAsia="Arial" w:hAnsi="Arial"/>
          <w:sz w:val="19"/>
          <w:szCs w:val="19"/>
          <w:b w:val="1"/>
          <w:bCs w:val="1"/>
          <w:color w:val="auto"/>
        </w:rPr>
        <w:t>Defaulted Amount</w:t>
      </w:r>
      <w:r>
        <w:rPr>
          <w:rFonts w:ascii="Arial" w:cs="Arial" w:eastAsia="Arial" w:hAnsi="Arial"/>
          <w:sz w:val="19"/>
          <w:szCs w:val="19"/>
          <w:color w:val="auto"/>
        </w:rPr>
        <w:t>”) due on a Note on or before</w:t>
      </w:r>
      <w:r>
        <w:rPr>
          <w:rFonts w:ascii="Arial" w:cs="Arial" w:eastAsia="Arial" w:hAnsi="Arial"/>
          <w:sz w:val="19"/>
          <w:szCs w:val="19"/>
          <w:i w:val="1"/>
          <w:iCs w:val="1"/>
          <w:color w:val="auto"/>
        </w:rPr>
        <w:t xml:space="preserve"> </w:t>
      </w:r>
      <w:r>
        <w:rPr>
          <w:rFonts w:ascii="Arial" w:cs="Arial" w:eastAsia="Arial" w:hAnsi="Arial"/>
          <w:sz w:val="19"/>
          <w:szCs w:val="19"/>
          <w:color w:val="auto"/>
        </w:rPr>
        <w:t>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Arial" w:cs="Arial" w:eastAsia="Arial" w:hAnsi="Arial"/>
          <w:sz w:val="19"/>
          <w:szCs w:val="19"/>
          <w:b w:val="1"/>
          <w:bCs w:val="1"/>
          <w:color w:val="auto"/>
        </w:rPr>
        <w:t>Default Interest</w:t>
      </w:r>
      <w:r>
        <w:rPr>
          <w:rFonts w:ascii="Arial" w:cs="Arial" w:eastAsia="Arial" w:hAnsi="Arial"/>
          <w:sz w:val="19"/>
          <w:szCs w:val="19"/>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special record date must be no more than fifteen (15), nor less than ten (10), calendar days before such</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348" w:right="339" w:bottom="1440" w:gutter="0" w:footer="0" w:header="0"/>
        </w:sectPr>
      </w:pPr>
    </w:p>
    <w:bookmarkStart w:id="25" w:name="page26"/>
    <w:bookmarkEnd w:id="25"/>
    <w:p>
      <w:pPr>
        <w:jc w:val="both"/>
        <w:ind w:firstLine="656"/>
        <w:spacing w:after="0" w:line="300" w:lineRule="auto"/>
        <w:tabs>
          <w:tab w:leader="none" w:pos="1116" w:val="left"/>
        </w:tabs>
        <w:numPr>
          <w:ilvl w:val="0"/>
          <w:numId w:val="17"/>
        </w:numPr>
        <w:rPr>
          <w:rFonts w:ascii="Arial" w:cs="Arial" w:eastAsia="Arial" w:hAnsi="Arial"/>
          <w:sz w:val="19"/>
          <w:szCs w:val="19"/>
          <w:color w:val="auto"/>
        </w:rPr>
      </w:pPr>
      <w:r>
        <w:rPr>
          <w:rFonts w:ascii="Arial" w:cs="Arial" w:eastAsia="Arial" w:hAnsi="Arial"/>
          <w:sz w:val="19"/>
          <w:szCs w:val="19"/>
          <w:i w:val="1"/>
          <w:iCs w:val="1"/>
          <w:color w:val="auto"/>
        </w:rPr>
        <w:t>Delay of Payment when Payment Date is Not a Business Day</w:t>
      </w:r>
      <w:r>
        <w:rPr>
          <w:rFonts w:ascii="Arial" w:cs="Arial" w:eastAsia="Arial" w:hAnsi="Arial"/>
          <w:sz w:val="19"/>
          <w:szCs w:val="19"/>
          <w:color w:val="auto"/>
        </w:rPr>
        <w:t>. If the due date for a payment on a Note as provided in</w:t>
      </w:r>
      <w:r>
        <w:rPr>
          <w:rFonts w:ascii="Arial" w:cs="Arial" w:eastAsia="Arial" w:hAnsi="Arial"/>
          <w:sz w:val="19"/>
          <w:szCs w:val="19"/>
          <w:i w:val="1"/>
          <w:iCs w:val="1"/>
          <w:color w:val="auto"/>
        </w:rPr>
        <w:t xml:space="preserve"> </w:t>
      </w:r>
      <w:r>
        <w:rPr>
          <w:rFonts w:ascii="Arial" w:cs="Arial" w:eastAsia="Arial" w:hAnsi="Arial"/>
          <w:sz w:val="19"/>
          <w:szCs w:val="19"/>
          <w:color w:val="auto"/>
        </w:rPr>
        <w:t>this Indenture is not a 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40"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2.06.</w:t>
      </w:r>
      <w:r>
        <w:rPr>
          <w:sz w:val="20"/>
          <w:szCs w:val="20"/>
          <w:color w:val="auto"/>
        </w:rPr>
        <w:tab/>
      </w:r>
      <w:r>
        <w:rPr>
          <w:rFonts w:ascii="Arial" w:cs="Arial" w:eastAsia="Arial" w:hAnsi="Arial"/>
          <w:sz w:val="21"/>
          <w:szCs w:val="21"/>
          <w:b w:val="1"/>
          <w:bCs w:val="1"/>
          <w:color w:val="auto"/>
        </w:rPr>
        <w:t>REGISTRAR, PAYING AGENT AND CONVERSION AGENT.</w:t>
      </w:r>
    </w:p>
    <w:p>
      <w:pPr>
        <w:spacing w:after="0" w:line="239" w:lineRule="exact"/>
        <w:rPr>
          <w:sz w:val="20"/>
          <w:szCs w:val="20"/>
          <w:color w:val="auto"/>
        </w:rPr>
      </w:pPr>
    </w:p>
    <w:p>
      <w:pPr>
        <w:jc w:val="both"/>
        <w:ind w:firstLine="656"/>
        <w:spacing w:after="0" w:line="262" w:lineRule="auto"/>
        <w:tabs>
          <w:tab w:leader="none" w:pos="1141" w:val="left"/>
        </w:tabs>
        <w:numPr>
          <w:ilvl w:val="0"/>
          <w:numId w:val="18"/>
        </w:numPr>
        <w:rPr>
          <w:rFonts w:ascii="Arial" w:cs="Arial" w:eastAsia="Arial" w:hAnsi="Arial"/>
          <w:sz w:val="21"/>
          <w:szCs w:val="21"/>
          <w:color w:val="auto"/>
        </w:rPr>
      </w:pPr>
      <w:r>
        <w:rPr>
          <w:rFonts w:ascii="Arial" w:cs="Arial" w:eastAsia="Arial" w:hAnsi="Arial"/>
          <w:sz w:val="21"/>
          <w:szCs w:val="21"/>
          <w:i w:val="1"/>
          <w:iCs w:val="1"/>
          <w:color w:val="auto"/>
        </w:rPr>
        <w:t>Generally</w:t>
      </w:r>
      <w:r>
        <w:rPr>
          <w:rFonts w:ascii="Arial" w:cs="Arial" w:eastAsia="Arial" w:hAnsi="Arial"/>
          <w:sz w:val="21"/>
          <w:szCs w:val="21"/>
          <w:color w:val="auto"/>
        </w:rPr>
        <w:t>. The Company will maintain (i) an office or agency in the continental United States where Notes may be</w:t>
      </w:r>
      <w:r>
        <w:rPr>
          <w:rFonts w:ascii="Arial" w:cs="Arial" w:eastAsia="Arial" w:hAnsi="Arial"/>
          <w:sz w:val="21"/>
          <w:szCs w:val="21"/>
          <w:i w:val="1"/>
          <w:iCs w:val="1"/>
          <w:color w:val="auto"/>
        </w:rPr>
        <w:t xml:space="preserve"> </w:t>
      </w:r>
      <w:r>
        <w:rPr>
          <w:rFonts w:ascii="Arial" w:cs="Arial" w:eastAsia="Arial" w:hAnsi="Arial"/>
          <w:sz w:val="21"/>
          <w:szCs w:val="21"/>
          <w:color w:val="auto"/>
        </w:rPr>
        <w:t>presented for registration of transfer or for exchange (the “</w:t>
      </w:r>
      <w:r>
        <w:rPr>
          <w:rFonts w:ascii="Arial" w:cs="Arial" w:eastAsia="Arial" w:hAnsi="Arial"/>
          <w:sz w:val="21"/>
          <w:szCs w:val="21"/>
          <w:b w:val="1"/>
          <w:bCs w:val="1"/>
          <w:color w:val="auto"/>
        </w:rPr>
        <w:t>Registrar</w:t>
      </w:r>
      <w:r>
        <w:rPr>
          <w:rFonts w:ascii="Arial" w:cs="Arial" w:eastAsia="Arial" w:hAnsi="Arial"/>
          <w:sz w:val="21"/>
          <w:szCs w:val="21"/>
          <w:color w:val="auto"/>
        </w:rPr>
        <w:t>”); (ii) an office or agency in the continental United States where Notes may be presented for payment (the “</w:t>
      </w:r>
      <w:r>
        <w:rPr>
          <w:rFonts w:ascii="Arial" w:cs="Arial" w:eastAsia="Arial" w:hAnsi="Arial"/>
          <w:sz w:val="21"/>
          <w:szCs w:val="21"/>
          <w:b w:val="1"/>
          <w:bCs w:val="1"/>
          <w:color w:val="auto"/>
        </w:rPr>
        <w:t>Paying Agent</w:t>
      </w:r>
      <w:r>
        <w:rPr>
          <w:rFonts w:ascii="Arial" w:cs="Arial" w:eastAsia="Arial" w:hAnsi="Arial"/>
          <w:sz w:val="21"/>
          <w:szCs w:val="21"/>
          <w:color w:val="auto"/>
        </w:rPr>
        <w:t>”); and (iii) an office or agency in the continental United States where Notes may be presented for conversion (the “</w:t>
      </w:r>
      <w:r>
        <w:rPr>
          <w:rFonts w:ascii="Arial" w:cs="Arial" w:eastAsia="Arial" w:hAnsi="Arial"/>
          <w:sz w:val="21"/>
          <w:szCs w:val="21"/>
          <w:b w:val="1"/>
          <w:bCs w:val="1"/>
          <w:color w:val="auto"/>
        </w:rPr>
        <w:t>Conversion Agent</w:t>
      </w:r>
      <w:r>
        <w:rPr>
          <w:rFonts w:ascii="Arial" w:cs="Arial" w:eastAsia="Arial" w:hAnsi="Arial"/>
          <w:sz w:val="21"/>
          <w:szCs w:val="21"/>
          <w:color w:val="auto"/>
        </w:rPr>
        <w:t>”). If the Company fails to maintain a Registrar, Paying Agent or Conversion Agent, then the Trustee will act as such. For the avoidance of doubt, the Company may change the Registrar, Paying Agent and Conversion Agent, and the Company or any of its Subsidiaries may act as Registrar, Paying Agent or Conversion Agent, in each case without prior consent of the Holders.</w:t>
      </w:r>
    </w:p>
    <w:p>
      <w:pPr>
        <w:spacing w:after="0" w:line="173" w:lineRule="exact"/>
        <w:rPr>
          <w:rFonts w:ascii="Arial" w:cs="Arial" w:eastAsia="Arial" w:hAnsi="Arial"/>
          <w:sz w:val="21"/>
          <w:szCs w:val="21"/>
          <w:color w:val="auto"/>
        </w:rPr>
      </w:pPr>
    </w:p>
    <w:p>
      <w:pPr>
        <w:jc w:val="both"/>
        <w:ind w:firstLine="656"/>
        <w:spacing w:after="0" w:line="253" w:lineRule="auto"/>
        <w:tabs>
          <w:tab w:leader="none" w:pos="1116" w:val="left"/>
        </w:tabs>
        <w:numPr>
          <w:ilvl w:val="0"/>
          <w:numId w:val="18"/>
        </w:numPr>
        <w:rPr>
          <w:rFonts w:ascii="Arial" w:cs="Arial" w:eastAsia="Arial" w:hAnsi="Arial"/>
          <w:sz w:val="22"/>
          <w:szCs w:val="22"/>
          <w:color w:val="auto"/>
        </w:rPr>
      </w:pPr>
      <w:r>
        <w:rPr>
          <w:rFonts w:ascii="Arial" w:cs="Arial" w:eastAsia="Arial" w:hAnsi="Arial"/>
          <w:sz w:val="22"/>
          <w:szCs w:val="22"/>
          <w:i w:val="1"/>
          <w:iCs w:val="1"/>
          <w:color w:val="auto"/>
        </w:rPr>
        <w:t>Duties of the Registrar</w:t>
      </w:r>
      <w:r>
        <w:rPr>
          <w:rFonts w:ascii="Arial" w:cs="Arial" w:eastAsia="Arial" w:hAnsi="Arial"/>
          <w:sz w:val="22"/>
          <w:szCs w:val="22"/>
          <w:color w:val="auto"/>
        </w:rPr>
        <w:t>. The Registrar will keep a record (the “</w:t>
      </w:r>
      <w:r>
        <w:rPr>
          <w:rFonts w:ascii="Arial" w:cs="Arial" w:eastAsia="Arial" w:hAnsi="Arial"/>
          <w:sz w:val="22"/>
          <w:szCs w:val="22"/>
          <w:b w:val="1"/>
          <w:bCs w:val="1"/>
          <w:color w:val="auto"/>
        </w:rPr>
        <w:t>Register</w:t>
      </w:r>
      <w:r>
        <w:rPr>
          <w:rFonts w:ascii="Arial" w:cs="Arial" w:eastAsia="Arial" w:hAnsi="Arial"/>
          <w:sz w:val="22"/>
          <w:szCs w:val="22"/>
          <w:color w:val="auto"/>
        </w:rPr>
        <w:t>”) of the names and addresses of the Holders,</w:t>
      </w:r>
      <w:r>
        <w:rPr>
          <w:rFonts w:ascii="Arial" w:cs="Arial" w:eastAsia="Arial" w:hAnsi="Arial"/>
          <w:sz w:val="22"/>
          <w:szCs w:val="22"/>
          <w:i w:val="1"/>
          <w:iCs w:val="1"/>
          <w:color w:val="auto"/>
        </w:rPr>
        <w:t xml:space="preserve"> </w:t>
      </w:r>
      <w:r>
        <w:rPr>
          <w:rFonts w:ascii="Arial" w:cs="Arial" w:eastAsia="Arial" w:hAnsi="Arial"/>
          <w:sz w:val="22"/>
          <w:szCs w:val="22"/>
          <w:color w:val="auto"/>
        </w:rPr>
        <w:t>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84" w:lineRule="exact"/>
        <w:rPr>
          <w:rFonts w:ascii="Arial" w:cs="Arial" w:eastAsia="Arial" w:hAnsi="Arial"/>
          <w:sz w:val="22"/>
          <w:szCs w:val="22"/>
          <w:color w:val="auto"/>
        </w:rPr>
      </w:pPr>
    </w:p>
    <w:p>
      <w:pPr>
        <w:jc w:val="both"/>
        <w:ind w:firstLine="656"/>
        <w:spacing w:after="0" w:line="294" w:lineRule="auto"/>
        <w:tabs>
          <w:tab w:leader="none" w:pos="1332"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Co-Agents; Company’s Right to Appoint Successor Registrars, Paying Agents and Conversion Agents</w:t>
      </w:r>
      <w:r>
        <w:rPr>
          <w:rFonts w:ascii="Arial" w:cs="Arial" w:eastAsia="Arial" w:hAnsi="Arial"/>
          <w:sz w:val="19"/>
          <w:szCs w:val="19"/>
          <w:color w:val="auto"/>
        </w:rPr>
        <w:t>.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 may appoint one or more co-Registrars, co-Paying Agents and co-Conversion Agents, each of whom will be deemed to be a Registrar, Paying Agent or Conversion Agent, as applicable, under this Indenture. Subject to </w:t>
      </w:r>
      <w:r>
        <w:rPr>
          <w:rFonts w:ascii="Arial" w:cs="Arial" w:eastAsia="Arial" w:hAnsi="Arial"/>
          <w:sz w:val="19"/>
          <w:szCs w:val="19"/>
          <w:b w:val="1"/>
          <w:bCs w:val="1"/>
          <w:color w:val="auto"/>
        </w:rPr>
        <w:t>Section 2.06(A)</w:t>
      </w:r>
      <w:r>
        <w:rPr>
          <w:rFonts w:ascii="Arial" w:cs="Arial" w:eastAsia="Arial" w:hAnsi="Arial"/>
          <w:sz w:val="19"/>
          <w:szCs w:val="19"/>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51" w:lineRule="exact"/>
        <w:rPr>
          <w:rFonts w:ascii="Arial" w:cs="Arial" w:eastAsia="Arial" w:hAnsi="Arial"/>
          <w:sz w:val="19"/>
          <w:szCs w:val="19"/>
          <w:color w:val="auto"/>
        </w:rPr>
      </w:pPr>
    </w:p>
    <w:p>
      <w:pPr>
        <w:jc w:val="both"/>
        <w:ind w:firstLine="656"/>
        <w:spacing w:after="0" w:line="251" w:lineRule="auto"/>
        <w:tabs>
          <w:tab w:leader="none" w:pos="1195" w:val="left"/>
        </w:tabs>
        <w:numPr>
          <w:ilvl w:val="0"/>
          <w:numId w:val="18"/>
        </w:numPr>
        <w:rPr>
          <w:rFonts w:ascii="Arial" w:cs="Arial" w:eastAsia="Arial" w:hAnsi="Arial"/>
          <w:sz w:val="22"/>
          <w:szCs w:val="22"/>
          <w:color w:val="auto"/>
        </w:rPr>
      </w:pPr>
      <w:r>
        <w:rPr>
          <w:rFonts w:ascii="Arial" w:cs="Arial" w:eastAsia="Arial" w:hAnsi="Arial"/>
          <w:sz w:val="22"/>
          <w:szCs w:val="22"/>
          <w:i w:val="1"/>
          <w:iCs w:val="1"/>
          <w:color w:val="auto"/>
        </w:rPr>
        <w:t>Initial Appointments</w:t>
      </w:r>
      <w:r>
        <w:rPr>
          <w:rFonts w:ascii="Arial" w:cs="Arial" w:eastAsia="Arial" w:hAnsi="Arial"/>
          <w:sz w:val="22"/>
          <w:szCs w:val="22"/>
          <w:color w:val="auto"/>
        </w:rPr>
        <w:t>. The Company appoints the Trustee as the initial Paying Agent, the initial Registrar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initial Conversion Agent and its Corporate Trust Office as a place where Notes may be presented for payment, transfer or conversion. In acting in such capacities under this Indenture and in connection with the Notes, the Trustee in such capacities will act solely as an agent of the Company and will not thereby assume any obligations towards, or relationship of agency or trust for or with, any Holder.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348" w:right="339" w:bottom="1440" w:gutter="0" w:footer="0" w:header="0"/>
        </w:sectPr>
      </w:pPr>
    </w:p>
    <w:bookmarkStart w:id="26" w:name="page27"/>
    <w:bookmarkEnd w:id="26"/>
    <w:p>
      <w:pPr>
        <w:spacing w:after="0"/>
        <w:tabs>
          <w:tab w:leader="none" w:pos="1320" w:val="left"/>
        </w:tabs>
        <w:rPr>
          <w:sz w:val="20"/>
          <w:szCs w:val="20"/>
          <w:color w:val="auto"/>
        </w:rPr>
      </w:pPr>
      <w:r>
        <w:rPr>
          <w:rFonts w:ascii="Arial" w:cs="Arial" w:eastAsia="Arial" w:hAnsi="Arial"/>
          <w:sz w:val="22"/>
          <w:szCs w:val="22"/>
          <w:b w:val="1"/>
          <w:bCs w:val="1"/>
          <w:color w:val="auto"/>
        </w:rPr>
        <w:t>Section 2.07.</w:t>
      </w:r>
      <w:r>
        <w:rPr>
          <w:sz w:val="20"/>
          <w:szCs w:val="20"/>
          <w:color w:val="auto"/>
        </w:rPr>
        <w:tab/>
      </w:r>
      <w:r>
        <w:rPr>
          <w:rFonts w:ascii="Arial" w:cs="Arial" w:eastAsia="Arial" w:hAnsi="Arial"/>
          <w:sz w:val="21"/>
          <w:szCs w:val="21"/>
          <w:b w:val="1"/>
          <w:bCs w:val="1"/>
          <w:color w:val="auto"/>
        </w:rPr>
        <w:t>PAYING AGENT AND CONVERSION AGENT TO HOLD PROPERTY IN TRUST.</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in writing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Arial" w:cs="Arial" w:eastAsia="Arial" w:hAnsi="Arial"/>
          <w:sz w:val="19"/>
          <w:szCs w:val="19"/>
          <w:b w:val="1"/>
          <w:bCs w:val="1"/>
          <w:color w:val="auto"/>
        </w:rPr>
        <w:t>clause (ix)</w:t>
      </w:r>
      <w:r>
        <w:rPr>
          <w:rFonts w:ascii="Arial" w:cs="Arial" w:eastAsia="Arial" w:hAnsi="Arial"/>
          <w:sz w:val="19"/>
          <w:szCs w:val="19"/>
          <w:color w:val="auto"/>
        </w:rPr>
        <w:t xml:space="preserve"> or </w:t>
      </w:r>
      <w:r>
        <w:rPr>
          <w:rFonts w:ascii="Arial" w:cs="Arial" w:eastAsia="Arial" w:hAnsi="Arial"/>
          <w:sz w:val="19"/>
          <w:szCs w:val="19"/>
          <w:b w:val="1"/>
          <w:bCs w:val="1"/>
          <w:color w:val="auto"/>
        </w:rPr>
        <w:t>(x)</w:t>
      </w:r>
      <w:r>
        <w:rPr>
          <w:rFonts w:ascii="Arial" w:cs="Arial" w:eastAsia="Arial" w:hAnsi="Arial"/>
          <w:sz w:val="19"/>
          <w:szCs w:val="19"/>
          <w:color w:val="auto"/>
        </w:rPr>
        <w:t xml:space="preserve"> of </w:t>
      </w:r>
      <w:r>
        <w:rPr>
          <w:rFonts w:ascii="Arial" w:cs="Arial" w:eastAsia="Arial" w:hAnsi="Arial"/>
          <w:sz w:val="19"/>
          <w:szCs w:val="19"/>
          <w:b w:val="1"/>
          <w:bCs w:val="1"/>
          <w:color w:val="auto"/>
        </w:rPr>
        <w:t>Section 7.01(A)</w:t>
      </w:r>
      <w:r>
        <w:rPr>
          <w:rFonts w:ascii="Arial" w:cs="Arial" w:eastAsia="Arial" w:hAnsi="Arial"/>
          <w:sz w:val="19"/>
          <w:szCs w:val="19"/>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358"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2.08.</w:t>
      </w:r>
      <w:r>
        <w:rPr>
          <w:sz w:val="20"/>
          <w:szCs w:val="20"/>
          <w:color w:val="auto"/>
        </w:rPr>
        <w:tab/>
      </w:r>
      <w:r>
        <w:rPr>
          <w:rFonts w:ascii="Arial" w:cs="Arial" w:eastAsia="Arial" w:hAnsi="Arial"/>
          <w:sz w:val="21"/>
          <w:szCs w:val="21"/>
          <w:b w:val="1"/>
          <w:bCs w:val="1"/>
          <w:color w:val="auto"/>
        </w:rPr>
        <w:t>HOLDER LISTS.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Trustee is not the Registrar,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125"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2.09.</w:t>
      </w:r>
      <w:r>
        <w:rPr>
          <w:sz w:val="20"/>
          <w:szCs w:val="20"/>
          <w:color w:val="auto"/>
        </w:rPr>
        <w:tab/>
      </w:r>
      <w:r>
        <w:rPr>
          <w:rFonts w:ascii="Arial" w:cs="Arial" w:eastAsia="Arial" w:hAnsi="Arial"/>
          <w:sz w:val="21"/>
          <w:szCs w:val="21"/>
          <w:b w:val="1"/>
          <w:bCs w:val="1"/>
          <w:color w:val="auto"/>
        </w:rPr>
        <w:t>LEGENDS.</w:t>
      </w:r>
    </w:p>
    <w:p>
      <w:pPr>
        <w:spacing w:after="0" w:line="185" w:lineRule="exact"/>
        <w:rPr>
          <w:sz w:val="20"/>
          <w:szCs w:val="20"/>
          <w:color w:val="auto"/>
        </w:rPr>
      </w:pPr>
    </w:p>
    <w:p>
      <w:pPr>
        <w:ind w:firstLine="656"/>
        <w:spacing w:after="0" w:line="276" w:lineRule="auto"/>
        <w:tabs>
          <w:tab w:leader="none" w:pos="1182"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Global Note Legend</w:t>
      </w:r>
      <w:r>
        <w:rPr>
          <w:rFonts w:ascii="Arial" w:cs="Arial" w:eastAsia="Arial" w:hAnsi="Arial"/>
          <w:sz w:val="22"/>
          <w:szCs w:val="22"/>
          <w:color w:val="auto"/>
        </w:rPr>
        <w:t>. Each Global Note will bear the Global Note Legend (or any similar legend, not inconsistent</w:t>
      </w:r>
      <w:r>
        <w:rPr>
          <w:rFonts w:ascii="Arial" w:cs="Arial" w:eastAsia="Arial" w:hAnsi="Arial"/>
          <w:sz w:val="22"/>
          <w:szCs w:val="22"/>
          <w:i w:val="1"/>
          <w:iCs w:val="1"/>
          <w:color w:val="auto"/>
        </w:rPr>
        <w:t xml:space="preserve"> </w:t>
      </w:r>
      <w:r>
        <w:rPr>
          <w:rFonts w:ascii="Arial" w:cs="Arial" w:eastAsia="Arial" w:hAnsi="Arial"/>
          <w:sz w:val="22"/>
          <w:szCs w:val="22"/>
          <w:color w:val="auto"/>
        </w:rPr>
        <w:t>with this Indenture, required by the Depositary for such Global Note).</w:t>
      </w:r>
    </w:p>
    <w:p>
      <w:pPr>
        <w:spacing w:after="0" w:line="106" w:lineRule="exact"/>
        <w:rPr>
          <w:rFonts w:ascii="Arial" w:cs="Arial" w:eastAsia="Arial" w:hAnsi="Arial"/>
          <w:sz w:val="22"/>
          <w:szCs w:val="22"/>
          <w:color w:val="auto"/>
        </w:rPr>
      </w:pPr>
    </w:p>
    <w:p>
      <w:pPr>
        <w:ind w:left="1120" w:hanging="464"/>
        <w:spacing w:after="0"/>
        <w:tabs>
          <w:tab w:leader="none" w:pos="1120"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Non-Affiliate Legend</w:t>
      </w:r>
      <w:r>
        <w:rPr>
          <w:rFonts w:ascii="Arial" w:cs="Arial" w:eastAsia="Arial" w:hAnsi="Arial"/>
          <w:sz w:val="22"/>
          <w:szCs w:val="22"/>
          <w:color w:val="auto"/>
        </w:rPr>
        <w:t>. Each Note will bear the Non-Affiliate Legend.</w:t>
      </w:r>
    </w:p>
    <w:p>
      <w:pPr>
        <w:spacing w:after="0" w:line="173" w:lineRule="exact"/>
        <w:rPr>
          <w:rFonts w:ascii="Arial" w:cs="Arial" w:eastAsia="Arial" w:hAnsi="Arial"/>
          <w:sz w:val="22"/>
          <w:szCs w:val="22"/>
          <w:color w:val="auto"/>
        </w:rPr>
      </w:pPr>
    </w:p>
    <w:p>
      <w:pPr>
        <w:ind w:left="1120" w:hanging="464"/>
        <w:spacing w:after="0"/>
        <w:tabs>
          <w:tab w:leader="none" w:pos="1120"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Restricted Note Legend</w:t>
      </w:r>
      <w:r>
        <w:rPr>
          <w:rFonts w:ascii="Arial" w:cs="Arial" w:eastAsia="Arial" w:hAnsi="Arial"/>
          <w:sz w:val="22"/>
          <w:szCs w:val="22"/>
          <w:color w:val="auto"/>
        </w:rPr>
        <w:t>. Subject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2.12</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680" w:hanging="376"/>
        <w:spacing w:after="0"/>
        <w:tabs>
          <w:tab w:leader="none" w:pos="1680" w:val="left"/>
        </w:tabs>
        <w:numPr>
          <w:ilvl w:val="1"/>
          <w:numId w:val="19"/>
        </w:numPr>
        <w:rPr>
          <w:rFonts w:ascii="Arial" w:cs="Arial" w:eastAsia="Arial" w:hAnsi="Arial"/>
          <w:sz w:val="22"/>
          <w:szCs w:val="22"/>
          <w:color w:val="auto"/>
        </w:rPr>
      </w:pPr>
      <w:r>
        <w:rPr>
          <w:rFonts w:ascii="Arial" w:cs="Arial" w:eastAsia="Arial" w:hAnsi="Arial"/>
          <w:sz w:val="22"/>
          <w:szCs w:val="22"/>
          <w:color w:val="auto"/>
        </w:rPr>
        <w:t>each Note that is a Transfer-Restricted Security will bear the Restricted Note Legend; and</w:t>
      </w:r>
    </w:p>
    <w:p>
      <w:pPr>
        <w:spacing w:after="0" w:line="179" w:lineRule="exact"/>
        <w:rPr>
          <w:rFonts w:ascii="Arial" w:cs="Arial" w:eastAsia="Arial" w:hAnsi="Arial"/>
          <w:sz w:val="22"/>
          <w:szCs w:val="22"/>
          <w:color w:val="auto"/>
        </w:rPr>
      </w:pPr>
    </w:p>
    <w:p>
      <w:pPr>
        <w:jc w:val="both"/>
        <w:ind w:left="660" w:firstLine="644"/>
        <w:spacing w:after="0" w:line="319" w:lineRule="auto"/>
        <w:tabs>
          <w:tab w:leader="none" w:pos="1779" w:val="left"/>
        </w:tabs>
        <w:numPr>
          <w:ilvl w:val="1"/>
          <w:numId w:val="19"/>
        </w:numPr>
        <w:rPr>
          <w:rFonts w:ascii="Arial" w:cs="Arial" w:eastAsia="Arial" w:hAnsi="Arial"/>
          <w:sz w:val="19"/>
          <w:szCs w:val="19"/>
          <w:color w:val="auto"/>
        </w:rPr>
      </w:pPr>
      <w:r>
        <w:rPr>
          <w:rFonts w:ascii="Arial" w:cs="Arial" w:eastAsia="Arial" w:hAnsi="Arial"/>
          <w:sz w:val="19"/>
          <w:szCs w:val="19"/>
          <w:color w:val="auto"/>
        </w:rPr>
        <w:t xml:space="preserve">if a Note is issued in exchange for, in substitution of, or to effect a partial conversion of, another Note (such other Note being referred to as the “old Note” for purposes of this </w:t>
      </w:r>
      <w:r>
        <w:rPr>
          <w:rFonts w:ascii="Arial" w:cs="Arial" w:eastAsia="Arial" w:hAnsi="Arial"/>
          <w:sz w:val="19"/>
          <w:szCs w:val="19"/>
          <w:b w:val="1"/>
          <w:bCs w:val="1"/>
          <w:color w:val="auto"/>
        </w:rPr>
        <w:t>Section 2.09(C)(ii)</w:t>
      </w:r>
      <w:r>
        <w:rPr>
          <w:rFonts w:ascii="Arial" w:cs="Arial" w:eastAsia="Arial" w:hAnsi="Arial"/>
          <w:sz w:val="19"/>
          <w:szCs w:val="19"/>
          <w:color w:val="auto"/>
        </w:rPr>
        <w:t xml:space="preserve">), including pursuant to Section </w:t>
      </w:r>
      <w:r>
        <w:rPr>
          <w:rFonts w:ascii="Arial" w:cs="Arial" w:eastAsia="Arial" w:hAnsi="Arial"/>
          <w:sz w:val="19"/>
          <w:szCs w:val="19"/>
          <w:b w:val="1"/>
          <w:bCs w:val="1"/>
          <w:color w:val="auto"/>
        </w:rPr>
        <w:t>2.10(B)</w:t>
      </w:r>
      <w:r>
        <w:rPr>
          <w:rFonts w:ascii="Arial" w:cs="Arial" w:eastAsia="Arial" w:hAnsi="Arial"/>
          <w:sz w:val="19"/>
          <w:szCs w:val="19"/>
          <w:color w:val="auto"/>
        </w:rPr>
        <w:t>,</w:t>
      </w:r>
      <w:r>
        <w:rPr>
          <w:rFonts w:ascii="Arial" w:cs="Arial" w:eastAsia="Arial" w:hAnsi="Arial"/>
          <w:sz w:val="19"/>
          <w:szCs w:val="19"/>
          <w:b w:val="1"/>
          <w:bCs w:val="1"/>
          <w:color w:val="auto"/>
        </w:rPr>
        <w:t xml:space="preserve"> 2.10(C)</w:t>
      </w:r>
      <w:r>
        <w:rPr>
          <w:rFonts w:ascii="Arial" w:cs="Arial" w:eastAsia="Arial" w:hAnsi="Arial"/>
          <w:sz w:val="19"/>
          <w:szCs w:val="19"/>
          <w:color w:val="auto"/>
        </w:rPr>
        <w:t>,</w:t>
      </w:r>
      <w:r>
        <w:rPr>
          <w:rFonts w:ascii="Arial" w:cs="Arial" w:eastAsia="Arial" w:hAnsi="Arial"/>
          <w:sz w:val="19"/>
          <w:szCs w:val="19"/>
          <w:b w:val="1"/>
          <w:bCs w:val="1"/>
          <w:color w:val="auto"/>
        </w:rPr>
        <w:t xml:space="preserve"> 2.11 </w:t>
      </w:r>
      <w:r>
        <w:rPr>
          <w:rFonts w:ascii="Arial" w:cs="Arial" w:eastAsia="Arial" w:hAnsi="Arial"/>
          <w:sz w:val="19"/>
          <w:szCs w:val="19"/>
          <w:color w:val="auto"/>
        </w:rPr>
        <w:t>or</w:t>
      </w:r>
      <w:r>
        <w:rPr>
          <w:rFonts w:ascii="Arial" w:cs="Arial" w:eastAsia="Arial" w:hAnsi="Arial"/>
          <w:sz w:val="19"/>
          <w:szCs w:val="19"/>
          <w:b w:val="1"/>
          <w:bCs w:val="1"/>
          <w:color w:val="auto"/>
        </w:rPr>
        <w:t xml:space="preserve"> 2.13</w:t>
      </w:r>
      <w:r>
        <w:rPr>
          <w:rFonts w:ascii="Arial" w:cs="Arial" w:eastAsia="Arial" w:hAnsi="Arial"/>
          <w:sz w:val="19"/>
          <w:szCs w:val="19"/>
          <w:color w:val="auto"/>
        </w:rPr>
        <w:t>, then such Note will bear the Restricted Note Legend if such old Note bore the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342" w:right="339" w:bottom="1440" w:gutter="0" w:footer="0" w:header="0"/>
        </w:sectPr>
      </w:pPr>
    </w:p>
    <w:bookmarkStart w:id="27" w:name="page28"/>
    <w:bookmarkEnd w:id="27"/>
    <w:p>
      <w:pPr>
        <w:jc w:val="both"/>
        <w:ind w:left="660"/>
        <w:spacing w:after="0" w:line="250" w:lineRule="auto"/>
        <w:rPr>
          <w:sz w:val="20"/>
          <w:szCs w:val="20"/>
          <w:color w:val="auto"/>
        </w:rPr>
      </w:pPr>
      <w:r>
        <w:rPr>
          <w:rFonts w:ascii="Arial" w:cs="Arial" w:eastAsia="Arial" w:hAnsi="Arial"/>
          <w:sz w:val="22"/>
          <w:szCs w:val="22"/>
          <w:color w:val="auto"/>
        </w:rPr>
        <w:t xml:space="preserve">Restricted Note Legend at the time of such exchange or substitution, or on the related Conversion Date with respect to such conversion, as applicable;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Note need not bear the Restricted Note Legend if such Note does not constitute a Transfer-Restricted Security immediately after such exchange or substitution, or as of such Conversion Date, as applicable.</w:t>
      </w:r>
    </w:p>
    <w:p>
      <w:pPr>
        <w:spacing w:after="0" w:line="134" w:lineRule="exact"/>
        <w:rPr>
          <w:sz w:val="20"/>
          <w:szCs w:val="20"/>
          <w:color w:val="auto"/>
        </w:rPr>
      </w:pPr>
    </w:p>
    <w:p>
      <w:pPr>
        <w:ind w:firstLine="656"/>
        <w:spacing w:after="0" w:line="358" w:lineRule="auto"/>
        <w:tabs>
          <w:tab w:leader="none" w:pos="1155"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Other Legends</w:t>
      </w:r>
      <w:r>
        <w:rPr>
          <w:rFonts w:ascii="Arial" w:cs="Arial" w:eastAsia="Arial" w:hAnsi="Arial"/>
          <w:sz w:val="19"/>
          <w:szCs w:val="19"/>
          <w:color w:val="auto"/>
        </w:rPr>
        <w:t>. A Note may bear any other legend or text, not inconsistent with this Indenture, as may be required</w:t>
      </w:r>
      <w:r>
        <w:rPr>
          <w:rFonts w:ascii="Arial" w:cs="Arial" w:eastAsia="Arial" w:hAnsi="Arial"/>
          <w:sz w:val="19"/>
          <w:szCs w:val="19"/>
          <w:i w:val="1"/>
          <w:iCs w:val="1"/>
          <w:color w:val="auto"/>
        </w:rPr>
        <w:t xml:space="preserve"> </w:t>
      </w:r>
      <w:r>
        <w:rPr>
          <w:rFonts w:ascii="Arial" w:cs="Arial" w:eastAsia="Arial" w:hAnsi="Arial"/>
          <w:sz w:val="19"/>
          <w:szCs w:val="19"/>
          <w:color w:val="auto"/>
        </w:rPr>
        <w:t>by applicable law or by any securities exchange or automated quotation system on which such Note is traded or quoted.</w:t>
      </w:r>
    </w:p>
    <w:p>
      <w:pPr>
        <w:spacing w:after="0" w:line="36" w:lineRule="exact"/>
        <w:rPr>
          <w:rFonts w:ascii="Arial" w:cs="Arial" w:eastAsia="Arial" w:hAnsi="Arial"/>
          <w:sz w:val="19"/>
          <w:szCs w:val="19"/>
          <w:color w:val="auto"/>
        </w:rPr>
      </w:pPr>
    </w:p>
    <w:p>
      <w:pPr>
        <w:jc w:val="both"/>
        <w:ind w:firstLine="656"/>
        <w:spacing w:after="0" w:line="259" w:lineRule="auto"/>
        <w:tabs>
          <w:tab w:leader="none" w:pos="1144" w:val="left"/>
        </w:tabs>
        <w:numPr>
          <w:ilvl w:val="0"/>
          <w:numId w:val="20"/>
        </w:numPr>
        <w:rPr>
          <w:rFonts w:ascii="Arial" w:cs="Arial" w:eastAsia="Arial" w:hAnsi="Arial"/>
          <w:sz w:val="22"/>
          <w:szCs w:val="22"/>
          <w:color w:val="auto"/>
        </w:rPr>
      </w:pPr>
      <w:r>
        <w:rPr>
          <w:rFonts w:ascii="Arial" w:cs="Arial" w:eastAsia="Arial" w:hAnsi="Arial"/>
          <w:sz w:val="22"/>
          <w:szCs w:val="22"/>
          <w:i w:val="1"/>
          <w:iCs w:val="1"/>
          <w:color w:val="auto"/>
        </w:rPr>
        <w:t>Acknowledgement and Agreement by the Holders</w:t>
      </w:r>
      <w:r>
        <w:rPr>
          <w:rFonts w:ascii="Arial" w:cs="Arial" w:eastAsia="Arial" w:hAnsi="Arial"/>
          <w:sz w:val="22"/>
          <w:szCs w:val="22"/>
          <w:color w:val="auto"/>
        </w:rPr>
        <w:t>. A Holder’s acceptance of any Note bearing any legend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by this </w:t>
      </w:r>
      <w:r>
        <w:rPr>
          <w:rFonts w:ascii="Arial" w:cs="Arial" w:eastAsia="Arial" w:hAnsi="Arial"/>
          <w:sz w:val="22"/>
          <w:szCs w:val="22"/>
          <w:b w:val="1"/>
          <w:bCs w:val="1"/>
          <w:color w:val="auto"/>
        </w:rPr>
        <w:t>Section 2.09</w:t>
      </w:r>
      <w:r>
        <w:rPr>
          <w:rFonts w:ascii="Arial" w:cs="Arial" w:eastAsia="Arial" w:hAnsi="Arial"/>
          <w:sz w:val="22"/>
          <w:szCs w:val="22"/>
          <w:color w:val="auto"/>
        </w:rPr>
        <w:t xml:space="preserve"> will constitute such Holder’s acknowledgement of, and agreement to comply with, the restrictions set forth in such legend.</w:t>
      </w:r>
    </w:p>
    <w:p>
      <w:pPr>
        <w:spacing w:after="0" w:line="126" w:lineRule="exact"/>
        <w:rPr>
          <w:rFonts w:ascii="Arial" w:cs="Arial" w:eastAsia="Arial" w:hAnsi="Arial"/>
          <w:sz w:val="22"/>
          <w:szCs w:val="22"/>
          <w:color w:val="auto"/>
        </w:rPr>
      </w:pPr>
    </w:p>
    <w:p>
      <w:pPr>
        <w:ind w:left="1100" w:hanging="444"/>
        <w:spacing w:after="0"/>
        <w:tabs>
          <w:tab w:leader="none" w:pos="1100" w:val="left"/>
        </w:tabs>
        <w:numPr>
          <w:ilvl w:val="0"/>
          <w:numId w:val="20"/>
        </w:numPr>
        <w:rPr>
          <w:rFonts w:ascii="Arial" w:cs="Arial" w:eastAsia="Arial" w:hAnsi="Arial"/>
          <w:sz w:val="22"/>
          <w:szCs w:val="22"/>
          <w:color w:val="auto"/>
        </w:rPr>
      </w:pPr>
      <w:r>
        <w:rPr>
          <w:rFonts w:ascii="Arial" w:cs="Arial" w:eastAsia="Arial" w:hAnsi="Arial"/>
          <w:sz w:val="22"/>
          <w:szCs w:val="22"/>
          <w:i w:val="1"/>
          <w:iCs w:val="1"/>
          <w:color w:val="auto"/>
        </w:rPr>
        <w:t>Restricted Stock Legend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644"/>
        <w:spacing w:after="0" w:line="251" w:lineRule="auto"/>
        <w:tabs>
          <w:tab w:leader="none" w:pos="1719" w:val="left"/>
        </w:tabs>
        <w:numPr>
          <w:ilvl w:val="1"/>
          <w:numId w:val="20"/>
        </w:numPr>
        <w:rPr>
          <w:rFonts w:ascii="Arial" w:cs="Arial" w:eastAsia="Arial" w:hAnsi="Arial"/>
          <w:sz w:val="22"/>
          <w:szCs w:val="22"/>
          <w:color w:val="auto"/>
        </w:rPr>
      </w:pPr>
      <w:r>
        <w:rPr>
          <w:rFonts w:ascii="Arial" w:cs="Arial" w:eastAsia="Arial" w:hAnsi="Arial"/>
          <w:sz w:val="22"/>
          <w:szCs w:val="22"/>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Conversion Share need not bear the Restricted Stock Legend if the Company determines, in its reasonable discretion, that such Conversion Share need not bear the Restricted Stock Legend.</w:t>
      </w:r>
    </w:p>
    <w:p>
      <w:pPr>
        <w:spacing w:after="0" w:line="129" w:lineRule="exact"/>
        <w:rPr>
          <w:rFonts w:ascii="Arial" w:cs="Arial" w:eastAsia="Arial" w:hAnsi="Arial"/>
          <w:sz w:val="22"/>
          <w:szCs w:val="22"/>
          <w:color w:val="auto"/>
        </w:rPr>
      </w:pPr>
    </w:p>
    <w:p>
      <w:pPr>
        <w:jc w:val="both"/>
        <w:ind w:left="660" w:firstLine="644"/>
        <w:spacing w:after="0" w:line="309" w:lineRule="auto"/>
        <w:tabs>
          <w:tab w:leader="none" w:pos="1900"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b w:val="1"/>
          <w:bCs w:val="1"/>
          <w:color w:val="auto"/>
        </w:rPr>
        <w:t>Section 2.09(F)</w:t>
      </w:r>
      <w:r>
        <w:rPr>
          <w:rFonts w:ascii="Arial" w:cs="Arial" w:eastAsia="Arial" w:hAnsi="Arial"/>
          <w:sz w:val="19"/>
          <w:szCs w:val="19"/>
          <w:color w:val="auto"/>
        </w:rPr>
        <w:t xml:space="preserve">, a Conversion Share need not bear a Restricted Stock Legend if such Conversion Share is issued in an uncertificated form that does not permit affixing legends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76"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2.10.</w:t>
      </w:r>
      <w:r>
        <w:rPr>
          <w:sz w:val="20"/>
          <w:szCs w:val="20"/>
          <w:color w:val="auto"/>
        </w:rPr>
        <w:tab/>
      </w:r>
      <w:r>
        <w:rPr>
          <w:rFonts w:ascii="Arial" w:cs="Arial" w:eastAsia="Arial" w:hAnsi="Arial"/>
          <w:sz w:val="21"/>
          <w:szCs w:val="21"/>
          <w:b w:val="1"/>
          <w:bCs w:val="1"/>
          <w:color w:val="auto"/>
        </w:rPr>
        <w:t>TRANSFERS AND EXCHANGES; CERTAIN TRANSFER RESTRICTIONS.</w:t>
      </w:r>
    </w:p>
    <w:p>
      <w:pPr>
        <w:spacing w:after="0" w:line="185" w:lineRule="exact"/>
        <w:rPr>
          <w:sz w:val="20"/>
          <w:szCs w:val="20"/>
          <w:color w:val="auto"/>
        </w:rPr>
      </w:pPr>
    </w:p>
    <w:p>
      <w:pPr>
        <w:ind w:left="1140" w:hanging="484"/>
        <w:spacing w:after="0"/>
        <w:tabs>
          <w:tab w:leader="none" w:pos="1140"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Provisions Applicable to All Transfers and Exchanges</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660" w:firstLine="644"/>
        <w:spacing w:after="0" w:line="364" w:lineRule="auto"/>
        <w:tabs>
          <w:tab w:leader="none" w:pos="1759" w:val="left"/>
        </w:tabs>
        <w:numPr>
          <w:ilvl w:val="1"/>
          <w:numId w:val="21"/>
        </w:numPr>
        <w:rPr>
          <w:rFonts w:ascii="Arial" w:cs="Arial" w:eastAsia="Arial" w:hAnsi="Arial"/>
          <w:sz w:val="19"/>
          <w:szCs w:val="19"/>
          <w:color w:val="auto"/>
        </w:rPr>
      </w:pPr>
      <w:r>
        <w:rPr>
          <w:rFonts w:ascii="Arial" w:cs="Arial" w:eastAsia="Arial" w:hAnsi="Arial"/>
          <w:sz w:val="19"/>
          <w:szCs w:val="19"/>
          <w:color w:val="auto"/>
        </w:rPr>
        <w:t xml:space="preserve">Subject to this </w:t>
      </w:r>
      <w:r>
        <w:rPr>
          <w:rFonts w:ascii="Arial" w:cs="Arial" w:eastAsia="Arial" w:hAnsi="Arial"/>
          <w:sz w:val="19"/>
          <w:szCs w:val="19"/>
          <w:b w:val="1"/>
          <w:bCs w:val="1"/>
          <w:color w:val="auto"/>
        </w:rPr>
        <w:t>Section 2.10</w:t>
      </w:r>
      <w:r>
        <w:rPr>
          <w:rFonts w:ascii="Arial" w:cs="Arial" w:eastAsia="Arial" w:hAnsi="Arial"/>
          <w:sz w:val="19"/>
          <w:szCs w:val="19"/>
          <w:color w:val="auto"/>
        </w:rPr>
        <w:t>, Physical Notes and beneficial interests in Global Notes may be transferred or exchanged from time to time and the Registrar will record each such transfer or exchange in the Register.</w:t>
      </w:r>
    </w:p>
    <w:p>
      <w:pPr>
        <w:spacing w:after="0" w:line="31" w:lineRule="exact"/>
        <w:rPr>
          <w:rFonts w:ascii="Arial" w:cs="Arial" w:eastAsia="Arial" w:hAnsi="Arial"/>
          <w:sz w:val="19"/>
          <w:szCs w:val="19"/>
          <w:color w:val="auto"/>
        </w:rPr>
      </w:pPr>
    </w:p>
    <w:p>
      <w:pPr>
        <w:jc w:val="both"/>
        <w:ind w:left="660" w:firstLine="644"/>
        <w:spacing w:after="0" w:line="254" w:lineRule="auto"/>
        <w:tabs>
          <w:tab w:leader="none" w:pos="1765" w:val="left"/>
        </w:tabs>
        <w:numPr>
          <w:ilvl w:val="1"/>
          <w:numId w:val="21"/>
        </w:numPr>
        <w:rPr>
          <w:rFonts w:ascii="Arial" w:cs="Arial" w:eastAsia="Arial" w:hAnsi="Arial"/>
          <w:sz w:val="22"/>
          <w:szCs w:val="22"/>
          <w:color w:val="auto"/>
        </w:rPr>
      </w:pPr>
      <w:r>
        <w:rPr>
          <w:rFonts w:ascii="Arial" w:cs="Arial" w:eastAsia="Arial" w:hAnsi="Arial"/>
          <w:sz w:val="22"/>
          <w:szCs w:val="22"/>
          <w:color w:val="auto"/>
        </w:rPr>
        <w:t xml:space="preserve">Each Note issued upon transfer or exchange of any other Note (such other Note being referred to as the “old Note” for purposes of this </w:t>
      </w:r>
      <w:r>
        <w:rPr>
          <w:rFonts w:ascii="Arial" w:cs="Arial" w:eastAsia="Arial" w:hAnsi="Arial"/>
          <w:sz w:val="22"/>
          <w:szCs w:val="22"/>
          <w:b w:val="1"/>
          <w:bCs w:val="1"/>
          <w:color w:val="auto"/>
        </w:rPr>
        <w:t>Section 2.10(A)(ii)</w:t>
      </w:r>
      <w:r>
        <w:rPr>
          <w:rFonts w:ascii="Arial" w:cs="Arial" w:eastAsia="Arial" w:hAnsi="Arial"/>
          <w:sz w:val="22"/>
          <w:szCs w:val="22"/>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30" w:lineRule="exact"/>
        <w:rPr>
          <w:rFonts w:ascii="Arial" w:cs="Arial" w:eastAsia="Arial" w:hAnsi="Arial"/>
          <w:sz w:val="22"/>
          <w:szCs w:val="22"/>
          <w:color w:val="auto"/>
        </w:rPr>
      </w:pPr>
    </w:p>
    <w:p>
      <w:pPr>
        <w:jc w:val="both"/>
        <w:ind w:left="660" w:firstLine="644"/>
        <w:spacing w:after="0" w:line="319" w:lineRule="auto"/>
        <w:tabs>
          <w:tab w:leader="none" w:pos="1866"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Company, the Trustee and the Note Agents will not impose any service charge on any Holder for any transfer, exchange or conversion of Notes, but the Company, the Trustee, the Registrar and the Conversion Agent may require payment of a sum sufficient to cover any transfer tax or similar governmental charge that may be imposed in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348" w:right="339" w:bottom="1440" w:gutter="0" w:footer="0" w:header="0"/>
        </w:sectPr>
      </w:pPr>
    </w:p>
    <w:bookmarkStart w:id="28" w:name="page29"/>
    <w:bookmarkEnd w:id="28"/>
    <w:p>
      <w:pPr>
        <w:ind w:left="4"/>
        <w:spacing w:after="0" w:line="269" w:lineRule="auto"/>
        <w:rPr>
          <w:sz w:val="20"/>
          <w:szCs w:val="20"/>
          <w:color w:val="auto"/>
        </w:rPr>
      </w:pPr>
      <w:r>
        <w:rPr>
          <w:rFonts w:ascii="Arial" w:cs="Arial" w:eastAsia="Arial" w:hAnsi="Arial"/>
          <w:sz w:val="22"/>
          <w:szCs w:val="22"/>
          <w:color w:val="auto"/>
        </w:rPr>
        <w:t xml:space="preserve">connection with any transfer, exchange or conversion of Notes, other than exchanges pursuant to </w:t>
      </w:r>
      <w:r>
        <w:rPr>
          <w:rFonts w:ascii="Arial" w:cs="Arial" w:eastAsia="Arial" w:hAnsi="Arial"/>
          <w:sz w:val="22"/>
          <w:szCs w:val="22"/>
          <w:b w:val="1"/>
          <w:bCs w:val="1"/>
          <w:color w:val="auto"/>
        </w:rPr>
        <w:t>Section 2.11</w:t>
      </w:r>
      <w:r>
        <w:rPr>
          <w:rFonts w:ascii="Arial" w:cs="Arial" w:eastAsia="Arial" w:hAnsi="Arial"/>
          <w:sz w:val="22"/>
          <w:szCs w:val="22"/>
          <w:color w:val="auto"/>
        </w:rPr>
        <w:t xml:space="preserve">, </w:t>
      </w:r>
      <w:r>
        <w:rPr>
          <w:rFonts w:ascii="Arial" w:cs="Arial" w:eastAsia="Arial" w:hAnsi="Arial"/>
          <w:sz w:val="22"/>
          <w:szCs w:val="22"/>
          <w:b w:val="1"/>
          <w:bCs w:val="1"/>
          <w:color w:val="auto"/>
        </w:rPr>
        <w:t>2.17</w:t>
      </w:r>
      <w:r>
        <w:rPr>
          <w:rFonts w:ascii="Arial" w:cs="Arial" w:eastAsia="Arial" w:hAnsi="Arial"/>
          <w:sz w:val="22"/>
          <w:szCs w:val="22"/>
          <w:color w:val="auto"/>
        </w:rPr>
        <w:t xml:space="preserve"> or </w:t>
      </w:r>
      <w:r>
        <w:rPr>
          <w:rFonts w:ascii="Arial" w:cs="Arial" w:eastAsia="Arial" w:hAnsi="Arial"/>
          <w:sz w:val="22"/>
          <w:szCs w:val="22"/>
          <w:b w:val="1"/>
          <w:bCs w:val="1"/>
          <w:color w:val="auto"/>
        </w:rPr>
        <w:t xml:space="preserve">8.05 </w:t>
      </w:r>
      <w:r>
        <w:rPr>
          <w:rFonts w:ascii="Arial" w:cs="Arial" w:eastAsia="Arial" w:hAnsi="Arial"/>
          <w:sz w:val="22"/>
          <w:szCs w:val="22"/>
          <w:color w:val="auto"/>
        </w:rPr>
        <w:t>not involving any transfer.</w:t>
      </w:r>
    </w:p>
    <w:p>
      <w:pPr>
        <w:spacing w:after="0" w:line="114" w:lineRule="exact"/>
        <w:rPr>
          <w:sz w:val="20"/>
          <w:szCs w:val="20"/>
          <w:color w:val="auto"/>
        </w:rPr>
      </w:pPr>
    </w:p>
    <w:p>
      <w:pPr>
        <w:ind w:left="4" w:firstLine="644"/>
        <w:spacing w:after="0" w:line="358" w:lineRule="auto"/>
        <w:tabs>
          <w:tab w:leader="none" w:pos="1211" w:val="left"/>
        </w:tabs>
        <w:numPr>
          <w:ilvl w:val="1"/>
          <w:numId w:val="22"/>
        </w:numPr>
        <w:rPr>
          <w:rFonts w:ascii="Arial" w:cs="Arial" w:eastAsia="Arial" w:hAnsi="Arial"/>
          <w:sz w:val="19"/>
          <w:szCs w:val="19"/>
          <w:color w:val="auto"/>
        </w:rPr>
      </w:pPr>
      <w:r>
        <w:rPr>
          <w:rFonts w:ascii="Arial" w:cs="Arial" w:eastAsia="Arial" w:hAnsi="Arial"/>
          <w:sz w:val="19"/>
          <w:szCs w:val="19"/>
          <w:color w:val="auto"/>
        </w:rPr>
        <w:t>Notwithstanding anything to the contrary in this Indenture or the Notes, a Note may not be transferred or exchanged in part unless the portion to be so transferred or exchanged is in an Authorized Denomination.</w:t>
      </w:r>
    </w:p>
    <w:p>
      <w:pPr>
        <w:spacing w:after="0" w:line="90" w:lineRule="exact"/>
        <w:rPr>
          <w:rFonts w:ascii="Arial" w:cs="Arial" w:eastAsia="Arial" w:hAnsi="Arial"/>
          <w:sz w:val="19"/>
          <w:szCs w:val="19"/>
          <w:color w:val="auto"/>
        </w:rPr>
      </w:pPr>
    </w:p>
    <w:p>
      <w:pPr>
        <w:jc w:val="both"/>
        <w:ind w:left="4" w:firstLine="644"/>
        <w:spacing w:after="0" w:line="266" w:lineRule="auto"/>
        <w:tabs>
          <w:tab w:leader="none" w:pos="1192"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The Trustee will have no obligation or duty to monitor, determine or inquire as to compliance with any transfer restrictions imposed under this Indenture or applicable law with respect to any Note, other than to require the delivery of such certificates or other documentation or evidence as expressly required by this Indenture and to examine the same to determine substantial compliance as to form with the requirements of this Indenture. Neither the Trustee nor any of its agents will have any responsibility for any actions taken or not taken by the Depositary.</w:t>
      </w:r>
    </w:p>
    <w:p>
      <w:pPr>
        <w:spacing w:after="0" w:line="173" w:lineRule="exact"/>
        <w:rPr>
          <w:rFonts w:ascii="Arial" w:cs="Arial" w:eastAsia="Arial" w:hAnsi="Arial"/>
          <w:sz w:val="21"/>
          <w:szCs w:val="21"/>
          <w:color w:val="auto"/>
        </w:rPr>
      </w:pPr>
    </w:p>
    <w:p>
      <w:pPr>
        <w:jc w:val="both"/>
        <w:ind w:left="4" w:firstLine="644"/>
        <w:spacing w:after="0" w:line="290" w:lineRule="auto"/>
        <w:tabs>
          <w:tab w:leader="none" w:pos="1144"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Trustee will have no responsibility or 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or delivery of any Notes (or other security or property) under or with respect to such Notes. All payments to be made to Holders in respect of the Notes will be given or made only to or upon the order of the registered Holders (which is the Depositary or its nominee in the case of a Global Note). The rights of beneficial owners in any Global Note will be exercised only through the Depositary subject to the applicable Depositary Procedures. The Trustee may rely and will be fully protected in relying upon information furnished by the Depositary with respect to its members, participants and any beneficial owners.</w:t>
      </w:r>
    </w:p>
    <w:p>
      <w:pPr>
        <w:spacing w:after="0" w:line="154" w:lineRule="exact"/>
        <w:rPr>
          <w:rFonts w:ascii="Arial" w:cs="Arial" w:eastAsia="Arial" w:hAnsi="Arial"/>
          <w:sz w:val="19"/>
          <w:szCs w:val="19"/>
          <w:color w:val="auto"/>
        </w:rPr>
      </w:pPr>
    </w:p>
    <w:p>
      <w:pPr>
        <w:ind w:left="4" w:firstLine="644"/>
        <w:spacing w:after="0" w:line="276" w:lineRule="auto"/>
        <w:tabs>
          <w:tab w:leader="none" w:pos="1244"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Each Note issued upon transfer of, or in exchange for, another Note will bear each legend, if any, required by </w:t>
      </w:r>
      <w:r>
        <w:rPr>
          <w:rFonts w:ascii="Arial" w:cs="Arial" w:eastAsia="Arial" w:hAnsi="Arial"/>
          <w:sz w:val="22"/>
          <w:szCs w:val="22"/>
          <w:b w:val="1"/>
          <w:bCs w:val="1"/>
          <w:color w:val="auto"/>
        </w:rPr>
        <w:t>Section 2.09</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4" w:right="20" w:firstLine="644"/>
        <w:spacing w:after="0" w:line="259" w:lineRule="auto"/>
        <w:tabs>
          <w:tab w:leader="none" w:pos="1331" w:val="left"/>
        </w:tabs>
        <w:numPr>
          <w:ilvl w:val="1"/>
          <w:numId w:val="22"/>
        </w:numPr>
        <w:rPr>
          <w:rFonts w:ascii="Arial" w:cs="Arial" w:eastAsia="Arial" w:hAnsi="Arial"/>
          <w:sz w:val="22"/>
          <w:szCs w:val="22"/>
          <w:color w:val="auto"/>
        </w:rPr>
      </w:pPr>
      <w:r>
        <w:rPr>
          <w:rFonts w:ascii="Arial" w:cs="Arial" w:eastAsia="Arial" w:hAnsi="Arial"/>
          <w:sz w:val="22"/>
          <w:szCs w:val="22"/>
          <w:color w:val="auto"/>
        </w:rPr>
        <w:t>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w:t>
      </w:r>
    </w:p>
    <w:p>
      <w:pPr>
        <w:spacing w:after="0" w:line="174" w:lineRule="exact"/>
        <w:rPr>
          <w:rFonts w:ascii="Arial" w:cs="Arial" w:eastAsia="Arial" w:hAnsi="Arial"/>
          <w:sz w:val="22"/>
          <w:szCs w:val="22"/>
          <w:color w:val="auto"/>
        </w:rPr>
      </w:pPr>
    </w:p>
    <w:p>
      <w:pPr>
        <w:jc w:val="both"/>
        <w:ind w:left="4" w:firstLine="644"/>
        <w:spacing w:after="0" w:line="267" w:lineRule="auto"/>
        <w:tabs>
          <w:tab w:leader="none" w:pos="1252" w:val="left"/>
        </w:tabs>
        <w:numPr>
          <w:ilvl w:val="1"/>
          <w:numId w:val="22"/>
        </w:numPr>
        <w:rPr>
          <w:rFonts w:ascii="Arial" w:cs="Arial" w:eastAsia="Arial" w:hAnsi="Arial"/>
          <w:sz w:val="21"/>
          <w:szCs w:val="21"/>
          <w:color w:val="auto"/>
        </w:rPr>
      </w:pPr>
      <w:r>
        <w:rPr>
          <w:rFonts w:ascii="Arial" w:cs="Arial" w:eastAsia="Arial" w:hAnsi="Arial"/>
          <w:sz w:val="21"/>
          <w:szCs w:val="21"/>
          <w:color w:val="auto"/>
        </w:rPr>
        <w:t xml:space="preserve">For the avoidance of doubt, and subject to the terms of this Indenture, as used in this </w:t>
      </w:r>
      <w:r>
        <w:rPr>
          <w:rFonts w:ascii="Arial" w:cs="Arial" w:eastAsia="Arial" w:hAnsi="Arial"/>
          <w:sz w:val="21"/>
          <w:szCs w:val="21"/>
          <w:b w:val="1"/>
          <w:bCs w:val="1"/>
          <w:color w:val="auto"/>
        </w:rPr>
        <w:t>Section 2.10</w:t>
      </w:r>
      <w:r>
        <w:rPr>
          <w:rFonts w:ascii="Arial" w:cs="Arial" w:eastAsia="Arial" w:hAnsi="Arial"/>
          <w:sz w:val="21"/>
          <w:szCs w:val="21"/>
          <w:color w:val="auto"/>
        </w:rPr>
        <w:t>, an “exchange”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74" w:lineRule="exact"/>
        <w:rPr>
          <w:rFonts w:ascii="Arial" w:cs="Arial" w:eastAsia="Arial" w:hAnsi="Arial"/>
          <w:sz w:val="21"/>
          <w:szCs w:val="21"/>
          <w:color w:val="auto"/>
        </w:rPr>
      </w:pPr>
    </w:p>
    <w:p>
      <w:pPr>
        <w:ind w:left="464" w:hanging="464"/>
        <w:spacing w:after="0"/>
        <w:tabs>
          <w:tab w:leader="none" w:pos="464" w:val="left"/>
        </w:tabs>
        <w:numPr>
          <w:ilvl w:val="0"/>
          <w:numId w:val="23"/>
        </w:numPr>
        <w:rPr>
          <w:rFonts w:ascii="Arial" w:cs="Arial" w:eastAsia="Arial" w:hAnsi="Arial"/>
          <w:sz w:val="22"/>
          <w:szCs w:val="22"/>
          <w:color w:val="auto"/>
        </w:rPr>
      </w:pPr>
      <w:r>
        <w:rPr>
          <w:rFonts w:ascii="Arial" w:cs="Arial" w:eastAsia="Arial" w:hAnsi="Arial"/>
          <w:sz w:val="22"/>
          <w:szCs w:val="22"/>
          <w:i w:val="1"/>
          <w:iCs w:val="1"/>
          <w:color w:val="auto"/>
        </w:rPr>
        <w:t>Transfers and Exchanges of Global Notes.</w:t>
      </w:r>
    </w:p>
    <w:p>
      <w:pPr>
        <w:spacing w:after="0" w:line="200" w:lineRule="exact"/>
        <w:rPr>
          <w:sz w:val="20"/>
          <w:szCs w:val="20"/>
          <w:color w:val="auto"/>
        </w:rPr>
      </w:pPr>
    </w:p>
    <w:p>
      <w:pPr>
        <w:spacing w:after="0" w:line="240" w:lineRule="exact"/>
        <w:rPr>
          <w:sz w:val="20"/>
          <w:szCs w:val="20"/>
          <w:color w:val="auto"/>
        </w:rPr>
      </w:pPr>
    </w:p>
    <w:p>
      <w:pPr>
        <w:ind w:left="4804"/>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584"/>
          </w:cols>
          <w:pgMar w:left="976" w:top="342" w:right="339" w:bottom="1440" w:gutter="0" w:footer="0" w:header="0"/>
        </w:sectPr>
      </w:pPr>
    </w:p>
    <w:bookmarkStart w:id="29" w:name="page30"/>
    <w:bookmarkEnd w:id="29"/>
    <w:p>
      <w:pPr>
        <w:jc w:val="both"/>
        <w:ind w:firstLine="656"/>
        <w:spacing w:after="0" w:line="300" w:lineRule="auto"/>
        <w:tabs>
          <w:tab w:leader="none" w:pos="1045"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Global Note will be exchanged, pursuant to customary procedures, for one or more Physical Notes if:</w:t>
      </w:r>
    </w:p>
    <w:p>
      <w:pPr>
        <w:spacing w:after="0" w:line="146" w:lineRule="exact"/>
        <w:rPr>
          <w:rFonts w:ascii="Arial" w:cs="Arial" w:eastAsia="Arial" w:hAnsi="Arial"/>
          <w:sz w:val="19"/>
          <w:szCs w:val="19"/>
          <w:color w:val="auto"/>
        </w:rPr>
      </w:pPr>
    </w:p>
    <w:p>
      <w:pPr>
        <w:jc w:val="both"/>
        <w:ind w:left="1300" w:firstLine="652"/>
        <w:spacing w:after="0" w:line="254" w:lineRule="auto"/>
        <w:tabs>
          <w:tab w:leader="none" w:pos="2420" w:val="left"/>
        </w:tabs>
        <w:numPr>
          <w:ilvl w:val="2"/>
          <w:numId w:val="24"/>
        </w:numPr>
        <w:rPr>
          <w:rFonts w:ascii="Arial" w:cs="Arial" w:eastAsia="Arial" w:hAnsi="Arial"/>
          <w:sz w:val="22"/>
          <w:szCs w:val="22"/>
          <w:color w:val="auto"/>
        </w:rPr>
      </w:pPr>
      <w:r>
        <w:rPr>
          <w:rFonts w:ascii="Arial" w:cs="Arial" w:eastAsia="Arial" w:hAnsi="Arial"/>
          <w:sz w:val="22"/>
          <w:szCs w:val="22"/>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30" w:lineRule="exact"/>
        <w:rPr>
          <w:rFonts w:ascii="Arial" w:cs="Arial" w:eastAsia="Arial" w:hAnsi="Arial"/>
          <w:sz w:val="22"/>
          <w:szCs w:val="22"/>
          <w:color w:val="auto"/>
        </w:rPr>
      </w:pPr>
    </w:p>
    <w:p>
      <w:pPr>
        <w:jc w:val="both"/>
        <w:ind w:left="1300" w:firstLine="652"/>
        <w:spacing w:after="0" w:line="319" w:lineRule="auto"/>
        <w:tabs>
          <w:tab w:leader="none" w:pos="2393" w:val="left"/>
        </w:tabs>
        <w:numPr>
          <w:ilvl w:val="2"/>
          <w:numId w:val="24"/>
        </w:numPr>
        <w:rPr>
          <w:rFonts w:ascii="Arial" w:cs="Arial" w:eastAsia="Arial" w:hAnsi="Arial"/>
          <w:sz w:val="19"/>
          <w:szCs w:val="19"/>
          <w:color w:val="auto"/>
        </w:rPr>
      </w:pPr>
      <w:r>
        <w:rPr>
          <w:rFonts w:ascii="Arial" w:cs="Arial" w:eastAsia="Arial" w:hAnsi="Arial"/>
          <w:sz w:val="19"/>
          <w:szCs w:val="19"/>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73" w:lineRule="exact"/>
        <w:rPr>
          <w:rFonts w:ascii="Arial" w:cs="Arial" w:eastAsia="Arial" w:hAnsi="Arial"/>
          <w:sz w:val="19"/>
          <w:szCs w:val="19"/>
          <w:color w:val="auto"/>
        </w:rPr>
      </w:pPr>
    </w:p>
    <w:p>
      <w:pPr>
        <w:ind w:left="1300" w:firstLine="652"/>
        <w:spacing w:after="0" w:line="276" w:lineRule="auto"/>
        <w:tabs>
          <w:tab w:leader="none" w:pos="2461" w:val="left"/>
        </w:tabs>
        <w:numPr>
          <w:ilvl w:val="2"/>
          <w:numId w:val="24"/>
        </w:numPr>
        <w:rPr>
          <w:rFonts w:ascii="Arial" w:cs="Arial" w:eastAsia="Arial" w:hAnsi="Arial"/>
          <w:sz w:val="22"/>
          <w:szCs w:val="22"/>
          <w:color w:val="auto"/>
        </w:rPr>
      </w:pPr>
      <w:r>
        <w:rPr>
          <w:rFonts w:ascii="Arial" w:cs="Arial" w:eastAsia="Arial" w:hAnsi="Arial"/>
          <w:sz w:val="22"/>
          <w:szCs w:val="22"/>
          <w:color w:val="auto"/>
        </w:rPr>
        <w:t>the Company, in its sole discretion, permits the exchange of any beneficial interest in such Global Note for one or more Physical Notes at the request of the owner of such beneficial interest.</w:t>
      </w:r>
    </w:p>
    <w:p>
      <w:pPr>
        <w:spacing w:after="0" w:line="106" w:lineRule="exact"/>
        <w:rPr>
          <w:rFonts w:ascii="Arial" w:cs="Arial" w:eastAsia="Arial" w:hAnsi="Arial"/>
          <w:sz w:val="22"/>
          <w:szCs w:val="22"/>
          <w:color w:val="auto"/>
        </w:rPr>
      </w:pPr>
    </w:p>
    <w:p>
      <w:pPr>
        <w:ind w:left="660" w:firstLine="644"/>
        <w:spacing w:after="0" w:line="276" w:lineRule="auto"/>
        <w:tabs>
          <w:tab w:leader="none" w:pos="1752" w:val="left"/>
        </w:tabs>
        <w:numPr>
          <w:ilvl w:val="1"/>
          <w:numId w:val="24"/>
        </w:numPr>
        <w:rPr>
          <w:rFonts w:ascii="Arial" w:cs="Arial" w:eastAsia="Arial" w:hAnsi="Arial"/>
          <w:sz w:val="22"/>
          <w:szCs w:val="22"/>
          <w:color w:val="auto"/>
        </w:rPr>
      </w:pPr>
      <w:r>
        <w:rPr>
          <w:rFonts w:ascii="Arial" w:cs="Arial" w:eastAsia="Arial" w:hAnsi="Arial"/>
          <w:sz w:val="22"/>
          <w:szCs w:val="22"/>
          <w:color w:val="auto"/>
        </w:rPr>
        <w:t>Upon satisfaction of the requirements of this Indenture to effect a transfer or exchange of any Global Note (or any portion thereof):</w:t>
      </w:r>
    </w:p>
    <w:p>
      <w:pPr>
        <w:spacing w:after="0" w:line="106" w:lineRule="exact"/>
        <w:rPr>
          <w:rFonts w:ascii="Arial" w:cs="Arial" w:eastAsia="Arial" w:hAnsi="Arial"/>
          <w:sz w:val="22"/>
          <w:szCs w:val="22"/>
          <w:color w:val="auto"/>
        </w:rPr>
      </w:pPr>
    </w:p>
    <w:p>
      <w:pPr>
        <w:jc w:val="both"/>
        <w:ind w:left="1300" w:firstLine="652"/>
        <w:spacing w:after="0" w:line="270" w:lineRule="auto"/>
        <w:tabs>
          <w:tab w:leader="none" w:pos="2380" w:val="left"/>
        </w:tabs>
        <w:numPr>
          <w:ilvl w:val="2"/>
          <w:numId w:val="24"/>
        </w:numPr>
        <w:rPr>
          <w:rFonts w:ascii="Arial" w:cs="Arial" w:eastAsia="Arial" w:hAnsi="Arial"/>
          <w:sz w:val="21"/>
          <w:szCs w:val="21"/>
          <w:color w:val="auto"/>
        </w:rPr>
      </w:pPr>
      <w:r>
        <w:rPr>
          <w:rFonts w:ascii="Arial" w:cs="Arial" w:eastAsia="Arial" w:hAnsi="Arial"/>
          <w:sz w:val="21"/>
          <w:szCs w:val="21"/>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 Company may (but is not required to) instruct the Trustee in writing to cancel such Global Note pursuant to </w:t>
      </w:r>
      <w:r>
        <w:rPr>
          <w:rFonts w:ascii="Arial" w:cs="Arial" w:eastAsia="Arial" w:hAnsi="Arial"/>
          <w:sz w:val="21"/>
          <w:szCs w:val="21"/>
          <w:b w:val="1"/>
          <w:bCs w:val="1"/>
          <w:color w:val="auto"/>
        </w:rPr>
        <w:t>Section 2.15</w:t>
      </w:r>
      <w:r>
        <w:rPr>
          <w:rFonts w:ascii="Arial" w:cs="Arial" w:eastAsia="Arial" w:hAnsi="Arial"/>
          <w:sz w:val="21"/>
          <w:szCs w:val="21"/>
          <w:color w:val="auto"/>
        </w:rPr>
        <w:t>);</w:t>
      </w:r>
    </w:p>
    <w:p>
      <w:pPr>
        <w:spacing w:after="0" w:line="114" w:lineRule="exact"/>
        <w:rPr>
          <w:rFonts w:ascii="Arial" w:cs="Arial" w:eastAsia="Arial" w:hAnsi="Arial"/>
          <w:sz w:val="21"/>
          <w:szCs w:val="21"/>
          <w:color w:val="auto"/>
        </w:rPr>
      </w:pPr>
    </w:p>
    <w:p>
      <w:pPr>
        <w:jc w:val="both"/>
        <w:ind w:left="1300" w:firstLine="652"/>
        <w:spacing w:after="0" w:line="259" w:lineRule="auto"/>
        <w:tabs>
          <w:tab w:leader="none" w:pos="2420" w:val="left"/>
        </w:tabs>
        <w:numPr>
          <w:ilvl w:val="2"/>
          <w:numId w:val="24"/>
        </w:numPr>
        <w:rPr>
          <w:rFonts w:ascii="Arial" w:cs="Arial" w:eastAsia="Arial" w:hAnsi="Arial"/>
          <w:sz w:val="22"/>
          <w:szCs w:val="22"/>
          <w:color w:val="auto"/>
        </w:rPr>
      </w:pPr>
      <w:r>
        <w:rPr>
          <w:rFonts w:ascii="Arial" w:cs="Arial" w:eastAsia="Arial" w:hAnsi="Arial"/>
          <w:sz w:val="22"/>
          <w:szCs w:val="22"/>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126" w:lineRule="exact"/>
        <w:rPr>
          <w:rFonts w:ascii="Arial" w:cs="Arial" w:eastAsia="Arial" w:hAnsi="Arial"/>
          <w:sz w:val="22"/>
          <w:szCs w:val="22"/>
          <w:color w:val="auto"/>
        </w:rPr>
      </w:pPr>
    </w:p>
    <w:p>
      <w:pPr>
        <w:jc w:val="both"/>
        <w:ind w:left="1300" w:firstLine="652"/>
        <w:spacing w:after="0" w:line="259" w:lineRule="auto"/>
        <w:tabs>
          <w:tab w:leader="none" w:pos="2407" w:val="left"/>
        </w:tabs>
        <w:numPr>
          <w:ilvl w:val="2"/>
          <w:numId w:val="24"/>
        </w:numPr>
        <w:rPr>
          <w:rFonts w:ascii="Arial" w:cs="Arial" w:eastAsia="Arial" w:hAnsi="Arial"/>
          <w:sz w:val="22"/>
          <w:szCs w:val="22"/>
          <w:color w:val="auto"/>
        </w:rPr>
      </w:pPr>
      <w:r>
        <w:rPr>
          <w:rFonts w:ascii="Arial" w:cs="Arial" w:eastAsia="Arial" w:hAnsi="Arial"/>
          <w:sz w:val="22"/>
          <w:szCs w:val="22"/>
          <w:color w:val="auto"/>
        </w:rPr>
        <w:t xml:space="preserve">if required to effect such transfer or exchange, then the Company will issue, execute and deliver, and the Trustee will authenticate, in each case in accordance with </w:t>
      </w:r>
      <w:r>
        <w:rPr>
          <w:rFonts w:ascii="Arial" w:cs="Arial" w:eastAsia="Arial" w:hAnsi="Arial"/>
          <w:sz w:val="22"/>
          <w:szCs w:val="22"/>
          <w:b w:val="1"/>
          <w:bCs w:val="1"/>
          <w:color w:val="auto"/>
        </w:rPr>
        <w:t>Section 2.02</w:t>
      </w:r>
      <w:r>
        <w:rPr>
          <w:rFonts w:ascii="Arial" w:cs="Arial" w:eastAsia="Arial" w:hAnsi="Arial"/>
          <w:sz w:val="22"/>
          <w:szCs w:val="22"/>
          <w:color w:val="auto"/>
        </w:rPr>
        <w:t xml:space="preserve">, a new Global Note bearing each legend, if any, required by </w:t>
      </w:r>
      <w:r>
        <w:rPr>
          <w:rFonts w:ascii="Arial" w:cs="Arial" w:eastAsia="Arial" w:hAnsi="Arial"/>
          <w:sz w:val="22"/>
          <w:szCs w:val="22"/>
          <w:b w:val="1"/>
          <w:bCs w:val="1"/>
          <w:color w:val="auto"/>
        </w:rPr>
        <w:t>Section 2.09</w:t>
      </w:r>
      <w:r>
        <w:rPr>
          <w:rFonts w:ascii="Arial" w:cs="Arial" w:eastAsia="Arial" w:hAnsi="Arial"/>
          <w:sz w:val="22"/>
          <w:szCs w:val="22"/>
          <w:color w:val="auto"/>
        </w:rPr>
        <w:t>; and</w:t>
      </w:r>
    </w:p>
    <w:p>
      <w:pPr>
        <w:spacing w:after="0" w:line="126" w:lineRule="exact"/>
        <w:rPr>
          <w:rFonts w:ascii="Arial" w:cs="Arial" w:eastAsia="Arial" w:hAnsi="Arial"/>
          <w:sz w:val="22"/>
          <w:szCs w:val="22"/>
          <w:color w:val="auto"/>
        </w:rPr>
      </w:pPr>
    </w:p>
    <w:p>
      <w:pPr>
        <w:jc w:val="both"/>
        <w:ind w:left="1300" w:firstLine="652"/>
        <w:spacing w:after="0" w:line="319" w:lineRule="auto"/>
        <w:tabs>
          <w:tab w:leader="none" w:pos="2380" w:val="left"/>
        </w:tabs>
        <w:numPr>
          <w:ilvl w:val="2"/>
          <w:numId w:val="24"/>
        </w:numPr>
        <w:rPr>
          <w:rFonts w:ascii="Arial" w:cs="Arial" w:eastAsia="Arial" w:hAnsi="Arial"/>
          <w:sz w:val="19"/>
          <w:szCs w:val="19"/>
          <w:color w:val="auto"/>
        </w:rPr>
      </w:pPr>
      <w:r>
        <w:rPr>
          <w:rFonts w:ascii="Arial" w:cs="Arial" w:eastAsia="Arial" w:hAnsi="Arial"/>
          <w:sz w:val="19"/>
          <w:szCs w:val="19"/>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Arial" w:cs="Arial" w:eastAsia="Arial" w:hAnsi="Arial"/>
          <w:sz w:val="19"/>
          <w:szCs w:val="19"/>
          <w:b w:val="1"/>
          <w:bCs w:val="1"/>
          <w:color w:val="auto"/>
        </w:rPr>
        <w:t>Section 2.02</w:t>
      </w:r>
      <w:r>
        <w:rPr>
          <w:rFonts w:ascii="Arial" w:cs="Arial" w:eastAsia="Arial" w:hAnsi="Arial"/>
          <w:sz w:val="19"/>
          <w:szCs w:val="19"/>
          <w:color w:val="auto"/>
        </w:rPr>
        <w:t>, one or more Physical Notes that (x) are in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348" w:right="339" w:bottom="1440" w:gutter="0" w:footer="0" w:header="0"/>
        </w:sectPr>
      </w:pPr>
    </w:p>
    <w:bookmarkStart w:id="30" w:name="page31"/>
    <w:bookmarkEnd w:id="30"/>
    <w:p>
      <w:pPr>
        <w:jc w:val="both"/>
        <w:ind w:left="644"/>
        <w:spacing w:after="0" w:line="271" w:lineRule="auto"/>
        <w:rPr>
          <w:sz w:val="20"/>
          <w:szCs w:val="20"/>
          <w:color w:val="auto"/>
        </w:rPr>
      </w:pPr>
      <w:r>
        <w:rPr>
          <w:rFonts w:ascii="Arial" w:cs="Arial" w:eastAsia="Arial" w:hAnsi="Arial"/>
          <w:sz w:val="21"/>
          <w:szCs w:val="21"/>
          <w:color w:val="auto"/>
        </w:rPr>
        <w:t xml:space="preserve">Authorized Denominations (not to exceed, in the aggregate, the principal amount of such Global Note to be so exchanged); (y) are registered in such name(s) as the Depositary specifies (or as otherwise determined pursuant to customary procedures); and (z) bear each legend, if any, required by </w:t>
      </w:r>
      <w:r>
        <w:rPr>
          <w:rFonts w:ascii="Arial" w:cs="Arial" w:eastAsia="Arial" w:hAnsi="Arial"/>
          <w:sz w:val="21"/>
          <w:szCs w:val="21"/>
          <w:b w:val="1"/>
          <w:bCs w:val="1"/>
          <w:color w:val="auto"/>
        </w:rPr>
        <w:t>Section 2.09</w:t>
      </w:r>
      <w:r>
        <w:rPr>
          <w:rFonts w:ascii="Arial" w:cs="Arial" w:eastAsia="Arial" w:hAnsi="Arial"/>
          <w:sz w:val="21"/>
          <w:szCs w:val="21"/>
          <w:color w:val="auto"/>
        </w:rPr>
        <w:t>.</w:t>
      </w:r>
    </w:p>
    <w:p>
      <w:pPr>
        <w:spacing w:after="0" w:line="113" w:lineRule="exact"/>
        <w:rPr>
          <w:sz w:val="20"/>
          <w:szCs w:val="20"/>
          <w:color w:val="auto"/>
        </w:rPr>
      </w:pPr>
    </w:p>
    <w:p>
      <w:pPr>
        <w:ind w:left="4" w:firstLine="644"/>
        <w:spacing w:after="0" w:line="276" w:lineRule="auto"/>
        <w:tabs>
          <w:tab w:leader="none" w:pos="1210" w:val="left"/>
        </w:tabs>
        <w:numPr>
          <w:ilvl w:val="1"/>
          <w:numId w:val="25"/>
        </w:numPr>
        <w:rPr>
          <w:rFonts w:ascii="Arial" w:cs="Arial" w:eastAsia="Arial" w:hAnsi="Arial"/>
          <w:sz w:val="22"/>
          <w:szCs w:val="22"/>
          <w:color w:val="auto"/>
        </w:rPr>
      </w:pPr>
      <w:r>
        <w:rPr>
          <w:rFonts w:ascii="Arial" w:cs="Arial" w:eastAsia="Arial" w:hAnsi="Arial"/>
          <w:sz w:val="22"/>
          <w:szCs w:val="22"/>
          <w:color w:val="auto"/>
        </w:rPr>
        <w:t>Each transfer or exchange of a beneficial interest in any Global Note will be made in accordance with the Depositary Procedures.</w:t>
      </w:r>
    </w:p>
    <w:p>
      <w:pPr>
        <w:spacing w:after="0" w:line="106" w:lineRule="exact"/>
        <w:rPr>
          <w:rFonts w:ascii="Arial" w:cs="Arial" w:eastAsia="Arial" w:hAnsi="Arial"/>
          <w:sz w:val="22"/>
          <w:szCs w:val="22"/>
          <w:color w:val="auto"/>
        </w:rPr>
      </w:pPr>
    </w:p>
    <w:p>
      <w:pPr>
        <w:ind w:left="464" w:hanging="464"/>
        <w:spacing w:after="0"/>
        <w:tabs>
          <w:tab w:leader="none" w:pos="464"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Transfers and Exchanges of Physical Notes.</w:t>
      </w:r>
    </w:p>
    <w:p>
      <w:pPr>
        <w:spacing w:after="0" w:line="173" w:lineRule="exact"/>
        <w:rPr>
          <w:rFonts w:ascii="Arial" w:cs="Arial" w:eastAsia="Arial" w:hAnsi="Arial"/>
          <w:sz w:val="22"/>
          <w:szCs w:val="22"/>
          <w:color w:val="auto"/>
        </w:rPr>
      </w:pPr>
    </w:p>
    <w:p>
      <w:pPr>
        <w:jc w:val="both"/>
        <w:ind w:left="4" w:firstLine="644"/>
        <w:spacing w:after="0" w:line="263" w:lineRule="auto"/>
        <w:tabs>
          <w:tab w:leader="none" w:pos="1049" w:val="left"/>
        </w:tabs>
        <w:numPr>
          <w:ilvl w:val="1"/>
          <w:numId w:val="26"/>
        </w:numPr>
        <w:rPr>
          <w:rFonts w:ascii="Arial" w:cs="Arial" w:eastAsia="Arial" w:hAnsi="Arial"/>
          <w:sz w:val="21"/>
          <w:szCs w:val="21"/>
          <w:color w:val="auto"/>
        </w:rPr>
      </w:pPr>
      <w:r>
        <w:rPr>
          <w:rFonts w:ascii="Arial" w:cs="Arial" w:eastAsia="Arial" w:hAnsi="Arial"/>
          <w:sz w:val="21"/>
          <w:szCs w:val="21"/>
          <w:color w:val="auto"/>
        </w:rPr>
        <w:t xml:space="preserve">Subject to this </w:t>
      </w:r>
      <w:r>
        <w:rPr>
          <w:rFonts w:ascii="Arial" w:cs="Arial" w:eastAsia="Arial" w:hAnsi="Arial"/>
          <w:sz w:val="21"/>
          <w:szCs w:val="21"/>
          <w:b w:val="1"/>
          <w:bCs w:val="1"/>
          <w:color w:val="auto"/>
        </w:rPr>
        <w:t>Section 2.10</w:t>
      </w:r>
      <w:r>
        <w:rPr>
          <w:rFonts w:ascii="Arial" w:cs="Arial" w:eastAsia="Arial" w:hAnsi="Arial"/>
          <w:sz w:val="21"/>
          <w:szCs w:val="21"/>
          <w:color w:val="auto"/>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to effect any such transfer or exchange, such Holder must:</w:t>
      </w:r>
    </w:p>
    <w:p>
      <w:pPr>
        <w:spacing w:after="0" w:line="124" w:lineRule="exact"/>
        <w:rPr>
          <w:rFonts w:ascii="Arial" w:cs="Arial" w:eastAsia="Arial" w:hAnsi="Arial"/>
          <w:sz w:val="21"/>
          <w:szCs w:val="21"/>
          <w:color w:val="auto"/>
        </w:rPr>
      </w:pPr>
    </w:p>
    <w:p>
      <w:pPr>
        <w:jc w:val="both"/>
        <w:ind w:left="644" w:firstLine="652"/>
        <w:spacing w:after="0" w:line="259" w:lineRule="auto"/>
        <w:tabs>
          <w:tab w:leader="none" w:pos="1832" w:val="left"/>
        </w:tabs>
        <w:numPr>
          <w:ilvl w:val="2"/>
          <w:numId w:val="26"/>
        </w:numPr>
        <w:rPr>
          <w:rFonts w:ascii="Arial" w:cs="Arial" w:eastAsia="Arial" w:hAnsi="Arial"/>
          <w:sz w:val="22"/>
          <w:szCs w:val="22"/>
          <w:color w:val="auto"/>
        </w:rPr>
      </w:pPr>
      <w:r>
        <w:rPr>
          <w:rFonts w:ascii="Arial" w:cs="Arial" w:eastAsia="Arial" w:hAnsi="Arial"/>
          <w:sz w:val="22"/>
          <w:szCs w:val="22"/>
          <w:color w:val="auto"/>
        </w:rPr>
        <w:t>surrender such Physical Note to be transferred or exchanged to the Corporate Trust Office of the Trustee, together with any endorsements or transfer instruments reasonably required by the Company, the Trustee or the Registrar; and</w:t>
      </w:r>
    </w:p>
    <w:p>
      <w:pPr>
        <w:spacing w:after="0" w:line="120" w:lineRule="exact"/>
        <w:rPr>
          <w:rFonts w:ascii="Arial" w:cs="Arial" w:eastAsia="Arial" w:hAnsi="Arial"/>
          <w:sz w:val="22"/>
          <w:szCs w:val="22"/>
          <w:color w:val="auto"/>
        </w:rPr>
      </w:pPr>
    </w:p>
    <w:p>
      <w:pPr>
        <w:ind w:left="1724" w:hanging="428"/>
        <w:spacing w:after="0"/>
        <w:tabs>
          <w:tab w:leader="none" w:pos="1724" w:val="left"/>
        </w:tabs>
        <w:numPr>
          <w:ilvl w:val="2"/>
          <w:numId w:val="26"/>
        </w:numPr>
        <w:rPr>
          <w:rFonts w:ascii="Arial" w:cs="Arial" w:eastAsia="Arial" w:hAnsi="Arial"/>
          <w:sz w:val="19"/>
          <w:szCs w:val="19"/>
          <w:color w:val="auto"/>
        </w:rPr>
      </w:pPr>
      <w:r>
        <w:rPr>
          <w:rFonts w:ascii="Arial" w:cs="Arial" w:eastAsia="Arial" w:hAnsi="Arial"/>
          <w:sz w:val="19"/>
          <w:szCs w:val="19"/>
          <w:color w:val="auto"/>
        </w:rPr>
        <w:t xml:space="preserve">deliver such certificates, documentation or evidence as may be required pursuant to </w:t>
      </w:r>
      <w:r>
        <w:rPr>
          <w:rFonts w:ascii="Arial" w:cs="Arial" w:eastAsia="Arial" w:hAnsi="Arial"/>
          <w:sz w:val="19"/>
          <w:szCs w:val="19"/>
          <w:b w:val="1"/>
          <w:bCs w:val="1"/>
          <w:color w:val="auto"/>
        </w:rPr>
        <w:t>Section 2.10(D)</w:t>
      </w:r>
      <w:r>
        <w:rPr>
          <w:rFonts w:ascii="Arial" w:cs="Arial" w:eastAsia="Arial" w:hAnsi="Arial"/>
          <w:sz w:val="19"/>
          <w:szCs w:val="19"/>
          <w:color w:val="auto"/>
        </w:rPr>
        <w:t>.</w:t>
      </w:r>
    </w:p>
    <w:p>
      <w:pPr>
        <w:spacing w:after="0" w:line="219" w:lineRule="exact"/>
        <w:rPr>
          <w:rFonts w:ascii="Arial" w:cs="Arial" w:eastAsia="Arial" w:hAnsi="Arial"/>
          <w:sz w:val="19"/>
          <w:szCs w:val="19"/>
          <w:color w:val="auto"/>
        </w:rPr>
      </w:pPr>
    </w:p>
    <w:p>
      <w:pPr>
        <w:jc w:val="both"/>
        <w:ind w:left="4" w:firstLine="644"/>
        <w:spacing w:after="0" w:line="259" w:lineRule="auto"/>
        <w:tabs>
          <w:tab w:leader="none" w:pos="1150"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Upon the satisfaction of the requirements of this Indenture to effect a transfer or exchange of any Physical Note (such Physical Note being referred to as the “old Physical Note” for purposes of this </w:t>
      </w:r>
      <w:r>
        <w:rPr>
          <w:rFonts w:ascii="Arial" w:cs="Arial" w:eastAsia="Arial" w:hAnsi="Arial"/>
          <w:sz w:val="22"/>
          <w:szCs w:val="22"/>
          <w:b w:val="1"/>
          <w:bCs w:val="1"/>
          <w:color w:val="auto"/>
        </w:rPr>
        <w:t>Section 2.10(C)(ii)</w:t>
      </w:r>
      <w:r>
        <w:rPr>
          <w:rFonts w:ascii="Arial" w:cs="Arial" w:eastAsia="Arial" w:hAnsi="Arial"/>
          <w:sz w:val="22"/>
          <w:szCs w:val="22"/>
          <w:color w:val="auto"/>
        </w:rPr>
        <w:t>) of a Holder (or any portion of such old Physical Note in an Authorized Denomination):</w:t>
      </w:r>
    </w:p>
    <w:p>
      <w:pPr>
        <w:spacing w:after="0" w:line="120" w:lineRule="exact"/>
        <w:rPr>
          <w:rFonts w:ascii="Arial" w:cs="Arial" w:eastAsia="Arial" w:hAnsi="Arial"/>
          <w:sz w:val="22"/>
          <w:szCs w:val="22"/>
          <w:color w:val="auto"/>
        </w:rPr>
      </w:pPr>
    </w:p>
    <w:p>
      <w:pPr>
        <w:ind w:left="1724" w:hanging="428"/>
        <w:spacing w:after="0"/>
        <w:tabs>
          <w:tab w:leader="none" w:pos="1724" w:val="left"/>
        </w:tabs>
        <w:numPr>
          <w:ilvl w:val="2"/>
          <w:numId w:val="26"/>
        </w:numPr>
        <w:rPr>
          <w:rFonts w:ascii="Arial" w:cs="Arial" w:eastAsia="Arial" w:hAnsi="Arial"/>
          <w:sz w:val="22"/>
          <w:szCs w:val="22"/>
          <w:color w:val="auto"/>
        </w:rPr>
      </w:pPr>
      <w:r>
        <w:rPr>
          <w:rFonts w:ascii="Arial" w:cs="Arial" w:eastAsia="Arial" w:hAnsi="Arial"/>
          <w:sz w:val="22"/>
          <w:szCs w:val="22"/>
          <w:color w:val="auto"/>
        </w:rPr>
        <w:t xml:space="preserve">such old Physical Note will be promptly cancelled pursuant to </w:t>
      </w:r>
      <w:r>
        <w:rPr>
          <w:rFonts w:ascii="Arial" w:cs="Arial" w:eastAsia="Arial" w:hAnsi="Arial"/>
          <w:sz w:val="22"/>
          <w:szCs w:val="22"/>
          <w:b w:val="1"/>
          <w:bCs w:val="1"/>
          <w:color w:val="auto"/>
        </w:rPr>
        <w:t>Section 2.15</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44" w:firstLine="652"/>
        <w:spacing w:after="0" w:line="300" w:lineRule="auto"/>
        <w:tabs>
          <w:tab w:leader="none" w:pos="1791" w:val="left"/>
        </w:tabs>
        <w:numPr>
          <w:ilvl w:val="2"/>
          <w:numId w:val="26"/>
        </w:numPr>
        <w:rPr>
          <w:rFonts w:ascii="Arial" w:cs="Arial" w:eastAsia="Arial" w:hAnsi="Arial"/>
          <w:sz w:val="19"/>
          <w:szCs w:val="19"/>
          <w:color w:val="auto"/>
        </w:rPr>
      </w:pPr>
      <w:r>
        <w:rPr>
          <w:rFonts w:ascii="Arial" w:cs="Arial" w:eastAsia="Arial" w:hAnsi="Arial"/>
          <w:sz w:val="19"/>
          <w:szCs w:val="19"/>
          <w:color w:val="auto"/>
        </w:rPr>
        <w:t xml:space="preserve">if such old Physical Note is to be so transferred or exchanged only in part, then the Company will issue, execute and deliver, and the Trustee will authenticate, in each case in accordance with </w:t>
      </w:r>
      <w:r>
        <w:rPr>
          <w:rFonts w:ascii="Arial" w:cs="Arial" w:eastAsia="Arial" w:hAnsi="Arial"/>
          <w:sz w:val="19"/>
          <w:szCs w:val="19"/>
          <w:b w:val="1"/>
          <w:bCs w:val="1"/>
          <w:color w:val="auto"/>
        </w:rPr>
        <w:t>Section 2.02</w:t>
      </w:r>
      <w:r>
        <w:rPr>
          <w:rFonts w:ascii="Arial" w:cs="Arial" w:eastAsia="Arial" w:hAnsi="Arial"/>
          <w:sz w:val="19"/>
          <w:szCs w:val="19"/>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Arial" w:cs="Arial" w:eastAsia="Arial" w:hAnsi="Arial"/>
          <w:sz w:val="19"/>
          <w:szCs w:val="19"/>
          <w:b w:val="1"/>
          <w:bCs w:val="1"/>
          <w:color w:val="auto"/>
        </w:rPr>
        <w:t>Section 2.09</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ind w:left="1724" w:hanging="428"/>
        <w:spacing w:after="0"/>
        <w:tabs>
          <w:tab w:leader="none" w:pos="1724" w:val="left"/>
        </w:tabs>
        <w:numPr>
          <w:ilvl w:val="2"/>
          <w:numId w:val="26"/>
        </w:numPr>
        <w:rPr>
          <w:rFonts w:ascii="Arial" w:cs="Arial" w:eastAsia="Arial" w:hAnsi="Arial"/>
          <w:sz w:val="22"/>
          <w:szCs w:val="22"/>
          <w:color w:val="auto"/>
        </w:rPr>
      </w:pPr>
      <w:r>
        <w:rPr>
          <w:rFonts w:ascii="Arial" w:cs="Arial" w:eastAsia="Arial" w:hAnsi="Arial"/>
          <w:sz w:val="22"/>
          <w:szCs w:val="22"/>
          <w:color w:val="auto"/>
        </w:rPr>
        <w:t>in the case of a transfer:</w:t>
      </w:r>
    </w:p>
    <w:p>
      <w:pPr>
        <w:spacing w:after="0" w:line="179" w:lineRule="exact"/>
        <w:rPr>
          <w:rFonts w:ascii="Arial" w:cs="Arial" w:eastAsia="Arial" w:hAnsi="Arial"/>
          <w:sz w:val="22"/>
          <w:szCs w:val="22"/>
          <w:color w:val="auto"/>
        </w:rPr>
      </w:pPr>
    </w:p>
    <w:p>
      <w:pPr>
        <w:ind w:left="1304" w:firstLine="640"/>
        <w:spacing w:after="0" w:line="358" w:lineRule="auto"/>
        <w:tabs>
          <w:tab w:leader="none" w:pos="2399" w:val="left"/>
        </w:tabs>
        <w:numPr>
          <w:ilvl w:val="3"/>
          <w:numId w:val="26"/>
        </w:numPr>
        <w:rPr>
          <w:rFonts w:ascii="Arial" w:cs="Arial" w:eastAsia="Arial" w:hAnsi="Arial"/>
          <w:sz w:val="19"/>
          <w:szCs w:val="19"/>
          <w:color w:val="auto"/>
        </w:rPr>
      </w:pPr>
      <w:r>
        <w:rPr>
          <w:rFonts w:ascii="Arial" w:cs="Arial" w:eastAsia="Arial" w:hAnsi="Arial"/>
          <w:sz w:val="19"/>
          <w:szCs w:val="19"/>
          <w:color w:val="auto"/>
        </w:rPr>
        <w:t>to the Depositary or a nominee thereof that will hold its interest in such old Physical Note (or such portion thereof) to be so transferred in the form of one or more Global Notes, the Trustee will reflect</w:t>
      </w:r>
    </w:p>
    <w:p>
      <w:pPr>
        <w:spacing w:after="0" w:line="244" w:lineRule="exact"/>
        <w:rPr>
          <w:sz w:val="20"/>
          <w:szCs w:val="20"/>
          <w:color w:val="auto"/>
        </w:rPr>
      </w:pPr>
    </w:p>
    <w:p>
      <w:pPr>
        <w:ind w:left="4804"/>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584"/>
          </w:cols>
          <w:pgMar w:left="976" w:top="348" w:right="339" w:bottom="1440" w:gutter="0" w:footer="0" w:header="0"/>
        </w:sectPr>
      </w:pPr>
    </w:p>
    <w:bookmarkStart w:id="31" w:name="page32"/>
    <w:bookmarkEnd w:id="31"/>
    <w:p>
      <w:pPr>
        <w:jc w:val="both"/>
        <w:ind w:left="1960"/>
        <w:spacing w:after="0" w:line="287" w:lineRule="auto"/>
        <w:rPr>
          <w:sz w:val="20"/>
          <w:szCs w:val="20"/>
          <w:color w:val="auto"/>
        </w:rPr>
      </w:pPr>
      <w:r>
        <w:rPr>
          <w:rFonts w:ascii="Arial" w:cs="Arial" w:eastAsia="Arial" w:hAnsi="Arial"/>
          <w:sz w:val="19"/>
          <w:szCs w:val="19"/>
          <w:color w:val="auto"/>
        </w:rPr>
        <w:t xml:space="preserve">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Arial" w:cs="Arial" w:eastAsia="Arial" w:hAnsi="Arial"/>
          <w:sz w:val="19"/>
          <w:szCs w:val="19"/>
          <w:b w:val="1"/>
          <w:bCs w:val="1"/>
          <w:color w:val="auto"/>
        </w:rPr>
        <w:t>Section 2.09</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such transfer cannot be so effected by notation on one or more existing Global Notes (whether because no Global Notes bearing each legend, if any, required by </w:t>
      </w:r>
      <w:r>
        <w:rPr>
          <w:rFonts w:ascii="Arial" w:cs="Arial" w:eastAsia="Arial" w:hAnsi="Arial"/>
          <w:sz w:val="19"/>
          <w:szCs w:val="19"/>
          <w:b w:val="1"/>
          <w:bCs w:val="1"/>
          <w:color w:val="auto"/>
        </w:rPr>
        <w:t>Section 2.09</w:t>
      </w:r>
      <w:r>
        <w:rPr>
          <w:rFonts w:ascii="Arial" w:cs="Arial" w:eastAsia="Arial" w:hAnsi="Arial"/>
          <w:sz w:val="19"/>
          <w:szCs w:val="19"/>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Arial" w:cs="Arial" w:eastAsia="Arial" w:hAnsi="Arial"/>
          <w:sz w:val="19"/>
          <w:szCs w:val="19"/>
          <w:b w:val="1"/>
          <w:bCs w:val="1"/>
          <w:color w:val="auto"/>
        </w:rPr>
        <w:t>Section 2.02</w:t>
      </w:r>
      <w:r>
        <w:rPr>
          <w:rFonts w:ascii="Arial" w:cs="Arial" w:eastAsia="Arial" w:hAnsi="Arial"/>
          <w:sz w:val="19"/>
          <w:szCs w:val="19"/>
          <w:color w:val="auto"/>
        </w:rPr>
        <w:t xml:space="preserve">, one or more Global Notes that (x) are in Authorized Denominations and have an aggregate principal amount equal to the principal amount to be so transferred; and (y) bear each legend, if any, required by </w:t>
      </w:r>
      <w:r>
        <w:rPr>
          <w:rFonts w:ascii="Arial" w:cs="Arial" w:eastAsia="Arial" w:hAnsi="Arial"/>
          <w:sz w:val="19"/>
          <w:szCs w:val="19"/>
          <w:b w:val="1"/>
          <w:bCs w:val="1"/>
          <w:color w:val="auto"/>
        </w:rPr>
        <w:t>Section 2.09</w:t>
      </w:r>
      <w:r>
        <w:rPr>
          <w:rFonts w:ascii="Arial" w:cs="Arial" w:eastAsia="Arial" w:hAnsi="Arial"/>
          <w:sz w:val="19"/>
          <w:szCs w:val="19"/>
          <w:color w:val="auto"/>
        </w:rPr>
        <w:t>; and</w:t>
      </w:r>
    </w:p>
    <w:p>
      <w:pPr>
        <w:spacing w:after="0" w:line="109" w:lineRule="exact"/>
        <w:rPr>
          <w:sz w:val="20"/>
          <w:szCs w:val="20"/>
          <w:color w:val="auto"/>
        </w:rPr>
      </w:pPr>
    </w:p>
    <w:p>
      <w:pPr>
        <w:jc w:val="both"/>
        <w:ind w:left="1960" w:firstLine="640"/>
        <w:spacing w:after="0" w:line="264" w:lineRule="auto"/>
        <w:tabs>
          <w:tab w:leader="none" w:pos="3067" w:val="left"/>
        </w:tabs>
        <w:numPr>
          <w:ilvl w:val="3"/>
          <w:numId w:val="27"/>
        </w:numPr>
        <w:rPr>
          <w:rFonts w:ascii="Arial" w:cs="Arial" w:eastAsia="Arial" w:hAnsi="Arial"/>
          <w:sz w:val="21"/>
          <w:szCs w:val="21"/>
          <w:color w:val="auto"/>
        </w:rPr>
      </w:pPr>
      <w:r>
        <w:rPr>
          <w:rFonts w:ascii="Arial" w:cs="Arial" w:eastAsia="Arial" w:hAnsi="Arial"/>
          <w:sz w:val="21"/>
          <w:szCs w:val="21"/>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Arial" w:cs="Arial" w:eastAsia="Arial" w:hAnsi="Arial"/>
          <w:sz w:val="21"/>
          <w:szCs w:val="21"/>
          <w:b w:val="1"/>
          <w:bCs w:val="1"/>
          <w:color w:val="auto"/>
        </w:rPr>
        <w:t>Section 2.02</w:t>
      </w:r>
      <w:r>
        <w:rPr>
          <w:rFonts w:ascii="Arial" w:cs="Arial" w:eastAsia="Arial" w:hAnsi="Arial"/>
          <w:sz w:val="21"/>
          <w:szCs w:val="21"/>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Arial" w:cs="Arial" w:eastAsia="Arial" w:hAnsi="Arial"/>
          <w:sz w:val="21"/>
          <w:szCs w:val="21"/>
          <w:b w:val="1"/>
          <w:bCs w:val="1"/>
          <w:color w:val="auto"/>
        </w:rPr>
        <w:t>Section 2.09</w:t>
      </w:r>
      <w:r>
        <w:rPr>
          <w:rFonts w:ascii="Arial" w:cs="Arial" w:eastAsia="Arial" w:hAnsi="Arial"/>
          <w:sz w:val="21"/>
          <w:szCs w:val="21"/>
          <w:color w:val="auto"/>
        </w:rPr>
        <w:t>; and</w:t>
      </w:r>
    </w:p>
    <w:p>
      <w:pPr>
        <w:spacing w:after="0" w:line="120" w:lineRule="exact"/>
        <w:rPr>
          <w:rFonts w:ascii="Arial" w:cs="Arial" w:eastAsia="Arial" w:hAnsi="Arial"/>
          <w:sz w:val="21"/>
          <w:szCs w:val="21"/>
          <w:color w:val="auto"/>
        </w:rPr>
      </w:pPr>
    </w:p>
    <w:p>
      <w:pPr>
        <w:jc w:val="both"/>
        <w:ind w:left="1300" w:firstLine="652"/>
        <w:spacing w:after="0" w:line="251" w:lineRule="auto"/>
        <w:tabs>
          <w:tab w:leader="none" w:pos="2542" w:val="left"/>
        </w:tabs>
        <w:numPr>
          <w:ilvl w:val="2"/>
          <w:numId w:val="28"/>
        </w:numPr>
        <w:rPr>
          <w:rFonts w:ascii="Arial" w:cs="Arial" w:eastAsia="Arial" w:hAnsi="Arial"/>
          <w:sz w:val="22"/>
          <w:szCs w:val="22"/>
          <w:color w:val="auto"/>
        </w:rPr>
      </w:pPr>
      <w:r>
        <w:rPr>
          <w:rFonts w:ascii="Arial" w:cs="Arial" w:eastAsia="Arial" w:hAnsi="Arial"/>
          <w:sz w:val="22"/>
          <w:szCs w:val="22"/>
          <w:color w:val="auto"/>
        </w:rPr>
        <w:t xml:space="preserve">in the case of an exchange, the Company will issue, execute and deliver, and the Trustee will authenticate, in each case in accordance with </w:t>
      </w:r>
      <w:r>
        <w:rPr>
          <w:rFonts w:ascii="Arial" w:cs="Arial" w:eastAsia="Arial" w:hAnsi="Arial"/>
          <w:sz w:val="22"/>
          <w:szCs w:val="22"/>
          <w:b w:val="1"/>
          <w:bCs w:val="1"/>
          <w:color w:val="auto"/>
        </w:rPr>
        <w:t>Section 2.02</w:t>
      </w:r>
      <w:r>
        <w:rPr>
          <w:rFonts w:ascii="Arial" w:cs="Arial" w:eastAsia="Arial" w:hAnsi="Arial"/>
          <w:sz w:val="22"/>
          <w:szCs w:val="22"/>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Arial" w:cs="Arial" w:eastAsia="Arial" w:hAnsi="Arial"/>
          <w:sz w:val="22"/>
          <w:szCs w:val="22"/>
          <w:b w:val="1"/>
          <w:bCs w:val="1"/>
          <w:color w:val="auto"/>
        </w:rPr>
        <w:t>Section 2.09</w:t>
      </w:r>
      <w:r>
        <w:rPr>
          <w:rFonts w:ascii="Arial" w:cs="Arial" w:eastAsia="Arial" w:hAnsi="Arial"/>
          <w:sz w:val="22"/>
          <w:szCs w:val="22"/>
          <w:color w:val="auto"/>
        </w:rPr>
        <w:t>.</w:t>
      </w:r>
    </w:p>
    <w:p>
      <w:pPr>
        <w:spacing w:after="0" w:line="135" w:lineRule="exact"/>
        <w:rPr>
          <w:rFonts w:ascii="Arial" w:cs="Arial" w:eastAsia="Arial" w:hAnsi="Arial"/>
          <w:sz w:val="22"/>
          <w:szCs w:val="22"/>
          <w:color w:val="auto"/>
        </w:rPr>
      </w:pPr>
    </w:p>
    <w:p>
      <w:pPr>
        <w:ind w:firstLine="656"/>
        <w:spacing w:after="0" w:line="301" w:lineRule="auto"/>
        <w:tabs>
          <w:tab w:leader="none" w:pos="1290" w:val="left"/>
        </w:tabs>
        <w:numPr>
          <w:ilvl w:val="0"/>
          <w:numId w:val="29"/>
        </w:numPr>
        <w:rPr>
          <w:rFonts w:ascii="Arial" w:cs="Arial" w:eastAsia="Arial" w:hAnsi="Arial"/>
          <w:sz w:val="21"/>
          <w:szCs w:val="21"/>
          <w:color w:val="auto"/>
        </w:rPr>
      </w:pPr>
      <w:r>
        <w:rPr>
          <w:rFonts w:ascii="Arial" w:cs="Arial" w:eastAsia="Arial" w:hAnsi="Arial"/>
          <w:sz w:val="21"/>
          <w:szCs w:val="21"/>
          <w:i w:val="1"/>
          <w:iCs w:val="1"/>
          <w:color w:val="auto"/>
        </w:rPr>
        <w:t xml:space="preserve">Requirement to Deliver Documentation and Other Evidence. </w:t>
      </w:r>
      <w:r>
        <w:rPr>
          <w:rFonts w:ascii="Arial" w:cs="Arial" w:eastAsia="Arial" w:hAnsi="Arial"/>
          <w:sz w:val="21"/>
          <w:szCs w:val="21"/>
          <w:color w:val="auto"/>
        </w:rPr>
        <w:t>If a Holder of any Note that is identified by a</w:t>
      </w:r>
      <w:r>
        <w:rPr>
          <w:rFonts w:ascii="Arial" w:cs="Arial" w:eastAsia="Arial" w:hAnsi="Arial"/>
          <w:sz w:val="21"/>
          <w:szCs w:val="21"/>
          <w:i w:val="1"/>
          <w:iCs w:val="1"/>
          <w:color w:val="auto"/>
        </w:rPr>
        <w:t xml:space="preserve"> </w:t>
      </w:r>
      <w:r>
        <w:rPr>
          <w:rFonts w:ascii="Arial" w:cs="Arial" w:eastAsia="Arial" w:hAnsi="Arial"/>
          <w:sz w:val="21"/>
          <w:szCs w:val="21"/>
          <w:color w:val="auto"/>
        </w:rPr>
        <w:t>“restricted” CUSIP number or that bears a Restricted Note Legend or is a Transfer-Restricted Security requests to:</w:t>
      </w:r>
    </w:p>
    <w:p>
      <w:pPr>
        <w:spacing w:after="0" w:line="82" w:lineRule="exact"/>
        <w:rPr>
          <w:rFonts w:ascii="Arial" w:cs="Arial" w:eastAsia="Arial" w:hAnsi="Arial"/>
          <w:sz w:val="21"/>
          <w:szCs w:val="21"/>
          <w:color w:val="auto"/>
        </w:rPr>
      </w:pPr>
    </w:p>
    <w:p>
      <w:pPr>
        <w:ind w:left="1680" w:hanging="376"/>
        <w:spacing w:after="0"/>
        <w:tabs>
          <w:tab w:leader="none" w:pos="1680" w:val="left"/>
        </w:tabs>
        <w:numPr>
          <w:ilvl w:val="1"/>
          <w:numId w:val="29"/>
        </w:numPr>
        <w:rPr>
          <w:rFonts w:ascii="Arial" w:cs="Arial" w:eastAsia="Arial" w:hAnsi="Arial"/>
          <w:sz w:val="22"/>
          <w:szCs w:val="22"/>
          <w:color w:val="auto"/>
        </w:rPr>
      </w:pPr>
      <w:r>
        <w:rPr>
          <w:rFonts w:ascii="Arial" w:cs="Arial" w:eastAsia="Arial" w:hAnsi="Arial"/>
          <w:sz w:val="22"/>
          <w:szCs w:val="22"/>
          <w:color w:val="auto"/>
        </w:rPr>
        <w:t>cause such Note to be identified by an “unrestricted” CUSIP number;</w:t>
      </w:r>
    </w:p>
    <w:p>
      <w:pPr>
        <w:spacing w:after="0" w:line="179" w:lineRule="exact"/>
        <w:rPr>
          <w:rFonts w:ascii="Arial" w:cs="Arial" w:eastAsia="Arial" w:hAnsi="Arial"/>
          <w:sz w:val="22"/>
          <w:szCs w:val="22"/>
          <w:color w:val="auto"/>
        </w:rPr>
      </w:pPr>
    </w:p>
    <w:p>
      <w:pPr>
        <w:ind w:left="1740" w:hanging="436"/>
        <w:spacing w:after="0"/>
        <w:tabs>
          <w:tab w:leader="none" w:pos="1740" w:val="left"/>
        </w:tabs>
        <w:numPr>
          <w:ilvl w:val="1"/>
          <w:numId w:val="29"/>
        </w:numPr>
        <w:rPr>
          <w:rFonts w:ascii="Arial" w:cs="Arial" w:eastAsia="Arial" w:hAnsi="Arial"/>
          <w:sz w:val="22"/>
          <w:szCs w:val="22"/>
          <w:color w:val="auto"/>
        </w:rPr>
      </w:pPr>
      <w:r>
        <w:rPr>
          <w:rFonts w:ascii="Arial" w:cs="Arial" w:eastAsia="Arial" w:hAnsi="Arial"/>
          <w:sz w:val="22"/>
          <w:szCs w:val="22"/>
          <w:color w:val="auto"/>
        </w:rPr>
        <w:t>remove such Restricted Note Legend; or</w:t>
      </w:r>
    </w:p>
    <w:p>
      <w:pPr>
        <w:spacing w:after="0" w:line="179" w:lineRule="exact"/>
        <w:rPr>
          <w:rFonts w:ascii="Arial" w:cs="Arial" w:eastAsia="Arial" w:hAnsi="Arial"/>
          <w:sz w:val="22"/>
          <w:szCs w:val="22"/>
          <w:color w:val="auto"/>
        </w:rPr>
      </w:pPr>
    </w:p>
    <w:p>
      <w:pPr>
        <w:ind w:left="1800" w:hanging="496"/>
        <w:spacing w:after="0"/>
        <w:tabs>
          <w:tab w:leader="none" w:pos="18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register the transfer of such Note to the name of another Person,</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to determine that such identification, removal or transfer, as applicable,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348" w:right="339" w:bottom="1440" w:gutter="0" w:footer="0" w:header="0"/>
        </w:sectPr>
      </w:pPr>
    </w:p>
    <w:bookmarkStart w:id="32" w:name="page33"/>
    <w:bookmarkEnd w:id="32"/>
    <w:p>
      <w:pPr>
        <w:jc w:val="both"/>
        <w:spacing w:after="0" w:line="260" w:lineRule="auto"/>
        <w:rPr>
          <w:sz w:val="20"/>
          <w:szCs w:val="20"/>
          <w:color w:val="auto"/>
        </w:rPr>
      </w:pPr>
      <w:r>
        <w:rPr>
          <w:rFonts w:ascii="Arial" w:cs="Arial" w:eastAsia="Arial" w:hAnsi="Arial"/>
          <w:sz w:val="21"/>
          <w:szCs w:val="21"/>
          <w:color w:val="auto"/>
        </w:rPr>
        <w:t xml:space="preserve">complies with the Securities Act and other applicable securities laws;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such certificates, documentation or evidence need be so delivered (w) on and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 (x) in connection with any transfer of such Note pursuant to Rule 144A; (y) in connection with any transfer of such Note to the Company or one of its Subsidiaries; or (z) in connection with any transfer of such Note pursuant to an effective registration statement under the Securities Act.</w:t>
      </w:r>
    </w:p>
    <w:p>
      <w:pPr>
        <w:spacing w:after="0" w:line="126" w:lineRule="exact"/>
        <w:rPr>
          <w:sz w:val="20"/>
          <w:szCs w:val="20"/>
          <w:color w:val="auto"/>
        </w:rPr>
      </w:pPr>
    </w:p>
    <w:p>
      <w:pPr>
        <w:jc w:val="both"/>
        <w:ind w:firstLine="656"/>
        <w:spacing w:after="0" w:line="261" w:lineRule="auto"/>
        <w:tabs>
          <w:tab w:leader="none" w:pos="1144" w:val="left"/>
        </w:tabs>
        <w:numPr>
          <w:ilvl w:val="0"/>
          <w:numId w:val="30"/>
        </w:numPr>
        <w:rPr>
          <w:rFonts w:ascii="Arial" w:cs="Arial" w:eastAsia="Arial" w:hAnsi="Arial"/>
          <w:sz w:val="21"/>
          <w:szCs w:val="21"/>
          <w:color w:val="auto"/>
        </w:rPr>
      </w:pPr>
      <w:r>
        <w:rPr>
          <w:rFonts w:ascii="Arial" w:cs="Arial" w:eastAsia="Arial" w:hAnsi="Arial"/>
          <w:sz w:val="21"/>
          <w:szCs w:val="21"/>
          <w:i w:val="1"/>
          <w:iCs w:val="1"/>
          <w:color w:val="auto"/>
        </w:rPr>
        <w:t>Transfers of Notes Subject to Redemption, Repurchase or Conversion</w:t>
      </w:r>
      <w:r>
        <w:rPr>
          <w:rFonts w:ascii="Arial" w:cs="Arial" w:eastAsia="Arial" w:hAnsi="Arial"/>
          <w:sz w:val="21"/>
          <w:szCs w:val="21"/>
          <w:color w:val="auto"/>
        </w:rPr>
        <w:t>. Notwithstanding anything to the contrary in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this Indenture or 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4.02(F)</w:t>
      </w:r>
      <w:r>
        <w:rPr>
          <w:rFonts w:ascii="Arial" w:cs="Arial" w:eastAsia="Arial" w:hAnsi="Arial"/>
          <w:sz w:val="21"/>
          <w:szCs w:val="21"/>
          <w:color w:val="auto"/>
        </w:rPr>
        <w:t>, except to the extent that any portion of such Note is not subject to such notice or the Company fails to pay the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Section 2.11. EXCHANGE AND CANCELLATION OF NOTES TO BE CONVERTED, REDEEMED OR REPURCHASED.</w:t>
      </w:r>
    </w:p>
    <w:p>
      <w:pPr>
        <w:spacing w:after="0" w:line="100" w:lineRule="exact"/>
        <w:rPr>
          <w:sz w:val="20"/>
          <w:szCs w:val="20"/>
          <w:color w:val="auto"/>
        </w:rPr>
      </w:pPr>
    </w:p>
    <w:p>
      <w:pPr>
        <w:jc w:val="both"/>
        <w:ind w:firstLine="656"/>
        <w:spacing w:after="0" w:line="289" w:lineRule="auto"/>
        <w:tabs>
          <w:tab w:leader="none" w:pos="1222"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Partial Conversions, Redemptions and Repurchases of Physical Notes</w:t>
      </w:r>
      <w:r>
        <w:rPr>
          <w:rFonts w:ascii="Arial" w:cs="Arial" w:eastAsia="Arial" w:hAnsi="Arial"/>
          <w:sz w:val="19"/>
          <w:szCs w:val="19"/>
          <w:color w:val="auto"/>
        </w:rPr>
        <w:t>. If only a portion of a Physical Note of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Holder is to be converted pursuant to </w:t>
      </w:r>
      <w:r>
        <w:rPr>
          <w:rFonts w:ascii="Arial" w:cs="Arial" w:eastAsia="Arial" w:hAnsi="Arial"/>
          <w:sz w:val="19"/>
          <w:szCs w:val="19"/>
          <w:b w:val="1"/>
          <w:bCs w:val="1"/>
          <w:color w:val="auto"/>
        </w:rPr>
        <w:t>Article 5</w:t>
      </w:r>
      <w:r>
        <w:rPr>
          <w:rFonts w:ascii="Arial" w:cs="Arial" w:eastAsia="Arial" w:hAnsi="Arial"/>
          <w:sz w:val="19"/>
          <w:szCs w:val="19"/>
          <w:color w:val="auto"/>
        </w:rPr>
        <w:t xml:space="preserve"> or repurchased pursuant to a Repurchase Upon Fundamental Change or Redemption, then, as soon as reasonably practicable after such Physical Note is surrendered for such conversion, Redemption or repurchase, the Company will cause such Physical Note to be exchanged, pursuant and subject to </w:t>
      </w:r>
      <w:r>
        <w:rPr>
          <w:rFonts w:ascii="Arial" w:cs="Arial" w:eastAsia="Arial" w:hAnsi="Arial"/>
          <w:sz w:val="19"/>
          <w:szCs w:val="19"/>
          <w:b w:val="1"/>
          <w:bCs w:val="1"/>
          <w:color w:val="auto"/>
        </w:rPr>
        <w:t>Section 2.10(C)</w:t>
      </w:r>
      <w:r>
        <w:rPr>
          <w:rFonts w:ascii="Arial" w:cs="Arial" w:eastAsia="Arial" w:hAnsi="Arial"/>
          <w:sz w:val="19"/>
          <w:szCs w:val="19"/>
          <w:color w:val="auto"/>
        </w:rPr>
        <w:t xml:space="preserve">, for (i) one or more Physical Notes that are in Authorized Denominations and have an aggregate principal amount equal to the principal amount of such Physical Note that is not to be so converted, redeemed or repurchased, as applicable, and deliver such Physical Note(s) to such Holder; and (ii) a Physical Note having a principal amount equal to the principal amount to be so converted, redeemed or repurchased, as applicable, which Physical Note will be converted, redeemed or repurchased, as applicable, pursuant to the terms of this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Physical Note referred to in this </w:t>
      </w:r>
      <w:r>
        <w:rPr>
          <w:rFonts w:ascii="Arial" w:cs="Arial" w:eastAsia="Arial" w:hAnsi="Arial"/>
          <w:sz w:val="19"/>
          <w:szCs w:val="19"/>
          <w:b w:val="1"/>
          <w:bCs w:val="1"/>
          <w:color w:val="auto"/>
        </w:rPr>
        <w:t>clause (ii)</w:t>
      </w:r>
      <w:r>
        <w:rPr>
          <w:rFonts w:ascii="Arial" w:cs="Arial" w:eastAsia="Arial" w:hAnsi="Arial"/>
          <w:sz w:val="19"/>
          <w:szCs w:val="19"/>
          <w:color w:val="auto"/>
        </w:rPr>
        <w:t xml:space="preserve"> need not be issued at any time after which such principal amount subject to such conversion, Redemption or repurchase, as applicable, is deemed to cease to be outstanding pursuant to </w:t>
      </w:r>
      <w:r>
        <w:rPr>
          <w:rFonts w:ascii="Arial" w:cs="Arial" w:eastAsia="Arial" w:hAnsi="Arial"/>
          <w:sz w:val="19"/>
          <w:szCs w:val="19"/>
          <w:b w:val="1"/>
          <w:bCs w:val="1"/>
          <w:color w:val="auto"/>
        </w:rPr>
        <w:t>Section 2.18</w:t>
      </w:r>
      <w:r>
        <w:rPr>
          <w:rFonts w:ascii="Arial" w:cs="Arial" w:eastAsia="Arial" w:hAnsi="Arial"/>
          <w:sz w:val="19"/>
          <w:szCs w:val="19"/>
          <w:color w:val="auto"/>
        </w:rPr>
        <w:t>.</w:t>
      </w:r>
    </w:p>
    <w:p>
      <w:pPr>
        <w:spacing w:after="0" w:line="102" w:lineRule="exact"/>
        <w:rPr>
          <w:rFonts w:ascii="Arial" w:cs="Arial" w:eastAsia="Arial" w:hAnsi="Arial"/>
          <w:sz w:val="19"/>
          <w:szCs w:val="19"/>
          <w:color w:val="auto"/>
        </w:rPr>
      </w:pPr>
    </w:p>
    <w:p>
      <w:pPr>
        <w:ind w:left="1120" w:hanging="464"/>
        <w:spacing w:after="0"/>
        <w:tabs>
          <w:tab w:leader="none" w:pos="1120"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Cancellation of Converted, Redeemed and Repurchased Notes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644"/>
        <w:spacing w:after="0" w:line="251" w:lineRule="auto"/>
        <w:tabs>
          <w:tab w:leader="none" w:pos="1705" w:val="left"/>
        </w:tabs>
        <w:numPr>
          <w:ilvl w:val="1"/>
          <w:numId w:val="31"/>
        </w:numPr>
        <w:rPr>
          <w:rFonts w:ascii="Arial" w:cs="Arial" w:eastAsia="Arial" w:hAnsi="Arial"/>
          <w:sz w:val="22"/>
          <w:szCs w:val="22"/>
          <w:color w:val="auto"/>
        </w:rPr>
      </w:pPr>
      <w:r>
        <w:rPr>
          <w:rFonts w:ascii="Arial" w:cs="Arial" w:eastAsia="Arial" w:hAnsi="Arial"/>
          <w:sz w:val="22"/>
          <w:szCs w:val="22"/>
          <w:i w:val="1"/>
          <w:iCs w:val="1"/>
          <w:color w:val="auto"/>
        </w:rPr>
        <w:t>Physical Notes</w:t>
      </w:r>
      <w:r>
        <w:rPr>
          <w:rFonts w:ascii="Arial" w:cs="Arial" w:eastAsia="Arial" w:hAnsi="Arial"/>
          <w:sz w:val="22"/>
          <w:szCs w:val="22"/>
          <w:color w:val="auto"/>
        </w:rPr>
        <w:t>. If a Physical Note (or any portion thereof that has not theretofore been exchanged pursuant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2.11(A)</w:t>
      </w:r>
      <w:r>
        <w:rPr>
          <w:rFonts w:ascii="Arial" w:cs="Arial" w:eastAsia="Arial" w:hAnsi="Arial"/>
          <w:sz w:val="22"/>
          <w:szCs w:val="22"/>
          <w:color w:val="auto"/>
        </w:rPr>
        <w:t>) of a Holder is to be converted pursuant to</w:t>
      </w:r>
      <w:r>
        <w:rPr>
          <w:rFonts w:ascii="Arial" w:cs="Arial" w:eastAsia="Arial" w:hAnsi="Arial"/>
          <w:sz w:val="22"/>
          <w:szCs w:val="22"/>
          <w:b w:val="1"/>
          <w:bCs w:val="1"/>
          <w:color w:val="auto"/>
        </w:rPr>
        <w:t xml:space="preserve"> Article 5 </w:t>
      </w:r>
      <w:r>
        <w:rPr>
          <w:rFonts w:ascii="Arial" w:cs="Arial" w:eastAsia="Arial" w:hAnsi="Arial"/>
          <w:sz w:val="22"/>
          <w:szCs w:val="22"/>
          <w:color w:val="auto"/>
        </w:rPr>
        <w:t>or repurchased pursuant to a Repurchase Upon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Fundamental Change or Redemption, then, promptly after the later of the time such Physical Note (or such portion) is deemed to cease to be outstanding pursuant to </w:t>
      </w:r>
      <w:r>
        <w:rPr>
          <w:rFonts w:ascii="Arial" w:cs="Arial" w:eastAsia="Arial" w:hAnsi="Arial"/>
          <w:sz w:val="22"/>
          <w:szCs w:val="22"/>
          <w:b w:val="1"/>
          <w:bCs w:val="1"/>
          <w:color w:val="auto"/>
        </w:rPr>
        <w:t>Section 2.18</w:t>
      </w:r>
      <w:r>
        <w:rPr>
          <w:rFonts w:ascii="Arial" w:cs="Arial" w:eastAsia="Arial" w:hAnsi="Arial"/>
          <w:sz w:val="22"/>
          <w:szCs w:val="22"/>
          <w:color w:val="auto"/>
        </w:rPr>
        <w:t xml:space="preserve"> and the time such Physical Note is surrendered for such conversion or such repurchase pursuant to a</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348" w:right="339" w:bottom="1440" w:gutter="0" w:footer="0" w:header="0"/>
        </w:sectPr>
      </w:pPr>
    </w:p>
    <w:bookmarkStart w:id="33" w:name="page34"/>
    <w:bookmarkEnd w:id="33"/>
    <w:p>
      <w:pPr>
        <w:jc w:val="both"/>
        <w:ind w:left="660"/>
        <w:spacing w:after="0" w:line="294" w:lineRule="auto"/>
        <w:rPr>
          <w:sz w:val="20"/>
          <w:szCs w:val="20"/>
          <w:color w:val="auto"/>
        </w:rPr>
      </w:pPr>
      <w:r>
        <w:rPr>
          <w:rFonts w:ascii="Arial" w:cs="Arial" w:eastAsia="Arial" w:hAnsi="Arial"/>
          <w:sz w:val="19"/>
          <w:szCs w:val="19"/>
          <w:color w:val="auto"/>
        </w:rPr>
        <w:t xml:space="preserve">Repurchase Upon Fundamental Change or Redemption, as applicable, (1) such Physical Note will be cancelled pursuant to </w:t>
      </w:r>
      <w:r>
        <w:rPr>
          <w:rFonts w:ascii="Arial" w:cs="Arial" w:eastAsia="Arial" w:hAnsi="Arial"/>
          <w:sz w:val="19"/>
          <w:szCs w:val="19"/>
          <w:b w:val="1"/>
          <w:bCs w:val="1"/>
          <w:color w:val="auto"/>
        </w:rPr>
        <w:t>Section 2.15</w:t>
      </w:r>
      <w:r>
        <w:rPr>
          <w:rFonts w:ascii="Arial" w:cs="Arial" w:eastAsia="Arial" w:hAnsi="Arial"/>
          <w:sz w:val="19"/>
          <w:szCs w:val="19"/>
          <w:color w:val="auto"/>
        </w:rPr>
        <w:t xml:space="preserve">; and (2) in the case of a partial conversion, Redemption or repurchase, the Company will issue, execute and deliver to such Holder, and the Trustee will authenticate, in each case in accordance with </w:t>
      </w:r>
      <w:r>
        <w:rPr>
          <w:rFonts w:ascii="Arial" w:cs="Arial" w:eastAsia="Arial" w:hAnsi="Arial"/>
          <w:sz w:val="19"/>
          <w:szCs w:val="19"/>
          <w:b w:val="1"/>
          <w:bCs w:val="1"/>
          <w:color w:val="auto"/>
        </w:rPr>
        <w:t>Section 2.02</w:t>
      </w:r>
      <w:r>
        <w:rPr>
          <w:rFonts w:ascii="Arial" w:cs="Arial" w:eastAsia="Arial" w:hAnsi="Arial"/>
          <w:sz w:val="19"/>
          <w:szCs w:val="19"/>
          <w:color w:val="auto"/>
        </w:rPr>
        <w:t xml:space="preserve">, one or more Physical Notes that (x) are in Authorized Denominations and have an aggregate principal amount equal to the principal amount of such Physical Note that is not to be so converted, redeemed or repurchased; (y) are registered in the name of such Holder; and (z) bear each legend, if any, required by </w:t>
      </w:r>
      <w:r>
        <w:rPr>
          <w:rFonts w:ascii="Arial" w:cs="Arial" w:eastAsia="Arial" w:hAnsi="Arial"/>
          <w:sz w:val="19"/>
          <w:szCs w:val="19"/>
          <w:b w:val="1"/>
          <w:bCs w:val="1"/>
          <w:color w:val="auto"/>
        </w:rPr>
        <w:t>Section 2.09</w:t>
      </w:r>
      <w:r>
        <w:rPr>
          <w:rFonts w:ascii="Arial" w:cs="Arial" w:eastAsia="Arial" w:hAnsi="Arial"/>
          <w:sz w:val="19"/>
          <w:szCs w:val="19"/>
          <w:color w:val="auto"/>
        </w:rPr>
        <w:t>.</w:t>
      </w:r>
    </w:p>
    <w:p>
      <w:pPr>
        <w:spacing w:after="0" w:line="89" w:lineRule="exact"/>
        <w:rPr>
          <w:sz w:val="20"/>
          <w:szCs w:val="20"/>
          <w:color w:val="auto"/>
        </w:rPr>
      </w:pPr>
    </w:p>
    <w:p>
      <w:pPr>
        <w:jc w:val="both"/>
        <w:ind w:left="660" w:firstLine="644"/>
        <w:spacing w:after="0" w:line="263" w:lineRule="auto"/>
        <w:tabs>
          <w:tab w:leader="none" w:pos="1941" w:val="left"/>
        </w:tabs>
        <w:numPr>
          <w:ilvl w:val="0"/>
          <w:numId w:val="32"/>
        </w:numPr>
        <w:rPr>
          <w:rFonts w:ascii="Arial" w:cs="Arial" w:eastAsia="Arial" w:hAnsi="Arial"/>
          <w:sz w:val="21"/>
          <w:szCs w:val="21"/>
          <w:color w:val="auto"/>
        </w:rPr>
      </w:pPr>
      <w:r>
        <w:rPr>
          <w:rFonts w:ascii="Arial" w:cs="Arial" w:eastAsia="Arial" w:hAnsi="Arial"/>
          <w:sz w:val="21"/>
          <w:szCs w:val="21"/>
          <w:i w:val="1"/>
          <w:iCs w:val="1"/>
          <w:color w:val="auto"/>
        </w:rPr>
        <w:t>Global Notes</w:t>
      </w:r>
      <w:r>
        <w:rPr>
          <w:rFonts w:ascii="Arial" w:cs="Arial" w:eastAsia="Arial" w:hAnsi="Arial"/>
          <w:sz w:val="21"/>
          <w:szCs w:val="21"/>
          <w:color w:val="auto"/>
        </w:rPr>
        <w:t>. If a Global Note (or any portion thereof) is to be converted pursuant to</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Article 5</w:t>
      </w:r>
      <w:r>
        <w:rPr>
          <w:rFonts w:ascii="Arial" w:cs="Arial" w:eastAsia="Arial" w:hAnsi="Arial"/>
          <w:sz w:val="21"/>
          <w:szCs w:val="21"/>
          <w:i w:val="1"/>
          <w:iCs w:val="1"/>
          <w:color w:val="auto"/>
        </w:rPr>
        <w:t xml:space="preserve"> </w:t>
      </w:r>
      <w:r>
        <w:rPr>
          <w:rFonts w:ascii="Arial" w:cs="Arial" w:eastAsia="Arial" w:hAnsi="Arial"/>
          <w:sz w:val="21"/>
          <w:szCs w:val="21"/>
          <w:color w:val="auto"/>
        </w:rPr>
        <w:t>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repurchased pursuant to a Repurchase Upon Fundamental Change or Redemption, then, promptly after the time such Note (or such portion) is deemed to cease to be outstanding pursuant to </w:t>
      </w:r>
      <w:r>
        <w:rPr>
          <w:rFonts w:ascii="Arial" w:cs="Arial" w:eastAsia="Arial" w:hAnsi="Arial"/>
          <w:sz w:val="21"/>
          <w:szCs w:val="21"/>
          <w:b w:val="1"/>
          <w:bCs w:val="1"/>
          <w:color w:val="auto"/>
        </w:rPr>
        <w:t>Section 2.18</w:t>
      </w:r>
      <w:r>
        <w:rPr>
          <w:rFonts w:ascii="Arial" w:cs="Arial" w:eastAsia="Arial" w:hAnsi="Arial"/>
          <w:sz w:val="21"/>
          <w:szCs w:val="21"/>
          <w:color w:val="auto"/>
        </w:rPr>
        <w:t xml:space="preserve">, the Trustee will reflect a decrease of the principal amount of such Global Note in an amount equal to the principal amount of such Global Note to be so converted, redeemed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Arial" w:cs="Arial" w:eastAsia="Arial" w:hAnsi="Arial"/>
          <w:sz w:val="21"/>
          <w:szCs w:val="21"/>
          <w:b w:val="1"/>
          <w:bCs w:val="1"/>
          <w:color w:val="auto"/>
        </w:rPr>
        <w:t>Section 2.15</w:t>
      </w:r>
      <w:r>
        <w:rPr>
          <w:rFonts w:ascii="Arial" w:cs="Arial" w:eastAsia="Arial" w:hAnsi="Arial"/>
          <w:sz w:val="21"/>
          <w:szCs w:val="21"/>
          <w:color w:val="auto"/>
        </w:rPr>
        <w:t>).</w:t>
      </w:r>
    </w:p>
    <w:p>
      <w:pPr>
        <w:spacing w:after="0" w:line="11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2.12.</w:t>
      </w:r>
      <w:r>
        <w:rPr>
          <w:sz w:val="20"/>
          <w:szCs w:val="20"/>
          <w:color w:val="auto"/>
        </w:rPr>
        <w:tab/>
      </w:r>
      <w:r>
        <w:rPr>
          <w:rFonts w:ascii="Arial" w:cs="Arial" w:eastAsia="Arial" w:hAnsi="Arial"/>
          <w:sz w:val="21"/>
          <w:szCs w:val="21"/>
          <w:b w:val="1"/>
          <w:bCs w:val="1"/>
          <w:color w:val="auto"/>
        </w:rPr>
        <w:t>REMOVAL OF TRANSFER RESTRICTIONS.</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Without limiting the generality of any other provision of this Indenture (including </w:t>
      </w:r>
      <w:r>
        <w:rPr>
          <w:rFonts w:ascii="Arial" w:cs="Arial" w:eastAsia="Arial" w:hAnsi="Arial"/>
          <w:sz w:val="19"/>
          <w:szCs w:val="19"/>
          <w:b w:val="1"/>
          <w:bCs w:val="1"/>
          <w:color w:val="auto"/>
        </w:rPr>
        <w:t>Section 3.04</w:t>
      </w:r>
      <w:r>
        <w:rPr>
          <w:rFonts w:ascii="Arial" w:cs="Arial" w:eastAsia="Arial" w:hAnsi="Arial"/>
          <w:sz w:val="19"/>
          <w:szCs w:val="19"/>
          <w:color w:val="auto"/>
        </w:rPr>
        <w:t xml:space="preserve">), the Restricted Note Legend affixed to any Note will be deemed, pursuant to this </w:t>
      </w:r>
      <w:r>
        <w:rPr>
          <w:rFonts w:ascii="Arial" w:cs="Arial" w:eastAsia="Arial" w:hAnsi="Arial"/>
          <w:sz w:val="19"/>
          <w:szCs w:val="19"/>
          <w:b w:val="1"/>
          <w:bCs w:val="1"/>
          <w:color w:val="auto"/>
        </w:rPr>
        <w:t>Section 2.12</w:t>
      </w:r>
      <w:r>
        <w:rPr>
          <w:rFonts w:ascii="Arial" w:cs="Arial" w:eastAsia="Arial" w:hAnsi="Arial"/>
          <w:sz w:val="19"/>
          <w:szCs w:val="19"/>
          <w:color w:val="auto"/>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Arial" w:cs="Arial" w:eastAsia="Arial" w:hAnsi="Arial"/>
          <w:sz w:val="19"/>
          <w:szCs w:val="19"/>
          <w:b w:val="1"/>
          <w:bCs w:val="1"/>
          <w:color w:val="auto"/>
        </w:rPr>
        <w:t>Section 2.12</w:t>
      </w:r>
      <w:r>
        <w:rPr>
          <w:rFonts w:ascii="Arial" w:cs="Arial" w:eastAsia="Arial" w:hAnsi="Arial"/>
          <w:sz w:val="19"/>
          <w:szCs w:val="19"/>
          <w:color w:val="auto"/>
        </w:rPr>
        <w:t xml:space="preserve"> and the footnotes to the CUSIP and ISIN numbers set forth on the face of the certificate representing such Note, to thereafter bear the “unrestricted” CUSIP and ISIN numbers identified in such footnotes;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such Note is a Global Note and the Depositary thereof requires a mandatory exchange or other procedure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cause such Global Note to be identified by “unrestricted” CUSIP and ISIN numbers in the facilities of such Depositary, then (i) the Company will effect such exchange or procedure as soon as reasonably practicable; and (ii) for purposes of </w:t>
      </w:r>
      <w:r>
        <w:rPr>
          <w:rFonts w:ascii="Arial" w:cs="Arial" w:eastAsia="Arial" w:hAnsi="Arial"/>
          <w:sz w:val="19"/>
          <w:szCs w:val="19"/>
          <w:b w:val="1"/>
          <w:bCs w:val="1"/>
          <w:color w:val="auto"/>
        </w:rPr>
        <w:t>Section 3.04</w:t>
      </w:r>
      <w:r>
        <w:rPr>
          <w:rFonts w:ascii="Arial" w:cs="Arial" w:eastAsia="Arial" w:hAnsi="Arial"/>
          <w:sz w:val="19"/>
          <w:szCs w:val="19"/>
          <w:color w:val="auto"/>
        </w:rPr>
        <w:t xml:space="preserve"> and the definition of Freely Tradable, such Global Note will not be deemed to be identified by “unrestricted” CUSIP and ISIN numbers until such time as such exchange or procedure is effected.</w:t>
      </w:r>
    </w:p>
    <w:p>
      <w:pPr>
        <w:spacing w:after="0" w:line="100"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2.13.</w:t>
      </w:r>
      <w:r>
        <w:rPr>
          <w:sz w:val="20"/>
          <w:szCs w:val="20"/>
          <w:color w:val="auto"/>
        </w:rPr>
        <w:tab/>
      </w:r>
      <w:r>
        <w:rPr>
          <w:rFonts w:ascii="Arial" w:cs="Arial" w:eastAsia="Arial" w:hAnsi="Arial"/>
          <w:sz w:val="21"/>
          <w:szCs w:val="21"/>
          <w:b w:val="1"/>
          <w:bCs w:val="1"/>
          <w:color w:val="auto"/>
        </w:rPr>
        <w:t>REPLACEMENT NOTES.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Arial" w:cs="Arial" w:eastAsia="Arial" w:hAnsi="Arial"/>
          <w:sz w:val="22"/>
          <w:szCs w:val="22"/>
          <w:b w:val="1"/>
          <w:bCs w:val="1"/>
          <w:color w:val="auto"/>
        </w:rPr>
        <w:t>Section 2.02</w:t>
      </w:r>
      <w:r>
        <w:rPr>
          <w:rFonts w:ascii="Arial" w:cs="Arial" w:eastAsia="Arial" w:hAnsi="Arial"/>
          <w:sz w:val="22"/>
          <w:szCs w:val="22"/>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348"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22"/>
          <w:szCs w:val="22"/>
          <w:color w:val="auto"/>
        </w:rPr>
        <w:t>Holder thereof to provide such security or indemnity that is satisfactory to the Company and the Trustee to protect the Company and the Trustee from any loss that any of them may suffer if such Note is replaced.</w:t>
      </w:r>
    </w:p>
    <w:p>
      <w:pPr>
        <w:spacing w:after="0" w:line="11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color w:val="auto"/>
        </w:rPr>
        <w:t xml:space="preserve">Every replacement Note issued pursuant to this </w:t>
      </w:r>
      <w:r>
        <w:rPr>
          <w:rFonts w:ascii="Arial" w:cs="Arial" w:eastAsia="Arial" w:hAnsi="Arial"/>
          <w:sz w:val="21"/>
          <w:szCs w:val="21"/>
          <w:b w:val="1"/>
          <w:bCs w:val="1"/>
          <w:color w:val="auto"/>
        </w:rPr>
        <w:t>Section 2.13</w:t>
      </w:r>
      <w:r>
        <w:rPr>
          <w:rFonts w:ascii="Arial" w:cs="Arial" w:eastAsia="Arial" w:hAnsi="Arial"/>
          <w:sz w:val="21"/>
          <w:szCs w:val="21"/>
          <w:color w:val="auto"/>
        </w:rPr>
        <w:t xml:space="preserve"> will be an additional obligation of the Company and will be entitled to all of the benefits of this Indenture equally and ratably with all other Notes issued under this Indenture.</w:t>
      </w:r>
    </w:p>
    <w:p>
      <w:pPr>
        <w:spacing w:after="0" w:line="85"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2.14.</w:t>
      </w:r>
      <w:r>
        <w:rPr>
          <w:sz w:val="20"/>
          <w:szCs w:val="20"/>
          <w:color w:val="auto"/>
        </w:rPr>
        <w:tab/>
      </w:r>
      <w:r>
        <w:rPr>
          <w:rFonts w:ascii="Arial" w:cs="Arial" w:eastAsia="Arial" w:hAnsi="Arial"/>
          <w:sz w:val="21"/>
          <w:szCs w:val="21"/>
          <w:b w:val="1"/>
          <w:bCs w:val="1"/>
          <w:color w:val="auto"/>
        </w:rPr>
        <w:t>REGISTERED HOLDERS; CERTAIN RIGHTS WITH RESPECT TO GLOBAL NOTES.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1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2.15.</w:t>
        <w:tab/>
        <w:t>CANCELLATION.</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b w:val="1"/>
          <w:bCs w:val="1"/>
          <w:color w:val="auto"/>
        </w:rPr>
        <w:t>Section 3.08</w:t>
      </w:r>
      <w:r>
        <w:rPr>
          <w:rFonts w:ascii="Arial" w:cs="Arial" w:eastAsia="Arial" w:hAnsi="Arial"/>
          <w:sz w:val="19"/>
          <w:szCs w:val="19"/>
          <w:color w:val="auto"/>
        </w:rPr>
        <w:t xml:space="preserve">, 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Arial" w:cs="Arial" w:eastAsia="Arial" w:hAnsi="Arial"/>
          <w:sz w:val="19"/>
          <w:szCs w:val="19"/>
          <w:b w:val="1"/>
          <w:bCs w:val="1"/>
          <w:color w:val="auto"/>
        </w:rPr>
        <w:t>Section 2.03(B)</w:t>
      </w:r>
      <w:r>
        <w:rPr>
          <w:rFonts w:ascii="Arial" w:cs="Arial" w:eastAsia="Arial" w:hAnsi="Arial"/>
          <w:sz w:val="19"/>
          <w:szCs w:val="19"/>
          <w:color w:val="auto"/>
        </w:rPr>
        <w:t>, the Company may not originally issue new Notes to replace Notes that it has paid or that have been cancelled upon transfer, exchange, payment or conversion.</w:t>
      </w:r>
    </w:p>
    <w:p>
      <w:pPr>
        <w:spacing w:after="0" w:line="88"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2.16.</w:t>
      </w:r>
      <w:r>
        <w:rPr>
          <w:sz w:val="20"/>
          <w:szCs w:val="20"/>
          <w:color w:val="auto"/>
        </w:rPr>
        <w:tab/>
      </w:r>
      <w:r>
        <w:rPr>
          <w:rFonts w:ascii="Arial" w:cs="Arial" w:eastAsia="Arial" w:hAnsi="Arial"/>
          <w:sz w:val="21"/>
          <w:szCs w:val="21"/>
          <w:b w:val="1"/>
          <w:bCs w:val="1"/>
          <w:color w:val="auto"/>
        </w:rPr>
        <w:t>NOTES HELD BY THE COMPANY OR ITS AFFILIATES.</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Without limiting the generality of </w:t>
      </w:r>
      <w:r>
        <w:rPr>
          <w:rFonts w:ascii="Arial" w:cs="Arial" w:eastAsia="Arial" w:hAnsi="Arial"/>
          <w:sz w:val="22"/>
          <w:szCs w:val="22"/>
          <w:b w:val="1"/>
          <w:bCs w:val="1"/>
          <w:color w:val="auto"/>
        </w:rPr>
        <w:t>Sections 3.08</w:t>
      </w:r>
      <w:r>
        <w:rPr>
          <w:rFonts w:ascii="Arial" w:cs="Arial" w:eastAsia="Arial" w:hAnsi="Arial"/>
          <w:sz w:val="22"/>
          <w:szCs w:val="22"/>
          <w:color w:val="auto"/>
        </w:rPr>
        <w:t xml:space="preserve"> and </w:t>
      </w:r>
      <w:r>
        <w:rPr>
          <w:rFonts w:ascii="Arial" w:cs="Arial" w:eastAsia="Arial" w:hAnsi="Arial"/>
          <w:sz w:val="22"/>
          <w:szCs w:val="22"/>
          <w:b w:val="1"/>
          <w:bCs w:val="1"/>
          <w:color w:val="auto"/>
        </w:rPr>
        <w:t>2.18</w:t>
      </w:r>
      <w:r>
        <w:rPr>
          <w:rFonts w:ascii="Arial" w:cs="Arial" w:eastAsia="Arial" w:hAnsi="Arial"/>
          <w:sz w:val="22"/>
          <w:szCs w:val="22"/>
          <w:color w:val="auto"/>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for purposes of determining whether the Trustee is protected in relying on any such direction, waiver or consent, only Notes that the Trustee knows are so owned will be so disregarded.</w:t>
      </w:r>
    </w:p>
    <w:p>
      <w:pPr>
        <w:spacing w:after="0" w:line="132"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2.17.</w:t>
      </w:r>
      <w:r>
        <w:rPr>
          <w:sz w:val="20"/>
          <w:szCs w:val="20"/>
          <w:color w:val="auto"/>
        </w:rPr>
        <w:tab/>
      </w:r>
      <w:r>
        <w:rPr>
          <w:rFonts w:ascii="Arial" w:cs="Arial" w:eastAsia="Arial" w:hAnsi="Arial"/>
          <w:sz w:val="21"/>
          <w:szCs w:val="21"/>
          <w:b w:val="1"/>
          <w:bCs w:val="1"/>
          <w:color w:val="auto"/>
        </w:rPr>
        <w:t>TEMPORARY NOTES.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Until definitive Notes are ready for delivery, the Company may issue, execute and deliver, and the Trustee will authenticate, in each case in accordance with </w:t>
      </w:r>
      <w:r>
        <w:rPr>
          <w:rFonts w:ascii="Arial" w:cs="Arial" w:eastAsia="Arial" w:hAnsi="Arial"/>
          <w:sz w:val="22"/>
          <w:szCs w:val="22"/>
          <w:b w:val="1"/>
          <w:bCs w:val="1"/>
          <w:color w:val="auto"/>
        </w:rPr>
        <w:t>Section 2.02</w:t>
      </w:r>
      <w:r>
        <w:rPr>
          <w:rFonts w:ascii="Arial" w:cs="Arial" w:eastAsia="Arial" w:hAnsi="Arial"/>
          <w:sz w:val="22"/>
          <w:szCs w:val="22"/>
          <w:color w:val="auto"/>
        </w:rPr>
        <w:t>, temporary Notes. Temporary Notes will be substantially in the form of definitive Notes but may have variations that the Company considers appropriate for temporary Notes. The Company will promptly prepare,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348" w:right="339" w:bottom="1440" w:gutter="0" w:footer="0" w:header="0"/>
        </w:sectPr>
      </w:pPr>
    </w:p>
    <w:bookmarkStart w:id="35" w:name="page36"/>
    <w:bookmarkEnd w:id="35"/>
    <w:p>
      <w:pPr>
        <w:jc w:val="both"/>
        <w:spacing w:after="0" w:line="256" w:lineRule="auto"/>
        <w:rPr>
          <w:sz w:val="20"/>
          <w:szCs w:val="20"/>
          <w:color w:val="auto"/>
        </w:rPr>
      </w:pPr>
      <w:r>
        <w:rPr>
          <w:rFonts w:ascii="Arial" w:cs="Arial" w:eastAsia="Arial" w:hAnsi="Arial"/>
          <w:sz w:val="22"/>
          <w:szCs w:val="22"/>
          <w:color w:val="auto"/>
        </w:rPr>
        <w:t xml:space="preserve">issue, execute and deliver, and the Trustee will authenticate, in each case in accordance with </w:t>
      </w:r>
      <w:r>
        <w:rPr>
          <w:rFonts w:ascii="Arial" w:cs="Arial" w:eastAsia="Arial" w:hAnsi="Arial"/>
          <w:sz w:val="22"/>
          <w:szCs w:val="22"/>
          <w:b w:val="1"/>
          <w:bCs w:val="1"/>
          <w:color w:val="auto"/>
        </w:rPr>
        <w:t>Section 2.02</w:t>
      </w:r>
      <w:r>
        <w:rPr>
          <w:rFonts w:ascii="Arial" w:cs="Arial" w:eastAsia="Arial" w:hAnsi="Arial"/>
          <w:sz w:val="22"/>
          <w:szCs w:val="22"/>
          <w:color w:val="auto"/>
        </w:rPr>
        <w:t>, definitive Notes in exchange for temporary Notes. Until so exchanged, each temporary Note will in all respects be entitled to the same benefits under this Indenture as definitive Notes.</w:t>
      </w:r>
    </w:p>
    <w:p>
      <w:pPr>
        <w:spacing w:after="0" w:line="95"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2.18.</w:t>
      </w:r>
      <w:r>
        <w:rPr>
          <w:sz w:val="20"/>
          <w:szCs w:val="20"/>
          <w:color w:val="auto"/>
        </w:rPr>
        <w:tab/>
      </w:r>
      <w:r>
        <w:rPr>
          <w:rFonts w:ascii="Arial" w:cs="Arial" w:eastAsia="Arial" w:hAnsi="Arial"/>
          <w:sz w:val="21"/>
          <w:szCs w:val="21"/>
          <w:b w:val="1"/>
          <w:bCs w:val="1"/>
          <w:color w:val="auto"/>
        </w:rPr>
        <w:t>OUTSTANDING NOTES.</w:t>
      </w:r>
    </w:p>
    <w:p>
      <w:pPr>
        <w:spacing w:after="0" w:line="158" w:lineRule="exact"/>
        <w:rPr>
          <w:sz w:val="20"/>
          <w:szCs w:val="20"/>
          <w:color w:val="auto"/>
        </w:rPr>
      </w:pPr>
    </w:p>
    <w:p>
      <w:pPr>
        <w:jc w:val="both"/>
        <w:ind w:firstLine="656"/>
        <w:spacing w:after="0" w:line="264" w:lineRule="auto"/>
        <w:tabs>
          <w:tab w:leader="none" w:pos="1128"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Generally</w:t>
      </w:r>
      <w:r>
        <w:rPr>
          <w:rFonts w:ascii="Arial" w:cs="Arial" w:eastAsia="Arial" w:hAnsi="Arial"/>
          <w:sz w:val="21"/>
          <w:szCs w:val="21"/>
          <w:color w:val="auto"/>
        </w:rPr>
        <w:t>. The Notes that are outstanding at any time will be deemed to be those Notes that, at such time, have been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duly executed and authenticated, excluding those Notes (or portions thereof) that have theretofore been (i) cancelled by the Trustee or delivered to the Trustee for cancellation in accordance with </w:t>
      </w:r>
      <w:r>
        <w:rPr>
          <w:rFonts w:ascii="Arial" w:cs="Arial" w:eastAsia="Arial" w:hAnsi="Arial"/>
          <w:sz w:val="21"/>
          <w:szCs w:val="21"/>
          <w:b w:val="1"/>
          <w:bCs w:val="1"/>
          <w:color w:val="auto"/>
        </w:rPr>
        <w:t>Section 2.15</w:t>
      </w:r>
      <w:r>
        <w:rPr>
          <w:rFonts w:ascii="Arial" w:cs="Arial" w:eastAsia="Arial" w:hAnsi="Arial"/>
          <w:sz w:val="21"/>
          <w:szCs w:val="21"/>
          <w:color w:val="auto"/>
        </w:rPr>
        <w:t xml:space="preserve">; (ii) assigned a principal amount of zero by notation on the “Schedule of Exchanges of Interests in the Global Note” forming part of any a Global Note representing such Note; (iii) paid in full (including upon conversion) in accordance with this Indenture; or (iv) deemed to cease to be outstanding to the extent provided in, and subject to, </w:t>
      </w:r>
      <w:r>
        <w:rPr>
          <w:rFonts w:ascii="Arial" w:cs="Arial" w:eastAsia="Arial" w:hAnsi="Arial"/>
          <w:sz w:val="21"/>
          <w:szCs w:val="21"/>
          <w:b w:val="1"/>
          <w:bCs w:val="1"/>
          <w:color w:val="auto"/>
        </w:rPr>
        <w:t>clause (B)</w:t>
      </w:r>
      <w:r>
        <w:rPr>
          <w:rFonts w:ascii="Arial" w:cs="Arial" w:eastAsia="Arial" w:hAnsi="Arial"/>
          <w:sz w:val="21"/>
          <w:szCs w:val="21"/>
          <w:color w:val="auto"/>
        </w:rPr>
        <w:t xml:space="preserve">, </w:t>
      </w:r>
      <w:r>
        <w:rPr>
          <w:rFonts w:ascii="Arial" w:cs="Arial" w:eastAsia="Arial" w:hAnsi="Arial"/>
          <w:sz w:val="21"/>
          <w:szCs w:val="21"/>
          <w:b w:val="1"/>
          <w:bCs w:val="1"/>
          <w:color w:val="auto"/>
        </w:rPr>
        <w:t>(C)</w:t>
      </w:r>
      <w:r>
        <w:rPr>
          <w:rFonts w:ascii="Arial" w:cs="Arial" w:eastAsia="Arial" w:hAnsi="Arial"/>
          <w:sz w:val="21"/>
          <w:szCs w:val="21"/>
          <w:color w:val="auto"/>
        </w:rPr>
        <w:t xml:space="preserve"> or </w:t>
      </w:r>
      <w:r>
        <w:rPr>
          <w:rFonts w:ascii="Arial" w:cs="Arial" w:eastAsia="Arial" w:hAnsi="Arial"/>
          <w:sz w:val="21"/>
          <w:szCs w:val="21"/>
          <w:b w:val="1"/>
          <w:bCs w:val="1"/>
          <w:color w:val="auto"/>
        </w:rPr>
        <w:t>(D)</w:t>
      </w:r>
      <w:r>
        <w:rPr>
          <w:rFonts w:ascii="Arial" w:cs="Arial" w:eastAsia="Arial" w:hAnsi="Arial"/>
          <w:sz w:val="21"/>
          <w:szCs w:val="21"/>
          <w:color w:val="auto"/>
        </w:rPr>
        <w:t xml:space="preserve"> of this </w:t>
      </w:r>
      <w:r>
        <w:rPr>
          <w:rFonts w:ascii="Arial" w:cs="Arial" w:eastAsia="Arial" w:hAnsi="Arial"/>
          <w:sz w:val="21"/>
          <w:szCs w:val="21"/>
          <w:b w:val="1"/>
          <w:bCs w:val="1"/>
          <w:color w:val="auto"/>
        </w:rPr>
        <w:t>Section 2.18</w:t>
      </w:r>
      <w:r>
        <w:rPr>
          <w:rFonts w:ascii="Arial" w:cs="Arial" w:eastAsia="Arial" w:hAnsi="Arial"/>
          <w:sz w:val="21"/>
          <w:szCs w:val="21"/>
          <w:color w:val="auto"/>
        </w:rPr>
        <w:t>.</w:t>
      </w:r>
    </w:p>
    <w:p>
      <w:pPr>
        <w:spacing w:after="0" w:line="87" w:lineRule="exact"/>
        <w:rPr>
          <w:rFonts w:ascii="Arial" w:cs="Arial" w:eastAsia="Arial" w:hAnsi="Arial"/>
          <w:sz w:val="21"/>
          <w:szCs w:val="21"/>
          <w:color w:val="auto"/>
        </w:rPr>
      </w:pPr>
    </w:p>
    <w:p>
      <w:pPr>
        <w:jc w:val="both"/>
        <w:ind w:firstLine="656"/>
        <w:spacing w:after="0" w:line="262" w:lineRule="auto"/>
        <w:tabs>
          <w:tab w:leader="none" w:pos="117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Replaced Notes</w:t>
      </w:r>
      <w:r>
        <w:rPr>
          <w:rFonts w:ascii="Arial" w:cs="Arial" w:eastAsia="Arial" w:hAnsi="Arial"/>
          <w:sz w:val="22"/>
          <w:szCs w:val="22"/>
          <w:color w:val="auto"/>
        </w:rPr>
        <w:t>. If a Note is replaced pursuant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2.13</w:t>
      </w:r>
      <w:r>
        <w:rPr>
          <w:rFonts w:ascii="Arial" w:cs="Arial" w:eastAsia="Arial" w:hAnsi="Arial"/>
          <w:sz w:val="22"/>
          <w:szCs w:val="22"/>
          <w:color w:val="auto"/>
        </w:rPr>
        <w:t>, then such Note will cease to be outstanding at the</w:t>
      </w:r>
      <w:r>
        <w:rPr>
          <w:rFonts w:ascii="Arial" w:cs="Arial" w:eastAsia="Arial" w:hAnsi="Arial"/>
          <w:sz w:val="22"/>
          <w:szCs w:val="22"/>
          <w:i w:val="1"/>
          <w:iCs w:val="1"/>
          <w:color w:val="auto"/>
        </w:rPr>
        <w:t xml:space="preserve"> </w:t>
      </w:r>
      <w:r>
        <w:rPr>
          <w:rFonts w:ascii="Arial" w:cs="Arial" w:eastAsia="Arial" w:hAnsi="Arial"/>
          <w:sz w:val="22"/>
          <w:szCs w:val="22"/>
          <w:color w:val="auto"/>
        </w:rPr>
        <w:t>time of its replacement, unless the Trustee and the Company receive proof reasonably satisfactory to them that such Note is held by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purchaser” under applicable law.</w:t>
      </w:r>
    </w:p>
    <w:p>
      <w:pPr>
        <w:spacing w:after="0" w:line="95" w:lineRule="exact"/>
        <w:rPr>
          <w:rFonts w:ascii="Arial" w:cs="Arial" w:eastAsia="Arial" w:hAnsi="Arial"/>
          <w:sz w:val="22"/>
          <w:szCs w:val="22"/>
          <w:color w:val="auto"/>
        </w:rPr>
      </w:pPr>
    </w:p>
    <w:p>
      <w:pPr>
        <w:jc w:val="both"/>
        <w:ind w:firstLine="656"/>
        <w:spacing w:after="0" w:line="288" w:lineRule="auto"/>
        <w:tabs>
          <w:tab w:leader="none" w:pos="1332"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Maturing Notes and Notes Called for Redemption or Subject to Repurchase</w:t>
      </w:r>
      <w:r>
        <w:rPr>
          <w:rFonts w:ascii="Arial" w:cs="Arial" w:eastAsia="Arial" w:hAnsi="Arial"/>
          <w:sz w:val="19"/>
          <w:szCs w:val="19"/>
          <w:color w:val="auto"/>
        </w:rPr>
        <w:t>. If, on a Redemption Date,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and interest will cease to accrue on such Notes, except to the extent provided in </w:t>
      </w:r>
      <w:r>
        <w:rPr>
          <w:rFonts w:ascii="Arial" w:cs="Arial" w:eastAsia="Arial" w:hAnsi="Arial"/>
          <w:sz w:val="19"/>
          <w:szCs w:val="19"/>
          <w:b w:val="1"/>
          <w:bCs w:val="1"/>
          <w:color w:val="auto"/>
        </w:rPr>
        <w:t>Sections 4.02(D)</w:t>
      </w:r>
      <w:r>
        <w:rPr>
          <w:rFonts w:ascii="Arial" w:cs="Arial" w:eastAsia="Arial" w:hAnsi="Arial"/>
          <w:sz w:val="19"/>
          <w:szCs w:val="19"/>
          <w:color w:val="auto"/>
        </w:rPr>
        <w:t xml:space="preserve">, </w:t>
      </w:r>
      <w:r>
        <w:rPr>
          <w:rFonts w:ascii="Arial" w:cs="Arial" w:eastAsia="Arial" w:hAnsi="Arial"/>
          <w:sz w:val="19"/>
          <w:szCs w:val="19"/>
          <w:b w:val="1"/>
          <w:bCs w:val="1"/>
          <w:color w:val="auto"/>
        </w:rPr>
        <w:t>4.03(E)</w:t>
      </w:r>
      <w:r>
        <w:rPr>
          <w:rFonts w:ascii="Arial" w:cs="Arial" w:eastAsia="Arial" w:hAnsi="Arial"/>
          <w:sz w:val="19"/>
          <w:szCs w:val="19"/>
          <w:color w:val="auto"/>
        </w:rPr>
        <w:t xml:space="preserve"> or </w:t>
      </w:r>
      <w:r>
        <w:rPr>
          <w:rFonts w:ascii="Arial" w:cs="Arial" w:eastAsia="Arial" w:hAnsi="Arial"/>
          <w:sz w:val="19"/>
          <w:szCs w:val="19"/>
          <w:b w:val="1"/>
          <w:bCs w:val="1"/>
          <w:color w:val="auto"/>
        </w:rPr>
        <w:t>5.02(D)</w:t>
      </w:r>
      <w:r>
        <w:rPr>
          <w:rFonts w:ascii="Arial" w:cs="Arial" w:eastAsia="Arial" w:hAnsi="Arial"/>
          <w:sz w:val="19"/>
          <w:szCs w:val="19"/>
          <w:color w:val="auto"/>
        </w:rPr>
        <w:t>; and (ii) all rights of the Holders of such Notes (or such portions thereof), as such, will terminate with respect to such</w:t>
      </w:r>
      <w:r>
        <w:rPr>
          <w:rFonts w:ascii="Arial" w:cs="Arial" w:eastAsia="Arial" w:hAnsi="Arial"/>
          <w:sz w:val="19"/>
          <w:szCs w:val="19"/>
          <w:b w:val="1"/>
          <w:bCs w:val="1"/>
          <w:color w:val="auto"/>
        </w:rPr>
        <w:t xml:space="preserve"> </w:t>
      </w:r>
      <w:r>
        <w:rPr>
          <w:rFonts w:ascii="Arial" w:cs="Arial" w:eastAsia="Arial" w:hAnsi="Arial"/>
          <w:sz w:val="19"/>
          <w:szCs w:val="19"/>
          <w:color w:val="auto"/>
        </w:rPr>
        <w:t>Notes (or such portions thereof), other than (x) the right to receive the Redemption Price, Fundamental Change Repurchase Price or principal amount, as applicable, of, and accrued and unpaid interest on, such Notes (or such portions thereof), in each case as provided in this Indenture and (y) if the Fundamental Change Repurchase Date or Redemption Date falls after a Regular Record Date but on or prior to the related Interest Payment Date, the right of the Holder of record on such Regular Record Date to receive the accrued and unpaid interest to, but excluding, the corresponding Interest Payment Date.</w:t>
      </w:r>
    </w:p>
    <w:p>
      <w:pPr>
        <w:spacing w:after="0" w:line="80" w:lineRule="exact"/>
        <w:rPr>
          <w:rFonts w:ascii="Arial" w:cs="Arial" w:eastAsia="Arial" w:hAnsi="Arial"/>
          <w:sz w:val="19"/>
          <w:szCs w:val="19"/>
          <w:color w:val="auto"/>
        </w:rPr>
      </w:pPr>
    </w:p>
    <w:p>
      <w:pPr>
        <w:jc w:val="both"/>
        <w:ind w:firstLine="656"/>
        <w:spacing w:after="0" w:line="254" w:lineRule="auto"/>
        <w:tabs>
          <w:tab w:leader="none" w:pos="1141"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Notes to Be Converted</w:t>
      </w:r>
      <w:r>
        <w:rPr>
          <w:rFonts w:ascii="Arial" w:cs="Arial" w:eastAsia="Arial" w:hAnsi="Arial"/>
          <w:sz w:val="22"/>
          <w:szCs w:val="22"/>
          <w:color w:val="auto"/>
        </w:rPr>
        <w:t>. At the Close of Business on the Conversion Date for any Note (or any portion thereof) to be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converted, such Note (or such portion) will (unless there occurs a Default in the delivery of the Conversion Consideration or interest due, pursuant to </w:t>
      </w:r>
      <w:r>
        <w:rPr>
          <w:rFonts w:ascii="Arial" w:cs="Arial" w:eastAsia="Arial" w:hAnsi="Arial"/>
          <w:sz w:val="22"/>
          <w:szCs w:val="22"/>
          <w:b w:val="1"/>
          <w:bCs w:val="1"/>
          <w:color w:val="auto"/>
        </w:rPr>
        <w:t>Section 5.03(B)</w:t>
      </w:r>
      <w:r>
        <w:rPr>
          <w:rFonts w:ascii="Arial" w:cs="Arial" w:eastAsia="Arial" w:hAnsi="Arial"/>
          <w:sz w:val="22"/>
          <w:szCs w:val="22"/>
          <w:color w:val="auto"/>
        </w:rPr>
        <w:t xml:space="preserve"> or </w:t>
      </w:r>
      <w:r>
        <w:rPr>
          <w:rFonts w:ascii="Arial" w:cs="Arial" w:eastAsia="Arial" w:hAnsi="Arial"/>
          <w:sz w:val="22"/>
          <w:szCs w:val="22"/>
          <w:b w:val="1"/>
          <w:bCs w:val="1"/>
          <w:color w:val="auto"/>
        </w:rPr>
        <w:t>Section 5.02(D)</w:t>
      </w:r>
      <w:r>
        <w:rPr>
          <w:rFonts w:ascii="Arial" w:cs="Arial" w:eastAsia="Arial" w:hAnsi="Arial"/>
          <w:sz w:val="22"/>
          <w:szCs w:val="22"/>
          <w:color w:val="auto"/>
        </w:rPr>
        <w:t xml:space="preserve">, upon such conversion) be deemed to cease to be outstanding, except to the extent provided in </w:t>
      </w:r>
      <w:r>
        <w:rPr>
          <w:rFonts w:ascii="Arial" w:cs="Arial" w:eastAsia="Arial" w:hAnsi="Arial"/>
          <w:sz w:val="22"/>
          <w:szCs w:val="22"/>
          <w:b w:val="1"/>
          <w:bCs w:val="1"/>
          <w:color w:val="auto"/>
        </w:rPr>
        <w:t>Section 5.02(D)</w:t>
      </w:r>
      <w:r>
        <w:rPr>
          <w:rFonts w:ascii="Arial" w:cs="Arial" w:eastAsia="Arial" w:hAnsi="Arial"/>
          <w:sz w:val="22"/>
          <w:szCs w:val="22"/>
          <w:color w:val="auto"/>
        </w:rPr>
        <w:t xml:space="preserve"> or </w:t>
      </w:r>
      <w:r>
        <w:rPr>
          <w:rFonts w:ascii="Arial" w:cs="Arial" w:eastAsia="Arial" w:hAnsi="Arial"/>
          <w:sz w:val="22"/>
          <w:szCs w:val="22"/>
          <w:b w:val="1"/>
          <w:bCs w:val="1"/>
          <w:color w:val="auto"/>
        </w:rPr>
        <w:t>Section 5.08</w:t>
      </w:r>
      <w:r>
        <w:rPr>
          <w:rFonts w:ascii="Arial" w:cs="Arial" w:eastAsia="Arial" w:hAnsi="Arial"/>
          <w:sz w:val="22"/>
          <w:szCs w:val="22"/>
          <w:color w:val="auto"/>
        </w:rPr>
        <w:t>.</w:t>
      </w:r>
    </w:p>
    <w:p>
      <w:pPr>
        <w:spacing w:after="0" w:line="97" w:lineRule="exact"/>
        <w:rPr>
          <w:rFonts w:ascii="Arial" w:cs="Arial" w:eastAsia="Arial" w:hAnsi="Arial"/>
          <w:sz w:val="22"/>
          <w:szCs w:val="22"/>
          <w:color w:val="auto"/>
        </w:rPr>
      </w:pPr>
    </w:p>
    <w:p>
      <w:pPr>
        <w:jc w:val="both"/>
        <w:ind w:firstLine="656"/>
        <w:spacing w:after="0" w:line="262" w:lineRule="auto"/>
        <w:tabs>
          <w:tab w:leader="none" w:pos="1144"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Cessation of Accrual of Interest</w:t>
      </w:r>
      <w:r>
        <w:rPr>
          <w:rFonts w:ascii="Arial" w:cs="Arial" w:eastAsia="Arial" w:hAnsi="Arial"/>
          <w:sz w:val="22"/>
          <w:szCs w:val="22"/>
          <w:color w:val="auto"/>
        </w:rPr>
        <w:t>. Except as provided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Sections 4.02(D)</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4.03(E)</w:t>
      </w:r>
      <w:r>
        <w:rPr>
          <w:rFonts w:ascii="Arial" w:cs="Arial" w:eastAsia="Arial" w:hAnsi="Arial"/>
          <w:sz w:val="22"/>
          <w:szCs w:val="22"/>
          <w:i w:val="1"/>
          <w:iCs w:val="1"/>
          <w:color w:val="auto"/>
        </w:rPr>
        <w:t xml:space="preserve"> </w:t>
      </w:r>
      <w:r>
        <w:rPr>
          <w:rFonts w:ascii="Arial" w:cs="Arial" w:eastAsia="Arial" w:hAnsi="Arial"/>
          <w:sz w:val="22"/>
          <w:szCs w:val="22"/>
          <w:color w:val="auto"/>
        </w:rPr>
        <w:t>or</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5.02(D)</w:t>
      </w:r>
      <w:r>
        <w:rPr>
          <w:rFonts w:ascii="Arial" w:cs="Arial" w:eastAsia="Arial" w:hAnsi="Arial"/>
          <w:sz w:val="22"/>
          <w:szCs w:val="22"/>
          <w:color w:val="auto"/>
        </w:rPr>
        <w:t>, interest will cease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accrue on each Note from, and including, the date that such Note is deemed, pursuant to this </w:t>
      </w:r>
      <w:r>
        <w:rPr>
          <w:rFonts w:ascii="Arial" w:cs="Arial" w:eastAsia="Arial" w:hAnsi="Arial"/>
          <w:sz w:val="22"/>
          <w:szCs w:val="22"/>
          <w:b w:val="1"/>
          <w:bCs w:val="1"/>
          <w:color w:val="auto"/>
        </w:rPr>
        <w:t>Section 2.18</w:t>
      </w:r>
      <w:r>
        <w:rPr>
          <w:rFonts w:ascii="Arial" w:cs="Arial" w:eastAsia="Arial" w:hAnsi="Arial"/>
          <w:sz w:val="22"/>
          <w:szCs w:val="22"/>
          <w:color w:val="auto"/>
        </w:rPr>
        <w:t>, to cease to be outstanding, unless there occurs a default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342"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auto"/>
        </w:rPr>
        <w:t>in the payment or delivery of any cash or other property due on such Note.</w:t>
      </w:r>
    </w:p>
    <w:p>
      <w:pPr>
        <w:spacing w:after="0" w:line="160"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2.19.</w:t>
      </w:r>
      <w:r>
        <w:rPr>
          <w:sz w:val="20"/>
          <w:szCs w:val="20"/>
          <w:color w:val="auto"/>
        </w:rPr>
        <w:tab/>
      </w:r>
      <w:r>
        <w:rPr>
          <w:rFonts w:ascii="Arial" w:cs="Arial" w:eastAsia="Arial" w:hAnsi="Arial"/>
          <w:sz w:val="21"/>
          <w:szCs w:val="21"/>
          <w:b w:val="1"/>
          <w:bCs w:val="1"/>
          <w:color w:val="auto"/>
        </w:rPr>
        <w:t>REPURCHASES BY THE COMPANY.</w:t>
      </w:r>
    </w:p>
    <w:p>
      <w:pPr>
        <w:spacing w:after="0" w:line="17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b w:val="1"/>
          <w:bCs w:val="1"/>
          <w:color w:val="auto"/>
        </w:rPr>
        <w:t>Sections 2.15</w:t>
      </w:r>
      <w:r>
        <w:rPr>
          <w:rFonts w:ascii="Arial" w:cs="Arial" w:eastAsia="Arial" w:hAnsi="Arial"/>
          <w:sz w:val="19"/>
          <w:szCs w:val="19"/>
          <w:color w:val="auto"/>
        </w:rPr>
        <w:t xml:space="preserve"> and </w:t>
      </w:r>
      <w:r>
        <w:rPr>
          <w:rFonts w:ascii="Arial" w:cs="Arial" w:eastAsia="Arial" w:hAnsi="Arial"/>
          <w:sz w:val="19"/>
          <w:szCs w:val="19"/>
          <w:b w:val="1"/>
          <w:bCs w:val="1"/>
          <w:color w:val="auto"/>
        </w:rPr>
        <w:t>3.08</w:t>
      </w:r>
      <w:r>
        <w:rPr>
          <w:rFonts w:ascii="Arial" w:cs="Arial" w:eastAsia="Arial" w:hAnsi="Arial"/>
          <w:sz w:val="19"/>
          <w:szCs w:val="19"/>
          <w:color w:val="auto"/>
        </w:rPr>
        <w:t>, the Company or its Subsidiaries may, from time to time, directly or indirectly repurchase Notes in the open market or otherwise, whether through private or public tender or exchange offers, cash-settled swaps or other cash-settled derivatives, without delivering prior notice to, or the consent of, Holders.</w:t>
      </w:r>
    </w:p>
    <w:p>
      <w:pPr>
        <w:spacing w:after="0" w:line="7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2.20.</w:t>
      </w:r>
      <w:r>
        <w:rPr>
          <w:sz w:val="20"/>
          <w:szCs w:val="20"/>
          <w:color w:val="auto"/>
        </w:rPr>
        <w:tab/>
      </w:r>
      <w:r>
        <w:rPr>
          <w:rFonts w:ascii="Arial" w:cs="Arial" w:eastAsia="Arial" w:hAnsi="Arial"/>
          <w:sz w:val="21"/>
          <w:szCs w:val="21"/>
          <w:b w:val="1"/>
          <w:bCs w:val="1"/>
          <w:color w:val="auto"/>
        </w:rPr>
        <w:t>CUSIP NUMBERS.</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b w:val="1"/>
          <w:bCs w:val="1"/>
          <w:color w:val="auto"/>
        </w:rPr>
        <w:t>Section 2.12</w:t>
      </w:r>
      <w:r>
        <w:rPr>
          <w:rFonts w:ascii="Arial" w:cs="Arial" w:eastAsia="Arial" w:hAnsi="Arial"/>
          <w:sz w:val="22"/>
          <w:szCs w:val="22"/>
          <w:color w:val="auto"/>
        </w:rPr>
        <w:t xml:space="preserve">, the Company may use one or more CUSIP numbers to identify any of the Notes, and, if so, the Company and the Trustee will use such CUSIP number(s) in notices to Holders;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 the Trustee makes no representation as to the correctness or accuracy of any such CUSIP number; and (ii) the effectiveness of any such notice will not be affected by any defect in, or omission of, any such CUSIP number. The Company will promptly notify the Trustee of any change in the CUSIP number(s) identifying any Notes.</w:t>
      </w:r>
    </w:p>
    <w:p>
      <w:pPr>
        <w:spacing w:after="0" w:line="132"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21"/>
          <w:szCs w:val="21"/>
          <w:b w:val="1"/>
          <w:bCs w:val="1"/>
          <w:color w:val="auto"/>
        </w:rPr>
        <w:t>COVENANTS</w:t>
      </w:r>
    </w:p>
    <w:p>
      <w:pPr>
        <w:spacing w:after="0" w:line="17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3.01.</w:t>
      </w:r>
      <w:r>
        <w:rPr>
          <w:sz w:val="20"/>
          <w:szCs w:val="20"/>
          <w:color w:val="auto"/>
        </w:rPr>
        <w:tab/>
      </w:r>
      <w:r>
        <w:rPr>
          <w:rFonts w:ascii="Arial" w:cs="Arial" w:eastAsia="Arial" w:hAnsi="Arial"/>
          <w:sz w:val="21"/>
          <w:szCs w:val="21"/>
          <w:b w:val="1"/>
          <w:bCs w:val="1"/>
          <w:color w:val="auto"/>
        </w:rPr>
        <w:t>PAYMENT ON NOTES.</w:t>
      </w:r>
    </w:p>
    <w:p>
      <w:pPr>
        <w:spacing w:after="0" w:line="185" w:lineRule="exact"/>
        <w:rPr>
          <w:sz w:val="20"/>
          <w:szCs w:val="20"/>
          <w:color w:val="auto"/>
        </w:rPr>
      </w:pPr>
    </w:p>
    <w:p>
      <w:pPr>
        <w:jc w:val="both"/>
        <w:ind w:firstLine="656"/>
        <w:spacing w:after="0" w:line="259" w:lineRule="auto"/>
        <w:tabs>
          <w:tab w:leader="none" w:pos="1128"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Generally</w:t>
      </w:r>
      <w:r>
        <w:rPr>
          <w:rFonts w:ascii="Arial" w:cs="Arial" w:eastAsia="Arial" w:hAnsi="Arial"/>
          <w:sz w:val="22"/>
          <w:szCs w:val="22"/>
          <w:color w:val="auto"/>
        </w:rPr>
        <w:t>. The Company will pay or cause to be paid all the principal of, the Fundamental Change Repurchase Price</w:t>
      </w:r>
      <w:r>
        <w:rPr>
          <w:rFonts w:ascii="Arial" w:cs="Arial" w:eastAsia="Arial" w:hAnsi="Arial"/>
          <w:sz w:val="22"/>
          <w:szCs w:val="22"/>
          <w:i w:val="1"/>
          <w:iCs w:val="1"/>
          <w:color w:val="auto"/>
        </w:rPr>
        <w:t xml:space="preserve"> </w:t>
      </w:r>
      <w:r>
        <w:rPr>
          <w:rFonts w:ascii="Arial" w:cs="Arial" w:eastAsia="Arial" w:hAnsi="Arial"/>
          <w:sz w:val="22"/>
          <w:szCs w:val="22"/>
          <w:color w:val="auto"/>
        </w:rPr>
        <w:t>and Redemption Price for, interest on, and other amounts due with respect to, the Notes on the dates and in the manner set forth in this Indenture.</w:t>
      </w:r>
    </w:p>
    <w:p>
      <w:pPr>
        <w:spacing w:after="0" w:line="126" w:lineRule="exact"/>
        <w:rPr>
          <w:rFonts w:ascii="Arial" w:cs="Arial" w:eastAsia="Arial" w:hAnsi="Arial"/>
          <w:sz w:val="22"/>
          <w:szCs w:val="22"/>
          <w:color w:val="auto"/>
        </w:rPr>
      </w:pPr>
    </w:p>
    <w:p>
      <w:pPr>
        <w:jc w:val="both"/>
        <w:ind w:firstLine="656"/>
        <w:spacing w:after="0" w:line="266" w:lineRule="auto"/>
        <w:tabs>
          <w:tab w:leader="none" w:pos="1264" w:val="left"/>
        </w:tabs>
        <w:numPr>
          <w:ilvl w:val="0"/>
          <w:numId w:val="34"/>
        </w:numPr>
        <w:rPr>
          <w:rFonts w:ascii="Arial" w:cs="Arial" w:eastAsia="Arial" w:hAnsi="Arial"/>
          <w:sz w:val="21"/>
          <w:szCs w:val="21"/>
          <w:color w:val="auto"/>
        </w:rPr>
      </w:pPr>
      <w:r>
        <w:rPr>
          <w:rFonts w:ascii="Arial" w:cs="Arial" w:eastAsia="Arial" w:hAnsi="Arial"/>
          <w:sz w:val="21"/>
          <w:szCs w:val="21"/>
          <w:i w:val="1"/>
          <w:iCs w:val="1"/>
          <w:color w:val="auto"/>
        </w:rPr>
        <w:t>Deposit of Funds</w:t>
      </w:r>
      <w:r>
        <w:rPr>
          <w:rFonts w:ascii="Arial" w:cs="Arial" w:eastAsia="Arial" w:hAnsi="Arial"/>
          <w:sz w:val="21"/>
          <w:szCs w:val="21"/>
          <w:color w:val="auto"/>
        </w:rPr>
        <w:t>. Before 11:00 A.M., New York City time, on each Redemption Date, Fundamental Change</w:t>
      </w:r>
      <w:r>
        <w:rPr>
          <w:rFonts w:ascii="Arial" w:cs="Arial" w:eastAsia="Arial" w:hAnsi="Arial"/>
          <w:sz w:val="21"/>
          <w:szCs w:val="21"/>
          <w:i w:val="1"/>
          <w:iCs w:val="1"/>
          <w:color w:val="auto"/>
        </w:rPr>
        <w:t xml:space="preserve"> </w:t>
      </w:r>
      <w:r>
        <w:rPr>
          <w:rFonts w:ascii="Arial" w:cs="Arial" w:eastAsia="Arial" w:hAnsi="Arial"/>
          <w:sz w:val="21"/>
          <w:szCs w:val="21"/>
          <w:color w:val="auto"/>
        </w:rPr>
        <w:t>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11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3.02.</w:t>
      </w:r>
      <w:r>
        <w:rPr>
          <w:sz w:val="20"/>
          <w:szCs w:val="20"/>
          <w:color w:val="auto"/>
        </w:rPr>
        <w:tab/>
      </w:r>
      <w:r>
        <w:rPr>
          <w:rFonts w:ascii="Arial" w:cs="Arial" w:eastAsia="Arial" w:hAnsi="Arial"/>
          <w:sz w:val="19"/>
          <w:szCs w:val="19"/>
          <w:color w:val="auto"/>
        </w:rPr>
        <w:t>EXCHANGE ACT REPORTS.</w:t>
      </w:r>
    </w:p>
    <w:p>
      <w:pPr>
        <w:spacing w:after="0" w:line="185" w:lineRule="exact"/>
        <w:rPr>
          <w:sz w:val="20"/>
          <w:szCs w:val="20"/>
          <w:color w:val="auto"/>
        </w:rPr>
      </w:pPr>
    </w:p>
    <w:p>
      <w:pPr>
        <w:jc w:val="both"/>
        <w:ind w:firstLine="656"/>
        <w:spacing w:after="0" w:line="260" w:lineRule="auto"/>
        <w:tabs>
          <w:tab w:leader="none" w:pos="1155"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Generally</w:t>
      </w:r>
      <w:r>
        <w:rPr>
          <w:rFonts w:ascii="Arial" w:cs="Arial" w:eastAsia="Arial" w:hAnsi="Arial"/>
          <w:sz w:val="21"/>
          <w:szCs w:val="21"/>
          <w:color w:val="auto"/>
        </w:rPr>
        <w:t>. The Company will send to the Trustee copies of all reports that the Company is required to file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SEC pursuant to Section 13(a) or 15(d) of the Exchange Act within fifteen (15) calendar days after the date that the Company is required to file the same (after giving effect to all applicable grace periods under the Exchange Act);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written request of any Holder, the Trustee will provide to such Holder a copy of any report that the Company has sent the Trustee pursuant to this </w:t>
      </w:r>
      <w:r>
        <w:rPr>
          <w:rFonts w:ascii="Arial" w:cs="Arial" w:eastAsia="Arial" w:hAnsi="Arial"/>
          <w:sz w:val="21"/>
          <w:szCs w:val="21"/>
          <w:b w:val="1"/>
          <w:bCs w:val="1"/>
          <w:color w:val="auto"/>
        </w:rPr>
        <w:t>Section 3.02(A)</w:t>
      </w:r>
      <w:r>
        <w:rPr>
          <w:rFonts w:ascii="Arial" w:cs="Arial" w:eastAsia="Arial" w:hAnsi="Arial"/>
          <w:sz w:val="21"/>
          <w:szCs w:val="21"/>
          <w:color w:val="auto"/>
        </w:rPr>
        <w:t>, other than a report that is deemed to be sent to the Trustee pursuant to the preceding sentence.</w:t>
      </w:r>
    </w:p>
    <w:p>
      <w:pPr>
        <w:spacing w:after="0" w:line="129" w:lineRule="exact"/>
        <w:rPr>
          <w:rFonts w:ascii="Arial" w:cs="Arial" w:eastAsia="Arial" w:hAnsi="Arial"/>
          <w:sz w:val="21"/>
          <w:szCs w:val="21"/>
          <w:color w:val="auto"/>
        </w:rPr>
      </w:pPr>
    </w:p>
    <w:p>
      <w:pPr>
        <w:ind w:left="1120" w:hanging="464"/>
        <w:spacing w:after="0"/>
        <w:tabs>
          <w:tab w:leader="none" w:pos="112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Trustee’s Disclaimer</w:t>
      </w:r>
      <w:r>
        <w:rPr>
          <w:rFonts w:ascii="Arial" w:cs="Arial" w:eastAsia="Arial" w:hAnsi="Arial"/>
          <w:sz w:val="22"/>
          <w:szCs w:val="22"/>
          <w:color w:val="auto"/>
        </w:rPr>
        <w:t>. The Trustee need not determine whether the Company has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348" w:right="339" w:bottom="1440" w:gutter="0" w:footer="0" w:header="0"/>
        </w:sectPr>
      </w:pPr>
    </w:p>
    <w:bookmarkStart w:id="37" w:name="page38"/>
    <w:bookmarkEnd w:id="37"/>
    <w:p>
      <w:pPr>
        <w:jc w:val="both"/>
        <w:spacing w:after="0" w:line="298" w:lineRule="auto"/>
        <w:rPr>
          <w:sz w:val="20"/>
          <w:szCs w:val="20"/>
          <w:color w:val="auto"/>
        </w:rPr>
      </w:pPr>
      <w:r>
        <w:rPr>
          <w:rFonts w:ascii="Arial" w:cs="Arial" w:eastAsia="Arial" w:hAnsi="Arial"/>
          <w:sz w:val="19"/>
          <w:szCs w:val="19"/>
          <w:color w:val="auto"/>
        </w:rPr>
        <w:t xml:space="preserve">filed any material via the EDGAR system (or such successor). The sending of reports pursuant to </w:t>
      </w:r>
      <w:r>
        <w:rPr>
          <w:rFonts w:ascii="Arial" w:cs="Arial" w:eastAsia="Arial" w:hAnsi="Arial"/>
          <w:sz w:val="19"/>
          <w:szCs w:val="19"/>
          <w:b w:val="1"/>
          <w:bCs w:val="1"/>
          <w:color w:val="auto"/>
        </w:rPr>
        <w:t>Section 3.02(A)</w:t>
      </w:r>
      <w:r>
        <w:rPr>
          <w:rFonts w:ascii="Arial" w:cs="Arial" w:eastAsia="Arial" w:hAnsi="Arial"/>
          <w:sz w:val="19"/>
          <w:szCs w:val="19"/>
          <w:color w:val="auto"/>
        </w:rPr>
        <w:t xml:space="preserve"> to the Trustee will be for informational purposes only, and the Trustee’s receipt of those reports will not be deemed to constitute constructive notice to the Trustee of any information contained, or determinable from information contained, therein (as to which the Trustee will be entitled to conclusively rely on an Officer's Certificate), including the Company’s compliance with any of its covenants under this Indenture. The Trustee will have no liability or responsibility for the filing, timeliness, or content of such reports.</w:t>
      </w:r>
    </w:p>
    <w:p>
      <w:pPr>
        <w:spacing w:after="0" w:line="88"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3.03.</w:t>
      </w:r>
      <w:r>
        <w:rPr>
          <w:sz w:val="20"/>
          <w:szCs w:val="20"/>
          <w:color w:val="auto"/>
        </w:rPr>
        <w:tab/>
      </w:r>
      <w:r>
        <w:rPr>
          <w:rFonts w:ascii="Arial" w:cs="Arial" w:eastAsia="Arial" w:hAnsi="Arial"/>
          <w:sz w:val="21"/>
          <w:szCs w:val="21"/>
          <w:b w:val="1"/>
          <w:bCs w:val="1"/>
          <w:color w:val="auto"/>
        </w:rPr>
        <w:t>RULE 144A INFORMATION.</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The Company (or its successor) will take such further action as any Holder or beneficial owner of such Notes or shares may reasonably request to enable such Holder or beneficial owner to sell such Notes or shares pursuant to Rule 144A.</w:t>
      </w:r>
    </w:p>
    <w:p>
      <w:pPr>
        <w:spacing w:after="0" w:line="9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3.04.</w:t>
        <w:tab/>
        <w:t>ADDITIONAL INTEREST.</w:t>
      </w:r>
    </w:p>
    <w:p>
      <w:pPr>
        <w:spacing w:after="0" w:line="185" w:lineRule="exact"/>
        <w:rPr>
          <w:sz w:val="20"/>
          <w:szCs w:val="20"/>
          <w:color w:val="auto"/>
        </w:rPr>
      </w:pPr>
    </w:p>
    <w:p>
      <w:pPr>
        <w:ind w:left="1140" w:hanging="484"/>
        <w:spacing w:after="0"/>
        <w:tabs>
          <w:tab w:leader="none" w:pos="114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Accrual of Additional Interest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firstLine="644"/>
        <w:spacing w:after="0" w:line="276" w:lineRule="auto"/>
        <w:tabs>
          <w:tab w:leader="none" w:pos="1759" w:val="left"/>
        </w:tabs>
        <w:numPr>
          <w:ilvl w:val="1"/>
          <w:numId w:val="36"/>
        </w:numPr>
        <w:rPr>
          <w:rFonts w:ascii="Arial" w:cs="Arial" w:eastAsia="Arial" w:hAnsi="Arial"/>
          <w:sz w:val="22"/>
          <w:szCs w:val="22"/>
          <w:color w:val="auto"/>
        </w:rPr>
      </w:pPr>
      <w:r>
        <w:rPr>
          <w:rFonts w:ascii="Arial" w:cs="Arial" w:eastAsia="Arial" w:hAnsi="Arial"/>
          <w:sz w:val="22"/>
          <w:szCs w:val="22"/>
          <w:color w:val="auto"/>
        </w:rPr>
        <w:t>If, at any time during the six (6) month period beginning on, and including, the date that is six (6) months after the Last Original Issue Date of any Note,</w:t>
      </w:r>
    </w:p>
    <w:p>
      <w:pPr>
        <w:spacing w:after="0" w:line="106" w:lineRule="exact"/>
        <w:rPr>
          <w:rFonts w:ascii="Arial" w:cs="Arial" w:eastAsia="Arial" w:hAnsi="Arial"/>
          <w:sz w:val="22"/>
          <w:szCs w:val="22"/>
          <w:color w:val="auto"/>
        </w:rPr>
      </w:pPr>
    </w:p>
    <w:p>
      <w:pPr>
        <w:jc w:val="both"/>
        <w:ind w:left="1300" w:firstLine="652"/>
        <w:spacing w:after="0" w:line="259" w:lineRule="auto"/>
        <w:tabs>
          <w:tab w:leader="none" w:pos="2528"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Company fails to timely file any report (other than Form 8-K reports) that the Company is required to file with the SEC pursuant to Section 13 or 15(d) of the Exchange Act (after giving effect to all applicable grace periods thereunder); or</w:t>
      </w:r>
    </w:p>
    <w:p>
      <w:pPr>
        <w:spacing w:after="0" w:line="126" w:lineRule="exact"/>
        <w:rPr>
          <w:rFonts w:ascii="Arial" w:cs="Arial" w:eastAsia="Arial" w:hAnsi="Arial"/>
          <w:sz w:val="22"/>
          <w:szCs w:val="22"/>
          <w:color w:val="auto"/>
        </w:rPr>
      </w:pPr>
    </w:p>
    <w:p>
      <w:pPr>
        <w:ind w:left="2380" w:hanging="428"/>
        <w:spacing w:after="0"/>
        <w:tabs>
          <w:tab w:leader="none" w:pos="2380" w:val="left"/>
        </w:tabs>
        <w:numPr>
          <w:ilvl w:val="2"/>
          <w:numId w:val="36"/>
        </w:numPr>
        <w:rPr>
          <w:rFonts w:ascii="Arial" w:cs="Arial" w:eastAsia="Arial" w:hAnsi="Arial"/>
          <w:sz w:val="22"/>
          <w:szCs w:val="22"/>
          <w:color w:val="auto"/>
        </w:rPr>
      </w:pPr>
      <w:r>
        <w:rPr>
          <w:rFonts w:ascii="Arial" w:cs="Arial" w:eastAsia="Arial" w:hAnsi="Arial"/>
          <w:sz w:val="22"/>
          <w:szCs w:val="22"/>
          <w:color w:val="auto"/>
        </w:rPr>
        <w:t>such Note is not otherwise Freely Tradable,</w:t>
      </w:r>
    </w:p>
    <w:p>
      <w:pPr>
        <w:spacing w:after="0" w:line="179"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then Additional Interest will accrue on such Note for each day during such period on which such failure is continuing or such Note is not Freely Tradable.</w:t>
      </w:r>
    </w:p>
    <w:p>
      <w:pPr>
        <w:spacing w:after="0" w:line="121" w:lineRule="exact"/>
        <w:rPr>
          <w:sz w:val="20"/>
          <w:szCs w:val="20"/>
          <w:color w:val="auto"/>
        </w:rPr>
      </w:pPr>
    </w:p>
    <w:p>
      <w:pPr>
        <w:ind w:left="660" w:right="20" w:firstLine="644"/>
        <w:spacing w:after="0" w:line="276" w:lineRule="auto"/>
        <w:tabs>
          <w:tab w:leader="none" w:pos="1765" w:val="left"/>
        </w:tabs>
        <w:numPr>
          <w:ilvl w:val="1"/>
          <w:numId w:val="37"/>
        </w:numPr>
        <w:rPr>
          <w:rFonts w:ascii="Arial" w:cs="Arial" w:eastAsia="Arial" w:hAnsi="Arial"/>
          <w:sz w:val="22"/>
          <w:szCs w:val="22"/>
          <w:color w:val="auto"/>
        </w:rPr>
      </w:pPr>
      <w:r>
        <w:rPr>
          <w:rFonts w:ascii="Arial" w:cs="Arial" w:eastAsia="Arial" w:hAnsi="Arial"/>
          <w:sz w:val="22"/>
          <w:szCs w:val="22"/>
          <w:color w:val="auto"/>
        </w:rPr>
        <w:t>In addition, Additional Interest will accrue on a Note on each day on which such Note is not Freely Tradable on or after the De-Legending Deadline Date for such Note.</w:t>
      </w:r>
    </w:p>
    <w:p>
      <w:pPr>
        <w:spacing w:after="0" w:line="100" w:lineRule="exact"/>
        <w:rPr>
          <w:rFonts w:ascii="Arial" w:cs="Arial" w:eastAsia="Arial" w:hAnsi="Arial"/>
          <w:sz w:val="22"/>
          <w:szCs w:val="22"/>
          <w:color w:val="auto"/>
        </w:rPr>
      </w:pPr>
    </w:p>
    <w:p>
      <w:pPr>
        <w:jc w:val="both"/>
        <w:ind w:firstLine="656"/>
        <w:spacing w:after="0" w:line="251" w:lineRule="auto"/>
        <w:tabs>
          <w:tab w:leader="none" w:pos="1210"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Amount and Payment of Additional Interest</w:t>
      </w:r>
      <w:r>
        <w:rPr>
          <w:rFonts w:ascii="Arial" w:cs="Arial" w:eastAsia="Arial" w:hAnsi="Arial"/>
          <w:sz w:val="22"/>
          <w:szCs w:val="22"/>
          <w:color w:val="auto"/>
        </w:rPr>
        <w:t>. Any Additional Interest that accrues on a Note pursuant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 xml:space="preserve">3.04(A) </w:t>
      </w:r>
      <w:r>
        <w:rPr>
          <w:rFonts w:ascii="Arial" w:cs="Arial" w:eastAsia="Arial" w:hAnsi="Arial"/>
          <w:sz w:val="22"/>
          <w:szCs w:val="22"/>
          <w:color w:val="auto"/>
        </w:rPr>
        <w:t>will be payable on the same dates and in the same manner as the Stated Interest on such Note and will accrue at a rate per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annum equal to one quarter of one percent (0.25%) of the principal amount thereof for the first ninety (90) days on which Additional Interest accrues and, thereafter, at a rate per annum equal to one half of one percent (0.50%) of the principal amount thereof;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no event will Additional Interest, together with any Special Interest, accrue on any day on a Note at a combined rate per annum that exceeds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342" w:right="339" w:bottom="1440" w:gutter="0" w:footer="0" w:header="0"/>
        </w:sectPr>
      </w:pPr>
    </w:p>
    <w:bookmarkStart w:id="38" w:name="page39"/>
    <w:bookmarkEnd w:id="38"/>
    <w:p>
      <w:pPr>
        <w:jc w:val="both"/>
        <w:spacing w:after="0" w:line="250" w:lineRule="auto"/>
        <w:rPr>
          <w:sz w:val="20"/>
          <w:szCs w:val="20"/>
          <w:color w:val="auto"/>
        </w:rPr>
      </w:pPr>
      <w:r>
        <w:rPr>
          <w:rFonts w:ascii="Arial" w:cs="Arial" w:eastAsia="Arial" w:hAnsi="Arial"/>
          <w:sz w:val="22"/>
          <w:szCs w:val="22"/>
          <w:color w:val="auto"/>
        </w:rPr>
        <w:t>one half of one percent (0.50%), regardless of the number of events or circumstances giving rise to the requirement to pay such Additional Interest or Special Interest.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spacing w:after="0" w:line="134" w:lineRule="exact"/>
        <w:rPr>
          <w:sz w:val="20"/>
          <w:szCs w:val="20"/>
          <w:color w:val="auto"/>
        </w:rPr>
      </w:pPr>
    </w:p>
    <w:p>
      <w:pPr>
        <w:jc w:val="both"/>
        <w:ind w:firstLine="656"/>
        <w:spacing w:after="0" w:line="262" w:lineRule="auto"/>
        <w:tabs>
          <w:tab w:leader="none" w:pos="1143" w:val="left"/>
        </w:tabs>
        <w:numPr>
          <w:ilvl w:val="0"/>
          <w:numId w:val="39"/>
        </w:numPr>
        <w:rPr>
          <w:rFonts w:ascii="Arial" w:cs="Arial" w:eastAsia="Arial" w:hAnsi="Arial"/>
          <w:sz w:val="21"/>
          <w:szCs w:val="21"/>
          <w:color w:val="auto"/>
        </w:rPr>
      </w:pPr>
      <w:r>
        <w:rPr>
          <w:rFonts w:ascii="Arial" w:cs="Arial" w:eastAsia="Arial" w:hAnsi="Arial"/>
          <w:sz w:val="21"/>
          <w:szCs w:val="21"/>
          <w:i w:val="1"/>
          <w:iCs w:val="1"/>
          <w:color w:val="auto"/>
        </w:rPr>
        <w:t>Notice of Accrual of Additional Interest; Trustee’s Disclaimer</w:t>
      </w:r>
      <w:r>
        <w:rPr>
          <w:rFonts w:ascii="Arial" w:cs="Arial" w:eastAsia="Arial" w:hAnsi="Arial"/>
          <w:sz w:val="21"/>
          <w:szCs w:val="21"/>
          <w:color w:val="auto"/>
        </w:rPr>
        <w:t>. The Company will send notice to the Holder of each</w:t>
      </w:r>
      <w:r>
        <w:rPr>
          <w:rFonts w:ascii="Arial" w:cs="Arial" w:eastAsia="Arial" w:hAnsi="Arial"/>
          <w:sz w:val="21"/>
          <w:szCs w:val="21"/>
          <w:i w:val="1"/>
          <w:iCs w:val="1"/>
          <w:color w:val="auto"/>
        </w:rPr>
        <w:t xml:space="preserve"> </w:t>
      </w:r>
      <w:r>
        <w:rPr>
          <w:rFonts w:ascii="Arial" w:cs="Arial" w:eastAsia="Arial" w:hAnsi="Arial"/>
          <w:sz w:val="21"/>
          <w:szCs w:val="21"/>
          <w:color w:val="auto"/>
        </w:rPr>
        <w:t>Note, and to the 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179" w:lineRule="exact"/>
        <w:rPr>
          <w:rFonts w:ascii="Arial" w:cs="Arial" w:eastAsia="Arial" w:hAnsi="Arial"/>
          <w:sz w:val="21"/>
          <w:szCs w:val="21"/>
          <w:color w:val="auto"/>
        </w:rPr>
      </w:pPr>
    </w:p>
    <w:p>
      <w:pPr>
        <w:ind w:right="20" w:firstLine="656"/>
        <w:spacing w:after="0" w:line="276" w:lineRule="auto"/>
        <w:tabs>
          <w:tab w:leader="none" w:pos="1236"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Exclusive Remedy</w:t>
      </w:r>
      <w:r>
        <w:rPr>
          <w:rFonts w:ascii="Arial" w:cs="Arial" w:eastAsia="Arial" w:hAnsi="Arial"/>
          <w:sz w:val="22"/>
          <w:szCs w:val="22"/>
          <w:color w:val="auto"/>
        </w:rPr>
        <w:t>. The accrual of Additional Interest will be the exclusive remedy available to Holders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failure of their Notes to become Freely Tradable.</w:t>
      </w:r>
    </w:p>
    <w:p>
      <w:pPr>
        <w:spacing w:after="0" w:line="155"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3.05.</w:t>
      </w:r>
      <w:r>
        <w:rPr>
          <w:sz w:val="20"/>
          <w:szCs w:val="20"/>
          <w:color w:val="auto"/>
        </w:rPr>
        <w:tab/>
      </w:r>
      <w:r>
        <w:rPr>
          <w:rFonts w:ascii="Arial" w:cs="Arial" w:eastAsia="Arial" w:hAnsi="Arial"/>
          <w:sz w:val="21"/>
          <w:szCs w:val="21"/>
          <w:b w:val="1"/>
          <w:bCs w:val="1"/>
          <w:color w:val="auto"/>
        </w:rPr>
        <w:t>COMPLIANCE AND DEFAULT CERTIFICATES.</w:t>
      </w:r>
    </w:p>
    <w:p>
      <w:pPr>
        <w:spacing w:after="0" w:line="239" w:lineRule="exact"/>
        <w:rPr>
          <w:sz w:val="20"/>
          <w:szCs w:val="20"/>
          <w:color w:val="auto"/>
        </w:rPr>
      </w:pPr>
    </w:p>
    <w:p>
      <w:pPr>
        <w:jc w:val="both"/>
        <w:ind w:firstLine="656"/>
        <w:spacing w:after="0" w:line="264" w:lineRule="auto"/>
        <w:tabs>
          <w:tab w:leader="none" w:pos="1141" w:val="left"/>
        </w:tabs>
        <w:numPr>
          <w:ilvl w:val="0"/>
          <w:numId w:val="40"/>
        </w:numPr>
        <w:rPr>
          <w:rFonts w:ascii="Arial" w:cs="Arial" w:eastAsia="Arial" w:hAnsi="Arial"/>
          <w:sz w:val="21"/>
          <w:szCs w:val="21"/>
          <w:color w:val="auto"/>
        </w:rPr>
      </w:pPr>
      <w:r>
        <w:rPr>
          <w:rFonts w:ascii="Arial" w:cs="Arial" w:eastAsia="Arial" w:hAnsi="Arial"/>
          <w:sz w:val="21"/>
          <w:szCs w:val="21"/>
          <w:i w:val="1"/>
          <w:iCs w:val="1"/>
          <w:color w:val="auto"/>
        </w:rPr>
        <w:t>Annual Compliance Certificate</w:t>
      </w:r>
      <w:r>
        <w:rPr>
          <w:rFonts w:ascii="Arial" w:cs="Arial" w:eastAsia="Arial" w:hAnsi="Arial"/>
          <w:sz w:val="21"/>
          <w:szCs w:val="21"/>
          <w:color w:val="auto"/>
        </w:rPr>
        <w:t>. Within one hundred and twenty (120) days after December 26, 2020 and the end of</w:t>
      </w:r>
      <w:r>
        <w:rPr>
          <w:rFonts w:ascii="Arial" w:cs="Arial" w:eastAsia="Arial" w:hAnsi="Arial"/>
          <w:sz w:val="21"/>
          <w:szCs w:val="21"/>
          <w:i w:val="1"/>
          <w:iCs w:val="1"/>
          <w:color w:val="auto"/>
        </w:rPr>
        <w:t xml:space="preserve"> </w:t>
      </w:r>
      <w:r>
        <w:rPr>
          <w:rFonts w:ascii="Arial" w:cs="Arial" w:eastAsia="Arial" w:hAnsi="Arial"/>
          <w:sz w:val="21"/>
          <w:szCs w:val="21"/>
          <w:color w:val="auto"/>
        </w:rPr>
        <w:t>each fiscal year of the Company ending thereafter,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spacing w:after="0" w:line="174" w:lineRule="exact"/>
        <w:rPr>
          <w:rFonts w:ascii="Arial" w:cs="Arial" w:eastAsia="Arial" w:hAnsi="Arial"/>
          <w:sz w:val="21"/>
          <w:szCs w:val="21"/>
          <w:color w:val="auto"/>
        </w:rPr>
      </w:pPr>
    </w:p>
    <w:p>
      <w:pPr>
        <w:jc w:val="both"/>
        <w:ind w:firstLine="656"/>
        <w:spacing w:after="0" w:line="319" w:lineRule="auto"/>
        <w:tabs>
          <w:tab w:leader="none" w:pos="1143"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Default Certificate</w:t>
      </w:r>
      <w:r>
        <w:rPr>
          <w:rFonts w:ascii="Arial" w:cs="Arial" w:eastAsia="Arial" w:hAnsi="Arial"/>
          <w:sz w:val="19"/>
          <w:szCs w:val="19"/>
          <w:color w:val="auto"/>
        </w:rPr>
        <w:t>. If a Default or Event of Default occurs, then the Company will, within thirty (30) days after an</w:t>
      </w:r>
      <w:r>
        <w:rPr>
          <w:rFonts w:ascii="Arial" w:cs="Arial" w:eastAsia="Arial" w:hAnsi="Arial"/>
          <w:sz w:val="19"/>
          <w:szCs w:val="19"/>
          <w:i w:val="1"/>
          <w:iCs w:val="1"/>
          <w:color w:val="auto"/>
        </w:rPr>
        <w:t xml:space="preserve"> </w:t>
      </w:r>
      <w:r>
        <w:rPr>
          <w:rFonts w:ascii="Arial" w:cs="Arial" w:eastAsia="Arial" w:hAnsi="Arial"/>
          <w:sz w:val="19"/>
          <w:szCs w:val="19"/>
          <w:color w:val="auto"/>
        </w:rPr>
        <w:t>Officer of the Company obtains knowledge of the occurrence of such Default or Event of Default, deliver an Officer’s Certificate to the Trustee describing the same and what action the Company is taking or proposes to take with respect thereto.</w:t>
      </w:r>
    </w:p>
    <w:p>
      <w:pPr>
        <w:spacing w:after="0" w:line="122"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3.06.</w:t>
      </w:r>
      <w:r>
        <w:rPr>
          <w:sz w:val="20"/>
          <w:szCs w:val="20"/>
          <w:color w:val="auto"/>
        </w:rPr>
        <w:tab/>
      </w:r>
      <w:r>
        <w:rPr>
          <w:rFonts w:ascii="Arial" w:cs="Arial" w:eastAsia="Arial" w:hAnsi="Arial"/>
          <w:sz w:val="21"/>
          <w:szCs w:val="21"/>
          <w:b w:val="1"/>
          <w:bCs w:val="1"/>
          <w:color w:val="auto"/>
        </w:rPr>
        <w:t>STAY, EXTENSION AND USURY LAWS.</w:t>
      </w:r>
    </w:p>
    <w:p>
      <w:pPr>
        <w:spacing w:after="0" w:line="2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348" w:right="339" w:bottom="1440" w:gutter="0" w:footer="0" w:header="0"/>
        </w:sectPr>
      </w:pPr>
    </w:p>
    <w:bookmarkStart w:id="39" w:name="page40"/>
    <w:bookmarkEnd w:id="39"/>
    <w:p>
      <w:pPr>
        <w:spacing w:after="0"/>
        <w:tabs>
          <w:tab w:leader="none" w:pos="1320" w:val="left"/>
        </w:tabs>
        <w:rPr>
          <w:sz w:val="20"/>
          <w:szCs w:val="20"/>
          <w:color w:val="auto"/>
        </w:rPr>
      </w:pPr>
      <w:r>
        <w:rPr>
          <w:rFonts w:ascii="Arial" w:cs="Arial" w:eastAsia="Arial" w:hAnsi="Arial"/>
          <w:sz w:val="22"/>
          <w:szCs w:val="22"/>
          <w:b w:val="1"/>
          <w:bCs w:val="1"/>
          <w:color w:val="auto"/>
        </w:rPr>
        <w:t>Section 3.07.</w:t>
      </w:r>
      <w:r>
        <w:rPr>
          <w:sz w:val="20"/>
          <w:szCs w:val="20"/>
          <w:color w:val="auto"/>
        </w:rPr>
        <w:tab/>
      </w:r>
      <w:r>
        <w:rPr>
          <w:rFonts w:ascii="Arial" w:cs="Arial" w:eastAsia="Arial" w:hAnsi="Arial"/>
          <w:sz w:val="21"/>
          <w:szCs w:val="21"/>
          <w:b w:val="1"/>
          <w:bCs w:val="1"/>
          <w:color w:val="auto"/>
        </w:rPr>
        <w:t>CORPORATE EXISTENCE.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b w:val="1"/>
          <w:bCs w:val="1"/>
          <w:color w:val="auto"/>
        </w:rPr>
        <w:t>Article 6</w:t>
      </w:r>
      <w:r>
        <w:rPr>
          <w:rFonts w:ascii="Arial" w:cs="Arial" w:eastAsia="Arial" w:hAnsi="Arial"/>
          <w:sz w:val="21"/>
          <w:szCs w:val="21"/>
          <w:color w:val="auto"/>
        </w:rPr>
        <w:t>, the Company will cause to preserve and keep in full force and effect its corporate existence.</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3.08.</w:t>
      </w:r>
      <w:r>
        <w:rPr>
          <w:sz w:val="20"/>
          <w:szCs w:val="20"/>
          <w:color w:val="auto"/>
        </w:rPr>
        <w:tab/>
      </w:r>
      <w:r>
        <w:rPr>
          <w:rFonts w:ascii="Arial" w:cs="Arial" w:eastAsia="Arial" w:hAnsi="Arial"/>
          <w:sz w:val="21"/>
          <w:szCs w:val="21"/>
          <w:b w:val="1"/>
          <w:bCs w:val="1"/>
          <w:color w:val="auto"/>
        </w:rPr>
        <w:t>RESTRICTION ON ACQUISITION OF NOTES BY THE COMPANY AND ITS AFFILIATES.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 will promptly deliver to the Trustee for cancellation all Notes (but excluding Notes purchased or acquired pursuant to cash-settled swaps or other derivatives that are not physically settled) that the Company or any of its Subsidiaries have purchased or otherwise acquired, and such Notes will no longer be “outstanding” under this Indenture upon their purchase or acquisition. The Company will use commercially reasonable efforts to prevent any of its controlled Affiliates from acquiring any Note (or any beneficial interest therein).</w:t>
      </w:r>
    </w:p>
    <w:p>
      <w:pPr>
        <w:spacing w:after="0" w:line="132" w:lineRule="exact"/>
        <w:rPr>
          <w:sz w:val="20"/>
          <w:szCs w:val="20"/>
          <w:color w:val="auto"/>
        </w:rPr>
      </w:pPr>
    </w:p>
    <w:p>
      <w:pPr>
        <w:ind w:left="3340"/>
        <w:spacing w:after="0"/>
        <w:tabs>
          <w:tab w:leader="none" w:pos="434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21"/>
          <w:szCs w:val="21"/>
          <w:b w:val="1"/>
          <w:bCs w:val="1"/>
          <w:color w:val="auto"/>
        </w:rPr>
        <w:t>REPURCHASE AND REDEMPTION</w:t>
      </w:r>
    </w:p>
    <w:p>
      <w:pPr>
        <w:spacing w:after="0" w:line="17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4.01.</w:t>
      </w:r>
      <w:r>
        <w:rPr>
          <w:sz w:val="20"/>
          <w:szCs w:val="20"/>
          <w:color w:val="auto"/>
        </w:rPr>
        <w:tab/>
      </w:r>
      <w:r>
        <w:rPr>
          <w:rFonts w:ascii="Arial" w:cs="Arial" w:eastAsia="Arial" w:hAnsi="Arial"/>
          <w:sz w:val="21"/>
          <w:szCs w:val="21"/>
          <w:b w:val="1"/>
          <w:bCs w:val="1"/>
          <w:color w:val="auto"/>
        </w:rPr>
        <w:t>NO SINKING FUND.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sinking fund is required to be provided for the Notes.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Section 4.02. RIGHT OF HOLDERS TO REQUIRE THE COMPANY TO REPURCHASE NOTES UPON A FUNDAMENTAL CHANGE.</w:t>
      </w:r>
    </w:p>
    <w:p>
      <w:pPr>
        <w:spacing w:after="0" w:line="100" w:lineRule="exact"/>
        <w:rPr>
          <w:sz w:val="20"/>
          <w:szCs w:val="20"/>
          <w:color w:val="auto"/>
        </w:rPr>
      </w:pPr>
    </w:p>
    <w:p>
      <w:pPr>
        <w:jc w:val="both"/>
        <w:ind w:firstLine="656"/>
        <w:spacing w:after="0" w:line="251" w:lineRule="auto"/>
        <w:tabs>
          <w:tab w:leader="none" w:pos="1168"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Right of Holders to Require the Company to Repurchase Notes Upon a Fundamental Change</w:t>
      </w:r>
      <w:r>
        <w:rPr>
          <w:rFonts w:ascii="Arial" w:cs="Arial" w:eastAsia="Arial" w:hAnsi="Arial"/>
          <w:sz w:val="22"/>
          <w:szCs w:val="22"/>
          <w:color w:val="auto"/>
        </w:rPr>
        <w:t>. Subject to the other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terms of this </w:t>
      </w:r>
      <w:r>
        <w:rPr>
          <w:rFonts w:ascii="Arial" w:cs="Arial" w:eastAsia="Arial" w:hAnsi="Arial"/>
          <w:sz w:val="22"/>
          <w:szCs w:val="22"/>
          <w:b w:val="1"/>
          <w:bCs w:val="1"/>
          <w:color w:val="auto"/>
        </w:rPr>
        <w:t>Section 4.02</w:t>
      </w:r>
      <w:r>
        <w:rPr>
          <w:rFonts w:ascii="Arial" w:cs="Arial" w:eastAsia="Arial" w:hAnsi="Arial"/>
          <w:sz w:val="22"/>
          <w:szCs w:val="22"/>
          <w:color w:val="auto"/>
        </w:rPr>
        <w:t>, if a Fundamental Change occurs, then each Holder will have the right (the “</w:t>
      </w:r>
      <w:r>
        <w:rPr>
          <w:rFonts w:ascii="Arial" w:cs="Arial" w:eastAsia="Arial" w:hAnsi="Arial"/>
          <w:sz w:val="22"/>
          <w:szCs w:val="22"/>
          <w:b w:val="1"/>
          <w:bCs w:val="1"/>
          <w:color w:val="auto"/>
        </w:rPr>
        <w:t>Fundamental Change</w:t>
      </w:r>
      <w:r>
        <w:rPr>
          <w:rFonts w:ascii="Arial" w:cs="Arial" w:eastAsia="Arial" w:hAnsi="Arial"/>
          <w:sz w:val="22"/>
          <w:szCs w:val="22"/>
          <w:color w:val="auto"/>
        </w:rPr>
        <w:t xml:space="preserve"> </w:t>
      </w:r>
      <w:r>
        <w:rPr>
          <w:rFonts w:ascii="Arial" w:cs="Arial" w:eastAsia="Arial" w:hAnsi="Arial"/>
          <w:sz w:val="22"/>
          <w:szCs w:val="22"/>
          <w:b w:val="1"/>
          <w:bCs w:val="1"/>
          <w:color w:val="auto"/>
        </w:rPr>
        <w:t>Repurchase Right</w:t>
      </w:r>
      <w:r>
        <w:rPr>
          <w:rFonts w:ascii="Arial" w:cs="Arial" w:eastAsia="Arial" w:hAnsi="Arial"/>
          <w:sz w:val="22"/>
          <w:szCs w:val="22"/>
          <w:color w:val="auto"/>
        </w:rPr>
        <w:t>”) to require the Company to repurchase such Holder’s Notes (or any portion thereof in an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Denomination) on the Fundamental Change Repurchase Date for such Fundamental Change for a cash purchase price equal to the Fundamental Change Repurchase Price.</w:t>
      </w:r>
    </w:p>
    <w:p>
      <w:pPr>
        <w:spacing w:after="0" w:line="135" w:lineRule="exact"/>
        <w:rPr>
          <w:rFonts w:ascii="Arial" w:cs="Arial" w:eastAsia="Arial" w:hAnsi="Arial"/>
          <w:sz w:val="22"/>
          <w:szCs w:val="22"/>
          <w:color w:val="auto"/>
        </w:rPr>
      </w:pPr>
    </w:p>
    <w:p>
      <w:pPr>
        <w:jc w:val="both"/>
        <w:ind w:firstLine="656"/>
        <w:spacing w:after="0" w:line="292" w:lineRule="auto"/>
        <w:tabs>
          <w:tab w:leader="none" w:pos="1237"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Repurchase Prohibited in Certain Circumstances</w:t>
      </w:r>
      <w:r>
        <w:rPr>
          <w:rFonts w:ascii="Arial" w:cs="Arial" w:eastAsia="Arial" w:hAnsi="Arial"/>
          <w:sz w:val="19"/>
          <w:szCs w:val="19"/>
          <w:color w:val="auto"/>
        </w:rPr>
        <w:t>. If the principal amount of the Notes has been accelerated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accordance with the terms of this Indenture and such acceleration has not been rescinded on or before the Fundamental Change Repurchase Date for a Repurchase Upon Fundamental Change (including rescission as a result of the payment of the related Fundamental Change Repurchase Price, and any related interest pursuant to the proviso to </w:t>
      </w:r>
      <w:r>
        <w:rPr>
          <w:rFonts w:ascii="Arial" w:cs="Arial" w:eastAsia="Arial" w:hAnsi="Arial"/>
          <w:sz w:val="19"/>
          <w:szCs w:val="19"/>
          <w:b w:val="1"/>
          <w:bCs w:val="1"/>
          <w:color w:val="auto"/>
        </w:rPr>
        <w:t>Section 4.02(D)</w:t>
      </w:r>
      <w:r>
        <w:rPr>
          <w:rFonts w:ascii="Arial" w:cs="Arial" w:eastAsia="Arial" w:hAnsi="Arial"/>
          <w:sz w:val="19"/>
          <w:szCs w:val="19"/>
          <w:color w:val="auto"/>
        </w:rPr>
        <w:t xml:space="preserve">, on such Fundamental Change Repurchase Date), then (i) the Company may not repurchase any Notes pursuant to this </w:t>
      </w:r>
      <w:r>
        <w:rPr>
          <w:rFonts w:ascii="Arial" w:cs="Arial" w:eastAsia="Arial" w:hAnsi="Arial"/>
          <w:sz w:val="19"/>
          <w:szCs w:val="19"/>
          <w:b w:val="1"/>
          <w:bCs w:val="1"/>
          <w:color w:val="auto"/>
        </w:rPr>
        <w:t>Section 4.02</w:t>
      </w:r>
      <w:r>
        <w:rPr>
          <w:rFonts w:ascii="Arial" w:cs="Arial" w:eastAsia="Arial" w:hAnsi="Arial"/>
          <w:sz w:val="19"/>
          <w:szCs w:val="19"/>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00" w:lineRule="exact"/>
        <w:rPr>
          <w:rFonts w:ascii="Arial" w:cs="Arial" w:eastAsia="Arial" w:hAnsi="Arial"/>
          <w:sz w:val="19"/>
          <w:szCs w:val="19"/>
          <w:color w:val="auto"/>
        </w:rPr>
      </w:pPr>
    </w:p>
    <w:p>
      <w:pPr>
        <w:jc w:val="both"/>
        <w:ind w:firstLine="656"/>
        <w:spacing w:after="0" w:line="270" w:lineRule="auto"/>
        <w:tabs>
          <w:tab w:leader="none" w:pos="1170" w:val="left"/>
        </w:tabs>
        <w:numPr>
          <w:ilvl w:val="0"/>
          <w:numId w:val="41"/>
        </w:numPr>
        <w:rPr>
          <w:rFonts w:ascii="Arial" w:cs="Arial" w:eastAsia="Arial" w:hAnsi="Arial"/>
          <w:sz w:val="21"/>
          <w:szCs w:val="21"/>
          <w:color w:val="auto"/>
        </w:rPr>
      </w:pPr>
      <w:r>
        <w:rPr>
          <w:rFonts w:ascii="Arial" w:cs="Arial" w:eastAsia="Arial" w:hAnsi="Arial"/>
          <w:sz w:val="21"/>
          <w:szCs w:val="21"/>
          <w:i w:val="1"/>
          <w:iCs w:val="1"/>
          <w:color w:val="auto"/>
        </w:rPr>
        <w:t>Fundamental Change Repurchase Date</w:t>
      </w:r>
      <w:r>
        <w:rPr>
          <w:rFonts w:ascii="Arial" w:cs="Arial" w:eastAsia="Arial" w:hAnsi="Arial"/>
          <w:sz w:val="21"/>
          <w:szCs w:val="21"/>
          <w:color w:val="auto"/>
        </w:rPr>
        <w:t>. The Fundamental Change Repurchase Date for any Fundamental Change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will be a Business Day of the Company’s choosing that is no more than thirty five (35), nor less than twenty (20), Business Days after the date the Company sends the related Fundamental Change Notice pursuant to </w:t>
      </w:r>
      <w:r>
        <w:rPr>
          <w:rFonts w:ascii="Arial" w:cs="Arial" w:eastAsia="Arial" w:hAnsi="Arial"/>
          <w:sz w:val="21"/>
          <w:szCs w:val="21"/>
          <w:b w:val="1"/>
          <w:bCs w:val="1"/>
          <w:color w:val="auto"/>
        </w:rPr>
        <w:t>Section 4.02(E)</w:t>
      </w:r>
      <w:r>
        <w:rPr>
          <w:rFonts w:ascii="Arial" w:cs="Arial" w:eastAsia="Arial" w:hAnsi="Arial"/>
          <w:sz w:val="21"/>
          <w:szCs w:val="21"/>
          <w:color w:val="auto"/>
        </w:rPr>
        <w:t>, subject to extension if required to comply with law as a result of a change in law adopted subsequent to May 7, 2020. For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598" w:right="339" w:bottom="1440" w:gutter="0" w:footer="0" w:header="0"/>
        </w:sectPr>
      </w:pPr>
    </w:p>
    <w:bookmarkStart w:id="40" w:name="page41"/>
    <w:bookmarkEnd w:id="40"/>
    <w:p>
      <w:pPr>
        <w:spacing w:after="0" w:line="263" w:lineRule="auto"/>
        <w:rPr>
          <w:sz w:val="20"/>
          <w:szCs w:val="20"/>
          <w:color w:val="auto"/>
        </w:rPr>
      </w:pPr>
      <w:r>
        <w:rPr>
          <w:rFonts w:ascii="Arial" w:cs="Arial" w:eastAsia="Arial" w:hAnsi="Arial"/>
          <w:sz w:val="22"/>
          <w:szCs w:val="22"/>
          <w:color w:val="auto"/>
        </w:rPr>
        <w:t>the avoidance of doubt, such date, as so extended, shall be deemed to be the Fundamental Change Repurchase Date for all purposes hereof.</w:t>
      </w:r>
    </w:p>
    <w:p>
      <w:pPr>
        <w:spacing w:after="0" w:line="121" w:lineRule="exact"/>
        <w:rPr>
          <w:sz w:val="20"/>
          <w:szCs w:val="20"/>
          <w:color w:val="auto"/>
        </w:rPr>
      </w:pPr>
    </w:p>
    <w:p>
      <w:pPr>
        <w:jc w:val="both"/>
        <w:ind w:firstLine="656"/>
        <w:spacing w:after="0" w:line="286" w:lineRule="auto"/>
        <w:tabs>
          <w:tab w:leader="none" w:pos="1128"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Fundamental Change Repurchase Price</w:t>
      </w:r>
      <w:r>
        <w:rPr>
          <w:rFonts w:ascii="Arial" w:cs="Arial" w:eastAsia="Arial" w:hAnsi="Arial"/>
          <w:sz w:val="19"/>
          <w:szCs w:val="19"/>
          <w:color w:val="auto"/>
        </w:rPr>
        <w:t>. The Fundamental Change Repurchase Price for any Note to be repurchased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2.05(C) </w:t>
      </w:r>
      <w:r>
        <w:rPr>
          <w:rFonts w:ascii="Arial" w:cs="Arial" w:eastAsia="Arial" w:hAnsi="Arial"/>
          <w:sz w:val="19"/>
          <w:szCs w:val="19"/>
          <w:color w:val="auto"/>
        </w:rPr>
        <w:t>and such Fundamental Change Repurchase Date occurs on the Business Day immediately after such Interest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 then (x) accrued and unpaid interest on Notes to, but excluding, such Interest Payment Date will be paid, in accordance with </w:t>
      </w:r>
      <w:r>
        <w:rPr>
          <w:rFonts w:ascii="Arial" w:cs="Arial" w:eastAsia="Arial" w:hAnsi="Arial"/>
          <w:sz w:val="19"/>
          <w:szCs w:val="19"/>
          <w:b w:val="1"/>
          <w:bCs w:val="1"/>
          <w:color w:val="auto"/>
        </w:rPr>
        <w:t>Section 2.05(C)</w:t>
      </w:r>
      <w:r>
        <w:rPr>
          <w:rFonts w:ascii="Arial" w:cs="Arial" w:eastAsia="Arial" w:hAnsi="Arial"/>
          <w:sz w:val="19"/>
          <w:szCs w:val="19"/>
          <w:color w:val="auto"/>
        </w:rPr>
        <w:t>, on the next Business Day to Holders as of the Close of Business on the immediately preceding Regular Record Date; and (y) the Fundamental Change Repurchase Price will include interest on Notes to be repurchased from, and including, such Interest Payment Date to, but excluding, the Fundamental Change Repurchase Date.</w:t>
      </w:r>
    </w:p>
    <w:p>
      <w:pPr>
        <w:spacing w:after="0" w:line="113" w:lineRule="exact"/>
        <w:rPr>
          <w:rFonts w:ascii="Arial" w:cs="Arial" w:eastAsia="Arial" w:hAnsi="Arial"/>
          <w:sz w:val="19"/>
          <w:szCs w:val="19"/>
          <w:color w:val="auto"/>
        </w:rPr>
      </w:pPr>
    </w:p>
    <w:p>
      <w:pPr>
        <w:jc w:val="both"/>
        <w:ind w:firstLine="656"/>
        <w:spacing w:after="0" w:line="300" w:lineRule="auto"/>
        <w:tabs>
          <w:tab w:leader="none" w:pos="1117"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Fundamental Change Notice</w:t>
      </w:r>
      <w:r>
        <w:rPr>
          <w:rFonts w:ascii="Arial" w:cs="Arial" w:eastAsia="Arial" w:hAnsi="Arial"/>
          <w:sz w:val="19"/>
          <w:szCs w:val="19"/>
          <w:color w:val="auto"/>
        </w:rPr>
        <w:t>. On or before the twentieth (20th) Business Day after the occurrence of a Fundamental</w:t>
      </w:r>
      <w:r>
        <w:rPr>
          <w:rFonts w:ascii="Arial" w:cs="Arial" w:eastAsia="Arial" w:hAnsi="Arial"/>
          <w:sz w:val="19"/>
          <w:szCs w:val="19"/>
          <w:i w:val="1"/>
          <w:iCs w:val="1"/>
          <w:color w:val="auto"/>
        </w:rPr>
        <w:t xml:space="preserve"> </w:t>
      </w:r>
      <w:r>
        <w:rPr>
          <w:rFonts w:ascii="Arial" w:cs="Arial" w:eastAsia="Arial" w:hAnsi="Arial"/>
          <w:sz w:val="19"/>
          <w:szCs w:val="19"/>
          <w:color w:val="auto"/>
        </w:rPr>
        <w:t>Change, the Company will send to each Holder, the Trustee and the Paying Agent a notice of such Fundamental Change (a “</w:t>
      </w:r>
      <w:r>
        <w:rPr>
          <w:rFonts w:ascii="Arial" w:cs="Arial" w:eastAsia="Arial" w:hAnsi="Arial"/>
          <w:sz w:val="19"/>
          <w:szCs w:val="19"/>
          <w:b w:val="1"/>
          <w:bCs w:val="1"/>
          <w:color w:val="auto"/>
        </w:rPr>
        <w:t>Fundamental Change Notice</w:t>
      </w:r>
      <w:r>
        <w:rPr>
          <w:rFonts w:ascii="Arial" w:cs="Arial" w:eastAsia="Arial" w:hAnsi="Arial"/>
          <w:sz w:val="19"/>
          <w:szCs w:val="19"/>
          <w:color w:val="auto"/>
        </w:rPr>
        <w:t>”). Substantially contemporaneously, the Company will issue a press release through such national newswire service as the Company then uses (or publish the same through such other widely disseminated public medium as the Company then uses, including its website) containing the information set forth in the Fundamental Change Notice.</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Fundamental Change Notice must state:</w:t>
      </w:r>
    </w:p>
    <w:p>
      <w:pPr>
        <w:spacing w:after="0" w:line="166" w:lineRule="exact"/>
        <w:rPr>
          <w:sz w:val="20"/>
          <w:szCs w:val="20"/>
          <w:color w:val="auto"/>
        </w:rPr>
      </w:pPr>
    </w:p>
    <w:p>
      <w:pPr>
        <w:ind w:left="1680" w:hanging="376"/>
        <w:spacing w:after="0"/>
        <w:tabs>
          <w:tab w:leader="none" w:pos="16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briefly, the events causing such Fundamental Change;</w:t>
      </w:r>
    </w:p>
    <w:p>
      <w:pPr>
        <w:spacing w:after="0" w:line="179" w:lineRule="exact"/>
        <w:rPr>
          <w:rFonts w:ascii="Arial" w:cs="Arial" w:eastAsia="Arial" w:hAnsi="Arial"/>
          <w:sz w:val="22"/>
          <w:szCs w:val="22"/>
          <w:color w:val="auto"/>
        </w:rPr>
      </w:pPr>
    </w:p>
    <w:p>
      <w:pPr>
        <w:ind w:left="1740" w:hanging="436"/>
        <w:spacing w:after="0"/>
        <w:tabs>
          <w:tab w:leader="none" w:pos="17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effective date of such Fundamental Change;</w:t>
      </w:r>
    </w:p>
    <w:p>
      <w:pPr>
        <w:spacing w:after="0" w:line="179" w:lineRule="exact"/>
        <w:rPr>
          <w:rFonts w:ascii="Arial" w:cs="Arial" w:eastAsia="Arial" w:hAnsi="Arial"/>
          <w:sz w:val="22"/>
          <w:szCs w:val="22"/>
          <w:color w:val="auto"/>
        </w:rPr>
      </w:pPr>
    </w:p>
    <w:p>
      <w:pPr>
        <w:jc w:val="both"/>
        <w:ind w:left="660" w:firstLine="644"/>
        <w:spacing w:after="0" w:line="259" w:lineRule="auto"/>
        <w:tabs>
          <w:tab w:leader="none" w:pos="1879"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the procedures that a Holder must follow to require the Company to repurchase its Notes pursuant to this </w:t>
      </w:r>
      <w:r>
        <w:rPr>
          <w:rFonts w:ascii="Arial" w:cs="Arial" w:eastAsia="Arial" w:hAnsi="Arial"/>
          <w:sz w:val="22"/>
          <w:szCs w:val="22"/>
          <w:b w:val="1"/>
          <w:bCs w:val="1"/>
          <w:color w:val="auto"/>
        </w:rPr>
        <w:t>Section 4.02</w:t>
      </w:r>
      <w:r>
        <w:rPr>
          <w:rFonts w:ascii="Arial" w:cs="Arial" w:eastAsia="Arial" w:hAnsi="Arial"/>
          <w:sz w:val="22"/>
          <w:szCs w:val="22"/>
          <w:color w:val="auto"/>
        </w:rPr>
        <w:t>, including the deadline for exercising the Fundamental Change Repurchase Right and the procedures for</w:t>
      </w:r>
      <w:r>
        <w:rPr>
          <w:rFonts w:ascii="Arial" w:cs="Arial" w:eastAsia="Arial" w:hAnsi="Arial"/>
          <w:sz w:val="22"/>
          <w:szCs w:val="22"/>
          <w:b w:val="1"/>
          <w:bCs w:val="1"/>
          <w:color w:val="auto"/>
        </w:rPr>
        <w:t xml:space="preserve"> </w:t>
      </w:r>
      <w:r>
        <w:rPr>
          <w:rFonts w:ascii="Arial" w:cs="Arial" w:eastAsia="Arial" w:hAnsi="Arial"/>
          <w:sz w:val="22"/>
          <w:szCs w:val="22"/>
          <w:color w:val="auto"/>
        </w:rPr>
        <w:t>submitting and withdrawing a Fundamental Change Repurchase Notice;</w:t>
      </w:r>
    </w:p>
    <w:p>
      <w:pPr>
        <w:spacing w:after="0" w:line="126" w:lineRule="exact"/>
        <w:rPr>
          <w:rFonts w:ascii="Arial" w:cs="Arial" w:eastAsia="Arial" w:hAnsi="Arial"/>
          <w:sz w:val="22"/>
          <w:szCs w:val="22"/>
          <w:color w:val="auto"/>
        </w:rPr>
      </w:pPr>
    </w:p>
    <w:p>
      <w:pPr>
        <w:ind w:left="1800" w:hanging="496"/>
        <w:spacing w:after="0"/>
        <w:tabs>
          <w:tab w:leader="none" w:pos="18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Fundamental Change Repurchase Date for such Fundamental Change;</w:t>
      </w:r>
    </w:p>
    <w:p>
      <w:pPr>
        <w:spacing w:after="0" w:line="179" w:lineRule="exact"/>
        <w:rPr>
          <w:rFonts w:ascii="Arial" w:cs="Arial" w:eastAsia="Arial" w:hAnsi="Arial"/>
          <w:sz w:val="22"/>
          <w:szCs w:val="22"/>
          <w:color w:val="auto"/>
        </w:rPr>
      </w:pPr>
    </w:p>
    <w:p>
      <w:pPr>
        <w:ind w:left="660" w:firstLine="644"/>
        <w:spacing w:after="0" w:line="276" w:lineRule="auto"/>
        <w:tabs>
          <w:tab w:leader="none" w:pos="1861"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Fundamental Change Repurchase Price per $1,000 principal amount of Notes for such Fundamental Change (and, if such Fundamental Change Repurchase Date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348" w:right="339" w:bottom="1440" w:gutter="0" w:footer="0" w:header="0"/>
        </w:sectPr>
      </w:pPr>
    </w:p>
    <w:bookmarkStart w:id="41" w:name="page42"/>
    <w:bookmarkEnd w:id="41"/>
    <w:p>
      <w:pPr>
        <w:ind w:left="660"/>
        <w:spacing w:after="0" w:line="263" w:lineRule="auto"/>
        <w:rPr>
          <w:sz w:val="20"/>
          <w:szCs w:val="20"/>
          <w:color w:val="auto"/>
        </w:rPr>
      </w:pPr>
      <w:r>
        <w:rPr>
          <w:rFonts w:ascii="Arial" w:cs="Arial" w:eastAsia="Arial" w:hAnsi="Arial"/>
          <w:sz w:val="22"/>
          <w:szCs w:val="22"/>
          <w:color w:val="auto"/>
        </w:rPr>
        <w:t xml:space="preserve">is after a Regular Record Date and on or before the next Interest Payment Date, the amount, manner and timing of the interest payment payable pursuant to the proviso to </w:t>
      </w:r>
      <w:r>
        <w:rPr>
          <w:rFonts w:ascii="Arial" w:cs="Arial" w:eastAsia="Arial" w:hAnsi="Arial"/>
          <w:sz w:val="22"/>
          <w:szCs w:val="22"/>
          <w:b w:val="1"/>
          <w:bCs w:val="1"/>
          <w:color w:val="auto"/>
        </w:rPr>
        <w:t>Section 4.02(D)</w:t>
      </w:r>
      <w:r>
        <w:rPr>
          <w:rFonts w:ascii="Arial" w:cs="Arial" w:eastAsia="Arial" w:hAnsi="Arial"/>
          <w:sz w:val="22"/>
          <w:szCs w:val="22"/>
          <w:color w:val="auto"/>
        </w:rPr>
        <w:t>);</w:t>
      </w:r>
    </w:p>
    <w:p>
      <w:pPr>
        <w:spacing w:after="0" w:line="175" w:lineRule="exact"/>
        <w:rPr>
          <w:sz w:val="20"/>
          <w:szCs w:val="20"/>
          <w:color w:val="auto"/>
        </w:rPr>
      </w:pPr>
    </w:p>
    <w:p>
      <w:pPr>
        <w:ind w:left="1800" w:hanging="496"/>
        <w:spacing w:after="0"/>
        <w:tabs>
          <w:tab w:leader="none" w:pos="18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name and address of the Paying Agent, Trustee and the Conversion Agent;</w:t>
      </w:r>
    </w:p>
    <w:p>
      <w:pPr>
        <w:spacing w:after="0" w:line="233" w:lineRule="exact"/>
        <w:rPr>
          <w:rFonts w:ascii="Arial" w:cs="Arial" w:eastAsia="Arial" w:hAnsi="Arial"/>
          <w:sz w:val="22"/>
          <w:szCs w:val="22"/>
          <w:color w:val="auto"/>
        </w:rPr>
      </w:pPr>
    </w:p>
    <w:p>
      <w:pPr>
        <w:jc w:val="both"/>
        <w:ind w:left="660" w:firstLine="644"/>
        <w:spacing w:after="0" w:line="259" w:lineRule="auto"/>
        <w:tabs>
          <w:tab w:leader="none" w:pos="2008"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Arial" w:cs="Arial" w:eastAsia="Arial" w:hAnsi="Arial"/>
          <w:sz w:val="22"/>
          <w:szCs w:val="22"/>
          <w:b w:val="1"/>
          <w:bCs w:val="1"/>
          <w:color w:val="auto"/>
        </w:rPr>
        <w:t>Section 5.07</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jc w:val="both"/>
        <w:ind w:left="660" w:firstLine="644"/>
        <w:spacing w:after="0" w:line="259" w:lineRule="auto"/>
        <w:tabs>
          <w:tab w:leader="none" w:pos="2055"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80" w:lineRule="exact"/>
        <w:rPr>
          <w:rFonts w:ascii="Arial" w:cs="Arial" w:eastAsia="Arial" w:hAnsi="Arial"/>
          <w:sz w:val="22"/>
          <w:szCs w:val="22"/>
          <w:color w:val="auto"/>
        </w:rPr>
      </w:pPr>
    </w:p>
    <w:p>
      <w:pPr>
        <w:jc w:val="both"/>
        <w:ind w:left="660" w:firstLine="644"/>
        <w:spacing w:after="0" w:line="259" w:lineRule="auto"/>
        <w:tabs>
          <w:tab w:leader="none" w:pos="1881"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that Notes (or any portion thereof) that are subject to a Fundamental Change Repurchase Notice that has been duly tendered may be converted only if such Fundamental Change Repurchase Notice is validly withdrawn in accordance with this Indenture; and</w:t>
      </w:r>
    </w:p>
    <w:p>
      <w:pPr>
        <w:spacing w:after="0" w:line="180" w:lineRule="exact"/>
        <w:rPr>
          <w:rFonts w:ascii="Arial" w:cs="Arial" w:eastAsia="Arial" w:hAnsi="Arial"/>
          <w:sz w:val="22"/>
          <w:szCs w:val="22"/>
          <w:color w:val="auto"/>
        </w:rPr>
      </w:pPr>
    </w:p>
    <w:p>
      <w:pPr>
        <w:ind w:left="1740" w:hanging="436"/>
        <w:spacing w:after="0"/>
        <w:tabs>
          <w:tab w:leader="none" w:pos="17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CUSIP number(s), if any, of the Notes.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226" w:lineRule="exact"/>
        <w:rPr>
          <w:sz w:val="20"/>
          <w:szCs w:val="20"/>
          <w:color w:val="auto"/>
        </w:rPr>
      </w:pPr>
    </w:p>
    <w:p>
      <w:pPr>
        <w:ind w:left="1100" w:hanging="444"/>
        <w:spacing w:after="0"/>
        <w:tabs>
          <w:tab w:leader="none" w:pos="1100"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Procedures to Exercise the Fundamental Change Repurchase Right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4"/>
        <w:spacing w:after="0" w:line="259" w:lineRule="auto"/>
        <w:tabs>
          <w:tab w:leader="none" w:pos="1921" w:val="left"/>
        </w:tabs>
        <w:numPr>
          <w:ilvl w:val="1"/>
          <w:numId w:val="45"/>
        </w:numPr>
        <w:rPr>
          <w:rFonts w:ascii="Arial" w:cs="Arial" w:eastAsia="Arial" w:hAnsi="Arial"/>
          <w:sz w:val="22"/>
          <w:szCs w:val="22"/>
          <w:color w:val="auto"/>
        </w:rPr>
      </w:pPr>
      <w:r>
        <w:rPr>
          <w:rFonts w:ascii="Arial" w:cs="Arial" w:eastAsia="Arial" w:hAnsi="Arial"/>
          <w:sz w:val="22"/>
          <w:szCs w:val="22"/>
          <w:i w:val="1"/>
          <w:iCs w:val="1"/>
          <w:color w:val="auto"/>
        </w:rPr>
        <w:t>Delivery of Fundamental Change Repurchase Notice and Notes to Be Repurchased</w:t>
      </w:r>
      <w:r>
        <w:rPr>
          <w:rFonts w:ascii="Arial" w:cs="Arial" w:eastAsia="Arial" w:hAnsi="Arial"/>
          <w:sz w:val="22"/>
          <w:szCs w:val="22"/>
          <w:color w:val="auto"/>
        </w:rPr>
        <w:t>. To exercise its</w:t>
      </w:r>
      <w:r>
        <w:rPr>
          <w:rFonts w:ascii="Arial" w:cs="Arial" w:eastAsia="Arial" w:hAnsi="Arial"/>
          <w:sz w:val="22"/>
          <w:szCs w:val="22"/>
          <w:i w:val="1"/>
          <w:iCs w:val="1"/>
          <w:color w:val="auto"/>
        </w:rPr>
        <w:t xml:space="preserve"> </w:t>
      </w:r>
      <w:r>
        <w:rPr>
          <w:rFonts w:ascii="Arial" w:cs="Arial" w:eastAsia="Arial" w:hAnsi="Arial"/>
          <w:sz w:val="22"/>
          <w:szCs w:val="22"/>
          <w:color w:val="auto"/>
        </w:rPr>
        <w:t>Fundamental Change Repurchase Right for a Note following a Fundamental Change, the Holder thereof must deliver to the Paying Agent:</w:t>
      </w:r>
    </w:p>
    <w:p>
      <w:pPr>
        <w:spacing w:after="0" w:line="180" w:lineRule="exact"/>
        <w:rPr>
          <w:rFonts w:ascii="Arial" w:cs="Arial" w:eastAsia="Arial" w:hAnsi="Arial"/>
          <w:sz w:val="22"/>
          <w:szCs w:val="22"/>
          <w:color w:val="auto"/>
        </w:rPr>
      </w:pPr>
    </w:p>
    <w:p>
      <w:pPr>
        <w:jc w:val="both"/>
        <w:ind w:left="1300" w:firstLine="652"/>
        <w:spacing w:after="0" w:line="259" w:lineRule="auto"/>
        <w:tabs>
          <w:tab w:leader="none" w:pos="2528" w:val="left"/>
        </w:tabs>
        <w:numPr>
          <w:ilvl w:val="2"/>
          <w:numId w:val="45"/>
        </w:numPr>
        <w:rPr>
          <w:rFonts w:ascii="Arial" w:cs="Arial" w:eastAsia="Arial" w:hAnsi="Arial"/>
          <w:sz w:val="22"/>
          <w:szCs w:val="22"/>
          <w:color w:val="auto"/>
        </w:rPr>
      </w:pPr>
      <w:r>
        <w:rPr>
          <w:rFonts w:ascii="Arial" w:cs="Arial" w:eastAsia="Arial" w:hAnsi="Arial"/>
          <w:sz w:val="22"/>
          <w:szCs w:val="22"/>
          <w:color w:val="auto"/>
        </w:rPr>
        <w:t>before the Close of Business on the Business Day immediately before the related Fundamental Change Repurchase Date, a duly completed, written Fundamental Change Repurchase Notice with respect to such Note; and</w:t>
      </w:r>
    </w:p>
    <w:p>
      <w:pPr>
        <w:spacing w:after="0" w:line="180" w:lineRule="exact"/>
        <w:rPr>
          <w:rFonts w:ascii="Arial" w:cs="Arial" w:eastAsia="Arial" w:hAnsi="Arial"/>
          <w:sz w:val="22"/>
          <w:szCs w:val="22"/>
          <w:color w:val="auto"/>
        </w:rPr>
      </w:pPr>
    </w:p>
    <w:p>
      <w:pPr>
        <w:ind w:left="1300" w:firstLine="652"/>
        <w:spacing w:after="0" w:line="276" w:lineRule="auto"/>
        <w:tabs>
          <w:tab w:leader="none" w:pos="2434" w:val="left"/>
        </w:tabs>
        <w:numPr>
          <w:ilvl w:val="2"/>
          <w:numId w:val="45"/>
        </w:numPr>
        <w:rPr>
          <w:rFonts w:ascii="Arial" w:cs="Arial" w:eastAsia="Arial" w:hAnsi="Arial"/>
          <w:sz w:val="22"/>
          <w:szCs w:val="22"/>
          <w:color w:val="auto"/>
        </w:rPr>
      </w:pPr>
      <w:r>
        <w:rPr>
          <w:rFonts w:ascii="Arial" w:cs="Arial" w:eastAsia="Arial" w:hAnsi="Arial"/>
          <w:sz w:val="22"/>
          <w:szCs w:val="22"/>
          <w:color w:val="auto"/>
        </w:rPr>
        <w:t>such Note, duly endorsed for transfer (if such Note is a Physical Note) or by book-entry transfer (if such Note is a Global Note).</w:t>
      </w:r>
    </w:p>
    <w:p>
      <w:pPr>
        <w:spacing w:after="0" w:line="161"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The Paying Agent will promptly deliver to the Company a copy of each Fundamental Change Repurchase Notice that it receives.</w:t>
      </w:r>
    </w:p>
    <w:p>
      <w:pPr>
        <w:spacing w:after="0" w:line="215" w:lineRule="exact"/>
        <w:rPr>
          <w:sz w:val="20"/>
          <w:szCs w:val="20"/>
          <w:color w:val="auto"/>
        </w:rPr>
      </w:pPr>
    </w:p>
    <w:p>
      <w:pPr>
        <w:ind w:left="660" w:firstLine="644"/>
        <w:spacing w:after="0" w:line="276" w:lineRule="auto"/>
        <w:tabs>
          <w:tab w:leader="none" w:pos="1806"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Contents of Fundamental Change Repurchase Notices</w:t>
      </w:r>
      <w:r>
        <w:rPr>
          <w:rFonts w:ascii="Arial" w:cs="Arial" w:eastAsia="Arial" w:hAnsi="Arial"/>
          <w:sz w:val="22"/>
          <w:szCs w:val="22"/>
          <w:color w:val="auto"/>
        </w:rPr>
        <w:t>. Each Fundamental Change Repurchase Notice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a Note must state:</w:t>
      </w:r>
    </w:p>
    <w:p>
      <w:pPr>
        <w:spacing w:after="0" w:line="160" w:lineRule="exact"/>
        <w:rPr>
          <w:rFonts w:ascii="Arial" w:cs="Arial" w:eastAsia="Arial" w:hAnsi="Arial"/>
          <w:sz w:val="22"/>
          <w:szCs w:val="22"/>
          <w:color w:val="auto"/>
        </w:rPr>
      </w:pPr>
    </w:p>
    <w:p>
      <w:pPr>
        <w:ind w:left="2380" w:hanging="428"/>
        <w:spacing w:after="0"/>
        <w:tabs>
          <w:tab w:leader="none" w:pos="23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if such Note is a Physical Note, the certificate number of such Note;</w:t>
      </w:r>
    </w:p>
    <w:p>
      <w:pPr>
        <w:spacing w:after="0" w:line="233" w:lineRule="exact"/>
        <w:rPr>
          <w:rFonts w:ascii="Arial" w:cs="Arial" w:eastAsia="Arial" w:hAnsi="Arial"/>
          <w:sz w:val="22"/>
          <w:szCs w:val="22"/>
          <w:color w:val="auto"/>
        </w:rPr>
      </w:pPr>
    </w:p>
    <w:p>
      <w:pPr>
        <w:ind w:left="2380" w:hanging="428"/>
        <w:spacing w:after="0"/>
        <w:tabs>
          <w:tab w:leader="none" w:pos="23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principal amount of such Note to be repurchased, which must be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348" w:right="339" w:bottom="1440" w:gutter="0" w:footer="0" w:header="0"/>
        </w:sectPr>
      </w:pPr>
    </w:p>
    <w:bookmarkStart w:id="42" w:name="page43"/>
    <w:bookmarkEnd w:id="42"/>
    <w:p>
      <w:pPr>
        <w:ind w:left="1292"/>
        <w:spacing w:after="0"/>
        <w:rPr>
          <w:sz w:val="20"/>
          <w:szCs w:val="20"/>
          <w:color w:val="auto"/>
        </w:rPr>
      </w:pPr>
      <w:r>
        <w:rPr>
          <w:rFonts w:ascii="Arial" w:cs="Arial" w:eastAsia="Arial" w:hAnsi="Arial"/>
          <w:sz w:val="22"/>
          <w:szCs w:val="22"/>
          <w:color w:val="auto"/>
        </w:rPr>
        <w:t>an Authorized Denomination; and</w:t>
      </w:r>
    </w:p>
    <w:p>
      <w:pPr>
        <w:spacing w:after="0" w:line="166" w:lineRule="exact"/>
        <w:rPr>
          <w:sz w:val="20"/>
          <w:szCs w:val="20"/>
          <w:color w:val="auto"/>
        </w:rPr>
      </w:pPr>
    </w:p>
    <w:p>
      <w:pPr>
        <w:ind w:left="1292" w:firstLine="652"/>
        <w:spacing w:after="0" w:line="276" w:lineRule="auto"/>
        <w:tabs>
          <w:tab w:leader="none" w:pos="2547"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that such Holder is exercising its Fundamental Change Repurchase Right with respect to such principal amount of such Note;</w:t>
      </w:r>
    </w:p>
    <w:p>
      <w:pPr>
        <w:spacing w:after="0" w:line="107" w:lineRule="exact"/>
        <w:rPr>
          <w:sz w:val="20"/>
          <w:szCs w:val="20"/>
          <w:color w:val="auto"/>
        </w:rPr>
      </w:pPr>
    </w:p>
    <w:p>
      <w:pPr>
        <w:jc w:val="both"/>
        <w:ind w:left="652"/>
        <w:spacing w:after="0" w:line="271"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if such Note is a Global Note, then such Fundamental Change Repurchase Notice must comply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with the Depositary Procedures (and any such Fundamental Change Repurchase Notice delivered in compliance with the Depositary Procedures will be deemed to satisfy the requirements of this </w:t>
      </w:r>
      <w:r>
        <w:rPr>
          <w:rFonts w:ascii="Arial" w:cs="Arial" w:eastAsia="Arial" w:hAnsi="Arial"/>
          <w:sz w:val="21"/>
          <w:szCs w:val="21"/>
          <w:b w:val="1"/>
          <w:bCs w:val="1"/>
          <w:color w:val="auto"/>
        </w:rPr>
        <w:t>Section 4.02(F)</w:t>
      </w:r>
      <w:r>
        <w:rPr>
          <w:rFonts w:ascii="Arial" w:cs="Arial" w:eastAsia="Arial" w:hAnsi="Arial"/>
          <w:sz w:val="21"/>
          <w:szCs w:val="21"/>
          <w:color w:val="auto"/>
        </w:rPr>
        <w:t>).</w:t>
      </w:r>
    </w:p>
    <w:p>
      <w:pPr>
        <w:spacing w:after="0" w:line="113" w:lineRule="exact"/>
        <w:rPr>
          <w:sz w:val="20"/>
          <w:szCs w:val="20"/>
          <w:color w:val="auto"/>
        </w:rPr>
      </w:pPr>
    </w:p>
    <w:p>
      <w:pPr>
        <w:jc w:val="both"/>
        <w:ind w:left="652" w:firstLine="644"/>
        <w:spacing w:after="0" w:line="307" w:lineRule="auto"/>
        <w:tabs>
          <w:tab w:leader="none" w:pos="1804"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Withdrawal of Fundamental Change Repurchase Notice</w:t>
      </w:r>
      <w:r>
        <w:rPr>
          <w:rFonts w:ascii="Arial" w:cs="Arial" w:eastAsia="Arial" w:hAnsi="Arial"/>
          <w:sz w:val="19"/>
          <w:szCs w:val="19"/>
          <w:color w:val="auto"/>
        </w:rPr>
        <w:t>. A Holder that has delivered a Fundamental Change</w:t>
      </w:r>
      <w:r>
        <w:rPr>
          <w:rFonts w:ascii="Arial" w:cs="Arial" w:eastAsia="Arial" w:hAnsi="Arial"/>
          <w:sz w:val="19"/>
          <w:szCs w:val="19"/>
          <w:i w:val="1"/>
          <w:iCs w:val="1"/>
          <w:color w:val="auto"/>
        </w:rPr>
        <w:t xml:space="preserve"> </w:t>
      </w:r>
      <w:r>
        <w:rPr>
          <w:rFonts w:ascii="Arial" w:cs="Arial" w:eastAsia="Arial" w:hAnsi="Arial"/>
          <w:sz w:val="19"/>
          <w:szCs w:val="19"/>
          <w:color w:val="auto"/>
        </w:rPr>
        <w:t>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83" w:lineRule="exact"/>
        <w:rPr>
          <w:rFonts w:ascii="Arial" w:cs="Arial" w:eastAsia="Arial" w:hAnsi="Arial"/>
          <w:sz w:val="19"/>
          <w:szCs w:val="19"/>
          <w:color w:val="auto"/>
        </w:rPr>
      </w:pPr>
    </w:p>
    <w:p>
      <w:pPr>
        <w:ind w:left="2372" w:hanging="428"/>
        <w:spacing w:after="0"/>
        <w:tabs>
          <w:tab w:leader="none" w:pos="23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if such Note is a Physical Note, the certificate number of such Note;</w:t>
      </w:r>
    </w:p>
    <w:p>
      <w:pPr>
        <w:spacing w:after="0" w:line="179" w:lineRule="exact"/>
        <w:rPr>
          <w:rFonts w:ascii="Arial" w:cs="Arial" w:eastAsia="Arial" w:hAnsi="Arial"/>
          <w:sz w:val="22"/>
          <w:szCs w:val="22"/>
          <w:color w:val="auto"/>
        </w:rPr>
      </w:pPr>
    </w:p>
    <w:p>
      <w:pPr>
        <w:ind w:left="2372" w:hanging="428"/>
        <w:spacing w:after="0"/>
        <w:tabs>
          <w:tab w:leader="none" w:pos="2372"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principal amount of such Note to be withdrawn, which must be an Authorized Denomination; and</w:t>
      </w:r>
    </w:p>
    <w:p>
      <w:pPr>
        <w:spacing w:after="0" w:line="213" w:lineRule="exact"/>
        <w:rPr>
          <w:rFonts w:ascii="Arial" w:cs="Arial" w:eastAsia="Arial" w:hAnsi="Arial"/>
          <w:sz w:val="19"/>
          <w:szCs w:val="19"/>
          <w:color w:val="auto"/>
        </w:rPr>
      </w:pPr>
    </w:p>
    <w:p>
      <w:pPr>
        <w:ind w:left="1292" w:right="20" w:firstLine="652"/>
        <w:spacing w:after="0" w:line="276" w:lineRule="auto"/>
        <w:tabs>
          <w:tab w:leader="none" w:pos="2574"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principal amount of such Note, if any, that remains subject to such Fundamental Change Repurchase Notice, which must be an Authorized Denomination;</w:t>
      </w:r>
    </w:p>
    <w:p>
      <w:pPr>
        <w:spacing w:after="0" w:line="107"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if such Note is a Global Note, then such withdrawal notice must comply with the Depositary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Procedures (and any such withdrawal notice delivered in compliance with the Depositary Procedures will be deemed to satisfy the requirements of this </w:t>
      </w:r>
      <w:r>
        <w:rPr>
          <w:rFonts w:ascii="Arial" w:cs="Arial" w:eastAsia="Arial" w:hAnsi="Arial"/>
          <w:sz w:val="22"/>
          <w:szCs w:val="22"/>
          <w:b w:val="1"/>
          <w:bCs w:val="1"/>
          <w:color w:val="auto"/>
        </w:rPr>
        <w:t>Section 4.02(F)</w:t>
      </w:r>
      <w:r>
        <w:rPr>
          <w:rFonts w:ascii="Arial" w:cs="Arial" w:eastAsia="Arial" w:hAnsi="Arial"/>
          <w:sz w:val="22"/>
          <w:szCs w:val="22"/>
          <w:color w:val="auto"/>
        </w:rPr>
        <w:t>).</w:t>
      </w:r>
    </w:p>
    <w:p>
      <w:pPr>
        <w:spacing w:after="0" w:line="131" w:lineRule="exact"/>
        <w:rPr>
          <w:sz w:val="20"/>
          <w:szCs w:val="20"/>
          <w:color w:val="auto"/>
        </w:rPr>
      </w:pPr>
    </w:p>
    <w:p>
      <w:pPr>
        <w:jc w:val="both"/>
        <w:ind w:left="652"/>
        <w:spacing w:after="0" w:line="260" w:lineRule="auto"/>
        <w:rPr>
          <w:sz w:val="20"/>
          <w:szCs w:val="20"/>
          <w:color w:val="auto"/>
        </w:rPr>
      </w:pPr>
      <w:r>
        <w:rPr>
          <w:rFonts w:ascii="Arial" w:cs="Arial" w:eastAsia="Arial" w:hAnsi="Arial"/>
          <w:sz w:val="21"/>
          <w:szCs w:val="21"/>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Arial" w:cs="Arial" w:eastAsia="Arial" w:hAnsi="Arial"/>
          <w:sz w:val="21"/>
          <w:szCs w:val="21"/>
          <w:b w:val="1"/>
          <w:bCs w:val="1"/>
          <w:color w:val="auto"/>
        </w:rPr>
        <w:t>Section 2.11</w:t>
      </w:r>
      <w:r>
        <w:rPr>
          <w:rFonts w:ascii="Arial" w:cs="Arial" w:eastAsia="Arial" w:hAnsi="Arial"/>
          <w:sz w:val="21"/>
          <w:szCs w:val="21"/>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26" w:lineRule="exact"/>
        <w:rPr>
          <w:sz w:val="20"/>
          <w:szCs w:val="20"/>
          <w:color w:val="auto"/>
        </w:rPr>
      </w:pPr>
    </w:p>
    <w:p>
      <w:pPr>
        <w:jc w:val="both"/>
        <w:ind w:left="-8" w:firstLine="656"/>
        <w:spacing w:after="0" w:line="290" w:lineRule="auto"/>
        <w:tabs>
          <w:tab w:leader="none" w:pos="1160" w:val="left"/>
        </w:tabs>
        <w:numPr>
          <w:ilvl w:val="1"/>
          <w:numId w:val="49"/>
        </w:numPr>
        <w:rPr>
          <w:rFonts w:ascii="Arial" w:cs="Arial" w:eastAsia="Arial" w:hAnsi="Arial"/>
          <w:sz w:val="19"/>
          <w:szCs w:val="19"/>
          <w:color w:val="auto"/>
        </w:rPr>
      </w:pPr>
      <w:r>
        <w:rPr>
          <w:rFonts w:ascii="Arial" w:cs="Arial" w:eastAsia="Arial" w:hAnsi="Arial"/>
          <w:sz w:val="19"/>
          <w:szCs w:val="19"/>
          <w:i w:val="1"/>
          <w:iCs w:val="1"/>
          <w:color w:val="auto"/>
        </w:rPr>
        <w:t>Payment of the Fundamental Change Repurchase Price</w:t>
      </w:r>
      <w:r>
        <w:rPr>
          <w:rFonts w:ascii="Arial" w:cs="Arial" w:eastAsia="Arial" w:hAnsi="Arial"/>
          <w:sz w:val="19"/>
          <w:szCs w:val="19"/>
          <w:color w:val="auto"/>
        </w:rPr>
        <w:t>. Without limiting the Company’s obligation to deposit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Fundamental Change Repurchase Price within the time proscribed by </w:t>
      </w:r>
      <w:r>
        <w:rPr>
          <w:rFonts w:ascii="Arial" w:cs="Arial" w:eastAsia="Arial" w:hAnsi="Arial"/>
          <w:sz w:val="19"/>
          <w:szCs w:val="19"/>
          <w:b w:val="1"/>
          <w:bCs w:val="1"/>
          <w:color w:val="auto"/>
        </w:rPr>
        <w:t>Section 3.01(B)</w:t>
      </w:r>
      <w:r>
        <w:rPr>
          <w:rFonts w:ascii="Arial" w:cs="Arial" w:eastAsia="Arial" w:hAnsi="Arial"/>
          <w:sz w:val="19"/>
          <w:szCs w:val="19"/>
          <w:color w:val="auto"/>
        </w:rPr>
        <w:t>,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w:t>
      </w:r>
    </w:p>
    <w:p>
      <w:pPr>
        <w:spacing w:after="0" w:line="1" w:lineRule="exact"/>
        <w:rPr>
          <w:rFonts w:ascii="Arial" w:cs="Arial" w:eastAsia="Arial" w:hAnsi="Arial"/>
          <w:sz w:val="19"/>
          <w:szCs w:val="19"/>
          <w:color w:val="auto"/>
        </w:rPr>
      </w:pPr>
    </w:p>
    <w:p>
      <w:pPr>
        <w:ind w:left="312" w:hanging="312"/>
        <w:spacing w:after="0"/>
        <w:tabs>
          <w:tab w:leader="none" w:pos="312"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such Note is delivered to the Trustee (in the case of</w:t>
      </w: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32"/>
          </w:cols>
          <w:pgMar w:left="328" w:top="348"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21"/>
          <w:szCs w:val="21"/>
          <w:color w:val="auto"/>
        </w:rPr>
        <w:t xml:space="preserve">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w:t>
      </w:r>
      <w:r>
        <w:rPr>
          <w:rFonts w:ascii="Arial" w:cs="Arial" w:eastAsia="Arial" w:hAnsi="Arial"/>
          <w:sz w:val="21"/>
          <w:szCs w:val="21"/>
          <w:b w:val="1"/>
          <w:bCs w:val="1"/>
          <w:color w:val="auto"/>
        </w:rPr>
        <w:t>Section 4.02(D)</w:t>
      </w:r>
      <w:r>
        <w:rPr>
          <w:rFonts w:ascii="Arial" w:cs="Arial" w:eastAsia="Arial" w:hAnsi="Arial"/>
          <w:sz w:val="21"/>
          <w:szCs w:val="21"/>
          <w:color w:val="auto"/>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Arial" w:cs="Arial" w:eastAsia="Arial" w:hAnsi="Arial"/>
          <w:sz w:val="21"/>
          <w:szCs w:val="21"/>
          <w:b w:val="1"/>
          <w:bCs w:val="1"/>
          <w:color w:val="auto"/>
        </w:rPr>
        <w:t>Section 4.02(G)</w:t>
      </w:r>
      <w:r>
        <w:rPr>
          <w:rFonts w:ascii="Arial" w:cs="Arial" w:eastAsia="Arial" w:hAnsi="Arial"/>
          <w:sz w:val="21"/>
          <w:szCs w:val="21"/>
          <w:color w:val="auto"/>
        </w:rPr>
        <w:t>.</w:t>
      </w:r>
    </w:p>
    <w:p>
      <w:pPr>
        <w:spacing w:after="0" w:line="121" w:lineRule="exact"/>
        <w:rPr>
          <w:sz w:val="20"/>
          <w:szCs w:val="20"/>
          <w:color w:val="auto"/>
        </w:rPr>
      </w:pPr>
    </w:p>
    <w:p>
      <w:pPr>
        <w:jc w:val="both"/>
        <w:ind w:firstLine="656"/>
        <w:spacing w:after="0" w:line="249" w:lineRule="auto"/>
        <w:tabs>
          <w:tab w:leader="none" w:pos="1195"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Third Party May Conduct Repurchase Offer In Lieu of the Company</w:t>
      </w:r>
      <w:r>
        <w:rPr>
          <w:rFonts w:ascii="Arial" w:cs="Arial" w:eastAsia="Arial" w:hAnsi="Arial"/>
          <w:sz w:val="22"/>
          <w:szCs w:val="22"/>
          <w:color w:val="auto"/>
        </w:rPr>
        <w:t>. The Company will be deemed to satisfy its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obligations to offer to repurchase, and to repurchase, the Notes pursuant to this </w:t>
      </w:r>
      <w:r>
        <w:rPr>
          <w:rFonts w:ascii="Arial" w:cs="Arial" w:eastAsia="Arial" w:hAnsi="Arial"/>
          <w:sz w:val="22"/>
          <w:szCs w:val="22"/>
          <w:b w:val="1"/>
          <w:bCs w:val="1"/>
          <w:color w:val="auto"/>
        </w:rPr>
        <w:t>Section 4.02</w:t>
      </w:r>
      <w:r>
        <w:rPr>
          <w:rFonts w:ascii="Arial" w:cs="Arial" w:eastAsia="Arial" w:hAnsi="Arial"/>
          <w:sz w:val="22"/>
          <w:szCs w:val="22"/>
          <w:color w:val="auto"/>
        </w:rPr>
        <w:t xml:space="preserve"> if a third party makes such an offer in the same manner, at the same time and otherwise in compliance with the requirements for an offer made by the Company as set forth in this </w:t>
      </w:r>
      <w:r>
        <w:rPr>
          <w:rFonts w:ascii="Arial" w:cs="Arial" w:eastAsia="Arial" w:hAnsi="Arial"/>
          <w:sz w:val="22"/>
          <w:szCs w:val="22"/>
          <w:b w:val="1"/>
          <w:bCs w:val="1"/>
          <w:color w:val="auto"/>
        </w:rPr>
        <w:t>Section 4.02</w:t>
      </w:r>
      <w:r>
        <w:rPr>
          <w:rFonts w:ascii="Arial" w:cs="Arial" w:eastAsia="Arial" w:hAnsi="Arial"/>
          <w:sz w:val="22"/>
          <w:szCs w:val="22"/>
          <w:color w:val="auto"/>
        </w:rPr>
        <w:t xml:space="preserve"> and such third party purchases all Notes properly surrendered and not validly withdrawn under its offer in the same manner, at the same time and otherwise in compliance with the requirements for an offer made by the Company as set forth in this </w:t>
      </w:r>
      <w:r>
        <w:rPr>
          <w:rFonts w:ascii="Arial" w:cs="Arial" w:eastAsia="Arial" w:hAnsi="Arial"/>
          <w:sz w:val="22"/>
          <w:szCs w:val="22"/>
          <w:b w:val="1"/>
          <w:bCs w:val="1"/>
          <w:color w:val="auto"/>
        </w:rPr>
        <w:t>Section 4.02</w:t>
      </w:r>
      <w:r>
        <w:rPr>
          <w:rFonts w:ascii="Arial" w:cs="Arial" w:eastAsia="Arial" w:hAnsi="Arial"/>
          <w:sz w:val="22"/>
          <w:szCs w:val="22"/>
          <w:color w:val="auto"/>
        </w:rPr>
        <w:t>.</w:t>
      </w:r>
    </w:p>
    <w:p>
      <w:pPr>
        <w:spacing w:after="0" w:line="139" w:lineRule="exact"/>
        <w:rPr>
          <w:rFonts w:ascii="Arial" w:cs="Arial" w:eastAsia="Arial" w:hAnsi="Arial"/>
          <w:sz w:val="22"/>
          <w:szCs w:val="22"/>
          <w:color w:val="auto"/>
        </w:rPr>
      </w:pPr>
    </w:p>
    <w:p>
      <w:pPr>
        <w:jc w:val="both"/>
        <w:ind w:firstLine="656"/>
        <w:spacing w:after="0" w:line="288" w:lineRule="auto"/>
        <w:tabs>
          <w:tab w:leader="none" w:pos="1044"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No Requirement to Conduct an Offer to Repurchase Notes if the Fundamental Change Results in the Notes Becoming Convertible into an Amount of Cash Exceeding the Fundamental Change Repurchase Price</w:t>
      </w:r>
      <w:r>
        <w:rPr>
          <w:rFonts w:ascii="Arial" w:cs="Arial" w:eastAsia="Arial" w:hAnsi="Arial"/>
          <w:sz w:val="19"/>
          <w:szCs w:val="19"/>
          <w:color w:val="auto"/>
        </w:rPr>
        <w:t>. Notwithstanding anything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contrary in this </w:t>
      </w:r>
      <w:r>
        <w:rPr>
          <w:rFonts w:ascii="Arial" w:cs="Arial" w:eastAsia="Arial" w:hAnsi="Arial"/>
          <w:sz w:val="19"/>
          <w:szCs w:val="19"/>
          <w:b w:val="1"/>
          <w:bCs w:val="1"/>
          <w:color w:val="auto"/>
        </w:rPr>
        <w:t>Section 4.02</w:t>
      </w:r>
      <w:r>
        <w:rPr>
          <w:rFonts w:ascii="Arial" w:cs="Arial" w:eastAsia="Arial" w:hAnsi="Arial"/>
          <w:sz w:val="19"/>
          <w:szCs w:val="19"/>
          <w:color w:val="auto"/>
        </w:rPr>
        <w:t xml:space="preserve">, the Company will not be required to send a Fundamental Change Notice pursuant to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4.02(E)</w:t>
      </w:r>
      <w:r>
        <w:rPr>
          <w:rFonts w:ascii="Arial" w:cs="Arial" w:eastAsia="Arial" w:hAnsi="Arial"/>
          <w:sz w:val="19"/>
          <w:szCs w:val="19"/>
          <w:color w:val="auto"/>
        </w:rPr>
        <w:t>, or offer to repurchase or repurchase any Notes pursuant to this</w:t>
      </w:r>
      <w:r>
        <w:rPr>
          <w:rFonts w:ascii="Arial" w:cs="Arial" w:eastAsia="Arial" w:hAnsi="Arial"/>
          <w:sz w:val="19"/>
          <w:szCs w:val="19"/>
          <w:b w:val="1"/>
          <w:bCs w:val="1"/>
          <w:color w:val="auto"/>
        </w:rPr>
        <w:t xml:space="preserve"> Section 4.02</w:t>
      </w:r>
      <w:r>
        <w:rPr>
          <w:rFonts w:ascii="Arial" w:cs="Arial" w:eastAsia="Arial" w:hAnsi="Arial"/>
          <w:sz w:val="19"/>
          <w:szCs w:val="19"/>
          <w:color w:val="auto"/>
        </w:rPr>
        <w:t>, in connection with a Fundamental Change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occurring pursuant to clause (B) (or pursuant to clause (A) that also constitutes a Fundamental Change occurring pursuant to clause (B)) of the definition thereof, if (i) such Fundamental Change constitutes a Common Stock Change Event whose Reference Property consists entirely of cash in U.S. dollars; (ii) immediately after such Fundamental Change, the Notes become convertible, pursuant to </w:t>
      </w:r>
      <w:r>
        <w:rPr>
          <w:rFonts w:ascii="Arial" w:cs="Arial" w:eastAsia="Arial" w:hAnsi="Arial"/>
          <w:sz w:val="19"/>
          <w:szCs w:val="19"/>
          <w:b w:val="1"/>
          <w:bCs w:val="1"/>
          <w:color w:val="auto"/>
        </w:rPr>
        <w:t>Section 5.09(A)</w:t>
      </w:r>
      <w:r>
        <w:rPr>
          <w:rFonts w:ascii="Arial" w:cs="Arial" w:eastAsia="Arial" w:hAnsi="Arial"/>
          <w:sz w:val="19"/>
          <w:szCs w:val="19"/>
          <w:color w:val="auto"/>
        </w:rPr>
        <w:t xml:space="preserve"> and, if applicable, </w:t>
      </w:r>
      <w:r>
        <w:rPr>
          <w:rFonts w:ascii="Arial" w:cs="Arial" w:eastAsia="Arial" w:hAnsi="Arial"/>
          <w:sz w:val="19"/>
          <w:szCs w:val="19"/>
          <w:b w:val="1"/>
          <w:bCs w:val="1"/>
          <w:color w:val="auto"/>
        </w:rPr>
        <w:t>Section 5.07</w:t>
      </w:r>
      <w:r>
        <w:rPr>
          <w:rFonts w:ascii="Arial" w:cs="Arial" w:eastAsia="Arial" w:hAnsi="Arial"/>
          <w:sz w:val="19"/>
          <w:szCs w:val="19"/>
          <w:color w:val="auto"/>
        </w:rPr>
        <w:t xml:space="preserve">, into consideration that consists solely of U.S. dollars in an amount per $1,000 aggregate principal amount of Notes that equals or exceeds the Fundamental Change Repurchase Price per $1,000 aggregate principal amount of Notes (calculated assuming that the same includes the maximum amount of accrued interest payable as part of the related Fundamental Change Repurchase Price); and (iii) the Company timely sends the notice relating to such Fundamental Change required pursuant to </w:t>
      </w:r>
      <w:r>
        <w:rPr>
          <w:rFonts w:ascii="Arial" w:cs="Arial" w:eastAsia="Arial" w:hAnsi="Arial"/>
          <w:sz w:val="19"/>
          <w:szCs w:val="19"/>
          <w:b w:val="1"/>
          <w:bCs w:val="1"/>
          <w:color w:val="auto"/>
        </w:rPr>
        <w:t>Section 5.01(C)(i)(3)(b)</w:t>
      </w:r>
      <w:r>
        <w:rPr>
          <w:rFonts w:ascii="Arial" w:cs="Arial" w:eastAsia="Arial" w:hAnsi="Arial"/>
          <w:sz w:val="19"/>
          <w:szCs w:val="19"/>
          <w:color w:val="auto"/>
        </w:rPr>
        <w:t>.</w:t>
      </w:r>
    </w:p>
    <w:p>
      <w:pPr>
        <w:spacing w:after="0" w:line="107" w:lineRule="exact"/>
        <w:rPr>
          <w:rFonts w:ascii="Arial" w:cs="Arial" w:eastAsia="Arial" w:hAnsi="Arial"/>
          <w:sz w:val="19"/>
          <w:szCs w:val="19"/>
          <w:color w:val="auto"/>
        </w:rPr>
      </w:pPr>
    </w:p>
    <w:p>
      <w:pPr>
        <w:jc w:val="both"/>
        <w:ind w:firstLine="656"/>
        <w:spacing w:after="0" w:line="248" w:lineRule="auto"/>
        <w:tabs>
          <w:tab w:leader="none" w:pos="1164"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Compliance with Applicable Securities Laws</w:t>
      </w:r>
      <w:r>
        <w:rPr>
          <w:rFonts w:ascii="Arial" w:cs="Arial" w:eastAsia="Arial" w:hAnsi="Arial"/>
          <w:sz w:val="22"/>
          <w:szCs w:val="22"/>
          <w:color w:val="auto"/>
        </w:rPr>
        <w:t>. To the extent applicable, the Company will comply in all material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to the extent that the Company’s obligations pursuant to this </w:t>
      </w:r>
      <w:r>
        <w:rPr>
          <w:rFonts w:ascii="Arial" w:cs="Arial" w:eastAsia="Arial" w:hAnsi="Arial"/>
          <w:sz w:val="22"/>
          <w:szCs w:val="22"/>
          <w:b w:val="1"/>
          <w:bCs w:val="1"/>
          <w:color w:val="auto"/>
        </w:rPr>
        <w:t>Section 4.02</w:t>
      </w:r>
      <w:r>
        <w:rPr>
          <w:rFonts w:ascii="Arial" w:cs="Arial" w:eastAsia="Arial" w:hAnsi="Arial"/>
          <w:sz w:val="22"/>
          <w:szCs w:val="22"/>
          <w:color w:val="auto"/>
        </w:rPr>
        <w:t xml:space="preserve"> conflict with any law or regulation that is applicable to the Company and enacted after the Issue Date, the Company’s compliance with such law or regulation will not be considered to be a default of such obligations.</w:t>
      </w:r>
    </w:p>
    <w:p>
      <w:pPr>
        <w:spacing w:after="0" w:line="135" w:lineRule="exact"/>
        <w:rPr>
          <w:rFonts w:ascii="Arial" w:cs="Arial" w:eastAsia="Arial" w:hAnsi="Arial"/>
          <w:sz w:val="22"/>
          <w:szCs w:val="22"/>
          <w:color w:val="auto"/>
        </w:rPr>
      </w:pPr>
    </w:p>
    <w:p>
      <w:pPr>
        <w:jc w:val="both"/>
        <w:ind w:firstLine="656"/>
        <w:spacing w:after="0" w:line="262" w:lineRule="auto"/>
        <w:tabs>
          <w:tab w:leader="none" w:pos="1155"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Repurchase in Part</w:t>
      </w:r>
      <w:r>
        <w:rPr>
          <w:rFonts w:ascii="Arial" w:cs="Arial" w:eastAsia="Arial" w:hAnsi="Arial"/>
          <w:sz w:val="22"/>
          <w:szCs w:val="22"/>
          <w:color w:val="auto"/>
        </w:rPr>
        <w:t>. Subject to the terms of this</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4.02</w:t>
      </w:r>
      <w:r>
        <w:rPr>
          <w:rFonts w:ascii="Arial" w:cs="Arial" w:eastAsia="Arial" w:hAnsi="Arial"/>
          <w:sz w:val="22"/>
          <w:szCs w:val="22"/>
          <w:color w:val="auto"/>
        </w:rPr>
        <w:t>, Notes may be repurchased pursuant to a Repurchase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Upon Fundamental Change in part, but only in Authorized Denominations. Provisions of this </w:t>
      </w:r>
      <w:r>
        <w:rPr>
          <w:rFonts w:ascii="Arial" w:cs="Arial" w:eastAsia="Arial" w:hAnsi="Arial"/>
          <w:sz w:val="22"/>
          <w:szCs w:val="22"/>
          <w:b w:val="1"/>
          <w:bCs w:val="1"/>
          <w:color w:val="auto"/>
        </w:rPr>
        <w:t>Section 4.02</w:t>
      </w:r>
      <w:r>
        <w:rPr>
          <w:rFonts w:ascii="Arial" w:cs="Arial" w:eastAsia="Arial" w:hAnsi="Arial"/>
          <w:sz w:val="22"/>
          <w:szCs w:val="22"/>
          <w:color w:val="auto"/>
        </w:rPr>
        <w:t xml:space="preserve"> applying to the repurchase of a Note in whole will</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348"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equally apply to the repurchase of a permitted portion of a Note.</w:t>
      </w:r>
    </w:p>
    <w:p>
      <w:pPr>
        <w:spacing w:after="0" w:line="160"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4.03.</w:t>
      </w:r>
      <w:r>
        <w:rPr>
          <w:sz w:val="20"/>
          <w:szCs w:val="20"/>
          <w:color w:val="auto"/>
        </w:rPr>
        <w:tab/>
      </w:r>
      <w:r>
        <w:rPr>
          <w:rFonts w:ascii="Arial" w:cs="Arial" w:eastAsia="Arial" w:hAnsi="Arial"/>
          <w:sz w:val="21"/>
          <w:szCs w:val="21"/>
          <w:b w:val="1"/>
          <w:bCs w:val="1"/>
          <w:color w:val="auto"/>
        </w:rPr>
        <w:t>RIGHT OF THE COMPANY TO REDEEM THE NOTES.</w:t>
      </w:r>
    </w:p>
    <w:p>
      <w:pPr>
        <w:spacing w:after="0" w:line="239" w:lineRule="exact"/>
        <w:rPr>
          <w:sz w:val="20"/>
          <w:szCs w:val="20"/>
          <w:color w:val="auto"/>
        </w:rPr>
      </w:pPr>
    </w:p>
    <w:p>
      <w:pPr>
        <w:ind w:left="1140" w:hanging="484"/>
        <w:spacing w:after="0"/>
        <w:tabs>
          <w:tab w:leader="none" w:pos="1140" w:val="left"/>
        </w:tabs>
        <w:numPr>
          <w:ilvl w:val="1"/>
          <w:numId w:val="52"/>
        </w:numPr>
        <w:rPr>
          <w:rFonts w:ascii="Arial" w:cs="Arial" w:eastAsia="Arial" w:hAnsi="Arial"/>
          <w:sz w:val="21"/>
          <w:szCs w:val="21"/>
          <w:color w:val="auto"/>
        </w:rPr>
      </w:pPr>
      <w:r>
        <w:rPr>
          <w:rFonts w:ascii="Arial" w:cs="Arial" w:eastAsia="Arial" w:hAnsi="Arial"/>
          <w:sz w:val="21"/>
          <w:szCs w:val="21"/>
          <w:i w:val="1"/>
          <w:iCs w:val="1"/>
          <w:color w:val="auto"/>
        </w:rPr>
        <w:t>No Right to Redeem Before May 22, 2023</w:t>
      </w:r>
      <w:r>
        <w:rPr>
          <w:rFonts w:ascii="Arial" w:cs="Arial" w:eastAsia="Arial" w:hAnsi="Arial"/>
          <w:sz w:val="21"/>
          <w:szCs w:val="21"/>
          <w:color w:val="auto"/>
        </w:rPr>
        <w:t>. The Company may not redeem the Notes before May 22, 2023.</w:t>
      </w:r>
    </w:p>
    <w:p>
      <w:pPr>
        <w:spacing w:after="0" w:line="238" w:lineRule="exact"/>
        <w:rPr>
          <w:rFonts w:ascii="Arial" w:cs="Arial" w:eastAsia="Arial" w:hAnsi="Arial"/>
          <w:sz w:val="21"/>
          <w:szCs w:val="21"/>
          <w:color w:val="auto"/>
        </w:rPr>
      </w:pPr>
    </w:p>
    <w:p>
      <w:pPr>
        <w:jc w:val="both"/>
        <w:ind w:firstLine="656"/>
        <w:spacing w:after="0" w:line="289" w:lineRule="auto"/>
        <w:tabs>
          <w:tab w:leader="none" w:pos="1116" w:val="left"/>
        </w:tabs>
        <w:numPr>
          <w:ilvl w:val="1"/>
          <w:numId w:val="52"/>
        </w:numPr>
        <w:rPr>
          <w:rFonts w:ascii="Arial" w:cs="Arial" w:eastAsia="Arial" w:hAnsi="Arial"/>
          <w:sz w:val="19"/>
          <w:szCs w:val="19"/>
          <w:color w:val="auto"/>
        </w:rPr>
      </w:pPr>
      <w:r>
        <w:rPr>
          <w:rFonts w:ascii="Arial" w:cs="Arial" w:eastAsia="Arial" w:hAnsi="Arial"/>
          <w:sz w:val="19"/>
          <w:szCs w:val="19"/>
          <w:i w:val="1"/>
          <w:iCs w:val="1"/>
          <w:color w:val="auto"/>
        </w:rPr>
        <w:t>Right to Redeem the Notes on or After May 22, 2023</w:t>
      </w:r>
      <w:r>
        <w:rPr>
          <w:rFonts w:ascii="Arial" w:cs="Arial" w:eastAsia="Arial" w:hAnsi="Arial"/>
          <w:sz w:val="19"/>
          <w:szCs w:val="19"/>
          <w:color w:val="auto"/>
        </w:rPr>
        <w:t>. Subject to the terms of this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4.03</w:t>
      </w:r>
      <w:r>
        <w:rPr>
          <w:rFonts w:ascii="Arial" w:cs="Arial" w:eastAsia="Arial" w:hAnsi="Arial"/>
          <w:sz w:val="19"/>
          <w:szCs w:val="19"/>
          <w:color w:val="auto"/>
        </w:rPr>
        <w:t>, the Company has the</w:t>
      </w:r>
      <w:r>
        <w:rPr>
          <w:rFonts w:ascii="Arial" w:cs="Arial" w:eastAsia="Arial" w:hAnsi="Arial"/>
          <w:sz w:val="19"/>
          <w:szCs w:val="19"/>
          <w:i w:val="1"/>
          <w:iCs w:val="1"/>
          <w:color w:val="auto"/>
        </w:rPr>
        <w:t xml:space="preserve"> </w:t>
      </w:r>
      <w:r>
        <w:rPr>
          <w:rFonts w:ascii="Arial" w:cs="Arial" w:eastAsia="Arial" w:hAnsi="Arial"/>
          <w:sz w:val="19"/>
          <w:szCs w:val="19"/>
          <w:color w:val="auto"/>
        </w:rPr>
        <w:t>right, at its election, to redeem all, or any portion in an Authorized Denomination, of the Notes, at any time and from time to time, on a Redemption Date on or after May 22, 2023 and on or before the fortieth (40th) Scheduled Trading Day immediately before the Maturity Date, for a cash purchase price equal to the Redemption Price, but only if the Last Reported Sale Price per share of Common Stock exceeds one hundred and thirty percent (130%) of the Conversion Price on (i) each of at least twenty</w:t>
      </w:r>
    </w:p>
    <w:p>
      <w:pPr>
        <w:spacing w:after="0" w:line="4" w:lineRule="exact"/>
        <w:rPr>
          <w:rFonts w:ascii="Arial" w:cs="Arial" w:eastAsia="Arial" w:hAnsi="Arial"/>
          <w:sz w:val="19"/>
          <w:szCs w:val="19"/>
          <w:color w:val="auto"/>
        </w:rPr>
      </w:pPr>
    </w:p>
    <w:p>
      <w:pPr>
        <w:jc w:val="both"/>
        <w:ind w:firstLine="8"/>
        <w:spacing w:after="0" w:line="295" w:lineRule="auto"/>
        <w:tabs>
          <w:tab w:leader="none" w:pos="434"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Trading Days (whether or not consecutive) during the thirty (30) consecutive Trading Days ending on, and including, the Trading Day immediately before the Redemption Notice Date for such Redemption; and (ii) the Trading Day immediately before such Redemption Notice Date. For the avoidance of doubt, the calling of any Notes for Redemption will constitute a Make-Whole Fundamental Change with respect to such Notes pursuant to </w:t>
      </w:r>
      <w:r>
        <w:rPr>
          <w:rFonts w:ascii="Arial" w:cs="Arial" w:eastAsia="Arial" w:hAnsi="Arial"/>
          <w:sz w:val="19"/>
          <w:szCs w:val="19"/>
          <w:b w:val="1"/>
          <w:bCs w:val="1"/>
          <w:color w:val="auto"/>
        </w:rPr>
        <w:t>clause (B)</w:t>
      </w:r>
      <w:r>
        <w:rPr>
          <w:rFonts w:ascii="Arial" w:cs="Arial" w:eastAsia="Arial" w:hAnsi="Arial"/>
          <w:sz w:val="19"/>
          <w:szCs w:val="19"/>
          <w:color w:val="auto"/>
        </w:rPr>
        <w:t xml:space="preserve"> of the definition thereof.</w:t>
      </w:r>
    </w:p>
    <w:p>
      <w:pPr>
        <w:spacing w:after="0" w:line="149" w:lineRule="exact"/>
        <w:rPr>
          <w:rFonts w:ascii="Arial" w:cs="Arial" w:eastAsia="Arial" w:hAnsi="Arial"/>
          <w:sz w:val="19"/>
          <w:szCs w:val="19"/>
          <w:color w:val="auto"/>
        </w:rPr>
      </w:pPr>
    </w:p>
    <w:p>
      <w:pPr>
        <w:jc w:val="both"/>
        <w:ind w:firstLine="656"/>
        <w:spacing w:after="0" w:line="294" w:lineRule="auto"/>
        <w:tabs>
          <w:tab w:leader="none" w:pos="1237" w:val="left"/>
        </w:tabs>
        <w:numPr>
          <w:ilvl w:val="1"/>
          <w:numId w:val="53"/>
        </w:numPr>
        <w:rPr>
          <w:rFonts w:ascii="Arial" w:cs="Arial" w:eastAsia="Arial" w:hAnsi="Arial"/>
          <w:sz w:val="19"/>
          <w:szCs w:val="19"/>
          <w:color w:val="auto"/>
        </w:rPr>
      </w:pPr>
      <w:r>
        <w:rPr>
          <w:rFonts w:ascii="Arial" w:cs="Arial" w:eastAsia="Arial" w:hAnsi="Arial"/>
          <w:sz w:val="19"/>
          <w:szCs w:val="19"/>
          <w:i w:val="1"/>
          <w:iCs w:val="1"/>
          <w:color w:val="auto"/>
        </w:rPr>
        <w:t>Redemption Prohibited in Certain Circumstances</w:t>
      </w:r>
      <w:r>
        <w:rPr>
          <w:rFonts w:ascii="Arial" w:cs="Arial" w:eastAsia="Arial" w:hAnsi="Arial"/>
          <w:sz w:val="19"/>
          <w:szCs w:val="19"/>
          <w:color w:val="auto"/>
        </w:rPr>
        <w:t>. If the principal amount of the Notes has been accelerated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accordance with the terms of this Indenture and such acceleration has not been rescinded on or before the Redemption Date (including rescission as a result of the payment of the related Redemption Price, and any related interest pursuant to the proviso to </w:t>
      </w:r>
      <w:r>
        <w:rPr>
          <w:rFonts w:ascii="Arial" w:cs="Arial" w:eastAsia="Arial" w:hAnsi="Arial"/>
          <w:sz w:val="19"/>
          <w:szCs w:val="19"/>
          <w:b w:val="1"/>
          <w:bCs w:val="1"/>
          <w:color w:val="auto"/>
        </w:rPr>
        <w:t>Section 4.03(E)</w:t>
      </w:r>
      <w:r>
        <w:rPr>
          <w:rFonts w:ascii="Arial" w:cs="Arial" w:eastAsia="Arial" w:hAnsi="Arial"/>
          <w:sz w:val="19"/>
          <w:szCs w:val="19"/>
          <w:color w:val="auto"/>
        </w:rPr>
        <w:t xml:space="preserve">, on such Redemption Date), then (i) the Company may not redeem any Notes pursuant to this </w:t>
      </w:r>
      <w:r>
        <w:rPr>
          <w:rFonts w:ascii="Arial" w:cs="Arial" w:eastAsia="Arial" w:hAnsi="Arial"/>
          <w:sz w:val="19"/>
          <w:szCs w:val="19"/>
          <w:b w:val="1"/>
          <w:bCs w:val="1"/>
          <w:color w:val="auto"/>
        </w:rPr>
        <w:t>Section 4.03</w:t>
      </w:r>
      <w:r>
        <w:rPr>
          <w:rFonts w:ascii="Arial" w:cs="Arial" w:eastAsia="Arial" w:hAnsi="Arial"/>
          <w:sz w:val="19"/>
          <w:szCs w:val="19"/>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151" w:lineRule="exact"/>
        <w:rPr>
          <w:rFonts w:ascii="Arial" w:cs="Arial" w:eastAsia="Arial" w:hAnsi="Arial"/>
          <w:sz w:val="19"/>
          <w:szCs w:val="19"/>
          <w:color w:val="auto"/>
        </w:rPr>
      </w:pPr>
    </w:p>
    <w:p>
      <w:pPr>
        <w:jc w:val="both"/>
        <w:ind w:firstLine="656"/>
        <w:spacing w:after="0" w:line="259" w:lineRule="auto"/>
        <w:tabs>
          <w:tab w:leader="none" w:pos="1195" w:val="left"/>
        </w:tabs>
        <w:numPr>
          <w:ilvl w:val="1"/>
          <w:numId w:val="53"/>
        </w:numPr>
        <w:rPr>
          <w:rFonts w:ascii="Arial" w:cs="Arial" w:eastAsia="Arial" w:hAnsi="Arial"/>
          <w:sz w:val="22"/>
          <w:szCs w:val="22"/>
          <w:color w:val="auto"/>
        </w:rPr>
      </w:pPr>
      <w:r>
        <w:rPr>
          <w:rFonts w:ascii="Arial" w:cs="Arial" w:eastAsia="Arial" w:hAnsi="Arial"/>
          <w:sz w:val="22"/>
          <w:szCs w:val="22"/>
          <w:i w:val="1"/>
          <w:iCs w:val="1"/>
          <w:color w:val="auto"/>
        </w:rPr>
        <w:t>Redemption Date</w:t>
      </w:r>
      <w:r>
        <w:rPr>
          <w:rFonts w:ascii="Arial" w:cs="Arial" w:eastAsia="Arial" w:hAnsi="Arial"/>
          <w:sz w:val="22"/>
          <w:szCs w:val="22"/>
          <w:color w:val="auto"/>
        </w:rPr>
        <w:t>. The Redemption Date for any Redemption will be a Business Day of the Company’s choosing</w:t>
      </w:r>
      <w:r>
        <w:rPr>
          <w:rFonts w:ascii="Arial" w:cs="Arial" w:eastAsia="Arial" w:hAnsi="Arial"/>
          <w:sz w:val="22"/>
          <w:szCs w:val="22"/>
          <w:i w:val="1"/>
          <w:iCs w:val="1"/>
          <w:color w:val="auto"/>
        </w:rPr>
        <w:t xml:space="preserve"> </w:t>
      </w:r>
      <w:r>
        <w:rPr>
          <w:rFonts w:ascii="Arial" w:cs="Arial" w:eastAsia="Arial" w:hAnsi="Arial"/>
          <w:sz w:val="22"/>
          <w:szCs w:val="22"/>
          <w:color w:val="auto"/>
        </w:rPr>
        <w:t>that is no more than sixty five (65), nor less than forty five (45), Scheduled Trading Days after the Redemption Notice Date for such Redemption.</w:t>
      </w:r>
    </w:p>
    <w:p>
      <w:pPr>
        <w:spacing w:after="0" w:line="180" w:lineRule="exact"/>
        <w:rPr>
          <w:rFonts w:ascii="Arial" w:cs="Arial" w:eastAsia="Arial" w:hAnsi="Arial"/>
          <w:sz w:val="22"/>
          <w:szCs w:val="22"/>
          <w:color w:val="auto"/>
        </w:rPr>
      </w:pPr>
    </w:p>
    <w:p>
      <w:pPr>
        <w:jc w:val="both"/>
        <w:ind w:firstLine="656"/>
        <w:spacing w:after="0" w:line="260" w:lineRule="auto"/>
        <w:tabs>
          <w:tab w:leader="none" w:pos="1185" w:val="left"/>
        </w:tabs>
        <w:numPr>
          <w:ilvl w:val="1"/>
          <w:numId w:val="53"/>
        </w:numPr>
        <w:rPr>
          <w:rFonts w:ascii="Arial" w:cs="Arial" w:eastAsia="Arial" w:hAnsi="Arial"/>
          <w:sz w:val="21"/>
          <w:szCs w:val="21"/>
          <w:color w:val="auto"/>
        </w:rPr>
      </w:pPr>
      <w:r>
        <w:rPr>
          <w:rFonts w:ascii="Arial" w:cs="Arial" w:eastAsia="Arial" w:hAnsi="Arial"/>
          <w:sz w:val="21"/>
          <w:szCs w:val="21"/>
          <w:i w:val="1"/>
          <w:iCs w:val="1"/>
          <w:color w:val="auto"/>
        </w:rPr>
        <w:t>Redemption Price</w:t>
      </w:r>
      <w:r>
        <w:rPr>
          <w:rFonts w:ascii="Arial" w:cs="Arial" w:eastAsia="Arial" w:hAnsi="Arial"/>
          <w:sz w:val="21"/>
          <w:szCs w:val="21"/>
          <w:color w:val="auto"/>
        </w:rPr>
        <w:t>. The Redemption Price for any Note called for Redemption is an amount in cash equal to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principal amount of such Note plus accrued and unpaid interest on such Note to, but excluding, the Redemption Date for such Redemption;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2.05(C) </w:t>
      </w:r>
      <w:r>
        <w:rPr>
          <w:rFonts w:ascii="Arial" w:cs="Arial" w:eastAsia="Arial" w:hAnsi="Arial"/>
          <w:sz w:val="21"/>
          <w:szCs w:val="21"/>
          <w:color w:val="auto"/>
        </w:rPr>
        <w:t>and such Redemption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348" w:right="339" w:bottom="1440" w:gutter="0" w:footer="0" w:header="0"/>
        </w:sectPr>
      </w:pPr>
    </w:p>
    <w:bookmarkStart w:id="45" w:name="page46"/>
    <w:bookmarkEnd w:id="45"/>
    <w:p>
      <w:pPr>
        <w:jc w:val="both"/>
        <w:spacing w:after="0" w:line="302" w:lineRule="auto"/>
        <w:rPr>
          <w:sz w:val="20"/>
          <w:szCs w:val="20"/>
          <w:color w:val="auto"/>
        </w:rPr>
      </w:pPr>
      <w:r>
        <w:rPr>
          <w:rFonts w:ascii="Arial" w:cs="Arial" w:eastAsia="Arial" w:hAnsi="Arial"/>
          <w:sz w:val="19"/>
          <w:szCs w:val="19"/>
          <w:color w:val="auto"/>
        </w:rPr>
        <w:t xml:space="preserve">Date occurs on the Business Day immediately after such Interest Payment Date, then (x) accrued and unpaid interest on Notes to, but excluding, such Interest Payment Date will be paid, in accordance with </w:t>
      </w:r>
      <w:r>
        <w:rPr>
          <w:rFonts w:ascii="Arial" w:cs="Arial" w:eastAsia="Arial" w:hAnsi="Arial"/>
          <w:sz w:val="19"/>
          <w:szCs w:val="19"/>
          <w:b w:val="1"/>
          <w:bCs w:val="1"/>
          <w:color w:val="auto"/>
        </w:rPr>
        <w:t>Section 2.05(C)</w:t>
      </w:r>
      <w:r>
        <w:rPr>
          <w:rFonts w:ascii="Arial" w:cs="Arial" w:eastAsia="Arial" w:hAnsi="Arial"/>
          <w:sz w:val="19"/>
          <w:szCs w:val="19"/>
          <w:color w:val="auto"/>
        </w:rPr>
        <w:t>, on the next Business Day to Holders as of the Close of Business on the immediately preceding Regular Record Date; and (y) the Redemption Price will include interest on Notes to be redeemed from, and including, such Interest Payment Date to, but excluding, such Redemption Date.</w:t>
      </w:r>
    </w:p>
    <w:p>
      <w:pPr>
        <w:spacing w:after="0" w:line="88" w:lineRule="exact"/>
        <w:rPr>
          <w:sz w:val="20"/>
          <w:szCs w:val="20"/>
          <w:color w:val="auto"/>
        </w:rPr>
      </w:pPr>
    </w:p>
    <w:p>
      <w:pPr>
        <w:jc w:val="both"/>
        <w:ind w:firstLine="656"/>
        <w:spacing w:after="0" w:line="254" w:lineRule="auto"/>
        <w:tabs>
          <w:tab w:leader="none" w:pos="1092"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Redemption Notice</w:t>
      </w:r>
      <w:r>
        <w:rPr>
          <w:rFonts w:ascii="Arial" w:cs="Arial" w:eastAsia="Arial" w:hAnsi="Arial"/>
          <w:sz w:val="22"/>
          <w:szCs w:val="22"/>
          <w:color w:val="auto"/>
        </w:rPr>
        <w:t>. To call any Notes for Redemption, the Company must (x) send to each Holder of such Notes, the</w:t>
      </w:r>
      <w:r>
        <w:rPr>
          <w:rFonts w:ascii="Arial" w:cs="Arial" w:eastAsia="Arial" w:hAnsi="Arial"/>
          <w:sz w:val="22"/>
          <w:szCs w:val="22"/>
          <w:i w:val="1"/>
          <w:iCs w:val="1"/>
          <w:color w:val="auto"/>
        </w:rPr>
        <w:t xml:space="preserve"> </w:t>
      </w:r>
      <w:r>
        <w:rPr>
          <w:rFonts w:ascii="Arial" w:cs="Arial" w:eastAsia="Arial" w:hAnsi="Arial"/>
          <w:sz w:val="22"/>
          <w:szCs w:val="22"/>
          <w:color w:val="auto"/>
        </w:rPr>
        <w:t>Trustee and the Paying Agent a written notice of such Redemption (a “</w:t>
      </w:r>
      <w:r>
        <w:rPr>
          <w:rFonts w:ascii="Arial" w:cs="Arial" w:eastAsia="Arial" w:hAnsi="Arial"/>
          <w:sz w:val="22"/>
          <w:szCs w:val="22"/>
          <w:b w:val="1"/>
          <w:bCs w:val="1"/>
          <w:color w:val="auto"/>
        </w:rPr>
        <w:t>Redemption Notice</w:t>
      </w:r>
      <w:r>
        <w:rPr>
          <w:rFonts w:ascii="Arial" w:cs="Arial" w:eastAsia="Arial" w:hAnsi="Arial"/>
          <w:sz w:val="22"/>
          <w:szCs w:val="22"/>
          <w:color w:val="auto"/>
        </w:rPr>
        <w:t>”) and (y) substantially contemporaneously therewith, publish, on the Company’s website or through such other public medium as the Company then uses, the information set forth in the Redemption Notice.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Redemption Notice must state:</w:t>
      </w:r>
    </w:p>
    <w:p>
      <w:pPr>
        <w:spacing w:after="0" w:line="166" w:lineRule="exact"/>
        <w:rPr>
          <w:sz w:val="20"/>
          <w:szCs w:val="20"/>
          <w:color w:val="auto"/>
        </w:rPr>
      </w:pPr>
    </w:p>
    <w:p>
      <w:pPr>
        <w:ind w:left="660" w:firstLine="644"/>
        <w:spacing w:after="0" w:line="276" w:lineRule="auto"/>
        <w:tabs>
          <w:tab w:leader="none" w:pos="1759"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that the Notes have been called for Redemption, briefly describing the Company’s Redemption right under this Indenture;</w:t>
      </w:r>
    </w:p>
    <w:p>
      <w:pPr>
        <w:spacing w:after="0" w:line="106" w:lineRule="exact"/>
        <w:rPr>
          <w:rFonts w:ascii="Arial" w:cs="Arial" w:eastAsia="Arial" w:hAnsi="Arial"/>
          <w:sz w:val="22"/>
          <w:szCs w:val="22"/>
          <w:color w:val="auto"/>
        </w:rPr>
      </w:pPr>
    </w:p>
    <w:p>
      <w:pPr>
        <w:ind w:left="1740" w:hanging="436"/>
        <w:spacing w:after="0"/>
        <w:tabs>
          <w:tab w:leader="none" w:pos="17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Redemption Date for such Redemption;</w:t>
      </w:r>
    </w:p>
    <w:p>
      <w:pPr>
        <w:spacing w:after="0" w:line="179" w:lineRule="exact"/>
        <w:rPr>
          <w:rFonts w:ascii="Arial" w:cs="Arial" w:eastAsia="Arial" w:hAnsi="Arial"/>
          <w:sz w:val="22"/>
          <w:szCs w:val="22"/>
          <w:color w:val="auto"/>
        </w:rPr>
      </w:pPr>
    </w:p>
    <w:p>
      <w:pPr>
        <w:jc w:val="both"/>
        <w:ind w:left="660" w:firstLine="644"/>
        <w:spacing w:after="0" w:line="259" w:lineRule="auto"/>
        <w:tabs>
          <w:tab w:leader="none" w:pos="1866"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w:t>
      </w:r>
      <w:r>
        <w:rPr>
          <w:rFonts w:ascii="Arial" w:cs="Arial" w:eastAsia="Arial" w:hAnsi="Arial"/>
          <w:sz w:val="22"/>
          <w:szCs w:val="22"/>
          <w:b w:val="1"/>
          <w:bCs w:val="1"/>
          <w:color w:val="auto"/>
        </w:rPr>
        <w:t>Section 4.03(E)</w:t>
      </w:r>
      <w:r>
        <w:rPr>
          <w:rFonts w:ascii="Arial" w:cs="Arial" w:eastAsia="Arial" w:hAnsi="Arial"/>
          <w:sz w:val="22"/>
          <w:szCs w:val="22"/>
          <w:color w:val="auto"/>
        </w:rPr>
        <w:t>);</w:t>
      </w:r>
    </w:p>
    <w:p>
      <w:pPr>
        <w:spacing w:after="0" w:line="126" w:lineRule="exact"/>
        <w:rPr>
          <w:rFonts w:ascii="Arial" w:cs="Arial" w:eastAsia="Arial" w:hAnsi="Arial"/>
          <w:sz w:val="22"/>
          <w:szCs w:val="22"/>
          <w:color w:val="auto"/>
        </w:rPr>
      </w:pPr>
    </w:p>
    <w:p>
      <w:pPr>
        <w:ind w:left="1800" w:hanging="496"/>
        <w:spacing w:after="0"/>
        <w:tabs>
          <w:tab w:leader="none" w:pos="18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name and address of the Paying Agent and the Conversion Agent;</w:t>
      </w:r>
    </w:p>
    <w:p>
      <w:pPr>
        <w:spacing w:after="0" w:line="179" w:lineRule="exact"/>
        <w:rPr>
          <w:rFonts w:ascii="Arial" w:cs="Arial" w:eastAsia="Arial" w:hAnsi="Arial"/>
          <w:sz w:val="22"/>
          <w:szCs w:val="22"/>
          <w:color w:val="auto"/>
        </w:rPr>
      </w:pPr>
    </w:p>
    <w:p>
      <w:pPr>
        <w:jc w:val="both"/>
        <w:ind w:left="660" w:firstLine="644"/>
        <w:spacing w:after="0" w:line="278" w:lineRule="auto"/>
        <w:tabs>
          <w:tab w:leader="none" w:pos="1753"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that Notes called for Redemption may be converted at any time before the Close of Business on the Business Day immediately before the Redemption Date (or, if the Company fails to pay the Redemption Price due on such Redemption Date in full, at any time until such time as the Company pays such Redemption Price in full);</w:t>
      </w:r>
    </w:p>
    <w:p>
      <w:pPr>
        <w:spacing w:after="0" w:line="105" w:lineRule="exact"/>
        <w:rPr>
          <w:rFonts w:ascii="Arial" w:cs="Arial" w:eastAsia="Arial" w:hAnsi="Arial"/>
          <w:sz w:val="21"/>
          <w:szCs w:val="21"/>
          <w:color w:val="auto"/>
        </w:rPr>
      </w:pPr>
    </w:p>
    <w:p>
      <w:pPr>
        <w:jc w:val="both"/>
        <w:ind w:left="660" w:firstLine="644"/>
        <w:spacing w:after="0" w:line="259" w:lineRule="auto"/>
        <w:tabs>
          <w:tab w:leader="none" w:pos="1867"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Arial" w:cs="Arial" w:eastAsia="Arial" w:hAnsi="Arial"/>
          <w:sz w:val="22"/>
          <w:szCs w:val="22"/>
          <w:b w:val="1"/>
          <w:bCs w:val="1"/>
          <w:color w:val="auto"/>
        </w:rPr>
        <w:t>Section 5.07</w:t>
      </w:r>
      <w:r>
        <w:rPr>
          <w:rFonts w:ascii="Arial" w:cs="Arial" w:eastAsia="Arial" w:hAnsi="Arial"/>
          <w:sz w:val="22"/>
          <w:szCs w:val="22"/>
          <w:color w:val="auto"/>
        </w:rPr>
        <w:t>);</w:t>
      </w:r>
    </w:p>
    <w:p>
      <w:pPr>
        <w:spacing w:after="0" w:line="126" w:lineRule="exact"/>
        <w:rPr>
          <w:rFonts w:ascii="Arial" w:cs="Arial" w:eastAsia="Arial" w:hAnsi="Arial"/>
          <w:sz w:val="22"/>
          <w:szCs w:val="22"/>
          <w:color w:val="auto"/>
        </w:rPr>
      </w:pPr>
    </w:p>
    <w:p>
      <w:pPr>
        <w:jc w:val="both"/>
        <w:ind w:left="660" w:firstLine="644"/>
        <w:spacing w:after="0" w:line="259" w:lineRule="auto"/>
        <w:tabs>
          <w:tab w:leader="none" w:pos="187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Settlement Method that will apply to all conversions of Notes with a Conversion Date that occurs on or after such Redemption Notice Date and prior to the Close of Business on the Business Day immediately before such Redemption Date; and</w:t>
      </w:r>
    </w:p>
    <w:p>
      <w:pPr>
        <w:spacing w:after="0" w:line="126" w:lineRule="exact"/>
        <w:rPr>
          <w:rFonts w:ascii="Arial" w:cs="Arial" w:eastAsia="Arial" w:hAnsi="Arial"/>
          <w:sz w:val="22"/>
          <w:szCs w:val="22"/>
          <w:color w:val="auto"/>
        </w:rPr>
      </w:pPr>
    </w:p>
    <w:p>
      <w:pPr>
        <w:ind w:left="1920" w:hanging="616"/>
        <w:spacing w:after="0"/>
        <w:tabs>
          <w:tab w:leader="none" w:pos="19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CUSIP number(s), if any, of the Notes.</w:t>
      </w:r>
    </w:p>
    <w:p>
      <w:pPr>
        <w:spacing w:after="0" w:line="17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On or before the Redemption Notice Date, the Company will send a copy of such Redemption Notice to the Trustee and the Paying Agent.</w:t>
      </w:r>
    </w:p>
    <w:p>
      <w:pPr>
        <w:spacing w:after="0" w:line="121" w:lineRule="exact"/>
        <w:rPr>
          <w:sz w:val="20"/>
          <w:szCs w:val="20"/>
          <w:color w:val="auto"/>
        </w:rPr>
      </w:pPr>
    </w:p>
    <w:p>
      <w:pPr>
        <w:ind w:left="1140" w:hanging="484"/>
        <w:spacing w:after="0"/>
        <w:tabs>
          <w:tab w:leader="none" w:pos="1140"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Selection, Conversion and Transfer of Notes to Be Redeemed in Part</w:t>
      </w:r>
      <w:r>
        <w:rPr>
          <w:rFonts w:ascii="Arial" w:cs="Arial" w:eastAsia="Arial" w:hAnsi="Arial"/>
          <w:sz w:val="22"/>
          <w:szCs w:val="22"/>
          <w:color w:val="auto"/>
        </w:rPr>
        <w:t>. If less than</w:t>
      </w:r>
    </w:p>
    <w:p>
      <w:pPr>
        <w:spacing w:after="0" w:line="386" w:lineRule="exact"/>
        <w:rPr>
          <w:rFonts w:ascii="Arial" w:cs="Arial" w:eastAsia="Arial" w:hAnsi="Arial"/>
          <w:sz w:val="22"/>
          <w:szCs w:val="22"/>
          <w:color w:val="auto"/>
        </w:rPr>
      </w:pPr>
    </w:p>
    <w:p>
      <w:pPr>
        <w:ind w:left="5460"/>
        <w:spacing w:after="0"/>
        <w:rPr>
          <w:rFonts w:ascii="Arial" w:cs="Arial" w:eastAsia="Arial" w:hAnsi="Arial"/>
          <w:sz w:val="22"/>
          <w:szCs w:val="22"/>
          <w:color w:val="auto"/>
        </w:rPr>
      </w:pPr>
      <w:r>
        <w:rPr>
          <w:rFonts w:ascii="Arial" w:cs="Arial" w:eastAsia="Arial" w:hAnsi="Arial"/>
          <w:sz w:val="20"/>
          <w:szCs w:val="20"/>
          <w:color w:val="auto"/>
        </w:rPr>
        <w:t>-37-</w:t>
      </w:r>
    </w:p>
    <w:p>
      <w:pPr>
        <w:sectPr>
          <w:pgSz w:w="11900" w:h="16838" w:orient="portrait"/>
          <w:cols w:equalWidth="0" w:num="1">
            <w:col w:w="11240"/>
          </w:cols>
          <w:pgMar w:left="320" w:top="348"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all Notes then outstanding are called for Redemption, then:</w:t>
      </w:r>
    </w:p>
    <w:p>
      <w:pPr>
        <w:spacing w:after="0" w:line="166" w:lineRule="exact"/>
        <w:rPr>
          <w:sz w:val="20"/>
          <w:szCs w:val="20"/>
          <w:color w:val="auto"/>
        </w:rPr>
      </w:pPr>
    </w:p>
    <w:p>
      <w:pPr>
        <w:jc w:val="both"/>
        <w:ind w:left="660" w:firstLine="644"/>
        <w:spacing w:after="0" w:line="254" w:lineRule="auto"/>
        <w:tabs>
          <w:tab w:leader="none" w:pos="1773"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Notes to be redeemed will be selected by the Company as follows: (1) in the case of Global Notes, in accordance with the Depositary Procedures; and (2) in the case of Physical Notes, the Trustee will select the Notes to be redeemed (in an Authorized Denomination) by lot, on a pro rata basis or in such other manner as it shall deem appropriate and fair; and</w:t>
      </w:r>
    </w:p>
    <w:p>
      <w:pPr>
        <w:spacing w:after="0" w:line="130" w:lineRule="exact"/>
        <w:rPr>
          <w:rFonts w:ascii="Arial" w:cs="Arial" w:eastAsia="Arial" w:hAnsi="Arial"/>
          <w:sz w:val="22"/>
          <w:szCs w:val="22"/>
          <w:color w:val="auto"/>
        </w:rPr>
      </w:pPr>
    </w:p>
    <w:p>
      <w:pPr>
        <w:ind w:left="660" w:firstLine="644"/>
        <w:spacing w:after="0" w:line="358" w:lineRule="auto"/>
        <w:tabs>
          <w:tab w:leader="none" w:pos="1806" w:val="left"/>
        </w:tabs>
        <w:numPr>
          <w:ilvl w:val="1"/>
          <w:numId w:val="57"/>
        </w:numPr>
        <w:rPr>
          <w:rFonts w:ascii="Arial" w:cs="Arial" w:eastAsia="Arial" w:hAnsi="Arial"/>
          <w:sz w:val="19"/>
          <w:szCs w:val="19"/>
          <w:color w:val="auto"/>
        </w:rPr>
      </w:pPr>
      <w:r>
        <w:rPr>
          <w:rFonts w:ascii="Arial" w:cs="Arial" w:eastAsia="Arial" w:hAnsi="Arial"/>
          <w:sz w:val="19"/>
          <w:szCs w:val="19"/>
          <w:color w:val="auto"/>
        </w:rPr>
        <w:t>if only a portion of a Note is subject to Redemption and such Note is converted in part, then the converted portion of such Note will be deemed to be from the portion of such Note that was subject to Redemption.</w:t>
      </w:r>
    </w:p>
    <w:p>
      <w:pPr>
        <w:spacing w:after="0" w:line="36" w:lineRule="exact"/>
        <w:rPr>
          <w:rFonts w:ascii="Arial" w:cs="Arial" w:eastAsia="Arial" w:hAnsi="Arial"/>
          <w:sz w:val="19"/>
          <w:szCs w:val="19"/>
          <w:color w:val="auto"/>
        </w:rPr>
      </w:pPr>
    </w:p>
    <w:p>
      <w:pPr>
        <w:jc w:val="both"/>
        <w:ind w:firstLine="656"/>
        <w:spacing w:after="0" w:line="251" w:lineRule="auto"/>
        <w:tabs>
          <w:tab w:leader="none" w:pos="1182"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Payment of the Redemption Price</w:t>
      </w:r>
      <w:r>
        <w:rPr>
          <w:rFonts w:ascii="Arial" w:cs="Arial" w:eastAsia="Arial" w:hAnsi="Arial"/>
          <w:sz w:val="22"/>
          <w:szCs w:val="22"/>
          <w:color w:val="auto"/>
        </w:rPr>
        <w:t>. Without limiting the Company’s obligation to deposit the Redemption Price by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time proscribed by </w:t>
      </w:r>
      <w:r>
        <w:rPr>
          <w:rFonts w:ascii="Arial" w:cs="Arial" w:eastAsia="Arial" w:hAnsi="Arial"/>
          <w:sz w:val="22"/>
          <w:szCs w:val="22"/>
          <w:b w:val="1"/>
          <w:bCs w:val="1"/>
          <w:color w:val="auto"/>
        </w:rPr>
        <w:t>Section 3.01(B)</w:t>
      </w:r>
      <w:r>
        <w:rPr>
          <w:rFonts w:ascii="Arial" w:cs="Arial" w:eastAsia="Arial" w:hAnsi="Arial"/>
          <w:sz w:val="22"/>
          <w:szCs w:val="22"/>
          <w:color w:val="auto"/>
        </w:rPr>
        <w:t xml:space="preserve">, the Company will cause the Redemption Price for a Note (or portion thereof) subject to Redemption to be paid to the Holder thereof on or before the applicable Redemption Date. For the avoidance of doubt, interest payable pursuant to the proviso to </w:t>
      </w:r>
      <w:r>
        <w:rPr>
          <w:rFonts w:ascii="Arial" w:cs="Arial" w:eastAsia="Arial" w:hAnsi="Arial"/>
          <w:sz w:val="22"/>
          <w:szCs w:val="22"/>
          <w:b w:val="1"/>
          <w:bCs w:val="1"/>
          <w:color w:val="auto"/>
        </w:rPr>
        <w:t>Section 4.03(E)</w:t>
      </w:r>
      <w:r>
        <w:rPr>
          <w:rFonts w:ascii="Arial" w:cs="Arial" w:eastAsia="Arial" w:hAnsi="Arial"/>
          <w:sz w:val="22"/>
          <w:szCs w:val="22"/>
          <w:color w:val="auto"/>
        </w:rPr>
        <w:t xml:space="preserve"> on any Note (or portion thereof) subject to Redemption must be paid pursuant to such proviso.</w:t>
      </w:r>
    </w:p>
    <w:p>
      <w:pPr>
        <w:spacing w:after="0" w:line="135" w:lineRule="exact"/>
        <w:rPr>
          <w:rFonts w:ascii="Arial" w:cs="Arial" w:eastAsia="Arial" w:hAnsi="Arial"/>
          <w:sz w:val="22"/>
          <w:szCs w:val="22"/>
          <w:color w:val="auto"/>
        </w:rPr>
      </w:pPr>
    </w:p>
    <w:p>
      <w:pPr>
        <w:jc w:val="both"/>
        <w:ind w:firstLine="656"/>
        <w:spacing w:after="0" w:line="280" w:lineRule="auto"/>
        <w:tabs>
          <w:tab w:leader="none" w:pos="1057" w:val="left"/>
        </w:tabs>
        <w:numPr>
          <w:ilvl w:val="0"/>
          <w:numId w:val="58"/>
        </w:numPr>
        <w:rPr>
          <w:rFonts w:ascii="Arial" w:cs="Arial" w:eastAsia="Arial" w:hAnsi="Arial"/>
          <w:sz w:val="19"/>
          <w:szCs w:val="19"/>
          <w:color w:val="auto"/>
        </w:rPr>
      </w:pPr>
      <w:r>
        <w:rPr>
          <w:rFonts w:ascii="Arial" w:cs="Arial" w:eastAsia="Arial" w:hAnsi="Arial"/>
          <w:sz w:val="19"/>
          <w:szCs w:val="19"/>
          <w:i w:val="1"/>
          <w:iCs w:val="1"/>
          <w:color w:val="auto"/>
        </w:rPr>
        <w:t>Special Provisions for Partial Calls</w:t>
      </w:r>
      <w:r>
        <w:rPr>
          <w:rFonts w:ascii="Arial" w:cs="Arial" w:eastAsia="Arial" w:hAnsi="Arial"/>
          <w:sz w:val="19"/>
          <w:szCs w:val="19"/>
          <w:color w:val="auto"/>
        </w:rPr>
        <w:t>. If the Company elects to redeem less than all of the outstanding Notes pursuant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this </w:t>
      </w:r>
      <w:r>
        <w:rPr>
          <w:rFonts w:ascii="Arial" w:cs="Arial" w:eastAsia="Arial" w:hAnsi="Arial"/>
          <w:sz w:val="19"/>
          <w:szCs w:val="19"/>
          <w:b w:val="1"/>
          <w:bCs w:val="1"/>
          <w:color w:val="auto"/>
        </w:rPr>
        <w:t>Section 4.03</w:t>
      </w:r>
      <w:r>
        <w:rPr>
          <w:rFonts w:ascii="Arial" w:cs="Arial" w:eastAsia="Arial" w:hAnsi="Arial"/>
          <w:sz w:val="19"/>
          <w:szCs w:val="19"/>
          <w:color w:val="auto"/>
        </w:rPr>
        <w:t>, and the Holder of any Note, or any owner of a beneficial interest in any Global Note, is reasonably not able to determine, before the Close of Business on the forty second (42nd) Scheduled Trading Day (or, if the Company irrevocably elects Physical Settlement for all conversions with a Conversion Date that occurs on or after the related Redemption Notice Date and before the Related Redemption Date, the tenth (10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calendar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Business Day immediately before such Redemption Date, and each such conversion will be deemed to be of a Note called for Redemption for purposes of this </w:t>
      </w:r>
      <w:r>
        <w:rPr>
          <w:rFonts w:ascii="Arial" w:cs="Arial" w:eastAsia="Arial" w:hAnsi="Arial"/>
          <w:sz w:val="19"/>
          <w:szCs w:val="19"/>
          <w:b w:val="1"/>
          <w:bCs w:val="1"/>
          <w:color w:val="auto"/>
        </w:rPr>
        <w:t>Section 4.03</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Sections 5.01(C)(i)(4)</w:t>
      </w:r>
      <w:r>
        <w:rPr>
          <w:rFonts w:ascii="Arial" w:cs="Arial" w:eastAsia="Arial" w:hAnsi="Arial"/>
          <w:sz w:val="19"/>
          <w:szCs w:val="19"/>
          <w:color w:val="auto"/>
        </w:rPr>
        <w:t xml:space="preserve"> and </w:t>
      </w:r>
      <w:r>
        <w:rPr>
          <w:rFonts w:ascii="Arial" w:cs="Arial" w:eastAsia="Arial" w:hAnsi="Arial"/>
          <w:sz w:val="19"/>
          <w:szCs w:val="19"/>
          <w:b w:val="1"/>
          <w:bCs w:val="1"/>
          <w:color w:val="auto"/>
        </w:rPr>
        <w:t>5.07</w:t>
      </w:r>
      <w:r>
        <w:rPr>
          <w:rFonts w:ascii="Arial" w:cs="Arial" w:eastAsia="Arial" w:hAnsi="Arial"/>
          <w:sz w:val="19"/>
          <w:szCs w:val="19"/>
          <w:color w:val="auto"/>
        </w:rPr>
        <w:t>.</w:t>
      </w:r>
    </w:p>
    <w:p>
      <w:pPr>
        <w:spacing w:after="0" w:line="103"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b w:val="1"/>
          <w:bCs w:val="1"/>
          <w:color w:val="auto"/>
        </w:rPr>
        <w:t>Article 5.</w:t>
        <w:tab/>
        <w:t>CONVERSION</w:t>
      </w:r>
    </w:p>
    <w:p>
      <w:pPr>
        <w:spacing w:after="0" w:line="17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5.01.</w:t>
        <w:tab/>
        <w:t>RIGHT TO CONVERT.</w:t>
      </w:r>
    </w:p>
    <w:p>
      <w:pPr>
        <w:spacing w:after="0" w:line="179" w:lineRule="exact"/>
        <w:rPr>
          <w:sz w:val="20"/>
          <w:szCs w:val="20"/>
          <w:color w:val="auto"/>
        </w:rPr>
      </w:pPr>
    </w:p>
    <w:p>
      <w:pPr>
        <w:ind w:firstLine="656"/>
        <w:spacing w:after="0" w:line="282" w:lineRule="auto"/>
        <w:tabs>
          <w:tab w:leader="none" w:pos="1168"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 xml:space="preserve">Generally. </w:t>
      </w:r>
      <w:r>
        <w:rPr>
          <w:rFonts w:ascii="Arial" w:cs="Arial" w:eastAsia="Arial" w:hAnsi="Arial"/>
          <w:sz w:val="22"/>
          <w:szCs w:val="22"/>
          <w:color w:val="auto"/>
        </w:rPr>
        <w:t>Subject to the provisions of this</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Article 5</w:t>
      </w:r>
      <w:r>
        <w:rPr>
          <w:rFonts w:ascii="Arial" w:cs="Arial" w:eastAsia="Arial" w:hAnsi="Arial"/>
          <w:sz w:val="22"/>
          <w:szCs w:val="22"/>
          <w:color w:val="auto"/>
        </w:rPr>
        <w:t>, each Holder may, at its option, convert such Holder’s Notes</w:t>
      </w:r>
      <w:r>
        <w:rPr>
          <w:rFonts w:ascii="Arial" w:cs="Arial" w:eastAsia="Arial" w:hAnsi="Arial"/>
          <w:sz w:val="22"/>
          <w:szCs w:val="22"/>
          <w:i w:val="1"/>
          <w:iCs w:val="1"/>
          <w:color w:val="auto"/>
        </w:rPr>
        <w:t xml:space="preserve"> </w:t>
      </w:r>
      <w:r>
        <w:rPr>
          <w:rFonts w:ascii="Arial" w:cs="Arial" w:eastAsia="Arial" w:hAnsi="Arial"/>
          <w:sz w:val="22"/>
          <w:szCs w:val="22"/>
          <w:color w:val="auto"/>
        </w:rPr>
        <w:t>into Conversion Consideration.</w:t>
      </w:r>
    </w:p>
    <w:p>
      <w:pPr>
        <w:spacing w:after="0" w:line="100" w:lineRule="exact"/>
        <w:rPr>
          <w:rFonts w:ascii="Arial" w:cs="Arial" w:eastAsia="Arial" w:hAnsi="Arial"/>
          <w:sz w:val="22"/>
          <w:szCs w:val="22"/>
          <w:color w:val="auto"/>
        </w:rPr>
      </w:pPr>
    </w:p>
    <w:p>
      <w:pPr>
        <w:jc w:val="both"/>
        <w:ind w:firstLine="656"/>
        <w:spacing w:after="0" w:line="259" w:lineRule="auto"/>
        <w:tabs>
          <w:tab w:leader="none" w:pos="1143"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Conversions in Part</w:t>
      </w:r>
      <w:r>
        <w:rPr>
          <w:rFonts w:ascii="Arial" w:cs="Arial" w:eastAsia="Arial" w:hAnsi="Arial"/>
          <w:sz w:val="22"/>
          <w:szCs w:val="22"/>
          <w:color w:val="auto"/>
        </w:rPr>
        <w:t>. Subject to the terms of this Indenture, Notes may be converted in part, but only in Authorized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Denominations. Provisions of this </w:t>
      </w:r>
      <w:r>
        <w:rPr>
          <w:rFonts w:ascii="Arial" w:cs="Arial" w:eastAsia="Arial" w:hAnsi="Arial"/>
          <w:sz w:val="22"/>
          <w:szCs w:val="22"/>
          <w:b w:val="1"/>
          <w:bCs w:val="1"/>
          <w:color w:val="auto"/>
        </w:rPr>
        <w:t>Article 5</w:t>
      </w:r>
      <w:r>
        <w:rPr>
          <w:rFonts w:ascii="Arial" w:cs="Arial" w:eastAsia="Arial" w:hAnsi="Arial"/>
          <w:sz w:val="22"/>
          <w:szCs w:val="22"/>
          <w:color w:val="auto"/>
        </w:rPr>
        <w:t xml:space="preserve"> applying to the conversion of a Note in whole will equally apply to conversions of a permitted portion of a Note.</w:t>
      </w:r>
    </w:p>
    <w:p>
      <w:pPr>
        <w:spacing w:after="0" w:line="126" w:lineRule="exact"/>
        <w:rPr>
          <w:rFonts w:ascii="Arial" w:cs="Arial" w:eastAsia="Arial" w:hAnsi="Arial"/>
          <w:sz w:val="22"/>
          <w:szCs w:val="22"/>
          <w:color w:val="auto"/>
        </w:rPr>
      </w:pPr>
    </w:p>
    <w:p>
      <w:pPr>
        <w:ind w:left="1120" w:hanging="464"/>
        <w:spacing w:after="0"/>
        <w:tabs>
          <w:tab w:leader="none" w:pos="1120"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When Notes May Be Converted</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1680" w:hanging="376"/>
        <w:spacing w:after="0"/>
        <w:tabs>
          <w:tab w:leader="none" w:pos="1680" w:val="left"/>
        </w:tabs>
        <w:numPr>
          <w:ilvl w:val="1"/>
          <w:numId w:val="59"/>
        </w:numPr>
        <w:rPr>
          <w:rFonts w:ascii="Arial" w:cs="Arial" w:eastAsia="Arial" w:hAnsi="Arial"/>
          <w:sz w:val="22"/>
          <w:szCs w:val="22"/>
          <w:color w:val="auto"/>
        </w:rPr>
      </w:pPr>
      <w:r>
        <w:rPr>
          <w:rFonts w:ascii="Arial" w:cs="Arial" w:eastAsia="Arial" w:hAnsi="Arial"/>
          <w:sz w:val="22"/>
          <w:szCs w:val="22"/>
          <w:i w:val="1"/>
          <w:iCs w:val="1"/>
          <w:color w:val="auto"/>
        </w:rPr>
        <w:t>Generally</w:t>
      </w:r>
      <w:r>
        <w:rPr>
          <w:rFonts w:ascii="Arial" w:cs="Arial" w:eastAsia="Arial" w:hAnsi="Arial"/>
          <w:sz w:val="22"/>
          <w:szCs w:val="22"/>
          <w:color w:val="auto"/>
        </w:rPr>
        <w:t>. Subject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5.01(C)(ii)</w:t>
      </w:r>
      <w:r>
        <w:rPr>
          <w:rFonts w:ascii="Arial" w:cs="Arial" w:eastAsia="Arial" w:hAnsi="Arial"/>
          <w:sz w:val="22"/>
          <w:szCs w:val="22"/>
          <w:color w:val="auto"/>
        </w:rPr>
        <w:t>, a Note may be converted only in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348"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the following circumstances:</w:t>
      </w:r>
    </w:p>
    <w:p>
      <w:pPr>
        <w:spacing w:after="0" w:line="166" w:lineRule="exact"/>
        <w:rPr>
          <w:sz w:val="20"/>
          <w:szCs w:val="20"/>
          <w:color w:val="auto"/>
        </w:rPr>
      </w:pPr>
    </w:p>
    <w:p>
      <w:pPr>
        <w:jc w:val="both"/>
        <w:ind w:left="1300" w:firstLine="652"/>
        <w:spacing w:after="0" w:line="264" w:lineRule="auto"/>
        <w:tabs>
          <w:tab w:leader="none" w:pos="2501" w:val="left"/>
        </w:tabs>
        <w:numPr>
          <w:ilvl w:val="0"/>
          <w:numId w:val="60"/>
        </w:numPr>
        <w:rPr>
          <w:rFonts w:ascii="Arial" w:cs="Arial" w:eastAsia="Arial" w:hAnsi="Arial"/>
          <w:sz w:val="21"/>
          <w:szCs w:val="21"/>
          <w:color w:val="auto"/>
        </w:rPr>
      </w:pPr>
      <w:r>
        <w:rPr>
          <w:rFonts w:ascii="Arial" w:cs="Arial" w:eastAsia="Arial" w:hAnsi="Arial"/>
          <w:sz w:val="21"/>
          <w:szCs w:val="21"/>
          <w:i w:val="1"/>
          <w:iCs w:val="1"/>
          <w:color w:val="auto"/>
        </w:rPr>
        <w:t>Conversion upon Satisfaction of Common Stock Sale Price Condition</w:t>
      </w:r>
      <w:r>
        <w:rPr>
          <w:rFonts w:ascii="Arial" w:cs="Arial" w:eastAsia="Arial" w:hAnsi="Arial"/>
          <w:sz w:val="21"/>
          <w:szCs w:val="21"/>
          <w:color w:val="auto"/>
        </w:rPr>
        <w:t>. A Holder may convert its</w:t>
      </w:r>
      <w:r>
        <w:rPr>
          <w:rFonts w:ascii="Arial" w:cs="Arial" w:eastAsia="Arial" w:hAnsi="Arial"/>
          <w:sz w:val="21"/>
          <w:szCs w:val="21"/>
          <w:i w:val="1"/>
          <w:iCs w:val="1"/>
          <w:color w:val="auto"/>
        </w:rPr>
        <w:t xml:space="preserve"> </w:t>
      </w:r>
      <w:r>
        <w:rPr>
          <w:rFonts w:ascii="Arial" w:cs="Arial" w:eastAsia="Arial" w:hAnsi="Arial"/>
          <w:sz w:val="21"/>
          <w:szCs w:val="21"/>
          <w:color w:val="auto"/>
        </w:rPr>
        <w:t>Notes during any calendar quarter commencing after the calendar quarter ending on September 30, 2020 (and only during such calendar quarter),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spacing w:after="0" w:line="120" w:lineRule="exact"/>
        <w:rPr>
          <w:rFonts w:ascii="Arial" w:cs="Arial" w:eastAsia="Arial" w:hAnsi="Arial"/>
          <w:sz w:val="21"/>
          <w:szCs w:val="21"/>
          <w:color w:val="auto"/>
        </w:rPr>
      </w:pPr>
    </w:p>
    <w:p>
      <w:pPr>
        <w:jc w:val="both"/>
        <w:ind w:left="1300" w:firstLine="652"/>
        <w:spacing w:after="0" w:line="261" w:lineRule="auto"/>
        <w:tabs>
          <w:tab w:leader="none" w:pos="2515" w:val="left"/>
        </w:tabs>
        <w:numPr>
          <w:ilvl w:val="0"/>
          <w:numId w:val="60"/>
        </w:numPr>
        <w:rPr>
          <w:rFonts w:ascii="Arial" w:cs="Arial" w:eastAsia="Arial" w:hAnsi="Arial"/>
          <w:sz w:val="21"/>
          <w:szCs w:val="21"/>
          <w:color w:val="auto"/>
        </w:rPr>
      </w:pPr>
      <w:r>
        <w:rPr>
          <w:rFonts w:ascii="Arial" w:cs="Arial" w:eastAsia="Arial" w:hAnsi="Arial"/>
          <w:sz w:val="21"/>
          <w:szCs w:val="21"/>
          <w:i w:val="1"/>
          <w:iCs w:val="1"/>
          <w:color w:val="auto"/>
        </w:rPr>
        <w:t>Conversion upon Satisfaction of Note Trading Price Condition</w:t>
      </w:r>
      <w:r>
        <w:rPr>
          <w:rFonts w:ascii="Arial" w:cs="Arial" w:eastAsia="Arial" w:hAnsi="Arial"/>
          <w:sz w:val="21"/>
          <w:szCs w:val="21"/>
          <w:color w:val="auto"/>
        </w:rPr>
        <w:t>. A Holder may convert its Notes</w:t>
      </w:r>
      <w:r>
        <w:rPr>
          <w:rFonts w:ascii="Arial" w:cs="Arial" w:eastAsia="Arial" w:hAnsi="Arial"/>
          <w:sz w:val="21"/>
          <w:szCs w:val="21"/>
          <w:i w:val="1"/>
          <w:iCs w:val="1"/>
          <w:color w:val="auto"/>
        </w:rPr>
        <w:t xml:space="preserve"> </w:t>
      </w:r>
      <w:r>
        <w:rPr>
          <w:rFonts w:ascii="Arial" w:cs="Arial" w:eastAsia="Arial" w:hAnsi="Arial"/>
          <w:sz w:val="21"/>
          <w:szCs w:val="21"/>
          <w:color w:val="auto"/>
        </w:rPr>
        <w:t>during the five (5) consecutive Business Days immediately after any ten (10) consecutive Trading Day period (such ten (10) consecutive Trading Day period, the “</w:t>
      </w:r>
      <w:r>
        <w:rPr>
          <w:rFonts w:ascii="Arial" w:cs="Arial" w:eastAsia="Arial" w:hAnsi="Arial"/>
          <w:sz w:val="21"/>
          <w:szCs w:val="21"/>
          <w:b w:val="1"/>
          <w:bCs w:val="1"/>
          <w:color w:val="auto"/>
        </w:rPr>
        <w:t>Measurement Period</w:t>
      </w:r>
      <w:r>
        <w:rPr>
          <w:rFonts w:ascii="Arial" w:cs="Arial" w:eastAsia="Arial" w:hAnsi="Arial"/>
          <w:sz w:val="21"/>
          <w:szCs w:val="21"/>
          <w:color w:val="auto"/>
        </w:rPr>
        <w:t>”) if the Trading Price per $1,000 principal amount of Notes, as determined following a request by a Holder in accordance with the procedures and conditions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Arial" w:cs="Arial" w:eastAsia="Arial" w:hAnsi="Arial"/>
          <w:sz w:val="21"/>
          <w:szCs w:val="21"/>
          <w:b w:val="1"/>
          <w:bCs w:val="1"/>
          <w:color w:val="auto"/>
        </w:rPr>
        <w:t>Trading Price Condition</w:t>
      </w:r>
      <w:r>
        <w:rPr>
          <w:rFonts w:ascii="Arial" w:cs="Arial" w:eastAsia="Arial" w:hAnsi="Arial"/>
          <w:sz w:val="21"/>
          <w:szCs w:val="21"/>
          <w:color w:val="auto"/>
        </w:rPr>
        <w:t>.”</w:t>
      </w:r>
    </w:p>
    <w:p>
      <w:pPr>
        <w:spacing w:after="0" w:line="121" w:lineRule="exact"/>
        <w:rPr>
          <w:sz w:val="20"/>
          <w:szCs w:val="20"/>
          <w:color w:val="auto"/>
        </w:rPr>
      </w:pPr>
    </w:p>
    <w:p>
      <w:pPr>
        <w:jc w:val="both"/>
        <w:ind w:left="1300"/>
        <w:spacing w:after="0" w:line="285" w:lineRule="auto"/>
        <w:rPr>
          <w:sz w:val="20"/>
          <w:szCs w:val="20"/>
          <w:color w:val="auto"/>
        </w:rPr>
      </w:pPr>
      <w:r>
        <w:rPr>
          <w:rFonts w:ascii="Arial" w:cs="Arial" w:eastAsia="Arial" w:hAnsi="Arial"/>
          <w:sz w:val="19"/>
          <w:szCs w:val="19"/>
          <w:color w:val="auto"/>
        </w:rPr>
        <w:t xml:space="preserve">The Trading Price will be determined by the Bid Solicitation Agent pursuant to this </w:t>
      </w:r>
      <w:r>
        <w:rPr>
          <w:rFonts w:ascii="Arial" w:cs="Arial" w:eastAsia="Arial" w:hAnsi="Arial"/>
          <w:sz w:val="19"/>
          <w:szCs w:val="19"/>
          <w:b w:val="1"/>
          <w:bCs w:val="1"/>
          <w:color w:val="auto"/>
        </w:rPr>
        <w:t>Section 5.01(C)(i)(2)</w:t>
      </w:r>
      <w:r>
        <w:rPr>
          <w:rFonts w:ascii="Arial" w:cs="Arial" w:eastAsia="Arial" w:hAnsi="Arial"/>
          <w:sz w:val="19"/>
          <w:szCs w:val="19"/>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or otherwise determine the Trading Price itself) unless a Holder(s) of at least one million dollars ($1,000,000) aggregate principal amount of Notes request(s) in writing that the Company make such a determination and provide(s) the Company with reasonable evidence that the Trading Price per $1,000 principal amount of Notes would be less than ninety eight percent (98%) of the product of the Last Reported Sale Price per share of Common Stock and the Conversion Rate on such Trading Day. If such Holder(s) so request(s) or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348" w:right="339" w:bottom="1440" w:gutter="0" w:footer="0" w:header="0"/>
        </w:sectPr>
      </w:pPr>
    </w:p>
    <w:bookmarkStart w:id="48" w:name="page49"/>
    <w:bookmarkEnd w:id="48"/>
    <w:p>
      <w:pPr>
        <w:ind w:left="180"/>
        <w:spacing w:after="0"/>
        <w:rPr>
          <w:sz w:val="20"/>
          <w:szCs w:val="20"/>
          <w:color w:val="auto"/>
        </w:rPr>
      </w:pPr>
      <w:r>
        <w:rPr>
          <w:rFonts w:ascii="Arial" w:cs="Arial" w:eastAsia="Arial" w:hAnsi="Arial"/>
          <w:sz w:val="22"/>
          <w:szCs w:val="22"/>
          <w:color w:val="auto"/>
        </w:rPr>
        <w:t>Company will notify the Holders, the Trustee and the Conversion Agent of the same.</w:t>
      </w:r>
    </w:p>
    <w:p>
      <w:pPr>
        <w:spacing w:after="0" w:line="166" w:lineRule="exact"/>
        <w:rPr>
          <w:sz w:val="20"/>
          <w:szCs w:val="20"/>
          <w:color w:val="auto"/>
        </w:rPr>
      </w:pPr>
    </w:p>
    <w:p>
      <w:pPr>
        <w:ind w:left="1260" w:hanging="428"/>
        <w:spacing w:after="0"/>
        <w:tabs>
          <w:tab w:leader="none" w:pos="1260"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Conversion upon Specified Corporate Events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900" w:hanging="420"/>
        <w:spacing w:after="0"/>
        <w:tabs>
          <w:tab w:leader="none" w:pos="1900" w:val="left"/>
        </w:tabs>
        <w:numPr>
          <w:ilvl w:val="1"/>
          <w:numId w:val="61"/>
        </w:numPr>
        <w:rPr>
          <w:rFonts w:ascii="Arial" w:cs="Arial" w:eastAsia="Arial" w:hAnsi="Arial"/>
          <w:sz w:val="22"/>
          <w:szCs w:val="22"/>
          <w:color w:val="auto"/>
        </w:rPr>
      </w:pPr>
      <w:r>
        <w:rPr>
          <w:rFonts w:ascii="Arial" w:cs="Arial" w:eastAsia="Arial" w:hAnsi="Arial"/>
          <w:sz w:val="22"/>
          <w:szCs w:val="22"/>
          <w:i w:val="1"/>
          <w:iCs w:val="1"/>
          <w:color w:val="auto"/>
        </w:rPr>
        <w:t>Certain Distributions</w:t>
      </w:r>
      <w:r>
        <w:rPr>
          <w:rFonts w:ascii="Arial" w:cs="Arial" w:eastAsia="Arial" w:hAnsi="Arial"/>
          <w:sz w:val="22"/>
          <w:szCs w:val="22"/>
          <w:color w:val="auto"/>
        </w:rPr>
        <w:t>. If the Company elects to:</w:t>
      </w:r>
    </w:p>
    <w:p>
      <w:pPr>
        <w:spacing w:after="0" w:line="179" w:lineRule="exact"/>
        <w:rPr>
          <w:rFonts w:ascii="Arial" w:cs="Arial" w:eastAsia="Arial" w:hAnsi="Arial"/>
          <w:sz w:val="22"/>
          <w:szCs w:val="22"/>
          <w:color w:val="auto"/>
        </w:rPr>
      </w:pPr>
    </w:p>
    <w:p>
      <w:pPr>
        <w:jc w:val="both"/>
        <w:ind w:left="1480" w:firstLine="648"/>
        <w:spacing w:after="0" w:line="290" w:lineRule="auto"/>
        <w:tabs>
          <w:tab w:leader="none" w:pos="2591" w:val="left"/>
        </w:tabs>
        <w:numPr>
          <w:ilvl w:val="2"/>
          <w:numId w:val="61"/>
        </w:numPr>
        <w:rPr>
          <w:rFonts w:ascii="Arial" w:cs="Arial" w:eastAsia="Arial" w:hAnsi="Arial"/>
          <w:sz w:val="19"/>
          <w:szCs w:val="19"/>
          <w:color w:val="auto"/>
        </w:rPr>
      </w:pPr>
      <w:r>
        <w:rPr>
          <w:rFonts w:ascii="Arial" w:cs="Arial" w:eastAsia="Arial" w:hAnsi="Arial"/>
          <w:sz w:val="19"/>
          <w:szCs w:val="19"/>
          <w:color w:val="auto"/>
        </w:rPr>
        <w:t xml:space="preserve">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Arial" w:cs="Arial" w:eastAsia="Arial" w:hAnsi="Arial"/>
          <w:sz w:val="19"/>
          <w:szCs w:val="19"/>
          <w:b w:val="1"/>
          <w:bCs w:val="1"/>
          <w:color w:val="auto"/>
        </w:rPr>
        <w:t>clause (I)</w:t>
      </w:r>
      <w:r>
        <w:rPr>
          <w:rFonts w:ascii="Arial" w:cs="Arial" w:eastAsia="Arial" w:hAnsi="Arial"/>
          <w:sz w:val="19"/>
          <w:szCs w:val="19"/>
          <w:color w:val="auto"/>
        </w:rPr>
        <w:t xml:space="preserve"> upon their separation from the Common Stock or upon the occurrence of such triggering event) entitling them,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Arial" w:cs="Arial" w:eastAsia="Arial" w:hAnsi="Arial"/>
          <w:sz w:val="19"/>
          <w:szCs w:val="19"/>
          <w:b w:val="1"/>
          <w:bCs w:val="1"/>
          <w:color w:val="auto"/>
        </w:rPr>
        <w:t>Section 5.05(A)(ii)</w:t>
      </w:r>
      <w:r>
        <w:rPr>
          <w:rFonts w:ascii="Arial" w:cs="Arial" w:eastAsia="Arial" w:hAnsi="Arial"/>
          <w:sz w:val="19"/>
          <w:szCs w:val="19"/>
          <w:color w:val="auto"/>
        </w:rPr>
        <w:t>); or</w:t>
      </w:r>
    </w:p>
    <w:p>
      <w:pPr>
        <w:spacing w:after="0" w:line="100" w:lineRule="exact"/>
        <w:rPr>
          <w:sz w:val="20"/>
          <w:szCs w:val="20"/>
          <w:color w:val="auto"/>
        </w:rPr>
      </w:pPr>
    </w:p>
    <w:p>
      <w:pPr>
        <w:jc w:val="both"/>
        <w:ind w:left="1480" w:firstLine="648"/>
        <w:spacing w:after="0" w:line="291" w:lineRule="auto"/>
        <w:tabs>
          <w:tab w:leader="none" w:pos="2650" w:val="left"/>
        </w:tabs>
        <w:numPr>
          <w:ilvl w:val="0"/>
          <w:numId w:val="62"/>
        </w:numPr>
        <w:rPr>
          <w:rFonts w:ascii="Arial" w:cs="Arial" w:eastAsia="Arial" w:hAnsi="Arial"/>
          <w:sz w:val="19"/>
          <w:szCs w:val="19"/>
          <w:color w:val="auto"/>
        </w:rPr>
      </w:pPr>
      <w:r>
        <w:rPr>
          <w:rFonts w:ascii="Arial" w:cs="Arial" w:eastAsia="Arial" w:hAnsi="Arial"/>
          <w:sz w:val="19"/>
          <w:szCs w:val="19"/>
          <w:color w:val="auto"/>
        </w:rPr>
        <w:t>distribute, to all or substantially all holders of Common Stock, assets or securities of the Company or rights to purchase the Company’s securities (other than rights issued pursuant to a stockholder rights plan, so long as such rights have not separated from the Common Stock and are not exercisable until the occurrence of a triggering event, except that such rights will be deemed to be distributed under this clause (II) upon their separation from the Common Stock or upon the occurrence of such triggering event),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spacing w:after="0" w:line="100" w:lineRule="exact"/>
        <w:rPr>
          <w:sz w:val="20"/>
          <w:szCs w:val="20"/>
          <w:color w:val="auto"/>
        </w:rPr>
      </w:pPr>
    </w:p>
    <w:p>
      <w:pPr>
        <w:jc w:val="both"/>
        <w:ind w:left="840"/>
        <w:spacing w:after="0" w:line="259" w:lineRule="auto"/>
        <w:rPr>
          <w:sz w:val="20"/>
          <w:szCs w:val="20"/>
          <w:color w:val="auto"/>
        </w:rPr>
      </w:pPr>
      <w:r>
        <w:rPr>
          <w:rFonts w:ascii="Arial" w:cs="Arial" w:eastAsia="Arial" w:hAnsi="Arial"/>
          <w:sz w:val="21"/>
          <w:szCs w:val="21"/>
          <w:color w:val="auto"/>
        </w:rPr>
        <w:t>then, in either case, (x) the Company will send notice of such distribution, and of the related right to convert Notes, to Holders, the Trustee and the Conversion Agent at least fifty (50) Scheduled Trading Days before the Ex-Dividend Date for such distribution (or, if later in the case of any such separation of rights issued pursuant to a stockholder rights plan or the occurrence of any such triggering event under a stockholder rights plan, as soon as reasonably practicable after the Company becomes aware that such separation or triggering event has occurred or will occur); and (y) once the Company has sent such notice, Holders may convert their Notes at any time until the earlier of the Close of Business on the Business Day immediately</w:t>
      </w:r>
    </w:p>
    <w:p>
      <w:pPr>
        <w:spacing w:after="0" w:line="33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0120"/>
          </w:cols>
          <w:pgMar w:left="1440" w:top="348" w:right="339" w:bottom="1440" w:gutter="0" w:footer="0" w:header="0"/>
        </w:sectPr>
      </w:pPr>
    </w:p>
    <w:bookmarkStart w:id="49" w:name="page50"/>
    <w:bookmarkEnd w:id="49"/>
    <w:p>
      <w:pPr>
        <w:ind w:left="1300"/>
        <w:spacing w:after="0"/>
        <w:rPr>
          <w:sz w:val="20"/>
          <w:szCs w:val="20"/>
          <w:color w:val="auto"/>
        </w:rPr>
      </w:pPr>
      <w:r>
        <w:rPr>
          <w:rFonts w:ascii="Arial" w:cs="Arial" w:eastAsia="Arial" w:hAnsi="Arial"/>
          <w:sz w:val="19"/>
          <w:szCs w:val="19"/>
          <w:color w:val="auto"/>
        </w:rPr>
        <w:t>before such Ex-Dividend Date and the Company’s announcement that such distribution will not take place.</w:t>
      </w:r>
    </w:p>
    <w:p>
      <w:pPr>
        <w:spacing w:after="0" w:line="194" w:lineRule="exact"/>
        <w:rPr>
          <w:sz w:val="20"/>
          <w:szCs w:val="20"/>
          <w:color w:val="auto"/>
        </w:rPr>
      </w:pPr>
    </w:p>
    <w:p>
      <w:pPr>
        <w:jc w:val="both"/>
        <w:ind w:left="1300"/>
        <w:spacing w:after="0" w:line="295" w:lineRule="auto"/>
        <w:rPr>
          <w:sz w:val="20"/>
          <w:szCs w:val="20"/>
          <w:color w:val="auto"/>
        </w:rPr>
      </w:pPr>
      <w:r>
        <w:rPr>
          <w:rFonts w:ascii="Arial" w:cs="Arial" w:eastAsia="Arial" w:hAnsi="Arial"/>
          <w:sz w:val="19"/>
          <w:szCs w:val="19"/>
          <w:color w:val="auto"/>
        </w:rPr>
        <w:t xml:space="preserve">The Notes will not become convertible pursuant to this </w:t>
      </w:r>
      <w:r>
        <w:rPr>
          <w:rFonts w:ascii="Arial" w:cs="Arial" w:eastAsia="Arial" w:hAnsi="Arial"/>
          <w:sz w:val="19"/>
          <w:szCs w:val="19"/>
          <w:b w:val="1"/>
          <w:bCs w:val="1"/>
          <w:color w:val="auto"/>
        </w:rPr>
        <w:t>Section 5.01(C)(i)(3)(a)</w:t>
      </w:r>
      <w:r>
        <w:rPr>
          <w:rFonts w:ascii="Arial" w:cs="Arial" w:eastAsia="Arial" w:hAnsi="Arial"/>
          <w:sz w:val="19"/>
          <w:szCs w:val="19"/>
          <w:color w:val="auto"/>
        </w:rPr>
        <w:t xml:space="preserve"> (but the Company will still be required to send notice of the distribution as described above), if each Holder participates in such distribution, at the same time and upon the same terms as holders of the Common Stock and solely as a result of holding the Notes, without having to convert its Notes, as if it held a number of shares of Common Stock equal to the Conversion Rate on the related Record Date for the distribution, multiplied by the aggregate principal amount (expressed in thousands) of Notes held by such Holder on such date.</w:t>
      </w:r>
    </w:p>
    <w:p>
      <w:pPr>
        <w:spacing w:after="0" w:line="96" w:lineRule="exact"/>
        <w:rPr>
          <w:sz w:val="20"/>
          <w:szCs w:val="20"/>
          <w:color w:val="auto"/>
        </w:rPr>
      </w:pPr>
    </w:p>
    <w:p>
      <w:pPr>
        <w:jc w:val="both"/>
        <w:ind w:left="1300" w:firstLine="640"/>
        <w:spacing w:after="0" w:line="288" w:lineRule="auto"/>
        <w:tabs>
          <w:tab w:leader="none" w:pos="2528" w:val="left"/>
        </w:tabs>
        <w:numPr>
          <w:ilvl w:val="1"/>
          <w:numId w:val="63"/>
        </w:numPr>
        <w:rPr>
          <w:rFonts w:ascii="Arial" w:cs="Arial" w:eastAsia="Arial" w:hAnsi="Arial"/>
          <w:sz w:val="19"/>
          <w:szCs w:val="19"/>
          <w:color w:val="auto"/>
        </w:rPr>
      </w:pPr>
      <w:r>
        <w:rPr>
          <w:rFonts w:ascii="Arial" w:cs="Arial" w:eastAsia="Arial" w:hAnsi="Arial"/>
          <w:sz w:val="19"/>
          <w:szCs w:val="19"/>
          <w:i w:val="1"/>
          <w:iCs w:val="1"/>
          <w:color w:val="auto"/>
        </w:rPr>
        <w:t>Certain Corporate Events</w:t>
      </w:r>
      <w:r>
        <w:rPr>
          <w:rFonts w:ascii="Arial" w:cs="Arial" w:eastAsia="Arial" w:hAnsi="Arial"/>
          <w:sz w:val="19"/>
          <w:szCs w:val="19"/>
          <w:color w:val="auto"/>
        </w:rPr>
        <w:t>. If a Fundamental Change, Make-Whole Fundamental Change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(other than a Make-Whole Fundamental Change pursuant to </w:t>
      </w:r>
      <w:r>
        <w:rPr>
          <w:rFonts w:ascii="Arial" w:cs="Arial" w:eastAsia="Arial" w:hAnsi="Arial"/>
          <w:sz w:val="19"/>
          <w:szCs w:val="19"/>
          <w:b w:val="1"/>
          <w:bCs w:val="1"/>
          <w:color w:val="auto"/>
        </w:rPr>
        <w:t>clause (B)</w:t>
      </w:r>
      <w:r>
        <w:rPr>
          <w:rFonts w:ascii="Arial" w:cs="Arial" w:eastAsia="Arial" w:hAnsi="Arial"/>
          <w:sz w:val="19"/>
          <w:szCs w:val="19"/>
          <w:color w:val="auto"/>
        </w:rPr>
        <w:t xml:space="preserve"> of the definition thereof) or Common Stock Change Event occurs,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Company does not provide the notice referred to in the immediately following sentence by such effective date, then the last day on which the Notes are convertible pursuant to this sentence will be extended by the number of Business Days from, and including, such effective date to, but excluding, the date the Company provides such notice. No later than such effective date, the Company will send notice to the Holders, the Trustee and the Conversion Agent of such transaction or event, such effective date and the related right to convert Notes.</w:t>
      </w:r>
    </w:p>
    <w:p>
      <w:pPr>
        <w:spacing w:after="0" w:line="107" w:lineRule="exact"/>
        <w:rPr>
          <w:rFonts w:ascii="Arial" w:cs="Arial" w:eastAsia="Arial" w:hAnsi="Arial"/>
          <w:sz w:val="19"/>
          <w:szCs w:val="19"/>
          <w:color w:val="auto"/>
        </w:rPr>
      </w:pPr>
    </w:p>
    <w:p>
      <w:pPr>
        <w:jc w:val="both"/>
        <w:ind w:left="640" w:firstLine="652"/>
        <w:spacing w:after="0" w:line="249" w:lineRule="auto"/>
        <w:tabs>
          <w:tab w:leader="none" w:pos="1733"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Conversion upon Redemption</w:t>
      </w:r>
      <w:r>
        <w:rPr>
          <w:rFonts w:ascii="Arial" w:cs="Arial" w:eastAsia="Arial" w:hAnsi="Arial"/>
          <w:sz w:val="22"/>
          <w:szCs w:val="22"/>
          <w:color w:val="auto"/>
        </w:rPr>
        <w:t>. If the Company calls all or any Notes for Redemption, then the Holder</w:t>
      </w:r>
      <w:r>
        <w:rPr>
          <w:rFonts w:ascii="Arial" w:cs="Arial" w:eastAsia="Arial" w:hAnsi="Arial"/>
          <w:sz w:val="22"/>
          <w:szCs w:val="22"/>
          <w:i w:val="1"/>
          <w:iCs w:val="1"/>
          <w:color w:val="auto"/>
        </w:rPr>
        <w:t xml:space="preserve"> </w:t>
      </w:r>
      <w:r>
        <w:rPr>
          <w:rFonts w:ascii="Arial" w:cs="Arial" w:eastAsia="Arial" w:hAnsi="Arial"/>
          <w:sz w:val="22"/>
          <w:szCs w:val="22"/>
          <w:color w:val="auto"/>
        </w:rPr>
        <w:t>of any Note called for Redemption may convert such Note at any time before the Close of Business on the Business Day immediately before the related Redemption Date (or, if the Company fails to pay the Redemption Price due on such Redemption Date in full, at any time until such time as the Company pays such Redemption Price in full). After that time, the right to convert such Notes on account of the Company’s delivery of the Notice of Redemption will expire.</w:t>
      </w:r>
    </w:p>
    <w:p>
      <w:pPr>
        <w:spacing w:after="0" w:line="139" w:lineRule="exact"/>
        <w:rPr>
          <w:rFonts w:ascii="Arial" w:cs="Arial" w:eastAsia="Arial" w:hAnsi="Arial"/>
          <w:sz w:val="22"/>
          <w:szCs w:val="22"/>
          <w:color w:val="auto"/>
        </w:rPr>
      </w:pPr>
    </w:p>
    <w:p>
      <w:pPr>
        <w:jc w:val="both"/>
        <w:ind w:left="640" w:firstLine="652"/>
        <w:spacing w:after="0" w:line="259" w:lineRule="auto"/>
        <w:tabs>
          <w:tab w:leader="none" w:pos="1787"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Conversions During Free Convertibility Period</w:t>
      </w:r>
      <w:r>
        <w:rPr>
          <w:rFonts w:ascii="Arial" w:cs="Arial" w:eastAsia="Arial" w:hAnsi="Arial"/>
          <w:sz w:val="22"/>
          <w:szCs w:val="22"/>
          <w:color w:val="auto"/>
        </w:rPr>
        <w:t>. A Holder may convert its Notes at any time from,</w:t>
      </w:r>
      <w:r>
        <w:rPr>
          <w:rFonts w:ascii="Arial" w:cs="Arial" w:eastAsia="Arial" w:hAnsi="Arial"/>
          <w:sz w:val="22"/>
          <w:szCs w:val="22"/>
          <w:i w:val="1"/>
          <w:iCs w:val="1"/>
          <w:color w:val="auto"/>
        </w:rPr>
        <w:t xml:space="preserve"> </w:t>
      </w:r>
      <w:r>
        <w:rPr>
          <w:rFonts w:ascii="Arial" w:cs="Arial" w:eastAsia="Arial" w:hAnsi="Arial"/>
          <w:sz w:val="22"/>
          <w:szCs w:val="22"/>
          <w:color w:val="auto"/>
        </w:rPr>
        <w:t>and including, February 15, 2025 until the Close of Business on the second (2nd) Scheduled Trading Day immediately before the Maturity Date.</w:t>
      </w:r>
    </w:p>
    <w:p>
      <w:pPr>
        <w:spacing w:after="0" w:line="1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For the avoidance of doubt, the Notes may become convertible pursuant to any one or more of the preceding sub-paragraphs of this </w:t>
      </w:r>
      <w:r>
        <w:rPr>
          <w:rFonts w:ascii="Arial" w:cs="Arial" w:eastAsia="Arial" w:hAnsi="Arial"/>
          <w:sz w:val="22"/>
          <w:szCs w:val="22"/>
          <w:b w:val="1"/>
          <w:bCs w:val="1"/>
          <w:color w:val="auto"/>
        </w:rPr>
        <w:t>Section 5.01(C)(i)</w:t>
      </w:r>
      <w:r>
        <w:rPr>
          <w:rFonts w:ascii="Arial" w:cs="Arial" w:eastAsia="Arial" w:hAnsi="Arial"/>
          <w:sz w:val="22"/>
          <w:szCs w:val="22"/>
          <w:color w:val="auto"/>
        </w:rPr>
        <w:t xml:space="preserve"> and the Notes ceasing to be</w:t>
      </w:r>
    </w:p>
    <w:p>
      <w:pPr>
        <w:spacing w:after="0" w:line="166"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580"/>
          </w:cols>
          <w:pgMar w:left="980" w:top="348" w:right="339" w:bottom="1440" w:gutter="0" w:footer="0" w:header="0"/>
        </w:sectPr>
      </w:pPr>
    </w:p>
    <w:bookmarkStart w:id="50" w:name="page51"/>
    <w:bookmarkEnd w:id="50"/>
    <w:p>
      <w:pPr>
        <w:ind w:left="660"/>
        <w:spacing w:after="0" w:line="269" w:lineRule="auto"/>
        <w:rPr>
          <w:sz w:val="20"/>
          <w:szCs w:val="20"/>
          <w:color w:val="auto"/>
        </w:rPr>
      </w:pPr>
      <w:r>
        <w:rPr>
          <w:rFonts w:ascii="Arial" w:cs="Arial" w:eastAsia="Arial" w:hAnsi="Arial"/>
          <w:sz w:val="22"/>
          <w:szCs w:val="22"/>
          <w:color w:val="auto"/>
        </w:rPr>
        <w:t xml:space="preserve">convertible pursuant to a particular sub-paragraph of this </w:t>
      </w:r>
      <w:r>
        <w:rPr>
          <w:rFonts w:ascii="Arial" w:cs="Arial" w:eastAsia="Arial" w:hAnsi="Arial"/>
          <w:sz w:val="22"/>
          <w:szCs w:val="22"/>
          <w:b w:val="1"/>
          <w:bCs w:val="1"/>
          <w:color w:val="auto"/>
        </w:rPr>
        <w:t>Section 5.01(C)(i)</w:t>
      </w:r>
      <w:r>
        <w:rPr>
          <w:rFonts w:ascii="Arial" w:cs="Arial" w:eastAsia="Arial" w:hAnsi="Arial"/>
          <w:sz w:val="22"/>
          <w:szCs w:val="22"/>
          <w:color w:val="auto"/>
        </w:rPr>
        <w:t xml:space="preserve"> will not preclude the Notes from being convertible pursuant to any other sub-paragraph of this </w:t>
      </w:r>
      <w:r>
        <w:rPr>
          <w:rFonts w:ascii="Arial" w:cs="Arial" w:eastAsia="Arial" w:hAnsi="Arial"/>
          <w:sz w:val="22"/>
          <w:szCs w:val="22"/>
          <w:b w:val="1"/>
          <w:bCs w:val="1"/>
          <w:color w:val="auto"/>
        </w:rPr>
        <w:t>Section 5.01(C)(i)</w:t>
      </w:r>
      <w:r>
        <w:rPr>
          <w:rFonts w:ascii="Arial" w:cs="Arial" w:eastAsia="Arial" w:hAnsi="Arial"/>
          <w:sz w:val="22"/>
          <w:szCs w:val="22"/>
          <w:color w:val="auto"/>
        </w:rPr>
        <w:t>.</w:t>
      </w:r>
    </w:p>
    <w:p>
      <w:pPr>
        <w:spacing w:after="0" w:line="208" w:lineRule="exact"/>
        <w:rPr>
          <w:sz w:val="20"/>
          <w:szCs w:val="20"/>
          <w:color w:val="auto"/>
        </w:rPr>
      </w:pPr>
    </w:p>
    <w:p>
      <w:pPr>
        <w:ind w:left="1740" w:hanging="436"/>
        <w:spacing w:after="0"/>
        <w:tabs>
          <w:tab w:leader="none" w:pos="1740" w:val="left"/>
        </w:tabs>
        <w:numPr>
          <w:ilvl w:val="0"/>
          <w:numId w:val="65"/>
        </w:numPr>
        <w:rPr>
          <w:rFonts w:ascii="Arial" w:cs="Arial" w:eastAsia="Arial" w:hAnsi="Arial"/>
          <w:sz w:val="19"/>
          <w:szCs w:val="19"/>
          <w:color w:val="auto"/>
        </w:rPr>
      </w:pPr>
      <w:r>
        <w:rPr>
          <w:rFonts w:ascii="Arial" w:cs="Arial" w:eastAsia="Arial" w:hAnsi="Arial"/>
          <w:sz w:val="19"/>
          <w:szCs w:val="19"/>
          <w:i w:val="1"/>
          <w:iCs w:val="1"/>
          <w:color w:val="auto"/>
        </w:rPr>
        <w:t>Limitations and Closed Periods</w:t>
      </w:r>
      <w:r>
        <w:rPr>
          <w:rFonts w:ascii="Arial" w:cs="Arial" w:eastAsia="Arial" w:hAnsi="Arial"/>
          <w:sz w:val="19"/>
          <w:szCs w:val="19"/>
          <w:color w:val="auto"/>
        </w:rPr>
        <w:t>. Notwithstanding anything to the contrary in this Indenture or the Notes:</w:t>
      </w:r>
    </w:p>
    <w:p>
      <w:pPr>
        <w:spacing w:after="0" w:line="267" w:lineRule="exact"/>
        <w:rPr>
          <w:rFonts w:ascii="Arial" w:cs="Arial" w:eastAsia="Arial" w:hAnsi="Arial"/>
          <w:sz w:val="19"/>
          <w:szCs w:val="19"/>
          <w:color w:val="auto"/>
        </w:rPr>
      </w:pPr>
    </w:p>
    <w:p>
      <w:pPr>
        <w:ind w:left="1300" w:firstLine="652"/>
        <w:spacing w:after="0" w:line="276" w:lineRule="auto"/>
        <w:tabs>
          <w:tab w:leader="none" w:pos="2461" w:val="left"/>
        </w:tabs>
        <w:numPr>
          <w:ilvl w:val="1"/>
          <w:numId w:val="65"/>
        </w:numPr>
        <w:rPr>
          <w:rFonts w:ascii="Arial" w:cs="Arial" w:eastAsia="Arial" w:hAnsi="Arial"/>
          <w:sz w:val="22"/>
          <w:szCs w:val="22"/>
          <w:color w:val="auto"/>
        </w:rPr>
      </w:pPr>
      <w:r>
        <w:rPr>
          <w:rFonts w:ascii="Arial" w:cs="Arial" w:eastAsia="Arial" w:hAnsi="Arial"/>
          <w:sz w:val="22"/>
          <w:szCs w:val="22"/>
          <w:color w:val="auto"/>
        </w:rPr>
        <w:t>Notes may be surrendered for conversion only after the Open of Business and before the Close of Business on a day that is a Business Day;</w:t>
      </w:r>
    </w:p>
    <w:p>
      <w:pPr>
        <w:spacing w:after="0" w:line="160" w:lineRule="exact"/>
        <w:rPr>
          <w:rFonts w:ascii="Arial" w:cs="Arial" w:eastAsia="Arial" w:hAnsi="Arial"/>
          <w:sz w:val="22"/>
          <w:szCs w:val="22"/>
          <w:color w:val="auto"/>
        </w:rPr>
      </w:pPr>
    </w:p>
    <w:p>
      <w:pPr>
        <w:ind w:left="1300" w:firstLine="652"/>
        <w:spacing w:after="0" w:line="276" w:lineRule="auto"/>
        <w:tabs>
          <w:tab w:leader="none" w:pos="2447" w:val="left"/>
        </w:tabs>
        <w:numPr>
          <w:ilvl w:val="1"/>
          <w:numId w:val="65"/>
        </w:numPr>
        <w:rPr>
          <w:rFonts w:ascii="Arial" w:cs="Arial" w:eastAsia="Arial" w:hAnsi="Arial"/>
          <w:sz w:val="22"/>
          <w:szCs w:val="22"/>
          <w:color w:val="auto"/>
        </w:rPr>
      </w:pPr>
      <w:r>
        <w:rPr>
          <w:rFonts w:ascii="Arial" w:cs="Arial" w:eastAsia="Arial" w:hAnsi="Arial"/>
          <w:sz w:val="22"/>
          <w:szCs w:val="22"/>
          <w:color w:val="auto"/>
        </w:rPr>
        <w:t>in no event may any Note be converted after the Close of Business on the second (2nd) Scheduled Trading Day immediately before the Maturity Date;</w:t>
      </w:r>
    </w:p>
    <w:p>
      <w:pPr>
        <w:spacing w:after="0" w:line="154" w:lineRule="exact"/>
        <w:rPr>
          <w:rFonts w:ascii="Arial" w:cs="Arial" w:eastAsia="Arial" w:hAnsi="Arial"/>
          <w:sz w:val="22"/>
          <w:szCs w:val="22"/>
          <w:color w:val="auto"/>
        </w:rPr>
      </w:pPr>
    </w:p>
    <w:p>
      <w:pPr>
        <w:jc w:val="both"/>
        <w:ind w:left="1300" w:firstLine="652"/>
        <w:spacing w:after="0" w:line="256" w:lineRule="auto"/>
        <w:tabs>
          <w:tab w:leader="none" w:pos="2380"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if the Company calls any Note for Redemption pursuant to </w:t>
      </w:r>
      <w:r>
        <w:rPr>
          <w:rFonts w:ascii="Arial" w:cs="Arial" w:eastAsia="Arial" w:hAnsi="Arial"/>
          <w:sz w:val="22"/>
          <w:szCs w:val="22"/>
          <w:b w:val="1"/>
          <w:bCs w:val="1"/>
          <w:color w:val="auto"/>
        </w:rPr>
        <w:t>Section 4.03</w:t>
      </w:r>
      <w:r>
        <w:rPr>
          <w:rFonts w:ascii="Arial" w:cs="Arial" w:eastAsia="Arial" w:hAnsi="Arial"/>
          <w:sz w:val="22"/>
          <w:szCs w:val="22"/>
          <w:color w:val="auto"/>
        </w:rPr>
        <w:t>, then the Holder of such Note may not convert such Note after the Close of Business on the Business Day immediately before the applicable Redemption Date, except to the extent the Company fails to pay the Redemption Price for such Note in accordance with this Indenture; and</w:t>
      </w:r>
    </w:p>
    <w:p>
      <w:pPr>
        <w:spacing w:after="0" w:line="176" w:lineRule="exact"/>
        <w:rPr>
          <w:rFonts w:ascii="Arial" w:cs="Arial" w:eastAsia="Arial" w:hAnsi="Arial"/>
          <w:sz w:val="22"/>
          <w:szCs w:val="22"/>
          <w:color w:val="auto"/>
        </w:rPr>
      </w:pPr>
    </w:p>
    <w:p>
      <w:pPr>
        <w:jc w:val="both"/>
        <w:ind w:left="1300" w:firstLine="652"/>
        <w:spacing w:after="0" w:line="267" w:lineRule="auto"/>
        <w:tabs>
          <w:tab w:leader="none" w:pos="2461" w:val="left"/>
        </w:tabs>
        <w:numPr>
          <w:ilvl w:val="1"/>
          <w:numId w:val="65"/>
        </w:numPr>
        <w:rPr>
          <w:rFonts w:ascii="Arial" w:cs="Arial" w:eastAsia="Arial" w:hAnsi="Arial"/>
          <w:sz w:val="21"/>
          <w:szCs w:val="21"/>
          <w:color w:val="auto"/>
        </w:rPr>
      </w:pPr>
      <w:r>
        <w:rPr>
          <w:rFonts w:ascii="Arial" w:cs="Arial" w:eastAsia="Arial" w:hAnsi="Arial"/>
          <w:sz w:val="21"/>
          <w:szCs w:val="21"/>
          <w:color w:val="auto"/>
        </w:rPr>
        <w:t xml:space="preserve">if a Fundamental Change Repurchase Notice is validly delivered pursuant to </w:t>
      </w:r>
      <w:r>
        <w:rPr>
          <w:rFonts w:ascii="Arial" w:cs="Arial" w:eastAsia="Arial" w:hAnsi="Arial"/>
          <w:sz w:val="21"/>
          <w:szCs w:val="21"/>
          <w:b w:val="1"/>
          <w:bCs w:val="1"/>
          <w:color w:val="auto"/>
        </w:rPr>
        <w:t>Section 4.02(F)</w:t>
      </w:r>
      <w:r>
        <w:rPr>
          <w:rFonts w:ascii="Arial" w:cs="Arial" w:eastAsia="Arial" w:hAnsi="Arial"/>
          <w:sz w:val="21"/>
          <w:szCs w:val="21"/>
          <w:color w:val="auto"/>
        </w:rPr>
        <w:t xml:space="preserve"> with respect to any Note, then such Note may not be converted, except to the extent (a) such Note (or portion thereof) is not subject to such notice; (b) such notice is validly withdrawn in accordance with </w:t>
      </w:r>
      <w:r>
        <w:rPr>
          <w:rFonts w:ascii="Arial" w:cs="Arial" w:eastAsia="Arial" w:hAnsi="Arial"/>
          <w:sz w:val="21"/>
          <w:szCs w:val="21"/>
          <w:b w:val="1"/>
          <w:bCs w:val="1"/>
          <w:color w:val="auto"/>
        </w:rPr>
        <w:t>Section 4.02(F)</w:t>
      </w:r>
      <w:r>
        <w:rPr>
          <w:rFonts w:ascii="Arial" w:cs="Arial" w:eastAsia="Arial" w:hAnsi="Arial"/>
          <w:sz w:val="21"/>
          <w:szCs w:val="21"/>
          <w:color w:val="auto"/>
        </w:rPr>
        <w:t>; or (c) the Company fails to pay the Fundamental Change Repurchase Price for such Note on the Fundamental Change Repurchase Date in accordance with this Indenture.</w:t>
      </w:r>
    </w:p>
    <w:p>
      <w:pPr>
        <w:spacing w:after="0" w:line="16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5.02.</w:t>
      </w:r>
      <w:r>
        <w:rPr>
          <w:sz w:val="20"/>
          <w:szCs w:val="20"/>
          <w:color w:val="auto"/>
        </w:rPr>
        <w:tab/>
      </w:r>
      <w:r>
        <w:rPr>
          <w:rFonts w:ascii="Arial" w:cs="Arial" w:eastAsia="Arial" w:hAnsi="Arial"/>
          <w:sz w:val="21"/>
          <w:szCs w:val="21"/>
          <w:b w:val="1"/>
          <w:bCs w:val="1"/>
          <w:color w:val="auto"/>
        </w:rPr>
        <w:t>CONVERSION PROCEDURES.</w:t>
      </w:r>
    </w:p>
    <w:p>
      <w:pPr>
        <w:spacing w:after="0" w:line="239" w:lineRule="exact"/>
        <w:rPr>
          <w:sz w:val="20"/>
          <w:szCs w:val="20"/>
          <w:color w:val="auto"/>
        </w:rPr>
      </w:pPr>
    </w:p>
    <w:p>
      <w:pPr>
        <w:ind w:left="1140" w:hanging="484"/>
        <w:spacing w:after="0"/>
        <w:tabs>
          <w:tab w:leader="none" w:pos="1140"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Generally</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jc w:val="both"/>
        <w:ind w:left="660" w:firstLine="644"/>
        <w:spacing w:after="0" w:line="256" w:lineRule="auto"/>
        <w:tabs>
          <w:tab w:leader="none" w:pos="1692" w:val="left"/>
        </w:tabs>
        <w:numPr>
          <w:ilvl w:val="1"/>
          <w:numId w:val="66"/>
        </w:numPr>
        <w:rPr>
          <w:rFonts w:ascii="Arial" w:cs="Arial" w:eastAsia="Arial" w:hAnsi="Arial"/>
          <w:sz w:val="22"/>
          <w:szCs w:val="22"/>
          <w:color w:val="auto"/>
        </w:rPr>
      </w:pPr>
      <w:r>
        <w:rPr>
          <w:rFonts w:ascii="Arial" w:cs="Arial" w:eastAsia="Arial" w:hAnsi="Arial"/>
          <w:sz w:val="22"/>
          <w:szCs w:val="22"/>
          <w:i w:val="1"/>
          <w:iCs w:val="1"/>
          <w:color w:val="auto"/>
        </w:rPr>
        <w:t>Global Notes</w:t>
      </w:r>
      <w:r>
        <w:rPr>
          <w:rFonts w:ascii="Arial" w:cs="Arial" w:eastAsia="Arial" w:hAnsi="Arial"/>
          <w:sz w:val="22"/>
          <w:szCs w:val="22"/>
          <w:color w:val="auto"/>
        </w:rPr>
        <w:t>. To convert a beneficial interest in a Global Note that is convertible pursuant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5.01(C)</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owner of such beneficial interest must (1) comply with the Depositary Procedures for converting such beneficial interest (at which time such conversion will become irrevocable); and (2) pay any amounts due pursuant to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5.02(D) </w:t>
      </w:r>
      <w:r>
        <w:rPr>
          <w:rFonts w:ascii="Arial" w:cs="Arial" w:eastAsia="Arial" w:hAnsi="Arial"/>
          <w:sz w:val="22"/>
          <w:szCs w:val="22"/>
          <w:color w:val="auto"/>
        </w:rPr>
        <w:t>or</w:t>
      </w:r>
      <w:r>
        <w:rPr>
          <w:rFonts w:ascii="Arial" w:cs="Arial" w:eastAsia="Arial" w:hAnsi="Arial"/>
          <w:sz w:val="22"/>
          <w:szCs w:val="22"/>
          <w:b w:val="1"/>
          <w:bCs w:val="1"/>
          <w:color w:val="auto"/>
        </w:rPr>
        <w:t xml:space="preserve"> Section 5.02(E)</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jc w:val="both"/>
        <w:ind w:left="660" w:firstLine="644"/>
        <w:spacing w:after="0" w:line="251" w:lineRule="auto"/>
        <w:tabs>
          <w:tab w:leader="none" w:pos="1752" w:val="left"/>
        </w:tabs>
        <w:numPr>
          <w:ilvl w:val="1"/>
          <w:numId w:val="66"/>
        </w:numPr>
        <w:rPr>
          <w:rFonts w:ascii="Arial" w:cs="Arial" w:eastAsia="Arial" w:hAnsi="Arial"/>
          <w:sz w:val="22"/>
          <w:szCs w:val="22"/>
          <w:color w:val="auto"/>
        </w:rPr>
      </w:pPr>
      <w:r>
        <w:rPr>
          <w:rFonts w:ascii="Arial" w:cs="Arial" w:eastAsia="Arial" w:hAnsi="Arial"/>
          <w:sz w:val="22"/>
          <w:szCs w:val="22"/>
          <w:i w:val="1"/>
          <w:iCs w:val="1"/>
          <w:color w:val="auto"/>
        </w:rPr>
        <w:t>Physical Notes</w:t>
      </w:r>
      <w:r>
        <w:rPr>
          <w:rFonts w:ascii="Arial" w:cs="Arial" w:eastAsia="Arial" w:hAnsi="Arial"/>
          <w:sz w:val="22"/>
          <w:szCs w:val="22"/>
          <w:color w:val="auto"/>
        </w:rPr>
        <w:t>. To convert all or a portion of a Physical Note that is convertible pursuant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5.01(C)</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Holder of such Note must (1) complete, manually sign and deliver to the Conversion Agent the conversion notice attached to such Physical Note or a facsimile of such conversion notice (at which time such conversion will become irrevocable); (2) deliver such Physical Note to the Trustee; (3) furnish any endorsements and transfer documents that the Company, the Trustee or the Conversion Agent may require; and (4) pay any amounts due pursuant to </w:t>
      </w:r>
      <w:r>
        <w:rPr>
          <w:rFonts w:ascii="Arial" w:cs="Arial" w:eastAsia="Arial" w:hAnsi="Arial"/>
          <w:sz w:val="22"/>
          <w:szCs w:val="22"/>
          <w:b w:val="1"/>
          <w:bCs w:val="1"/>
          <w:color w:val="auto"/>
        </w:rPr>
        <w:t>Section 5.02(D)</w:t>
      </w:r>
      <w:r>
        <w:rPr>
          <w:rFonts w:ascii="Arial" w:cs="Arial" w:eastAsia="Arial" w:hAnsi="Arial"/>
          <w:sz w:val="22"/>
          <w:szCs w:val="22"/>
          <w:color w:val="auto"/>
        </w:rPr>
        <w:t xml:space="preserve"> or </w:t>
      </w:r>
      <w:r>
        <w:rPr>
          <w:rFonts w:ascii="Arial" w:cs="Arial" w:eastAsia="Arial" w:hAnsi="Arial"/>
          <w:sz w:val="22"/>
          <w:szCs w:val="22"/>
          <w:b w:val="1"/>
          <w:bCs w:val="1"/>
          <w:color w:val="auto"/>
        </w:rPr>
        <w:t>Section 5.02(E)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firstLine="656"/>
        <w:spacing w:after="0" w:line="276" w:lineRule="auto"/>
        <w:tabs>
          <w:tab w:leader="none" w:pos="1129"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Effect of Converting a Note</w:t>
      </w:r>
      <w:r>
        <w:rPr>
          <w:rFonts w:ascii="Arial" w:cs="Arial" w:eastAsia="Arial" w:hAnsi="Arial"/>
          <w:sz w:val="22"/>
          <w:szCs w:val="22"/>
          <w:color w:val="auto"/>
        </w:rPr>
        <w:t>. At the Close of Business on the Conversion Date for a Note (or any portion thereof) to</w:t>
      </w:r>
      <w:r>
        <w:rPr>
          <w:rFonts w:ascii="Arial" w:cs="Arial" w:eastAsia="Arial" w:hAnsi="Arial"/>
          <w:sz w:val="22"/>
          <w:szCs w:val="22"/>
          <w:i w:val="1"/>
          <w:iCs w:val="1"/>
          <w:color w:val="auto"/>
        </w:rPr>
        <w:t xml:space="preserve"> </w:t>
      </w:r>
      <w:r>
        <w:rPr>
          <w:rFonts w:ascii="Arial" w:cs="Arial" w:eastAsia="Arial" w:hAnsi="Arial"/>
          <w:sz w:val="22"/>
          <w:szCs w:val="22"/>
          <w:color w:val="auto"/>
        </w:rPr>
        <w:t>be converted, such Note (or such portion) will (unless there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342" w:right="339" w:bottom="1440" w:gutter="0" w:footer="0" w:header="0"/>
        </w:sectPr>
      </w:pPr>
    </w:p>
    <w:bookmarkStart w:id="51" w:name="page52"/>
    <w:bookmarkEnd w:id="51"/>
    <w:p>
      <w:pPr>
        <w:jc w:val="both"/>
        <w:spacing w:after="0" w:line="252" w:lineRule="auto"/>
        <w:rPr>
          <w:sz w:val="20"/>
          <w:szCs w:val="20"/>
          <w:color w:val="auto"/>
        </w:rPr>
      </w:pPr>
      <w:r>
        <w:rPr>
          <w:rFonts w:ascii="Arial" w:cs="Arial" w:eastAsia="Arial" w:hAnsi="Arial"/>
          <w:sz w:val="22"/>
          <w:szCs w:val="22"/>
          <w:color w:val="auto"/>
        </w:rPr>
        <w:t xml:space="preserve">occurs a Default in the delivery of the Conversion Consideration or interest due, pursuant to </w:t>
      </w:r>
      <w:r>
        <w:rPr>
          <w:rFonts w:ascii="Arial" w:cs="Arial" w:eastAsia="Arial" w:hAnsi="Arial"/>
          <w:sz w:val="22"/>
          <w:szCs w:val="22"/>
          <w:b w:val="1"/>
          <w:bCs w:val="1"/>
          <w:color w:val="auto"/>
        </w:rPr>
        <w:t>Section 5.03(B)</w:t>
      </w:r>
      <w:r>
        <w:rPr>
          <w:rFonts w:ascii="Arial" w:cs="Arial" w:eastAsia="Arial" w:hAnsi="Arial"/>
          <w:sz w:val="22"/>
          <w:szCs w:val="22"/>
          <w:color w:val="auto"/>
        </w:rPr>
        <w:t xml:space="preserve"> or </w:t>
      </w:r>
      <w:r>
        <w:rPr>
          <w:rFonts w:ascii="Arial" w:cs="Arial" w:eastAsia="Arial" w:hAnsi="Arial"/>
          <w:sz w:val="22"/>
          <w:szCs w:val="22"/>
          <w:b w:val="1"/>
          <w:bCs w:val="1"/>
          <w:color w:val="auto"/>
        </w:rPr>
        <w:t>Section 5.02(D)</w:t>
      </w:r>
      <w:r>
        <w:rPr>
          <w:rFonts w:ascii="Arial" w:cs="Arial" w:eastAsia="Arial" w:hAnsi="Arial"/>
          <w:sz w:val="22"/>
          <w:szCs w:val="22"/>
          <w:color w:val="auto"/>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Arial" w:cs="Arial" w:eastAsia="Arial" w:hAnsi="Arial"/>
          <w:sz w:val="22"/>
          <w:szCs w:val="22"/>
          <w:b w:val="1"/>
          <w:bCs w:val="1"/>
          <w:color w:val="auto"/>
        </w:rPr>
        <w:t>Section 5.02(D)</w:t>
      </w:r>
      <w:r>
        <w:rPr>
          <w:rFonts w:ascii="Arial" w:cs="Arial" w:eastAsia="Arial" w:hAnsi="Arial"/>
          <w:sz w:val="22"/>
          <w:szCs w:val="22"/>
          <w:color w:val="auto"/>
        </w:rPr>
        <w:t>.</w:t>
      </w:r>
    </w:p>
    <w:p>
      <w:pPr>
        <w:spacing w:after="0" w:line="78" w:lineRule="exact"/>
        <w:rPr>
          <w:sz w:val="20"/>
          <w:szCs w:val="20"/>
          <w:color w:val="auto"/>
        </w:rPr>
      </w:pPr>
    </w:p>
    <w:p>
      <w:pPr>
        <w:jc w:val="both"/>
        <w:ind w:firstLine="656"/>
        <w:spacing w:after="0" w:line="254" w:lineRule="auto"/>
        <w:tabs>
          <w:tab w:leader="none" w:pos="1170"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Holder of Record of Conversion Shares</w:t>
      </w:r>
      <w:r>
        <w:rPr>
          <w:rFonts w:ascii="Arial" w:cs="Arial" w:eastAsia="Arial" w:hAnsi="Arial"/>
          <w:sz w:val="22"/>
          <w:szCs w:val="22"/>
          <w:color w:val="auto"/>
        </w:rPr>
        <w:t>. The Person in whose name any share of Common Stock is issuable upon</w:t>
      </w:r>
      <w:r>
        <w:rPr>
          <w:rFonts w:ascii="Arial" w:cs="Arial" w:eastAsia="Arial" w:hAnsi="Arial"/>
          <w:sz w:val="22"/>
          <w:szCs w:val="22"/>
          <w:i w:val="1"/>
          <w:iCs w:val="1"/>
          <w:color w:val="auto"/>
        </w:rPr>
        <w:t xml:space="preserve"> </w:t>
      </w:r>
      <w:r>
        <w:rPr>
          <w:rFonts w:ascii="Arial" w:cs="Arial" w:eastAsia="Arial" w:hAnsi="Arial"/>
          <w:sz w:val="22"/>
          <w:szCs w:val="22"/>
          <w:color w:val="auto"/>
        </w:rPr>
        <w:t>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76" w:lineRule="exact"/>
        <w:rPr>
          <w:rFonts w:ascii="Arial" w:cs="Arial" w:eastAsia="Arial" w:hAnsi="Arial"/>
          <w:sz w:val="22"/>
          <w:szCs w:val="22"/>
          <w:color w:val="auto"/>
        </w:rPr>
      </w:pPr>
    </w:p>
    <w:p>
      <w:pPr>
        <w:jc w:val="both"/>
        <w:ind w:firstLine="656"/>
        <w:spacing w:after="0" w:line="285" w:lineRule="auto"/>
        <w:tabs>
          <w:tab w:leader="none" w:pos="1195"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Interest Payable upon Conversion in Certain Circumstances</w:t>
      </w:r>
      <w:r>
        <w:rPr>
          <w:rFonts w:ascii="Arial" w:cs="Arial" w:eastAsia="Arial" w:hAnsi="Arial"/>
          <w:sz w:val="19"/>
          <w:szCs w:val="19"/>
          <w:color w:val="auto"/>
        </w:rPr>
        <w:t>. If the Conversion Date of a Note is after a Regular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clause (i) above (regardless of whether the converting Holder was the Holder on the corresponding Regular Record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Holder surrendering such Note for conversion need not deliver such cash (w) if the Company has specified a Redemption Date that is after such Regular Record Date and on or before the Business Day immediately after such Interest Payment Date; (x) if such Conversion Date occurs after the Regular Record Date immediately before the Maturity Date; (y) if the Company has specified a Fundamental Change Repurchase Date that is after such Regular Record Date and on or before the Business Day immediately after such Interest Payment Date; or (z) to the extent of any overdue interest or interest that has accrued on any overdue interest, if any overdue interest exists at the time of conversion with respect to such Note. For the avoidance of doubt, as a result of, and without limiting the generality of, the foregoing, if a Note is converted with a Conversion Date that is after the Regular Record Date immediately before the Maturity Date, any Redemption Date and any Fundamental Change Repurchase Date described in clauses (w) through (z) above, then the Company will pay, as provided above, the interest that would have accrued on such Note to, but excluding, the Maturity Date or other applicable Interest Payment Date to Holders as of the Close of Business on the Regular Record Date immediately before the Maturity Date or other applicable Interest Payment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Arial" w:cs="Arial" w:eastAsia="Arial" w:hAnsi="Arial"/>
          <w:sz w:val="19"/>
          <w:szCs w:val="19"/>
          <w:b w:val="1"/>
          <w:bCs w:val="1"/>
          <w:color w:val="auto"/>
        </w:rPr>
        <w:t>Section 5.02(D)</w:t>
      </w:r>
      <w:r>
        <w:rPr>
          <w:rFonts w:ascii="Arial" w:cs="Arial" w:eastAsia="Arial" w:hAnsi="Arial"/>
          <w:sz w:val="19"/>
          <w:szCs w:val="19"/>
          <w:color w:val="auto"/>
        </w:rPr>
        <w:t>.</w:t>
      </w:r>
    </w:p>
    <w:p>
      <w:pPr>
        <w:spacing w:after="0" w:line="310" w:lineRule="exact"/>
        <w:rPr>
          <w:rFonts w:ascii="Arial" w:cs="Arial" w:eastAsia="Arial" w:hAnsi="Arial"/>
          <w:sz w:val="19"/>
          <w:szCs w:val="19"/>
          <w:color w:val="auto"/>
        </w:rPr>
      </w:pPr>
    </w:p>
    <w:p>
      <w:pPr>
        <w:jc w:val="both"/>
        <w:ind w:firstLine="656"/>
        <w:spacing w:after="0" w:line="259" w:lineRule="auto"/>
        <w:tabs>
          <w:tab w:leader="none" w:pos="1171"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 xml:space="preserve">Taxes and Duties. </w:t>
      </w:r>
      <w:r>
        <w:rPr>
          <w:rFonts w:ascii="Arial" w:cs="Arial" w:eastAsia="Arial" w:hAnsi="Arial"/>
          <w:sz w:val="22"/>
          <w:szCs w:val="22"/>
          <w:color w:val="auto"/>
        </w:rPr>
        <w:t>If a Holder converts a Note, the Company will pay any documentary, stamp or similar issue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transfer tax or duty due on the issue or delivery of any shares of Common Stock upon such conversion;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tax or duty is due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342" w:right="339" w:bottom="1440" w:gutter="0" w:footer="0" w:header="0"/>
        </w:sectPr>
      </w:pPr>
    </w:p>
    <w:bookmarkStart w:id="52" w:name="page53"/>
    <w:bookmarkEnd w:id="52"/>
    <w:p>
      <w:pPr>
        <w:jc w:val="both"/>
        <w:spacing w:after="0" w:line="253" w:lineRule="auto"/>
        <w:rPr>
          <w:sz w:val="20"/>
          <w:szCs w:val="20"/>
          <w:color w:val="auto"/>
        </w:rPr>
      </w:pPr>
      <w:r>
        <w:rPr>
          <w:rFonts w:ascii="Arial" w:cs="Arial" w:eastAsia="Arial" w:hAnsi="Arial"/>
          <w:sz w:val="22"/>
          <w:szCs w:val="22"/>
          <w:color w:val="auto"/>
        </w:rPr>
        <w:t>because such Holder requested such shares to be registered in a name other than such Holder’s name, then such Holder will pay such tax or duty and, until having received a sum sufficient to pay such tax or duty, the Conversion Agent may refuse to deliver any such shares to be registered in a name other than that of such Holder.</w:t>
      </w:r>
    </w:p>
    <w:p>
      <w:pPr>
        <w:spacing w:after="0" w:line="131" w:lineRule="exact"/>
        <w:rPr>
          <w:sz w:val="20"/>
          <w:szCs w:val="20"/>
          <w:color w:val="auto"/>
        </w:rPr>
      </w:pPr>
    </w:p>
    <w:p>
      <w:pPr>
        <w:jc w:val="both"/>
        <w:ind w:firstLine="656"/>
        <w:spacing w:after="0" w:line="297" w:lineRule="auto"/>
        <w:tabs>
          <w:tab w:leader="none" w:pos="1173"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Conversion Agent to Notify Company of Conversions</w:t>
      </w:r>
      <w:r>
        <w:rPr>
          <w:rFonts w:ascii="Arial" w:cs="Arial" w:eastAsia="Arial" w:hAnsi="Arial"/>
          <w:sz w:val="19"/>
          <w:szCs w:val="19"/>
          <w:color w:val="auto"/>
        </w:rPr>
        <w:t>. If any Note is submitted for conversion to the Conversion</w:t>
      </w:r>
      <w:r>
        <w:rPr>
          <w:rFonts w:ascii="Arial" w:cs="Arial" w:eastAsia="Arial" w:hAnsi="Arial"/>
          <w:sz w:val="19"/>
          <w:szCs w:val="19"/>
          <w:i w:val="1"/>
          <w:iCs w:val="1"/>
          <w:color w:val="auto"/>
        </w:rPr>
        <w:t xml:space="preserve"> </w:t>
      </w:r>
      <w:r>
        <w:rPr>
          <w:rFonts w:ascii="Arial" w:cs="Arial" w:eastAsia="Arial" w:hAnsi="Arial"/>
          <w:sz w:val="19"/>
          <w:szCs w:val="19"/>
          <w:color w:val="auto"/>
        </w:rPr>
        <w:t>Agent or the Conversion Agent receives any written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 For these purposes, conversion instructions with respect to any Global Note which instructions are delivered to the Conversion Agent by means of a “Voluntary Offering Instruction” pursuant to the Depositary Procedures will be deemed to be in writing.</w:t>
      </w:r>
    </w:p>
    <w:p>
      <w:pPr>
        <w:spacing w:after="0" w:line="86"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5.03.</w:t>
      </w:r>
      <w:r>
        <w:rPr>
          <w:sz w:val="20"/>
          <w:szCs w:val="20"/>
          <w:color w:val="auto"/>
        </w:rPr>
        <w:tab/>
      </w:r>
      <w:r>
        <w:rPr>
          <w:rFonts w:ascii="Arial" w:cs="Arial" w:eastAsia="Arial" w:hAnsi="Arial"/>
          <w:sz w:val="21"/>
          <w:szCs w:val="21"/>
          <w:b w:val="1"/>
          <w:bCs w:val="1"/>
          <w:color w:val="auto"/>
        </w:rPr>
        <w:t>SETTLEMENT UPON CONVERSION.</w:t>
      </w:r>
    </w:p>
    <w:p>
      <w:pPr>
        <w:spacing w:after="0" w:line="185" w:lineRule="exact"/>
        <w:rPr>
          <w:sz w:val="20"/>
          <w:szCs w:val="20"/>
          <w:color w:val="auto"/>
        </w:rPr>
      </w:pPr>
    </w:p>
    <w:p>
      <w:pPr>
        <w:jc w:val="both"/>
        <w:ind w:firstLine="656"/>
        <w:spacing w:after="0" w:line="300" w:lineRule="auto"/>
        <w:tabs>
          <w:tab w:leader="none" w:pos="1276"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Settlement Method</w:t>
      </w:r>
      <w:r>
        <w:rPr>
          <w:rFonts w:ascii="Arial" w:cs="Arial" w:eastAsia="Arial" w:hAnsi="Arial"/>
          <w:sz w:val="19"/>
          <w:szCs w:val="19"/>
          <w:color w:val="auto"/>
        </w:rPr>
        <w:t>. Upon the conversion of any Note, the Company will settle such conversion by paying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delivering, as applicable and as provided in this </w:t>
      </w:r>
      <w:r>
        <w:rPr>
          <w:rFonts w:ascii="Arial" w:cs="Arial" w:eastAsia="Arial" w:hAnsi="Arial"/>
          <w:sz w:val="19"/>
          <w:szCs w:val="19"/>
          <w:b w:val="1"/>
          <w:bCs w:val="1"/>
          <w:color w:val="auto"/>
        </w:rPr>
        <w:t>Article 5</w:t>
      </w:r>
      <w:r>
        <w:rPr>
          <w:rFonts w:ascii="Arial" w:cs="Arial" w:eastAsia="Arial" w:hAnsi="Arial"/>
          <w:sz w:val="19"/>
          <w:szCs w:val="19"/>
          <w:color w:val="auto"/>
        </w:rPr>
        <w:t xml:space="preserve">, either (x) shares of Common Stock, together, if applicable, with cash in lieu of fractional shares as provided in </w:t>
      </w:r>
      <w:r>
        <w:rPr>
          <w:rFonts w:ascii="Arial" w:cs="Arial" w:eastAsia="Arial" w:hAnsi="Arial"/>
          <w:sz w:val="19"/>
          <w:szCs w:val="19"/>
          <w:b w:val="1"/>
          <w:bCs w:val="1"/>
          <w:color w:val="auto"/>
        </w:rPr>
        <w:t>Section 5.03(B)(i)(1)</w:t>
      </w:r>
      <w:r>
        <w:rPr>
          <w:rFonts w:ascii="Arial" w:cs="Arial" w:eastAsia="Arial" w:hAnsi="Arial"/>
          <w:sz w:val="19"/>
          <w:szCs w:val="19"/>
          <w:color w:val="auto"/>
        </w:rPr>
        <w:t xml:space="preserve"> (a “</w:t>
      </w:r>
      <w:r>
        <w:rPr>
          <w:rFonts w:ascii="Arial" w:cs="Arial" w:eastAsia="Arial" w:hAnsi="Arial"/>
          <w:sz w:val="19"/>
          <w:szCs w:val="19"/>
          <w:b w:val="1"/>
          <w:bCs w:val="1"/>
          <w:color w:val="auto"/>
        </w:rPr>
        <w:t>Physical Settlement</w:t>
      </w:r>
      <w:r>
        <w:rPr>
          <w:rFonts w:ascii="Arial" w:cs="Arial" w:eastAsia="Arial" w:hAnsi="Arial"/>
          <w:sz w:val="19"/>
          <w:szCs w:val="19"/>
          <w:color w:val="auto"/>
        </w:rPr>
        <w:t xml:space="preserve">”); (y) solely cash as provided in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5.03(B)(i)(2) </w:t>
      </w:r>
      <w:r>
        <w:rPr>
          <w:rFonts w:ascii="Arial" w:cs="Arial" w:eastAsia="Arial" w:hAnsi="Arial"/>
          <w:sz w:val="19"/>
          <w:szCs w:val="19"/>
          <w:color w:val="auto"/>
        </w:rPr>
        <w:t>(a “</w:t>
      </w:r>
      <w:r>
        <w:rPr>
          <w:rFonts w:ascii="Arial" w:cs="Arial" w:eastAsia="Arial" w:hAnsi="Arial"/>
          <w:sz w:val="19"/>
          <w:szCs w:val="19"/>
          <w:b w:val="1"/>
          <w:bCs w:val="1"/>
          <w:color w:val="auto"/>
        </w:rPr>
        <w:t>Cash Settlement</w:t>
      </w:r>
      <w:r>
        <w:rPr>
          <w:rFonts w:ascii="Arial" w:cs="Arial" w:eastAsia="Arial" w:hAnsi="Arial"/>
          <w:sz w:val="19"/>
          <w:szCs w:val="19"/>
          <w:color w:val="auto"/>
        </w:rPr>
        <w:t>”); or (z) a combination of cash and shares of Common Stock, together, if applicable, with cash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lieu of fractional shares as provided in </w:t>
      </w:r>
      <w:r>
        <w:rPr>
          <w:rFonts w:ascii="Arial" w:cs="Arial" w:eastAsia="Arial" w:hAnsi="Arial"/>
          <w:sz w:val="19"/>
          <w:szCs w:val="19"/>
          <w:b w:val="1"/>
          <w:bCs w:val="1"/>
          <w:color w:val="auto"/>
        </w:rPr>
        <w:t>Section 5.03(B)(i)(3)</w:t>
      </w:r>
      <w:r>
        <w:rPr>
          <w:rFonts w:ascii="Arial" w:cs="Arial" w:eastAsia="Arial" w:hAnsi="Arial"/>
          <w:sz w:val="19"/>
          <w:szCs w:val="19"/>
          <w:color w:val="auto"/>
        </w:rPr>
        <w:t xml:space="preserve"> (a “</w:t>
      </w:r>
      <w:r>
        <w:rPr>
          <w:rFonts w:ascii="Arial" w:cs="Arial" w:eastAsia="Arial" w:hAnsi="Arial"/>
          <w:sz w:val="19"/>
          <w:szCs w:val="19"/>
          <w:b w:val="1"/>
          <w:bCs w:val="1"/>
          <w:color w:val="auto"/>
        </w:rPr>
        <w:t>Combination Settlement</w:t>
      </w:r>
      <w:r>
        <w:rPr>
          <w:rFonts w:ascii="Arial" w:cs="Arial" w:eastAsia="Arial" w:hAnsi="Arial"/>
          <w:sz w:val="19"/>
          <w:szCs w:val="19"/>
          <w:color w:val="auto"/>
        </w:rPr>
        <w:t>”).</w:t>
      </w:r>
    </w:p>
    <w:p>
      <w:pPr>
        <w:spacing w:after="0" w:line="9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The Company will have the right to elect the Settlement Method applicable to any conversion of a Note;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w:t>
      </w:r>
    </w:p>
    <w:p>
      <w:pPr>
        <w:spacing w:after="0" w:line="115" w:lineRule="exact"/>
        <w:rPr>
          <w:sz w:val="20"/>
          <w:szCs w:val="20"/>
          <w:color w:val="auto"/>
        </w:rPr>
      </w:pPr>
    </w:p>
    <w:p>
      <w:pPr>
        <w:jc w:val="both"/>
        <w:ind w:left="660" w:firstLine="644"/>
        <w:spacing w:after="0" w:line="323" w:lineRule="auto"/>
        <w:tabs>
          <w:tab w:leader="none" w:pos="1692"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b w:val="1"/>
          <w:bCs w:val="1"/>
          <w:color w:val="auto"/>
        </w:rPr>
        <w:t>clause (iii)</w:t>
      </w:r>
      <w:r>
        <w:rPr>
          <w:rFonts w:ascii="Arial" w:cs="Arial" w:eastAsia="Arial" w:hAnsi="Arial"/>
          <w:sz w:val="19"/>
          <w:szCs w:val="19"/>
          <w:color w:val="auto"/>
        </w:rPr>
        <w:t xml:space="preserve"> below, all conversions of Notes with a Conversion Date that occurs on or after February 15, 2025 will be settled using the same Settlement Method, and the Company will send notice of such Settlement Method to Holders and the Conversion Agent no later than the Open of Business on February 15, 2025;</w:t>
      </w:r>
    </w:p>
    <w:p>
      <w:pPr>
        <w:spacing w:after="0" w:line="62" w:lineRule="exact"/>
        <w:rPr>
          <w:rFonts w:ascii="Arial" w:cs="Arial" w:eastAsia="Arial" w:hAnsi="Arial"/>
          <w:sz w:val="19"/>
          <w:szCs w:val="19"/>
          <w:color w:val="auto"/>
        </w:rPr>
      </w:pPr>
    </w:p>
    <w:p>
      <w:pPr>
        <w:jc w:val="both"/>
        <w:ind w:left="660" w:firstLine="644"/>
        <w:spacing w:after="0" w:line="256" w:lineRule="auto"/>
        <w:tabs>
          <w:tab w:leader="none" w:pos="1819"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b w:val="1"/>
          <w:bCs w:val="1"/>
          <w:color w:val="auto"/>
        </w:rPr>
        <w:t>clause (iii)</w:t>
      </w:r>
      <w:r>
        <w:rPr>
          <w:rFonts w:ascii="Arial" w:cs="Arial" w:eastAsia="Arial" w:hAnsi="Arial"/>
          <w:sz w:val="22"/>
          <w:szCs w:val="22"/>
          <w:color w:val="auto"/>
        </w:rPr>
        <w:t xml:space="preserve"> below, if the Company elects a Settlement Method with respect to the conversion of any Note whose Conversion Date occurs before February 15, 2025, then the Company will send notice of such Settlement Method to the Holder of such Note and the Conversion Agent no later than the Close of Business on the Business Day immediately after such Conversion Date;</w:t>
      </w:r>
    </w:p>
    <w:p>
      <w:pPr>
        <w:spacing w:after="0" w:line="128" w:lineRule="exact"/>
        <w:rPr>
          <w:rFonts w:ascii="Arial" w:cs="Arial" w:eastAsia="Arial" w:hAnsi="Arial"/>
          <w:sz w:val="22"/>
          <w:szCs w:val="22"/>
          <w:color w:val="auto"/>
        </w:rPr>
      </w:pPr>
    </w:p>
    <w:p>
      <w:pPr>
        <w:jc w:val="both"/>
        <w:ind w:left="660" w:firstLine="644"/>
        <w:spacing w:after="0" w:line="294" w:lineRule="auto"/>
        <w:tabs>
          <w:tab w:leader="none" w:pos="1812"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if any Notes are called for Redemption, then (1) the Company will specify, in the related Redemption Notice (and, in the case of a Redemption of less than all outstanding Notes, in a notice simultaneously sent to all Holders of Notes not called for Redemption) sent pursuant to </w:t>
      </w:r>
      <w:r>
        <w:rPr>
          <w:rFonts w:ascii="Arial" w:cs="Arial" w:eastAsia="Arial" w:hAnsi="Arial"/>
          <w:sz w:val="19"/>
          <w:szCs w:val="19"/>
          <w:b w:val="1"/>
          <w:bCs w:val="1"/>
          <w:color w:val="auto"/>
        </w:rPr>
        <w:t>Section 4.03(F)</w:t>
      </w:r>
      <w:r>
        <w:rPr>
          <w:rFonts w:ascii="Arial" w:cs="Arial" w:eastAsia="Arial" w:hAnsi="Arial"/>
          <w:sz w:val="19"/>
          <w:szCs w:val="19"/>
          <w:color w:val="auto"/>
        </w:rPr>
        <w:t xml:space="preserve">, the Settlement Method that will apply to all conversions of Notes with a Conversion Date that occurs on or after the related Redemption Notice Date and before the Close of Business on the Business Day immediately before the related Redemption Date; and (2) if such Redemption Date occurs on or after February 15, 2025, then such Settlement Method must be the same Settlement Method that, pursuant to </w:t>
      </w:r>
      <w:r>
        <w:rPr>
          <w:rFonts w:ascii="Arial" w:cs="Arial" w:eastAsia="Arial" w:hAnsi="Arial"/>
          <w:sz w:val="19"/>
          <w:szCs w:val="19"/>
          <w:b w:val="1"/>
          <w:bCs w:val="1"/>
          <w:color w:val="auto"/>
        </w:rPr>
        <w:t xml:space="preserve">clause (i) </w:t>
      </w:r>
      <w:r>
        <w:rPr>
          <w:rFonts w:ascii="Arial" w:cs="Arial" w:eastAsia="Arial" w:hAnsi="Arial"/>
          <w:sz w:val="19"/>
          <w:szCs w:val="19"/>
          <w:color w:val="auto"/>
        </w:rPr>
        <w:t>above, applies to all conversions of Notes with a Conversion Date that occurs 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348"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22"/>
          <w:szCs w:val="22"/>
          <w:color w:val="auto"/>
        </w:rPr>
        <w:t>or after February 15, 2025;</w:t>
      </w:r>
    </w:p>
    <w:p>
      <w:pPr>
        <w:spacing w:after="0" w:line="112" w:lineRule="exact"/>
        <w:rPr>
          <w:sz w:val="20"/>
          <w:szCs w:val="20"/>
          <w:color w:val="auto"/>
        </w:rPr>
      </w:pPr>
    </w:p>
    <w:p>
      <w:pPr>
        <w:jc w:val="both"/>
        <w:ind w:left="660" w:firstLine="644"/>
        <w:spacing w:after="0" w:line="319" w:lineRule="auto"/>
        <w:tabs>
          <w:tab w:leader="none" w:pos="1854"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Arial" w:cs="Arial" w:eastAsia="Arial" w:hAnsi="Arial"/>
          <w:sz w:val="19"/>
          <w:szCs w:val="19"/>
          <w:b w:val="1"/>
          <w:bCs w:val="1"/>
          <w:color w:val="auto"/>
        </w:rPr>
        <w:t>clause (i)</w:t>
      </w:r>
      <w:r>
        <w:rPr>
          <w:rFonts w:ascii="Arial" w:cs="Arial" w:eastAsia="Arial" w:hAnsi="Arial"/>
          <w:sz w:val="19"/>
          <w:szCs w:val="19"/>
          <w:color w:val="auto"/>
        </w:rPr>
        <w:t xml:space="preserve"> or </w:t>
      </w:r>
      <w:r>
        <w:rPr>
          <w:rFonts w:ascii="Arial" w:cs="Arial" w:eastAsia="Arial" w:hAnsi="Arial"/>
          <w:sz w:val="19"/>
          <w:szCs w:val="19"/>
          <w:b w:val="1"/>
          <w:bCs w:val="1"/>
          <w:color w:val="auto"/>
        </w:rPr>
        <w:t>(iii)</w:t>
      </w:r>
      <w:r>
        <w:rPr>
          <w:rFonts w:ascii="Arial" w:cs="Arial" w:eastAsia="Arial" w:hAnsi="Arial"/>
          <w:sz w:val="19"/>
          <w:szCs w:val="19"/>
          <w:color w:val="auto"/>
        </w:rPr>
        <w:t xml:space="preserve"> above);</w:t>
      </w:r>
    </w:p>
    <w:p>
      <w:pPr>
        <w:spacing w:after="0" w:line="127" w:lineRule="exact"/>
        <w:rPr>
          <w:rFonts w:ascii="Arial" w:cs="Arial" w:eastAsia="Arial" w:hAnsi="Arial"/>
          <w:sz w:val="19"/>
          <w:szCs w:val="19"/>
          <w:color w:val="auto"/>
        </w:rPr>
      </w:pPr>
    </w:p>
    <w:p>
      <w:pPr>
        <w:jc w:val="both"/>
        <w:ind w:left="660" w:firstLine="644"/>
        <w:spacing w:after="0" w:line="259" w:lineRule="auto"/>
        <w:tabs>
          <w:tab w:leader="none" w:pos="1767"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spacing w:after="0" w:line="180" w:lineRule="exact"/>
        <w:rPr>
          <w:rFonts w:ascii="Arial" w:cs="Arial" w:eastAsia="Arial" w:hAnsi="Arial"/>
          <w:sz w:val="22"/>
          <w:szCs w:val="22"/>
          <w:color w:val="auto"/>
        </w:rPr>
      </w:pPr>
    </w:p>
    <w:p>
      <w:pPr>
        <w:jc w:val="both"/>
        <w:ind w:left="660" w:firstLine="644"/>
        <w:spacing w:after="0" w:line="307" w:lineRule="auto"/>
        <w:tabs>
          <w:tab w:leader="none" w:pos="1827"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131" w:lineRule="exact"/>
        <w:rPr>
          <w:rFonts w:ascii="Arial" w:cs="Arial" w:eastAsia="Arial" w:hAnsi="Arial"/>
          <w:sz w:val="19"/>
          <w:szCs w:val="19"/>
          <w:color w:val="auto"/>
        </w:rPr>
      </w:pPr>
    </w:p>
    <w:p>
      <w:pPr>
        <w:ind w:left="1860" w:hanging="556"/>
        <w:spacing w:after="0"/>
        <w:tabs>
          <w:tab w:leader="none" w:pos="18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the Settlement Method will be subject to </w:t>
      </w:r>
      <w:r>
        <w:rPr>
          <w:rFonts w:ascii="Arial" w:cs="Arial" w:eastAsia="Arial" w:hAnsi="Arial"/>
          <w:sz w:val="22"/>
          <w:szCs w:val="22"/>
          <w:b w:val="1"/>
          <w:bCs w:val="1"/>
          <w:color w:val="auto"/>
        </w:rPr>
        <w:t>Section 5.09(A)(2)</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In addition, the Company will have the right, exercisable at its election by sending notice of such exercise to the Holders (with a copy to the Trustee and the Conversion Agent), to irrevocably fix the Settlement Method that will apply to all conversions of Notes with a Conversion Date that occurs on or after the date such notice is sent to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Settlement Method must be a Settlement Method that the Company is then permitted to elect (for the avoidance of doubt, including pursuant to, and subject to, the other provisions of this </w:t>
      </w:r>
      <w:r>
        <w:rPr>
          <w:rFonts w:ascii="Arial" w:cs="Arial" w:eastAsia="Arial" w:hAnsi="Arial"/>
          <w:sz w:val="19"/>
          <w:szCs w:val="19"/>
          <w:b w:val="1"/>
          <w:bCs w:val="1"/>
          <w:color w:val="auto"/>
        </w:rPr>
        <w:t>Section 5.03(A)</w:t>
      </w:r>
      <w:r>
        <w:rPr>
          <w:rFonts w:ascii="Arial" w:cs="Arial" w:eastAsia="Arial" w:hAnsi="Arial"/>
          <w:sz w:val="19"/>
          <w:szCs w:val="19"/>
          <w:color w:val="auto"/>
        </w:rPr>
        <w:t xml:space="preserve">). Such notice, if sent, must set forth the applicable Settlement Method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Arial" w:cs="Arial" w:eastAsia="Arial" w:hAnsi="Arial"/>
          <w:sz w:val="19"/>
          <w:szCs w:val="19"/>
          <w:b w:val="1"/>
          <w:bCs w:val="1"/>
          <w:color w:val="auto"/>
        </w:rPr>
        <w:t>Section 8.01(G)</w:t>
      </w:r>
      <w:r>
        <w:rPr>
          <w:rFonts w:ascii="Arial" w:cs="Arial" w:eastAsia="Arial" w:hAnsi="Arial"/>
          <w:sz w:val="19"/>
          <w:szCs w:val="19"/>
          <w:color w:val="auto"/>
        </w:rPr>
        <w:t xml:space="preserve"> (it being understood, however, that the Company may nonetheless choose to execute such an amendment at its option).</w:t>
      </w:r>
    </w:p>
    <w:p>
      <w:pPr>
        <w:spacing w:after="0" w:line="197" w:lineRule="exact"/>
        <w:rPr>
          <w:sz w:val="20"/>
          <w:szCs w:val="20"/>
          <w:color w:val="auto"/>
        </w:rPr>
      </w:pPr>
    </w:p>
    <w:p>
      <w:pPr>
        <w:ind w:left="1120" w:hanging="464"/>
        <w:spacing w:after="0"/>
        <w:tabs>
          <w:tab w:leader="none" w:pos="1120"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Conversion Consideration</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jc w:val="both"/>
        <w:ind w:left="660" w:firstLine="644"/>
        <w:spacing w:after="0" w:line="262" w:lineRule="auto"/>
        <w:tabs>
          <w:tab w:leader="none" w:pos="1719" w:val="left"/>
        </w:tabs>
        <w:numPr>
          <w:ilvl w:val="1"/>
          <w:numId w:val="72"/>
        </w:numPr>
        <w:rPr>
          <w:rFonts w:ascii="Arial" w:cs="Arial" w:eastAsia="Arial" w:hAnsi="Arial"/>
          <w:sz w:val="22"/>
          <w:szCs w:val="22"/>
          <w:color w:val="auto"/>
        </w:rPr>
      </w:pPr>
      <w:r>
        <w:rPr>
          <w:rFonts w:ascii="Arial" w:cs="Arial" w:eastAsia="Arial" w:hAnsi="Arial"/>
          <w:sz w:val="22"/>
          <w:szCs w:val="22"/>
          <w:i w:val="1"/>
          <w:iCs w:val="1"/>
          <w:color w:val="auto"/>
        </w:rPr>
        <w:t>Generally</w:t>
      </w:r>
      <w:r>
        <w:rPr>
          <w:rFonts w:ascii="Arial" w:cs="Arial" w:eastAsia="Arial" w:hAnsi="Arial"/>
          <w:sz w:val="22"/>
          <w:szCs w:val="22"/>
          <w:color w:val="auto"/>
        </w:rPr>
        <w:t>. Subject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5.03(B)(ii)</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5.03(B)(iii)</w:t>
      </w:r>
      <w:r>
        <w:rPr>
          <w:rFonts w:ascii="Arial" w:cs="Arial" w:eastAsia="Arial" w:hAnsi="Arial"/>
          <w:sz w:val="22"/>
          <w:szCs w:val="22"/>
          <w:color w:val="auto"/>
        </w:rPr>
        <w:t>, the type and amount of consideration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Conversion Consideration</w:t>
      </w:r>
      <w:r>
        <w:rPr>
          <w:rFonts w:ascii="Arial" w:cs="Arial" w:eastAsia="Arial" w:hAnsi="Arial"/>
          <w:sz w:val="22"/>
          <w:szCs w:val="22"/>
          <w:color w:val="auto"/>
        </w:rPr>
        <w:t>”) due in respect of each $1,000 principal amount of a Note to be converted will be as follows:</w:t>
      </w:r>
    </w:p>
    <w:p>
      <w:pPr>
        <w:spacing w:after="0" w:line="176" w:lineRule="exact"/>
        <w:rPr>
          <w:rFonts w:ascii="Arial" w:cs="Arial" w:eastAsia="Arial" w:hAnsi="Arial"/>
          <w:sz w:val="22"/>
          <w:szCs w:val="22"/>
          <w:color w:val="auto"/>
        </w:rPr>
      </w:pPr>
    </w:p>
    <w:p>
      <w:pPr>
        <w:ind w:left="1300" w:firstLine="652"/>
        <w:spacing w:after="0" w:line="276" w:lineRule="auto"/>
        <w:tabs>
          <w:tab w:leader="none" w:pos="2407" w:val="left"/>
        </w:tabs>
        <w:numPr>
          <w:ilvl w:val="2"/>
          <w:numId w:val="72"/>
        </w:numPr>
        <w:rPr>
          <w:rFonts w:ascii="Arial" w:cs="Arial" w:eastAsia="Arial" w:hAnsi="Arial"/>
          <w:sz w:val="22"/>
          <w:szCs w:val="22"/>
          <w:color w:val="auto"/>
        </w:rPr>
      </w:pPr>
      <w:r>
        <w:rPr>
          <w:rFonts w:ascii="Arial" w:cs="Arial" w:eastAsia="Arial" w:hAnsi="Arial"/>
          <w:sz w:val="22"/>
          <w:szCs w:val="22"/>
          <w:color w:val="auto"/>
        </w:rPr>
        <w:t>if Physical Settlement applies to such conversion, a number of shares of Common Stock equal to the Conversion Rate in effect on the Conversion Date for such conversion;</w:t>
      </w:r>
    </w:p>
    <w:p>
      <w:pPr>
        <w:spacing w:after="0" w:line="160" w:lineRule="exact"/>
        <w:rPr>
          <w:rFonts w:ascii="Arial" w:cs="Arial" w:eastAsia="Arial" w:hAnsi="Arial"/>
          <w:sz w:val="22"/>
          <w:szCs w:val="22"/>
          <w:color w:val="auto"/>
        </w:rPr>
      </w:pPr>
    </w:p>
    <w:p>
      <w:pPr>
        <w:ind w:left="1300" w:right="20" w:firstLine="652"/>
        <w:spacing w:after="0" w:line="301" w:lineRule="auto"/>
        <w:tabs>
          <w:tab w:leader="none" w:pos="2501" w:val="left"/>
        </w:tabs>
        <w:numPr>
          <w:ilvl w:val="2"/>
          <w:numId w:val="72"/>
        </w:numPr>
        <w:rPr>
          <w:rFonts w:ascii="Arial" w:cs="Arial" w:eastAsia="Arial" w:hAnsi="Arial"/>
          <w:sz w:val="21"/>
          <w:szCs w:val="21"/>
          <w:color w:val="auto"/>
        </w:rPr>
      </w:pPr>
      <w:r>
        <w:rPr>
          <w:rFonts w:ascii="Arial" w:cs="Arial" w:eastAsia="Arial" w:hAnsi="Arial"/>
          <w:sz w:val="21"/>
          <w:szCs w:val="21"/>
          <w:color w:val="auto"/>
        </w:rPr>
        <w:t>if Cash Settlement applies to such conversion, cash in an amount equal to the sum of the Daily Conversion Values for each VWAP Trading Day in the Observation Period for such conversion; or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348" w:right="339" w:bottom="1440" w:gutter="0" w:footer="0" w:header="0"/>
        </w:sectPr>
      </w:pPr>
    </w:p>
    <w:bookmarkStart w:id="54" w:name="page55"/>
    <w:bookmarkEnd w:id="54"/>
    <w:p>
      <w:pPr>
        <w:jc w:val="both"/>
        <w:ind w:left="1300" w:firstLine="652"/>
        <w:spacing w:after="0" w:line="254" w:lineRule="auto"/>
        <w:tabs>
          <w:tab w:leader="none" w:pos="2461" w:val="left"/>
        </w:tabs>
        <w:numPr>
          <w:ilvl w:val="2"/>
          <w:numId w:val="73"/>
        </w:numPr>
        <w:rPr>
          <w:rFonts w:ascii="Arial" w:cs="Arial" w:eastAsia="Arial" w:hAnsi="Arial"/>
          <w:sz w:val="22"/>
          <w:szCs w:val="22"/>
          <w:color w:val="auto"/>
        </w:rPr>
      </w:pPr>
      <w:r>
        <w:rPr>
          <w:rFonts w:ascii="Arial" w:cs="Arial" w:eastAsia="Arial" w:hAnsi="Arial"/>
          <w:sz w:val="22"/>
          <w:szCs w:val="22"/>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84" w:lineRule="exact"/>
        <w:rPr>
          <w:rFonts w:ascii="Arial" w:cs="Arial" w:eastAsia="Arial" w:hAnsi="Arial"/>
          <w:sz w:val="22"/>
          <w:szCs w:val="22"/>
          <w:color w:val="auto"/>
        </w:rPr>
      </w:pPr>
    </w:p>
    <w:p>
      <w:pPr>
        <w:jc w:val="both"/>
        <w:ind w:left="660" w:firstLine="644"/>
        <w:spacing w:after="0" w:line="261" w:lineRule="auto"/>
        <w:tabs>
          <w:tab w:leader="none" w:pos="1954" w:val="left"/>
        </w:tabs>
        <w:numPr>
          <w:ilvl w:val="1"/>
          <w:numId w:val="74"/>
        </w:numPr>
        <w:rPr>
          <w:rFonts w:ascii="Arial" w:cs="Arial" w:eastAsia="Arial" w:hAnsi="Arial"/>
          <w:sz w:val="21"/>
          <w:szCs w:val="21"/>
          <w:color w:val="auto"/>
        </w:rPr>
      </w:pPr>
      <w:r>
        <w:rPr>
          <w:rFonts w:ascii="Arial" w:cs="Arial" w:eastAsia="Arial" w:hAnsi="Arial"/>
          <w:sz w:val="21"/>
          <w:szCs w:val="21"/>
          <w:i w:val="1"/>
          <w:iCs w:val="1"/>
          <w:color w:val="auto"/>
        </w:rPr>
        <w:t>Cash in Lieu of Fractional Shares</w:t>
      </w:r>
      <w:r>
        <w:rPr>
          <w:rFonts w:ascii="Arial" w:cs="Arial" w:eastAsia="Arial" w:hAnsi="Arial"/>
          <w:sz w:val="21"/>
          <w:szCs w:val="21"/>
          <w:color w:val="auto"/>
        </w:rPr>
        <w:t>. If Physical Settlement or Combination Settlement applies to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conversion of any Note and the number of shares of Common Stock deliverable pursuant to </w:t>
      </w:r>
      <w:r>
        <w:rPr>
          <w:rFonts w:ascii="Arial" w:cs="Arial" w:eastAsia="Arial" w:hAnsi="Arial"/>
          <w:sz w:val="21"/>
          <w:szCs w:val="21"/>
          <w:b w:val="1"/>
          <w:bCs w:val="1"/>
          <w:color w:val="auto"/>
        </w:rPr>
        <w:t>Section 5.03(B)(i)</w:t>
      </w:r>
      <w:r>
        <w:rPr>
          <w:rFonts w:ascii="Arial" w:cs="Arial" w:eastAsia="Arial" w:hAnsi="Arial"/>
          <w:sz w:val="21"/>
          <w:szCs w:val="21"/>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180" w:lineRule="exact"/>
        <w:rPr>
          <w:rFonts w:ascii="Arial" w:cs="Arial" w:eastAsia="Arial" w:hAnsi="Arial"/>
          <w:sz w:val="21"/>
          <w:szCs w:val="21"/>
          <w:color w:val="auto"/>
        </w:rPr>
      </w:pPr>
    </w:p>
    <w:p>
      <w:pPr>
        <w:jc w:val="both"/>
        <w:ind w:left="660" w:firstLine="644"/>
        <w:spacing w:after="0" w:line="254" w:lineRule="auto"/>
        <w:tabs>
          <w:tab w:leader="none" w:pos="1866" w:val="left"/>
        </w:tabs>
        <w:numPr>
          <w:ilvl w:val="1"/>
          <w:numId w:val="74"/>
        </w:numPr>
        <w:rPr>
          <w:rFonts w:ascii="Arial" w:cs="Arial" w:eastAsia="Arial" w:hAnsi="Arial"/>
          <w:sz w:val="22"/>
          <w:szCs w:val="22"/>
          <w:color w:val="auto"/>
        </w:rPr>
      </w:pPr>
      <w:r>
        <w:rPr>
          <w:rFonts w:ascii="Arial" w:cs="Arial" w:eastAsia="Arial" w:hAnsi="Arial"/>
          <w:sz w:val="22"/>
          <w:szCs w:val="22"/>
          <w:i w:val="1"/>
          <w:iCs w:val="1"/>
          <w:color w:val="auto"/>
        </w:rPr>
        <w:t xml:space="preserve">Conversion of Multiple Notes by a Single Holder. </w:t>
      </w:r>
      <w:r>
        <w:rPr>
          <w:rFonts w:ascii="Arial" w:cs="Arial" w:eastAsia="Arial" w:hAnsi="Arial"/>
          <w:sz w:val="22"/>
          <w:szCs w:val="22"/>
          <w:color w:val="auto"/>
        </w:rPr>
        <w:t>If a Holder converts more than one (1) Note on a single</w:t>
      </w:r>
      <w:r>
        <w:rPr>
          <w:rFonts w:ascii="Arial" w:cs="Arial" w:eastAsia="Arial" w:hAnsi="Arial"/>
          <w:sz w:val="22"/>
          <w:szCs w:val="22"/>
          <w:i w:val="1"/>
          <w:iCs w:val="1"/>
          <w:color w:val="auto"/>
        </w:rPr>
        <w:t xml:space="preserve"> </w:t>
      </w:r>
      <w:r>
        <w:rPr>
          <w:rFonts w:ascii="Arial" w:cs="Arial" w:eastAsia="Arial" w:hAnsi="Arial"/>
          <w:sz w:val="22"/>
          <w:szCs w:val="22"/>
          <w:color w:val="auto"/>
        </w:rPr>
        <w:t>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84" w:lineRule="exact"/>
        <w:rPr>
          <w:rFonts w:ascii="Arial" w:cs="Arial" w:eastAsia="Arial" w:hAnsi="Arial"/>
          <w:sz w:val="22"/>
          <w:szCs w:val="22"/>
          <w:color w:val="auto"/>
        </w:rPr>
      </w:pPr>
    </w:p>
    <w:p>
      <w:pPr>
        <w:jc w:val="both"/>
        <w:ind w:left="660" w:firstLine="644"/>
        <w:spacing w:after="0" w:line="300" w:lineRule="auto"/>
        <w:tabs>
          <w:tab w:leader="none" w:pos="1800" w:val="left"/>
        </w:tabs>
        <w:numPr>
          <w:ilvl w:val="1"/>
          <w:numId w:val="74"/>
        </w:numPr>
        <w:rPr>
          <w:rFonts w:ascii="Arial" w:cs="Arial" w:eastAsia="Arial" w:hAnsi="Arial"/>
          <w:sz w:val="19"/>
          <w:szCs w:val="19"/>
          <w:color w:val="auto"/>
        </w:rPr>
      </w:pPr>
      <w:r>
        <w:rPr>
          <w:rFonts w:ascii="Arial" w:cs="Arial" w:eastAsia="Arial" w:hAnsi="Arial"/>
          <w:sz w:val="19"/>
          <w:szCs w:val="19"/>
          <w:i w:val="1"/>
          <w:iCs w:val="1"/>
          <w:color w:val="auto"/>
        </w:rPr>
        <w:t>Notice of Calculation of Conversion Consideration</w:t>
      </w:r>
      <w:r>
        <w:rPr>
          <w:rFonts w:ascii="Arial" w:cs="Arial" w:eastAsia="Arial" w:hAnsi="Arial"/>
          <w:sz w:val="19"/>
          <w:szCs w:val="19"/>
          <w:color w:val="auto"/>
        </w:rPr>
        <w:t>. If Cash Settlement or Combination Settlement applies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spacing w:after="0" w:line="140" w:lineRule="exact"/>
        <w:rPr>
          <w:rFonts w:ascii="Arial" w:cs="Arial" w:eastAsia="Arial" w:hAnsi="Arial"/>
          <w:sz w:val="19"/>
          <w:szCs w:val="19"/>
          <w:color w:val="auto"/>
        </w:rPr>
      </w:pPr>
    </w:p>
    <w:p>
      <w:pPr>
        <w:jc w:val="both"/>
        <w:ind w:firstLine="656"/>
        <w:spacing w:after="0" w:line="293" w:lineRule="auto"/>
        <w:tabs>
          <w:tab w:leader="none" w:pos="1143"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Delivery of the Conversion Consideration</w:t>
      </w:r>
      <w:r>
        <w:rPr>
          <w:rFonts w:ascii="Arial" w:cs="Arial" w:eastAsia="Arial" w:hAnsi="Arial"/>
          <w:sz w:val="19"/>
          <w:szCs w:val="19"/>
          <w:color w:val="auto"/>
        </w:rPr>
        <w:t>. Except as set forth in</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Sections 5.05(C)</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5.09</w:t>
      </w:r>
      <w:r>
        <w:rPr>
          <w:rFonts w:ascii="Arial" w:cs="Arial" w:eastAsia="Arial" w:hAnsi="Arial"/>
          <w:sz w:val="19"/>
          <w:szCs w:val="19"/>
          <w:color w:val="auto"/>
        </w:rPr>
        <w:t>, the Company will pay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or deliver, as 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conversions for which Physical Settlement applies and the relevant Conversion Date occurs after the Regular Record Date immediately preceding the Maturity Date, such settlement will occur on the Maturity Date (or, if the Maturity Date is not a Business Day, on the next succeeding Business Day).</w:t>
      </w:r>
    </w:p>
    <w:p>
      <w:pPr>
        <w:spacing w:after="0" w:line="153" w:lineRule="exact"/>
        <w:rPr>
          <w:rFonts w:ascii="Arial" w:cs="Arial" w:eastAsia="Arial" w:hAnsi="Arial"/>
          <w:sz w:val="19"/>
          <w:szCs w:val="19"/>
          <w:color w:val="auto"/>
        </w:rPr>
      </w:pPr>
    </w:p>
    <w:p>
      <w:pPr>
        <w:jc w:val="both"/>
        <w:ind w:firstLine="656"/>
        <w:spacing w:after="0" w:line="259" w:lineRule="auto"/>
        <w:tabs>
          <w:tab w:leader="none" w:pos="1141"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Deemed Payment of Principal and Interest; Settlement of Accrued Interest Notwithstanding Conversion</w:t>
      </w:r>
      <w:r>
        <w:rPr>
          <w:rFonts w:ascii="Arial" w:cs="Arial" w:eastAsia="Arial" w:hAnsi="Arial"/>
          <w:sz w:val="22"/>
          <w:szCs w:val="22"/>
          <w:color w:val="auto"/>
        </w:rPr>
        <w:t>. If a Holder</w:t>
      </w:r>
      <w:r>
        <w:rPr>
          <w:rFonts w:ascii="Arial" w:cs="Arial" w:eastAsia="Arial" w:hAnsi="Arial"/>
          <w:sz w:val="22"/>
          <w:szCs w:val="22"/>
          <w:i w:val="1"/>
          <w:iCs w:val="1"/>
          <w:color w:val="auto"/>
        </w:rPr>
        <w:t xml:space="preserve"> </w:t>
      </w:r>
      <w:r>
        <w:rPr>
          <w:rFonts w:ascii="Arial" w:cs="Arial" w:eastAsia="Arial" w:hAnsi="Arial"/>
          <w:sz w:val="22"/>
          <w:szCs w:val="22"/>
          <w:color w:val="auto"/>
        </w:rPr>
        <w:t>converts a Note, then the Company will not adjust the Conversion Rate to account for any accrued and unpaid interest on such Note, and, except as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348" w:right="339" w:bottom="1440" w:gutter="0" w:footer="0" w:header="0"/>
        </w:sectPr>
      </w:pPr>
    </w:p>
    <w:bookmarkStart w:id="55" w:name="page56"/>
    <w:bookmarkEnd w:id="55"/>
    <w:p>
      <w:pPr>
        <w:jc w:val="both"/>
        <w:spacing w:after="0" w:line="247" w:lineRule="auto"/>
        <w:rPr>
          <w:sz w:val="20"/>
          <w:szCs w:val="20"/>
          <w:color w:val="auto"/>
        </w:rPr>
      </w:pPr>
      <w:r>
        <w:rPr>
          <w:rFonts w:ascii="Arial" w:cs="Arial" w:eastAsia="Arial" w:hAnsi="Arial"/>
          <w:sz w:val="22"/>
          <w:szCs w:val="22"/>
          <w:color w:val="auto"/>
        </w:rPr>
        <w:t xml:space="preserve">provided in </w:t>
      </w:r>
      <w:r>
        <w:rPr>
          <w:rFonts w:ascii="Arial" w:cs="Arial" w:eastAsia="Arial" w:hAnsi="Arial"/>
          <w:sz w:val="22"/>
          <w:szCs w:val="22"/>
          <w:b w:val="1"/>
          <w:bCs w:val="1"/>
          <w:color w:val="auto"/>
        </w:rPr>
        <w:t>Section 5.02(D)</w:t>
      </w:r>
      <w:r>
        <w:rPr>
          <w:rFonts w:ascii="Arial" w:cs="Arial" w:eastAsia="Arial" w:hAnsi="Arial"/>
          <w:sz w:val="22"/>
          <w:szCs w:val="22"/>
          <w:color w:val="auto"/>
        </w:rPr>
        <w:t xml:space="preserve">, the Company’s payment or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Arial" w:cs="Arial" w:eastAsia="Arial" w:hAnsi="Arial"/>
          <w:sz w:val="22"/>
          <w:szCs w:val="22"/>
          <w:b w:val="1"/>
          <w:bCs w:val="1"/>
          <w:color w:val="auto"/>
        </w:rPr>
        <w:t>Section 5.02(D)</w:t>
      </w:r>
      <w:r>
        <w:rPr>
          <w:rFonts w:ascii="Arial" w:cs="Arial" w:eastAsia="Arial" w:hAnsi="Arial"/>
          <w:sz w:val="22"/>
          <w:szCs w:val="22"/>
          <w:color w:val="auto"/>
        </w:rPr>
        <w:t xml:space="preserve">, any accrued and unpaid interest on a converted Note will be deemed to be paid in full rather than cancelled, extinguished or forfeited. In addition, subject to </w:t>
      </w:r>
      <w:r>
        <w:rPr>
          <w:rFonts w:ascii="Arial" w:cs="Arial" w:eastAsia="Arial" w:hAnsi="Arial"/>
          <w:sz w:val="22"/>
          <w:szCs w:val="22"/>
          <w:b w:val="1"/>
          <w:bCs w:val="1"/>
          <w:color w:val="auto"/>
        </w:rPr>
        <w:t>Section 5.02(D)</w:t>
      </w:r>
      <w:r>
        <w:rPr>
          <w:rFonts w:ascii="Arial" w:cs="Arial" w:eastAsia="Arial" w:hAnsi="Arial"/>
          <w:sz w:val="22"/>
          <w:szCs w:val="22"/>
          <w:color w:val="auto"/>
        </w:rPr>
        <w:t>, if the Conversion Consideration for a Note consists of both cash and shares of the Common Stock, then accrued and unpaid interest that is deemed to be paid therewith will be deemed to be paid first out of such cash.</w:t>
      </w:r>
    </w:p>
    <w:p>
      <w:pPr>
        <w:spacing w:after="0" w:line="95"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5.04.</w:t>
      </w:r>
      <w:r>
        <w:rPr>
          <w:sz w:val="20"/>
          <w:szCs w:val="20"/>
          <w:color w:val="auto"/>
        </w:rPr>
        <w:tab/>
      </w:r>
      <w:r>
        <w:rPr>
          <w:rFonts w:ascii="Arial" w:cs="Arial" w:eastAsia="Arial" w:hAnsi="Arial"/>
          <w:sz w:val="21"/>
          <w:szCs w:val="21"/>
          <w:b w:val="1"/>
          <w:bCs w:val="1"/>
          <w:color w:val="auto"/>
        </w:rPr>
        <w:t>RESERVE AND STATUS OF COMMON STOCK ISSUED UPON CONVERSION.</w:t>
      </w:r>
    </w:p>
    <w:p>
      <w:pPr>
        <w:spacing w:after="0" w:line="145" w:lineRule="exact"/>
        <w:rPr>
          <w:sz w:val="20"/>
          <w:szCs w:val="20"/>
          <w:color w:val="auto"/>
        </w:rPr>
      </w:pPr>
    </w:p>
    <w:p>
      <w:pPr>
        <w:jc w:val="both"/>
        <w:ind w:firstLine="656"/>
        <w:spacing w:after="0" w:line="307" w:lineRule="auto"/>
        <w:tabs>
          <w:tab w:leader="none" w:pos="1209"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Stock Reserve</w:t>
      </w:r>
      <w:r>
        <w:rPr>
          <w:rFonts w:ascii="Arial" w:cs="Arial" w:eastAsia="Arial" w:hAnsi="Arial"/>
          <w:sz w:val="19"/>
          <w:szCs w:val="19"/>
          <w:color w:val="auto"/>
        </w:rPr>
        <w:t>. At all times when any Notes are outstanding, the Company will reserve, out of its authorized but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unissued and unreserved shares of Common Stock, a number of shares of Common Stock sufficient to permit the conversion of all then-outstanding Notes, assuming (x) Physical Settlement will apply to such conversion; and (y) the Conversion Rate is increased by the maximum amount pursuant to which the Conversion Rate may be increased pursuant to </w:t>
      </w:r>
      <w:r>
        <w:rPr>
          <w:rFonts w:ascii="Arial" w:cs="Arial" w:eastAsia="Arial" w:hAnsi="Arial"/>
          <w:sz w:val="19"/>
          <w:szCs w:val="19"/>
          <w:b w:val="1"/>
          <w:bCs w:val="1"/>
          <w:color w:val="auto"/>
        </w:rPr>
        <w:t>Section 5.07</w:t>
      </w:r>
      <w:r>
        <w:rPr>
          <w:rFonts w:ascii="Arial" w:cs="Arial" w:eastAsia="Arial" w:hAnsi="Arial"/>
          <w:sz w:val="19"/>
          <w:szCs w:val="19"/>
          <w:color w:val="auto"/>
        </w:rPr>
        <w:t>.</w:t>
      </w:r>
    </w:p>
    <w:p>
      <w:pPr>
        <w:spacing w:after="0" w:line="43" w:lineRule="exact"/>
        <w:rPr>
          <w:rFonts w:ascii="Arial" w:cs="Arial" w:eastAsia="Arial" w:hAnsi="Arial"/>
          <w:sz w:val="19"/>
          <w:szCs w:val="19"/>
          <w:color w:val="auto"/>
        </w:rPr>
      </w:pPr>
    </w:p>
    <w:p>
      <w:pPr>
        <w:jc w:val="both"/>
        <w:ind w:firstLine="656"/>
        <w:spacing w:after="0" w:line="261" w:lineRule="auto"/>
        <w:tabs>
          <w:tab w:leader="none" w:pos="1129" w:val="left"/>
        </w:tabs>
        <w:numPr>
          <w:ilvl w:val="0"/>
          <w:numId w:val="76"/>
        </w:numPr>
        <w:rPr>
          <w:rFonts w:ascii="Arial" w:cs="Arial" w:eastAsia="Arial" w:hAnsi="Arial"/>
          <w:sz w:val="21"/>
          <w:szCs w:val="21"/>
          <w:color w:val="auto"/>
        </w:rPr>
      </w:pPr>
      <w:r>
        <w:rPr>
          <w:rFonts w:ascii="Arial" w:cs="Arial" w:eastAsia="Arial" w:hAnsi="Arial"/>
          <w:sz w:val="21"/>
          <w:szCs w:val="21"/>
          <w:i w:val="1"/>
          <w:iCs w:val="1"/>
          <w:color w:val="auto"/>
        </w:rPr>
        <w:t>Status of Conversion Shares; Listing</w:t>
      </w:r>
      <w:r>
        <w:rPr>
          <w:rFonts w:ascii="Arial" w:cs="Arial" w:eastAsia="Arial" w:hAnsi="Arial"/>
          <w:sz w:val="21"/>
          <w:szCs w:val="21"/>
          <w:color w:val="auto"/>
        </w:rPr>
        <w:t>. Each Conversion Share, if any, delivered upon conversion of any Note will be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 newly issued or treasury share (except that any Conversion Share delivered by a designated financial institution pursuant to </w:t>
      </w:r>
      <w:r>
        <w:rPr>
          <w:rFonts w:ascii="Arial" w:cs="Arial" w:eastAsia="Arial" w:hAnsi="Arial"/>
          <w:sz w:val="21"/>
          <w:szCs w:val="21"/>
          <w:b w:val="1"/>
          <w:bCs w:val="1"/>
          <w:color w:val="auto"/>
        </w:rPr>
        <w:t xml:space="preserve">Section 5.08 </w:t>
      </w:r>
      <w:r>
        <w:rPr>
          <w:rFonts w:ascii="Arial" w:cs="Arial" w:eastAsia="Arial" w:hAnsi="Arial"/>
          <w:sz w:val="21"/>
          <w:szCs w:val="21"/>
          <w:color w:val="auto"/>
        </w:rPr>
        <w:t>need not be a newly issued or treasury share) and will be duly and validly issued, fully paid, non-assessable, free</w:t>
      </w:r>
      <w:r>
        <w:rPr>
          <w:rFonts w:ascii="Arial" w:cs="Arial" w:eastAsia="Arial" w:hAnsi="Arial"/>
          <w:sz w:val="21"/>
          <w:szCs w:val="21"/>
          <w:b w:val="1"/>
          <w:bCs w:val="1"/>
          <w:color w:val="auto"/>
        </w:rPr>
        <w:t xml:space="preserve"> </w:t>
      </w:r>
      <w:r>
        <w:rPr>
          <w:rFonts w:ascii="Arial" w:cs="Arial" w:eastAsia="Arial" w:hAnsi="Arial"/>
          <w:sz w:val="21"/>
          <w:szCs w:val="21"/>
          <w:color w:val="auto"/>
        </w:rPr>
        <w:t>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reasonable best efforts to cause each Conversion Share, when delivered upon conversion of any Note, to be admitted for listing on such exchange or quotation on such system.</w:t>
      </w:r>
    </w:p>
    <w:p>
      <w:pPr>
        <w:spacing w:after="0" w:line="80"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5.05.</w:t>
      </w:r>
      <w:r>
        <w:rPr>
          <w:sz w:val="20"/>
          <w:szCs w:val="20"/>
          <w:color w:val="auto"/>
        </w:rPr>
        <w:tab/>
      </w:r>
      <w:r>
        <w:rPr>
          <w:rFonts w:ascii="Arial" w:cs="Arial" w:eastAsia="Arial" w:hAnsi="Arial"/>
          <w:sz w:val="21"/>
          <w:szCs w:val="21"/>
          <w:b w:val="1"/>
          <w:bCs w:val="1"/>
          <w:color w:val="auto"/>
        </w:rPr>
        <w:t>ADJUSTMENTS TO THE CONVERSION RATE.</w:t>
      </w:r>
    </w:p>
    <w:p>
      <w:pPr>
        <w:spacing w:after="0" w:line="145" w:lineRule="exact"/>
        <w:rPr>
          <w:sz w:val="20"/>
          <w:szCs w:val="20"/>
          <w:color w:val="auto"/>
        </w:rPr>
      </w:pPr>
    </w:p>
    <w:p>
      <w:pPr>
        <w:ind w:firstLine="8"/>
        <w:spacing w:after="0" w:line="276" w:lineRule="auto"/>
        <w:tabs>
          <w:tab w:leader="none" w:pos="615"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Events Requiring an Adjustment to the Conversion Rate</w:t>
      </w:r>
      <w:r>
        <w:rPr>
          <w:rFonts w:ascii="Arial" w:cs="Arial" w:eastAsia="Arial" w:hAnsi="Arial"/>
          <w:sz w:val="22"/>
          <w:szCs w:val="22"/>
          <w:color w:val="auto"/>
        </w:rPr>
        <w:t>. The Conversion Rate will be adjusted from time to time as</w:t>
      </w:r>
      <w:r>
        <w:rPr>
          <w:rFonts w:ascii="Arial" w:cs="Arial" w:eastAsia="Arial" w:hAnsi="Arial"/>
          <w:sz w:val="22"/>
          <w:szCs w:val="22"/>
          <w:i w:val="1"/>
          <w:iCs w:val="1"/>
          <w:color w:val="auto"/>
        </w:rPr>
        <w:t xml:space="preserve"> </w:t>
      </w:r>
      <w:r>
        <w:rPr>
          <w:rFonts w:ascii="Arial" w:cs="Arial" w:eastAsia="Arial" w:hAnsi="Arial"/>
          <w:sz w:val="22"/>
          <w:szCs w:val="22"/>
          <w:color w:val="auto"/>
        </w:rPr>
        <w:t>follows:</w:t>
      </w:r>
    </w:p>
    <w:p>
      <w:pPr>
        <w:spacing w:after="0" w:line="66" w:lineRule="exact"/>
        <w:rPr>
          <w:rFonts w:ascii="Arial" w:cs="Arial" w:eastAsia="Arial" w:hAnsi="Arial"/>
          <w:sz w:val="22"/>
          <w:szCs w:val="22"/>
          <w:color w:val="auto"/>
        </w:rPr>
      </w:pPr>
    </w:p>
    <w:p>
      <w:pPr>
        <w:jc w:val="both"/>
        <w:ind w:left="660" w:firstLine="644"/>
        <w:spacing w:after="0" w:line="307" w:lineRule="auto"/>
        <w:tabs>
          <w:tab w:leader="none" w:pos="1827" w:val="left"/>
        </w:tabs>
        <w:numPr>
          <w:ilvl w:val="1"/>
          <w:numId w:val="77"/>
        </w:numPr>
        <w:rPr>
          <w:rFonts w:ascii="Arial" w:cs="Arial" w:eastAsia="Arial" w:hAnsi="Arial"/>
          <w:sz w:val="19"/>
          <w:szCs w:val="19"/>
          <w:color w:val="auto"/>
        </w:rPr>
      </w:pPr>
      <w:r>
        <w:rPr>
          <w:rFonts w:ascii="Arial" w:cs="Arial" w:eastAsia="Arial" w:hAnsi="Arial"/>
          <w:sz w:val="19"/>
          <w:szCs w:val="19"/>
          <w:i w:val="1"/>
          <w:iCs w:val="1"/>
          <w:color w:val="auto"/>
        </w:rPr>
        <w:t>Stock Dividends, Splits and Combinations</w:t>
      </w:r>
      <w:r>
        <w:rPr>
          <w:rFonts w:ascii="Arial" w:cs="Arial" w:eastAsia="Arial" w:hAnsi="Arial"/>
          <w:sz w:val="19"/>
          <w:szCs w:val="19"/>
          <w:color w:val="auto"/>
        </w:rPr>
        <w:t>. If the Company issues solely shares of Common Stock as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Arial" w:cs="Arial" w:eastAsia="Arial" w:hAnsi="Arial"/>
          <w:sz w:val="19"/>
          <w:szCs w:val="19"/>
          <w:b w:val="1"/>
          <w:bCs w:val="1"/>
          <w:color w:val="auto"/>
        </w:rPr>
        <w:t>Section 5.09</w:t>
      </w:r>
      <w:r>
        <w:rPr>
          <w:rFonts w:ascii="Arial" w:cs="Arial" w:eastAsia="Arial" w:hAnsi="Arial"/>
          <w:sz w:val="19"/>
          <w:szCs w:val="19"/>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32385</wp:posOffset>
            </wp:positionV>
            <wp:extent cx="1062990"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125" w:lineRule="exact"/>
        <w:rPr>
          <w:sz w:val="20"/>
          <w:szCs w:val="20"/>
          <w:color w:val="auto"/>
        </w:rPr>
      </w:pPr>
    </w:p>
    <w:p>
      <w:pPr>
        <w:ind w:left="660"/>
        <w:spacing w:after="0"/>
        <w:tabs>
          <w:tab w:leader="none" w:pos="1280" w:val="left"/>
          <w:tab w:leader="none" w:pos="1620" w:val="left"/>
        </w:tabs>
        <w:rPr>
          <w:sz w:val="20"/>
          <w:szCs w:val="20"/>
          <w:color w:val="auto"/>
        </w:rPr>
      </w:pPr>
      <w:r>
        <w:rPr>
          <w:rFonts w:ascii="Arial" w:cs="Arial" w:eastAsia="Arial" w:hAnsi="Arial"/>
          <w:sz w:val="22"/>
          <w:szCs w:val="22"/>
          <w:i w:val="1"/>
          <w:iCs w:val="1"/>
          <w:color w:val="auto"/>
        </w:rPr>
        <w:t>CR</w:t>
      </w:r>
      <w:r>
        <w:rPr>
          <w:rFonts w:ascii="Arial" w:cs="Arial" w:eastAsia="Arial" w:hAnsi="Arial"/>
          <w:sz w:val="14"/>
          <w:szCs w:val="14"/>
          <w:i w:val="1"/>
          <w:iCs w:val="1"/>
          <w:color w:val="auto"/>
        </w:rPr>
        <w:t>0</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before the Open of Business 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342" w:right="339" w:bottom="1440" w:gutter="0" w:footer="0" w:header="0"/>
        </w:sectPr>
      </w:pPr>
    </w:p>
    <w:bookmarkStart w:id="56" w:name="page57"/>
    <w:bookmarkEnd w:id="56"/>
    <w:p>
      <w:pPr>
        <w:ind w:left="1940" w:hanging="647"/>
        <w:spacing w:after="0" w:line="263" w:lineRule="auto"/>
        <w:rPr>
          <w:sz w:val="20"/>
          <w:szCs w:val="20"/>
          <w:color w:val="auto"/>
        </w:rPr>
      </w:pPr>
      <w:r>
        <w:rPr>
          <w:rFonts w:ascii="Arial" w:cs="Arial" w:eastAsia="Arial" w:hAnsi="Arial"/>
          <w:sz w:val="22"/>
          <w:szCs w:val="22"/>
          <w:color w:val="auto"/>
        </w:rPr>
        <w:t>the Ex-Dividend Date for such dividend or distribution, or immediately before the Open of Business on the Effective Date of such stock split or stock combination, as applicable;</w:t>
      </w:r>
    </w:p>
    <w:p>
      <w:pPr>
        <w:sectPr>
          <w:pgSz w:w="11900" w:h="16838" w:orient="portrait"/>
          <w:cols w:equalWidth="0" w:num="1">
            <w:col w:w="10580"/>
          </w:cols>
          <w:pgMar w:left="980" w:top="348" w:right="3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2"/>
          <w:szCs w:val="12"/>
          <w:i w:val="1"/>
          <w:iCs w:val="1"/>
          <w:color w:val="auto"/>
        </w:rPr>
        <w:t>1</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hanging="647"/>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after the Open of Business on such Ex-Dividend Date or the Open of Business on such Effective Date, as applicable;</w:t>
      </w:r>
    </w:p>
    <w:p>
      <w:pPr>
        <w:spacing w:after="0" w:line="121" w:lineRule="exact"/>
        <w:rPr>
          <w:sz w:val="20"/>
          <w:szCs w:val="20"/>
          <w:color w:val="auto"/>
        </w:rPr>
      </w:pPr>
    </w:p>
    <w:p>
      <w:pPr>
        <w:sectPr>
          <w:pgSz w:w="11900" w:h="16838" w:orient="portrait"/>
          <w:cols w:equalWidth="0" w:num="2">
            <w:col w:w="340" w:space="680"/>
            <w:col w:w="9560"/>
          </w:cols>
          <w:pgMar w:left="980" w:top="348"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2"/>
          <w:szCs w:val="12"/>
          <w:i w:val="1"/>
          <w:iCs w:val="1"/>
          <w:color w:val="auto"/>
        </w:rPr>
        <w:t>0</w:t>
      </w:r>
    </w:p>
    <w:p>
      <w:pPr>
        <w:spacing w:after="0" w:line="20" w:lineRule="exact"/>
        <w:rPr>
          <w:sz w:val="20"/>
          <w:szCs w:val="20"/>
          <w:color w:val="auto"/>
        </w:rPr>
      </w:pPr>
      <w:r>
        <w:rPr>
          <w:sz w:val="20"/>
          <w:szCs w:val="20"/>
          <w:color w:val="auto"/>
        </w:rPr>
        <w:br w:type="column"/>
      </w:r>
    </w:p>
    <w:p>
      <w:pPr>
        <w:jc w:val="both"/>
        <w:ind w:hanging="647"/>
        <w:spacing w:after="0" w:line="25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Common Stock outstanding immediately before the Open of Business on such Ex-Dividend Date or Effective Date, as applicable, without giving effect to such dividend, distribution, stock split or stock combination; and</w:t>
      </w:r>
    </w:p>
    <w:p>
      <w:pPr>
        <w:spacing w:after="0" w:line="131" w:lineRule="exact"/>
        <w:rPr>
          <w:sz w:val="20"/>
          <w:szCs w:val="20"/>
          <w:color w:val="auto"/>
        </w:rPr>
      </w:pPr>
    </w:p>
    <w:p>
      <w:pPr>
        <w:sectPr>
          <w:pgSz w:w="11900" w:h="16838" w:orient="portrait"/>
          <w:cols w:equalWidth="0" w:num="2">
            <w:col w:w="340" w:space="720"/>
            <w:col w:w="9520"/>
          </w:cols>
          <w:pgMar w:left="980" w:top="348"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2"/>
          <w:szCs w:val="12"/>
          <w:i w:val="1"/>
          <w:i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hanging="126"/>
        <w:spacing w:after="0" w:line="263" w:lineRule="auto"/>
        <w:rPr>
          <w:sz w:val="20"/>
          <w:szCs w:val="20"/>
          <w:color w:val="auto"/>
        </w:rPr>
      </w:pPr>
      <w:r>
        <w:rPr>
          <w:rFonts w:ascii="Arial" w:cs="Arial" w:eastAsia="Arial" w:hAnsi="Arial"/>
          <w:sz w:val="22"/>
          <w:szCs w:val="22"/>
          <w:color w:val="auto"/>
        </w:rPr>
        <w:t>the number of shares of Common Stock outstanding immediately after giving effect to such dividend, distribution, stock split or stock combination.</w:t>
      </w:r>
    </w:p>
    <w:p>
      <w:pPr>
        <w:spacing w:after="0" w:line="115" w:lineRule="exact"/>
        <w:rPr>
          <w:sz w:val="20"/>
          <w:szCs w:val="20"/>
          <w:color w:val="auto"/>
        </w:rPr>
      </w:pPr>
    </w:p>
    <w:p>
      <w:pPr>
        <w:sectPr>
          <w:pgSz w:w="11900" w:h="16838" w:orient="portrait"/>
          <w:cols w:equalWidth="0" w:num="3">
            <w:col w:w="340" w:space="300"/>
            <w:col w:w="120" w:space="540"/>
            <w:col w:w="9280"/>
          </w:cols>
          <w:pgMar w:left="980" w:top="348" w:right="339" w:bottom="1440" w:gutter="0" w:footer="0" w:header="0"/>
          <w:type w:val="continuous"/>
        </w:sectPr>
      </w:pPr>
    </w:p>
    <w:p>
      <w:pPr>
        <w:jc w:val="both"/>
        <w:spacing w:after="0" w:line="278" w:lineRule="auto"/>
        <w:rPr>
          <w:sz w:val="20"/>
          <w:szCs w:val="20"/>
          <w:color w:val="auto"/>
        </w:rPr>
      </w:pPr>
      <w:r>
        <w:rPr>
          <w:rFonts w:ascii="Arial" w:cs="Arial" w:eastAsia="Arial" w:hAnsi="Arial"/>
          <w:sz w:val="20"/>
          <w:szCs w:val="20"/>
          <w:color w:val="auto"/>
        </w:rPr>
        <w:t xml:space="preserve">For the avoidance of doubt, each adjustment to the Conversion Rate made pursuant to this </w:t>
      </w:r>
      <w:r>
        <w:rPr>
          <w:rFonts w:ascii="Arial" w:cs="Arial" w:eastAsia="Arial" w:hAnsi="Arial"/>
          <w:sz w:val="20"/>
          <w:szCs w:val="20"/>
          <w:b w:val="1"/>
          <w:bCs w:val="1"/>
          <w:color w:val="auto"/>
        </w:rPr>
        <w:t>Section 5.05(A)(i)</w:t>
      </w:r>
      <w:r>
        <w:rPr>
          <w:rFonts w:ascii="Arial" w:cs="Arial" w:eastAsia="Arial" w:hAnsi="Arial"/>
          <w:sz w:val="20"/>
          <w:szCs w:val="20"/>
          <w:color w:val="auto"/>
        </w:rPr>
        <w:t xml:space="preserve"> will become effective as of the time set forth in the preceding definition of </w:t>
      </w:r>
      <w:r>
        <w:rPr>
          <w:rFonts w:ascii="Arial" w:cs="Arial" w:eastAsia="Arial" w:hAnsi="Arial"/>
          <w:sz w:val="20"/>
          <w:szCs w:val="20"/>
          <w:i w:val="1"/>
          <w:iCs w:val="1"/>
          <w:color w:val="auto"/>
        </w:rPr>
        <w:t>CR</w:t>
      </w:r>
      <w:r>
        <w:rPr>
          <w:rFonts w:ascii="Arial" w:cs="Arial" w:eastAsia="Arial" w:hAnsi="Arial"/>
          <w:sz w:val="13"/>
          <w:szCs w:val="13"/>
          <w:i w:val="1"/>
          <w:iCs w:val="1"/>
          <w:color w:val="auto"/>
        </w:rPr>
        <w:t>1</w:t>
      </w:r>
      <w:r>
        <w:rPr>
          <w:rFonts w:ascii="Arial" w:cs="Arial" w:eastAsia="Arial" w:hAnsi="Arial"/>
          <w:sz w:val="20"/>
          <w:szCs w:val="20"/>
          <w:color w:val="auto"/>
        </w:rPr>
        <w:t xml:space="preserve">. If any dividend, distribution, stock split or stock combination of the type described in this </w:t>
      </w:r>
      <w:r>
        <w:rPr>
          <w:rFonts w:ascii="Arial" w:cs="Arial" w:eastAsia="Arial" w:hAnsi="Arial"/>
          <w:sz w:val="20"/>
          <w:szCs w:val="20"/>
          <w:b w:val="1"/>
          <w:bCs w:val="1"/>
          <w:color w:val="auto"/>
        </w:rPr>
        <w:t>Section 5.05(A)(i)</w:t>
      </w:r>
      <w:r>
        <w:rPr>
          <w:rFonts w:ascii="Arial" w:cs="Arial" w:eastAsia="Arial" w:hAnsi="Arial"/>
          <w:sz w:val="20"/>
          <w:szCs w:val="20"/>
          <w:color w:val="auto"/>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109" w:lineRule="exact"/>
        <w:rPr>
          <w:sz w:val="20"/>
          <w:szCs w:val="20"/>
          <w:color w:val="auto"/>
        </w:rPr>
      </w:pPr>
    </w:p>
    <w:p>
      <w:pPr>
        <w:jc w:val="both"/>
        <w:ind w:firstLine="644"/>
        <w:spacing w:after="0" w:line="294" w:lineRule="auto"/>
        <w:tabs>
          <w:tab w:leader="none" w:pos="1200" w:val="left"/>
        </w:tabs>
        <w:numPr>
          <w:ilvl w:val="0"/>
          <w:numId w:val="78"/>
        </w:numPr>
        <w:rPr>
          <w:rFonts w:ascii="Arial" w:cs="Arial" w:eastAsia="Arial" w:hAnsi="Arial"/>
          <w:sz w:val="19"/>
          <w:szCs w:val="19"/>
          <w:color w:val="auto"/>
        </w:rPr>
      </w:pPr>
      <w:r>
        <w:rPr>
          <w:rFonts w:ascii="Arial" w:cs="Arial" w:eastAsia="Arial" w:hAnsi="Arial"/>
          <w:sz w:val="19"/>
          <w:szCs w:val="19"/>
          <w:i w:val="1"/>
          <w:iCs w:val="1"/>
          <w:color w:val="auto"/>
        </w:rPr>
        <w:t>Rights, Options and Warrants</w:t>
      </w:r>
      <w:r>
        <w:rPr>
          <w:rFonts w:ascii="Arial" w:cs="Arial" w:eastAsia="Arial" w:hAnsi="Arial"/>
          <w:sz w:val="19"/>
          <w:szCs w:val="19"/>
          <w:color w:val="auto"/>
        </w:rPr>
        <w:t>. If the Company distributes, to all or substantially all holders of Common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Stock, rights, options or warrants (other than rights issued or otherwise distributed pursuant to a stockholder rights plan, as to which </w:t>
      </w:r>
      <w:r>
        <w:rPr>
          <w:rFonts w:ascii="Arial" w:cs="Arial" w:eastAsia="Arial" w:hAnsi="Arial"/>
          <w:sz w:val="19"/>
          <w:szCs w:val="19"/>
          <w:b w:val="1"/>
          <w:bCs w:val="1"/>
          <w:color w:val="auto"/>
        </w:rPr>
        <w:t>Section 5.05(E)</w:t>
      </w:r>
      <w:r>
        <w:rPr>
          <w:rFonts w:ascii="Arial" w:cs="Arial" w:eastAsia="Arial" w:hAnsi="Arial"/>
          <w:sz w:val="19"/>
          <w:szCs w:val="19"/>
          <w:color w:val="auto"/>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66675</wp:posOffset>
            </wp:positionV>
            <wp:extent cx="108013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013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0580"/>
          </w:cols>
          <w:pgMar w:left="980" w:top="348" w:right="3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2"/>
          <w:szCs w:val="12"/>
          <w:i w:val="1"/>
          <w:iCs w:val="1"/>
          <w:color w:val="auto"/>
        </w:rPr>
        <w:t>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hanging="217"/>
        <w:spacing w:after="0" w:line="263" w:lineRule="auto"/>
        <w:rPr>
          <w:sz w:val="20"/>
          <w:szCs w:val="20"/>
          <w:color w:val="auto"/>
        </w:rPr>
      </w:pPr>
      <w:r>
        <w:rPr>
          <w:rFonts w:ascii="Arial" w:cs="Arial" w:eastAsia="Arial" w:hAnsi="Arial"/>
          <w:sz w:val="22"/>
          <w:szCs w:val="22"/>
          <w:color w:val="auto"/>
        </w:rPr>
        <w:t>the Conversion Rate in effect immediately before the Open of Business on the Ex-Dividend Date for such distribution;</w:t>
      </w:r>
    </w:p>
    <w:p>
      <w:pPr>
        <w:spacing w:after="0" w:line="121" w:lineRule="exact"/>
        <w:rPr>
          <w:sz w:val="20"/>
          <w:szCs w:val="20"/>
          <w:color w:val="auto"/>
        </w:rPr>
      </w:pPr>
    </w:p>
    <w:p>
      <w:pPr>
        <w:sectPr>
          <w:pgSz w:w="11900" w:h="16838" w:orient="portrait"/>
          <w:cols w:equalWidth="0" w:num="3">
            <w:col w:w="340" w:space="300"/>
            <w:col w:w="120" w:space="540"/>
            <w:col w:w="9280"/>
          </w:cols>
          <w:pgMar w:left="980" w:top="348"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2"/>
          <w:szCs w:val="12"/>
          <w:i w:val="1"/>
          <w:iCs w:val="1"/>
          <w:color w:val="auto"/>
        </w:rPr>
        <w:t>1</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340" w:space="300"/>
            <w:col w:w="9940"/>
          </w:cols>
          <w:pgMar w:left="980" w:top="348" w:right="339" w:bottom="1440" w:gutter="0" w:footer="0" w:header="0"/>
          <w:type w:val="continuous"/>
        </w:sectPr>
      </w:pPr>
    </w:p>
    <w:p>
      <w:pPr>
        <w:spacing w:after="0" w:line="11"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580"/>
          </w:cols>
          <w:pgMar w:left="980" w:top="348" w:right="339" w:bottom="1440" w:gutter="0" w:footer="0" w:header="0"/>
          <w:type w:val="continuous"/>
        </w:sectPr>
      </w:pPr>
    </w:p>
    <w:bookmarkStart w:id="57" w:name="page58"/>
    <w:bookmarkEnd w:id="57"/>
    <w:p>
      <w:pPr>
        <w:ind w:left="4"/>
        <w:spacing w:after="0"/>
        <w:rPr>
          <w:sz w:val="20"/>
          <w:szCs w:val="20"/>
          <w:color w:val="auto"/>
        </w:rPr>
      </w:pPr>
      <w:r>
        <w:rPr>
          <w:rFonts w:ascii="Arial" w:cs="Arial" w:eastAsia="Arial" w:hAnsi="Arial"/>
          <w:sz w:val="17"/>
          <w:szCs w:val="17"/>
          <w:i w:val="1"/>
          <w:iCs w:val="1"/>
          <w:color w:val="auto"/>
        </w:rPr>
        <w:t>OS</w:t>
      </w:r>
    </w:p>
    <w:p>
      <w:pPr>
        <w:spacing w:after="0" w:line="20" w:lineRule="exact"/>
        <w:rPr>
          <w:sz w:val="20"/>
          <w:szCs w:val="20"/>
          <w:color w:val="auto"/>
        </w:rPr>
      </w:pPr>
      <w:r>
        <w:rPr>
          <w:sz w:val="20"/>
          <w:szCs w:val="20"/>
          <w:color w:val="auto"/>
        </w:rPr>
        <w:br w:type="column"/>
      </w:r>
    </w:p>
    <w:p>
      <w:pPr>
        <w:ind w:hanging="647"/>
        <w:spacing w:after="0" w:line="251"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Common Stock outstanding immediately before the Open of Business on such Ex-Dividend Date;</w:t>
      </w:r>
    </w:p>
    <w:p>
      <w:pPr>
        <w:spacing w:after="0" w:line="2" w:lineRule="exact"/>
        <w:rPr>
          <w:sz w:val="20"/>
          <w:szCs w:val="20"/>
          <w:color w:val="auto"/>
        </w:rPr>
      </w:pPr>
    </w:p>
    <w:p>
      <w:pPr>
        <w:sectPr>
          <w:pgSz w:w="11900" w:h="16838" w:orient="portrait"/>
          <w:cols w:equalWidth="0" w:num="2">
            <w:col w:w="344" w:space="720"/>
            <w:col w:w="9520"/>
          </w:cols>
          <w:pgMar w:left="976" w:top="348" w:right="339" w:bottom="1440" w:gutter="0" w:footer="0" w:header="0"/>
        </w:sectPr>
      </w:pPr>
    </w:p>
    <w:p>
      <w:pPr>
        <w:ind w:left="644" w:hanging="644"/>
        <w:spacing w:after="0"/>
        <w:tabs>
          <w:tab w:leader="none" w:pos="644" w:val="left"/>
        </w:tabs>
        <w:numPr>
          <w:ilvl w:val="0"/>
          <w:numId w:val="79"/>
        </w:numPr>
        <w:rPr>
          <w:rFonts w:ascii="Arial" w:cs="Arial" w:eastAsia="Arial" w:hAnsi="Arial"/>
          <w:sz w:val="21"/>
          <w:szCs w:val="21"/>
          <w:i w:val="1"/>
          <w:iCs w:val="1"/>
          <w:color w:val="auto"/>
        </w:rPr>
      </w:pPr>
      <w:r>
        <w:rPr>
          <w:rFonts w:ascii="Arial" w:cs="Arial" w:eastAsia="Arial" w:hAnsi="Arial"/>
          <w:sz w:val="21"/>
          <w:szCs w:val="21"/>
          <w:color w:val="auto"/>
        </w:rPr>
        <w:t>=  the total number of shares of Common Stock issuable pursuant to such rights, options or warrants; and</w:t>
      </w:r>
    </w:p>
    <w:p>
      <w:pPr>
        <w:spacing w:after="0" w:line="159" w:lineRule="exact"/>
        <w:rPr>
          <w:sz w:val="20"/>
          <w:szCs w:val="20"/>
          <w:color w:val="auto"/>
        </w:rPr>
      </w:pPr>
    </w:p>
    <w:p>
      <w:pPr>
        <w:ind w:left="1304" w:hanging="1304"/>
        <w:spacing w:after="0" w:line="250" w:lineRule="auto"/>
        <w:tabs>
          <w:tab w:leader="none" w:pos="656" w:val="left"/>
        </w:tabs>
        <w:numPr>
          <w:ilvl w:val="0"/>
          <w:numId w:val="80"/>
        </w:numPr>
        <w:rPr>
          <w:rFonts w:ascii="Arial" w:cs="Arial" w:eastAsia="Arial" w:hAnsi="Arial"/>
          <w:sz w:val="22"/>
          <w:szCs w:val="22"/>
          <w:i w:val="1"/>
          <w:iCs w:val="1"/>
          <w:color w:val="auto"/>
        </w:rPr>
      </w:pPr>
      <w:r>
        <w:rPr>
          <w:rFonts w:ascii="Arial" w:cs="Arial" w:eastAsia="Arial" w:hAnsi="Arial"/>
          <w:sz w:val="22"/>
          <w:szCs w:val="22"/>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28" w:lineRule="exact"/>
        <w:rPr>
          <w:sz w:val="20"/>
          <w:szCs w:val="20"/>
          <w:color w:val="auto"/>
        </w:rPr>
      </w:pPr>
    </w:p>
    <w:p>
      <w:pPr>
        <w:jc w:val="both"/>
        <w:ind w:left="4"/>
        <w:spacing w:after="0" w:line="290" w:lineRule="auto"/>
        <w:rPr>
          <w:sz w:val="20"/>
          <w:szCs w:val="20"/>
          <w:color w:val="auto"/>
        </w:rPr>
      </w:pPr>
      <w:r>
        <w:rPr>
          <w:rFonts w:ascii="Arial" w:cs="Arial" w:eastAsia="Arial" w:hAnsi="Arial"/>
          <w:sz w:val="19"/>
          <w:szCs w:val="19"/>
          <w:color w:val="auto"/>
        </w:rPr>
        <w:t xml:space="preserve">For the avoidance of doubt, each adjustment to the Conversion Rate made pursuant to this </w:t>
      </w:r>
      <w:r>
        <w:rPr>
          <w:rFonts w:ascii="Arial" w:cs="Arial" w:eastAsia="Arial" w:hAnsi="Arial"/>
          <w:sz w:val="19"/>
          <w:szCs w:val="19"/>
          <w:b w:val="1"/>
          <w:bCs w:val="1"/>
          <w:color w:val="auto"/>
        </w:rPr>
        <w:t>Section 5.05(A)(ii)</w:t>
      </w:r>
      <w:r>
        <w:rPr>
          <w:rFonts w:ascii="Arial" w:cs="Arial" w:eastAsia="Arial" w:hAnsi="Arial"/>
          <w:sz w:val="19"/>
          <w:szCs w:val="19"/>
          <w:color w:val="auto"/>
        </w:rPr>
        <w:t xml:space="preserve"> will become effective at the time set forth in the preceding definition of </w:t>
      </w:r>
      <w:r>
        <w:rPr>
          <w:rFonts w:ascii="Arial" w:cs="Arial" w:eastAsia="Arial" w:hAnsi="Arial"/>
          <w:sz w:val="19"/>
          <w:szCs w:val="19"/>
          <w:i w:val="1"/>
          <w:iCs w:val="1"/>
          <w:color w:val="auto"/>
        </w:rPr>
        <w:t>CR</w:t>
      </w:r>
      <w:r>
        <w:rPr>
          <w:rFonts w:ascii="Arial" w:cs="Arial" w:eastAsia="Arial" w:hAnsi="Arial"/>
          <w:sz w:val="13"/>
          <w:szCs w:val="13"/>
          <w:i w:val="1"/>
          <w:iCs w:val="1"/>
          <w:color w:val="auto"/>
        </w:rPr>
        <w:t>1</w:t>
      </w:r>
      <w:r>
        <w:rPr>
          <w:rFonts w:ascii="Arial" w:cs="Arial" w:eastAsia="Arial" w:hAnsi="Arial"/>
          <w:sz w:val="19"/>
          <w:szCs w:val="19"/>
          <w:color w:val="auto"/>
        </w:rPr>
        <w:t>.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 To the extent such rights, options or warrants are not so distributed, the Conversion Rate will be readjusted, effective as of the date the Company’s Board of Directors determines not to distribute such rights, options or warrants, to the Conversion Rate that would then be in effect had the Ex-Dividend Date for the distribution of such rights, options or warrants not occurred.</w:t>
      </w:r>
    </w:p>
    <w:p>
      <w:pPr>
        <w:spacing w:after="0" w:line="94" w:lineRule="exact"/>
        <w:rPr>
          <w:sz w:val="20"/>
          <w:szCs w:val="20"/>
          <w:color w:val="auto"/>
        </w:rPr>
      </w:pPr>
    </w:p>
    <w:p>
      <w:pPr>
        <w:jc w:val="both"/>
        <w:ind w:left="4"/>
        <w:spacing w:after="0" w:line="293"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b w:val="1"/>
          <w:bCs w:val="1"/>
          <w:color w:val="auto"/>
        </w:rPr>
        <w:t>Section 5.05(A)(ii)</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5.01(C)(i)(3)(a)(I)</w:t>
      </w:r>
      <w:r>
        <w:rPr>
          <w:rFonts w:ascii="Arial" w:cs="Arial" w:eastAsia="Arial" w:hAnsi="Arial"/>
          <w:sz w:val="19"/>
          <w:szCs w:val="19"/>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w:t>
      </w:r>
    </w:p>
    <w:p>
      <w:pPr>
        <w:spacing w:after="0" w:line="96" w:lineRule="exact"/>
        <w:rPr>
          <w:sz w:val="20"/>
          <w:szCs w:val="20"/>
          <w:color w:val="auto"/>
        </w:rPr>
      </w:pPr>
    </w:p>
    <w:p>
      <w:pPr>
        <w:ind w:left="1144" w:hanging="496"/>
        <w:spacing w:after="0"/>
        <w:tabs>
          <w:tab w:leader="none" w:pos="1144"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Spin-Offs and Other Distributed Property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44" w:firstLine="652"/>
        <w:spacing w:after="0" w:line="319" w:lineRule="auto"/>
        <w:tabs>
          <w:tab w:leader="none" w:pos="1751" w:val="left"/>
        </w:tabs>
        <w:numPr>
          <w:ilvl w:val="1"/>
          <w:numId w:val="81"/>
        </w:numPr>
        <w:rPr>
          <w:rFonts w:ascii="Arial" w:cs="Arial" w:eastAsia="Arial" w:hAnsi="Arial"/>
          <w:sz w:val="19"/>
          <w:szCs w:val="19"/>
          <w:color w:val="auto"/>
        </w:rPr>
      </w:pPr>
      <w:r>
        <w:rPr>
          <w:rFonts w:ascii="Arial" w:cs="Arial" w:eastAsia="Arial" w:hAnsi="Arial"/>
          <w:sz w:val="19"/>
          <w:szCs w:val="19"/>
          <w:i w:val="1"/>
          <w:iCs w:val="1"/>
          <w:color w:val="auto"/>
        </w:rPr>
        <w:t>Distributions Other than Spin-Offs</w:t>
      </w:r>
      <w:r>
        <w:rPr>
          <w:rFonts w:ascii="Arial" w:cs="Arial" w:eastAsia="Arial" w:hAnsi="Arial"/>
          <w:sz w:val="19"/>
          <w:szCs w:val="19"/>
          <w:color w:val="auto"/>
        </w:rPr>
        <w:t>. If the Company distributes shares of its Capital Stock, evidences</w:t>
      </w:r>
      <w:r>
        <w:rPr>
          <w:rFonts w:ascii="Arial" w:cs="Arial" w:eastAsia="Arial" w:hAnsi="Arial"/>
          <w:sz w:val="19"/>
          <w:szCs w:val="19"/>
          <w:i w:val="1"/>
          <w:iCs w:val="1"/>
          <w:color w:val="auto"/>
        </w:rPr>
        <w:t xml:space="preserve"> </w:t>
      </w:r>
      <w:r>
        <w:rPr>
          <w:rFonts w:ascii="Arial" w:cs="Arial" w:eastAsia="Arial" w:hAnsi="Arial"/>
          <w:sz w:val="19"/>
          <w:szCs w:val="19"/>
          <w:color w:val="auto"/>
        </w:rPr>
        <w:t>of its indebtedness or other assets or property of the Company, or rights, options or warrants to acquire Capital Stock of the Company or other securities, to all or substantially all holders of the Common Stock, excluding:</w:t>
      </w:r>
    </w:p>
    <w:p>
      <w:pPr>
        <w:spacing w:after="0" w:line="128" w:lineRule="exact"/>
        <w:rPr>
          <w:sz w:val="20"/>
          <w:szCs w:val="20"/>
          <w:color w:val="auto"/>
        </w:rPr>
      </w:pPr>
    </w:p>
    <w:p>
      <w:pPr>
        <w:ind w:left="1304" w:firstLine="640"/>
        <w:spacing w:after="0" w:line="263" w:lineRule="auto"/>
        <w:tabs>
          <w:tab w:leader="none" w:pos="2427"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dividends, distributions, rights, options or warrants for which an adjustment to the Conversion Rate is required pursuant to </w:t>
      </w:r>
      <w:r>
        <w:rPr>
          <w:rFonts w:ascii="Arial" w:cs="Arial" w:eastAsia="Arial" w:hAnsi="Arial"/>
          <w:sz w:val="22"/>
          <w:szCs w:val="22"/>
          <w:b w:val="1"/>
          <w:bCs w:val="1"/>
          <w:color w:val="auto"/>
        </w:rPr>
        <w:t>Section 5.05(A)(i)</w:t>
      </w:r>
      <w:r>
        <w:rPr>
          <w:rFonts w:ascii="Arial" w:cs="Arial" w:eastAsia="Arial" w:hAnsi="Arial"/>
          <w:sz w:val="22"/>
          <w:szCs w:val="22"/>
          <w:color w:val="auto"/>
        </w:rPr>
        <w:t xml:space="preserve"> or </w:t>
      </w:r>
      <w:r>
        <w:rPr>
          <w:rFonts w:ascii="Arial" w:cs="Arial" w:eastAsia="Arial" w:hAnsi="Arial"/>
          <w:sz w:val="22"/>
          <w:szCs w:val="22"/>
          <w:b w:val="1"/>
          <w:bCs w:val="1"/>
          <w:color w:val="auto"/>
        </w:rPr>
        <w:t>5.05(A)(ii)</w:t>
      </w:r>
      <w:r>
        <w:rPr>
          <w:rFonts w:ascii="Arial" w:cs="Arial" w:eastAsia="Arial" w:hAnsi="Arial"/>
          <w:sz w:val="22"/>
          <w:szCs w:val="22"/>
          <w:color w:val="auto"/>
        </w:rPr>
        <w:t>;</w:t>
      </w:r>
    </w:p>
    <w:p>
      <w:pPr>
        <w:spacing w:after="0" w:line="166" w:lineRule="exact"/>
        <w:rPr>
          <w:sz w:val="20"/>
          <w:szCs w:val="20"/>
          <w:color w:val="auto"/>
        </w:rPr>
      </w:pPr>
    </w:p>
    <w:p>
      <w:pPr>
        <w:ind w:left="4804"/>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0584"/>
          </w:cols>
          <w:pgMar w:left="976" w:top="348" w:right="339" w:bottom="1440" w:gutter="0" w:footer="0" w:header="0"/>
          <w:type w:val="continuous"/>
        </w:sectPr>
      </w:pPr>
    </w:p>
    <w:bookmarkStart w:id="58" w:name="page59"/>
    <w:bookmarkEnd w:id="58"/>
    <w:p>
      <w:pPr>
        <w:ind w:left="840" w:firstLine="640"/>
        <w:spacing w:after="0" w:line="263" w:lineRule="auto"/>
        <w:tabs>
          <w:tab w:leader="none" w:pos="1978"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dividends or distributions paid exclusively in cash for which an adjustment to the Conversion Rate is required pursuant to </w:t>
      </w:r>
      <w:r>
        <w:rPr>
          <w:rFonts w:ascii="Arial" w:cs="Arial" w:eastAsia="Arial" w:hAnsi="Arial"/>
          <w:sz w:val="22"/>
          <w:szCs w:val="22"/>
          <w:b w:val="1"/>
          <w:bCs w:val="1"/>
          <w:color w:val="auto"/>
        </w:rPr>
        <w:t>Section 5.05(A)(iv)</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840" w:firstLine="640"/>
        <w:spacing w:after="0" w:line="263" w:lineRule="auto"/>
        <w:tabs>
          <w:tab w:leader="none" w:pos="2125"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rights issued or otherwise distributed pursuant to a stockholder rights plan, except to the extent provided in </w:t>
      </w:r>
      <w:r>
        <w:rPr>
          <w:rFonts w:ascii="Arial" w:cs="Arial" w:eastAsia="Arial" w:hAnsi="Arial"/>
          <w:sz w:val="22"/>
          <w:szCs w:val="22"/>
          <w:b w:val="1"/>
          <w:bCs w:val="1"/>
          <w:color w:val="auto"/>
        </w:rPr>
        <w:t>Section 5.05(E)</w:t>
      </w:r>
      <w:r>
        <w:rPr>
          <w:rFonts w:ascii="Arial" w:cs="Arial" w:eastAsia="Arial" w:hAnsi="Arial"/>
          <w:sz w:val="22"/>
          <w:szCs w:val="22"/>
          <w:color w:val="auto"/>
        </w:rPr>
        <w:t>;</w:t>
      </w:r>
    </w:p>
    <w:p>
      <w:pPr>
        <w:spacing w:after="0" w:line="209" w:lineRule="exact"/>
        <w:rPr>
          <w:rFonts w:ascii="Arial" w:cs="Arial" w:eastAsia="Arial" w:hAnsi="Arial"/>
          <w:sz w:val="22"/>
          <w:szCs w:val="22"/>
          <w:color w:val="auto"/>
        </w:rPr>
      </w:pPr>
    </w:p>
    <w:p>
      <w:pPr>
        <w:ind w:left="840" w:firstLine="640"/>
        <w:spacing w:after="0" w:line="269" w:lineRule="auto"/>
        <w:tabs>
          <w:tab w:leader="none" w:pos="2053"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Spin-Offs for which an adjustment to the Conversion Rate is required pursuant to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5.05(A)(iii)(2)</w:t>
      </w:r>
      <w:r>
        <w:rPr>
          <w:rFonts w:ascii="Arial" w:cs="Arial" w:eastAsia="Arial" w:hAnsi="Arial"/>
          <w:sz w:val="22"/>
          <w:szCs w:val="22"/>
          <w:color w:val="auto"/>
        </w:rPr>
        <w:t>;</w:t>
      </w:r>
    </w:p>
    <w:p>
      <w:pPr>
        <w:spacing w:after="0" w:line="208" w:lineRule="exact"/>
        <w:rPr>
          <w:rFonts w:ascii="Arial" w:cs="Arial" w:eastAsia="Arial" w:hAnsi="Arial"/>
          <w:sz w:val="22"/>
          <w:szCs w:val="22"/>
          <w:color w:val="auto"/>
        </w:rPr>
      </w:pPr>
    </w:p>
    <w:p>
      <w:pPr>
        <w:ind w:left="840" w:firstLine="640"/>
        <w:spacing w:after="0" w:line="263" w:lineRule="auto"/>
        <w:tabs>
          <w:tab w:leader="none" w:pos="1967"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a distribution solely pursuant to a tender offer or exchange offer for shares of Common Stock, as to which </w:t>
      </w:r>
      <w:r>
        <w:rPr>
          <w:rFonts w:ascii="Arial" w:cs="Arial" w:eastAsia="Arial" w:hAnsi="Arial"/>
          <w:sz w:val="22"/>
          <w:szCs w:val="22"/>
          <w:b w:val="1"/>
          <w:bCs w:val="1"/>
          <w:color w:val="auto"/>
        </w:rPr>
        <w:t>Section 5.05(A)(v)</w:t>
      </w:r>
      <w:r>
        <w:rPr>
          <w:rFonts w:ascii="Arial" w:cs="Arial" w:eastAsia="Arial" w:hAnsi="Arial"/>
          <w:sz w:val="22"/>
          <w:szCs w:val="22"/>
          <w:color w:val="auto"/>
        </w:rPr>
        <w:t xml:space="preserve"> will apply; and</w:t>
      </w:r>
    </w:p>
    <w:p>
      <w:pPr>
        <w:spacing w:after="0" w:line="209" w:lineRule="exact"/>
        <w:rPr>
          <w:rFonts w:ascii="Arial" w:cs="Arial" w:eastAsia="Arial" w:hAnsi="Arial"/>
          <w:sz w:val="22"/>
          <w:szCs w:val="22"/>
          <w:color w:val="auto"/>
        </w:rPr>
      </w:pPr>
    </w:p>
    <w:p>
      <w:pPr>
        <w:ind w:left="2020" w:hanging="540"/>
        <w:spacing w:after="0"/>
        <w:tabs>
          <w:tab w:leader="none" w:pos="20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a distribution solely pursuant to a Common Stock Change Event, as to which </w:t>
      </w:r>
      <w:r>
        <w:rPr>
          <w:rFonts w:ascii="Arial" w:cs="Arial" w:eastAsia="Arial" w:hAnsi="Arial"/>
          <w:sz w:val="19"/>
          <w:szCs w:val="19"/>
          <w:b w:val="1"/>
          <w:bCs w:val="1"/>
          <w:color w:val="auto"/>
        </w:rPr>
        <w:t>Section 5.09</w:t>
      </w:r>
    </w:p>
    <w:p>
      <w:pPr>
        <w:spacing w:after="0" w:line="61"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22"/>
          <w:szCs w:val="22"/>
          <w:color w:val="auto"/>
        </w:rPr>
        <w:t>will apply,</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144145</wp:posOffset>
            </wp:positionV>
            <wp:extent cx="121729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172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0120"/>
          </w:cols>
          <w:pgMar w:left="1440" w:top="348" w:right="339" w:bottom="1440" w:gutter="0" w:footer="0" w:header="0"/>
        </w:sect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CR</w:t>
      </w:r>
      <w:r>
        <w:rPr>
          <w:rFonts w:ascii="Arial" w:cs="Arial" w:eastAsia="Arial" w:hAnsi="Arial"/>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hanging="647"/>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before the Open of Business on the Ex-Dividend Date for such distribution;</w:t>
      </w:r>
    </w:p>
    <w:p>
      <w:pPr>
        <w:spacing w:after="0" w:line="200" w:lineRule="exact"/>
        <w:rPr>
          <w:sz w:val="20"/>
          <w:szCs w:val="20"/>
          <w:color w:val="auto"/>
        </w:rPr>
      </w:pPr>
    </w:p>
    <w:p>
      <w:pPr>
        <w:sectPr>
          <w:pgSz w:w="11900" w:h="16838" w:orient="portrait"/>
          <w:cols w:equalWidth="0" w:num="2">
            <w:col w:w="540" w:space="680"/>
            <w:col w:w="8900"/>
          </w:cols>
          <w:pgMar w:left="1440" w:top="348" w:right="339" w:bottom="1440" w:gutter="0" w:footer="0" w:header="0"/>
          <w:type w:val="continuous"/>
        </w:sectPr>
      </w:pPr>
    </w:p>
    <w:p>
      <w:pPr>
        <w:spacing w:after="0" w:line="15"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CR</w:t>
      </w:r>
      <w:r>
        <w:rPr>
          <w:rFonts w:ascii="Arial" w:cs="Arial" w:eastAsia="Arial" w:hAnsi="Arial"/>
          <w:sz w:val="13"/>
          <w:szCs w:val="13"/>
          <w:i w:val="1"/>
          <w:iCs w:val="1"/>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540" w:space="300"/>
            <w:col w:w="9280"/>
          </w:cols>
          <w:pgMar w:left="1440" w:top="348" w:right="339" w:bottom="1440" w:gutter="0" w:footer="0" w:header="0"/>
          <w:type w:val="continuous"/>
        </w:sectPr>
      </w:pPr>
    </w:p>
    <w:p>
      <w:pPr>
        <w:spacing w:after="0" w:line="60"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SP</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both"/>
        <w:ind w:hanging="647"/>
        <w:spacing w:after="0" w:line="25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average of the Last Reported Sale Prices per share of Common Stock for the ten (10) consecutive Trading Days ending on, and including, the Trading Day immediately before such Ex-Dividend Date; and</w:t>
      </w:r>
    </w:p>
    <w:p>
      <w:pPr>
        <w:spacing w:after="0" w:line="200" w:lineRule="exact"/>
        <w:rPr>
          <w:sz w:val="20"/>
          <w:szCs w:val="20"/>
          <w:color w:val="auto"/>
        </w:rPr>
      </w:pPr>
    </w:p>
    <w:p>
      <w:pPr>
        <w:sectPr>
          <w:pgSz w:w="11900" w:h="16838" w:orient="portrait"/>
          <w:cols w:equalWidth="0" w:num="2">
            <w:col w:w="500" w:space="720"/>
            <w:col w:w="8900"/>
          </w:cols>
          <w:pgMar w:left="1440" w:top="348" w:right="339" w:bottom="1440" w:gutter="0" w:footer="0" w:header="0"/>
          <w:type w:val="continuous"/>
        </w:sectPr>
      </w:pPr>
    </w:p>
    <w:p>
      <w:pPr>
        <w:spacing w:after="0" w:line="26" w:lineRule="exact"/>
        <w:rPr>
          <w:sz w:val="20"/>
          <w:szCs w:val="20"/>
          <w:color w:val="auto"/>
        </w:rPr>
      </w:pPr>
    </w:p>
    <w:p>
      <w:pPr>
        <w:jc w:val="center"/>
        <w:ind w:left="180"/>
        <w:spacing w:after="0"/>
        <w:rPr>
          <w:sz w:val="20"/>
          <w:szCs w:val="20"/>
          <w:color w:val="auto"/>
        </w:rPr>
      </w:pPr>
      <w:r>
        <w:rPr>
          <w:rFonts w:ascii="Arial" w:cs="Arial" w:eastAsia="Arial" w:hAnsi="Arial"/>
          <w:sz w:val="19"/>
          <w:szCs w:val="19"/>
          <w:i w:val="1"/>
          <w:iCs w:val="1"/>
          <w:color w:val="auto"/>
        </w:rPr>
        <w:t>FMV</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both"/>
        <w:ind w:hanging="258"/>
        <w:spacing w:after="0" w:line="253" w:lineRule="auto"/>
        <w:rPr>
          <w:sz w:val="20"/>
          <w:szCs w:val="20"/>
          <w:color w:val="auto"/>
        </w:rPr>
      </w:pPr>
      <w:r>
        <w:rPr>
          <w:rFonts w:ascii="Arial" w:cs="Arial" w:eastAsia="Arial" w:hAnsi="Arial"/>
          <w:sz w:val="22"/>
          <w:szCs w:val="22"/>
          <w:color w:val="auto"/>
        </w:rPr>
        <w:t>the fair market value (as determined by the Board of Directors), as of such Ex-Dividend Date, of the shares of Capital Stock, evidences of indebtedness, assets, property, rights, options or warrants distributed per share of Common Stock pursuant to such distribution;</w:t>
      </w:r>
    </w:p>
    <w:p>
      <w:pPr>
        <w:spacing w:after="0" w:line="200" w:lineRule="exact"/>
        <w:rPr>
          <w:sz w:val="20"/>
          <w:szCs w:val="20"/>
          <w:color w:val="auto"/>
        </w:rPr>
      </w:pPr>
    </w:p>
    <w:p>
      <w:pPr>
        <w:sectPr>
          <w:pgSz w:w="11900" w:h="16838" w:orient="portrait"/>
          <w:cols w:equalWidth="0" w:num="3">
            <w:col w:w="620" w:space="220"/>
            <w:col w:w="120" w:space="520"/>
            <w:col w:w="8640"/>
          </w:cols>
          <w:pgMar w:left="1440" w:top="348" w:right="339" w:bottom="1440" w:gutter="0" w:footer="0" w:header="0"/>
          <w:type w:val="continuous"/>
        </w:sectPr>
      </w:pPr>
    </w:p>
    <w:p>
      <w:pPr>
        <w:spacing w:after="0" w:line="26" w:lineRule="exact"/>
        <w:rPr>
          <w:sz w:val="20"/>
          <w:szCs w:val="20"/>
          <w:color w:val="auto"/>
        </w:rPr>
      </w:pPr>
    </w:p>
    <w:p>
      <w:pPr>
        <w:jc w:val="both"/>
        <w:ind w:left="180" w:right="20"/>
        <w:spacing w:after="0" w:line="312"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w:t>
      </w:r>
      <w:r>
        <w:rPr>
          <w:rFonts w:ascii="Arial" w:cs="Arial" w:eastAsia="Arial" w:hAnsi="Arial"/>
          <w:sz w:val="19"/>
          <w:szCs w:val="19"/>
          <w:i w:val="1"/>
          <w:iCs w:val="1"/>
          <w:color w:val="auto"/>
        </w:rPr>
        <w:t xml:space="preserve"> FMV </w:t>
      </w:r>
      <w:r>
        <w:rPr>
          <w:rFonts w:ascii="Arial" w:cs="Arial" w:eastAsia="Arial" w:hAnsi="Arial"/>
          <w:sz w:val="19"/>
          <w:szCs w:val="19"/>
          <w:color w:val="auto"/>
        </w:rPr>
        <w:t>is equal to or greater than</w:t>
      </w:r>
      <w:r>
        <w:rPr>
          <w:rFonts w:ascii="Arial" w:cs="Arial" w:eastAsia="Arial" w:hAnsi="Arial"/>
          <w:sz w:val="19"/>
          <w:szCs w:val="19"/>
          <w:i w:val="1"/>
          <w:iCs w:val="1"/>
          <w:color w:val="auto"/>
        </w:rPr>
        <w:t xml:space="preserve"> SP</w:t>
      </w:r>
      <w:r>
        <w:rPr>
          <w:rFonts w:ascii="Arial" w:cs="Arial" w:eastAsia="Arial" w:hAnsi="Arial"/>
          <w:sz w:val="19"/>
          <w:szCs w:val="19"/>
          <w:color w:val="auto"/>
        </w:rPr>
        <w:t>, then, in lieu of the foregoing adjustment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Conversion Rate, each Holder will receive, for each $1,000 principal amount of Notes held by such Holder on the Record Date for such distribution, at the same time and on the same terms as holders of Common Stock,</w:t>
      </w:r>
    </w:p>
    <w:p>
      <w:pPr>
        <w:spacing w:after="0" w:line="125"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0120"/>
          </w:cols>
          <w:pgMar w:left="1440" w:top="348" w:right="339" w:bottom="1440" w:gutter="0" w:footer="0" w:header="0"/>
          <w:type w:val="continuous"/>
        </w:sectPr>
      </w:pPr>
    </w:p>
    <w:bookmarkStart w:id="59" w:name="page60"/>
    <w:bookmarkEnd w:id="59"/>
    <w:p>
      <w:pPr>
        <w:jc w:val="both"/>
        <w:ind w:left="180"/>
        <w:spacing w:after="0" w:line="248" w:lineRule="auto"/>
        <w:rPr>
          <w:sz w:val="20"/>
          <w:szCs w:val="20"/>
          <w:color w:val="auto"/>
        </w:rPr>
      </w:pPr>
      <w:r>
        <w:rPr>
          <w:rFonts w:ascii="Arial" w:cs="Arial" w:eastAsia="Arial" w:hAnsi="Arial"/>
          <w:sz w:val="22"/>
          <w:szCs w:val="22"/>
          <w:color w:val="auto"/>
        </w:rPr>
        <w:t xml:space="preserve">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 For the avoidance of doubt, each adjustment to the Conversion Rate made pursuant to this </w:t>
      </w:r>
      <w:r>
        <w:rPr>
          <w:rFonts w:ascii="Arial" w:cs="Arial" w:eastAsia="Arial" w:hAnsi="Arial"/>
          <w:sz w:val="22"/>
          <w:szCs w:val="22"/>
          <w:b w:val="1"/>
          <w:bCs w:val="1"/>
          <w:color w:val="auto"/>
        </w:rPr>
        <w:t>Section 5.05(A)(iii)(1)</w:t>
      </w:r>
      <w:r>
        <w:rPr>
          <w:rFonts w:ascii="Arial" w:cs="Arial" w:eastAsia="Arial" w:hAnsi="Arial"/>
          <w:sz w:val="22"/>
          <w:szCs w:val="22"/>
          <w:color w:val="auto"/>
        </w:rPr>
        <w:t xml:space="preserve"> will become effective at the time set forth in the preceding definition of </w:t>
      </w:r>
      <w:r>
        <w:rPr>
          <w:rFonts w:ascii="Arial" w:cs="Arial" w:eastAsia="Arial" w:hAnsi="Arial"/>
          <w:sz w:val="22"/>
          <w:szCs w:val="22"/>
          <w:i w:val="1"/>
          <w:iCs w:val="1"/>
          <w:color w:val="auto"/>
        </w:rPr>
        <w:t>CR</w:t>
      </w:r>
      <w:r>
        <w:rPr>
          <w:rFonts w:ascii="Arial" w:cs="Arial" w:eastAsia="Arial" w:hAnsi="Arial"/>
          <w:sz w:val="14"/>
          <w:szCs w:val="14"/>
          <w:i w:val="1"/>
          <w:iCs w:val="1"/>
          <w:color w:val="auto"/>
        </w:rPr>
        <w:t>1</w:t>
      </w:r>
      <w:r>
        <w:rPr>
          <w:rFonts w:ascii="Arial" w:cs="Arial" w:eastAsia="Arial" w:hAnsi="Arial"/>
          <w:sz w:val="22"/>
          <w:szCs w:val="22"/>
          <w:color w:val="auto"/>
        </w:rPr>
        <w:t>.</w:t>
      </w:r>
    </w:p>
    <w:p>
      <w:pPr>
        <w:spacing w:after="0" w:line="232"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226" w:lineRule="exact"/>
        <w:rPr>
          <w:sz w:val="20"/>
          <w:szCs w:val="20"/>
          <w:color w:val="auto"/>
        </w:rPr>
      </w:pPr>
    </w:p>
    <w:p>
      <w:pPr>
        <w:jc w:val="both"/>
        <w:ind w:left="180"/>
        <w:spacing w:after="0" w:line="248" w:lineRule="auto"/>
        <w:rPr>
          <w:sz w:val="20"/>
          <w:szCs w:val="20"/>
          <w:color w:val="auto"/>
        </w:rPr>
      </w:pPr>
      <w:r>
        <w:rPr>
          <w:rFonts w:ascii="Arial" w:cs="Arial" w:eastAsia="Arial" w:hAnsi="Arial"/>
          <w:sz w:val="22"/>
          <w:szCs w:val="22"/>
          <w:color w:val="auto"/>
        </w:rPr>
        <w:t xml:space="preserve">If the Company issues rights, options or warrants that are only exercisable upon the occurrence of certain triggering events, then the Company will not adjust the Conversion Rate pursuant to the foregoing in this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5.05(A)(iii)(1) </w:t>
      </w:r>
      <w:r>
        <w:rPr>
          <w:rFonts w:ascii="Arial" w:cs="Arial" w:eastAsia="Arial" w:hAnsi="Arial"/>
          <w:sz w:val="22"/>
          <w:szCs w:val="22"/>
          <w:color w:val="auto"/>
        </w:rPr>
        <w:t>until the earliest of these triggering events occurs;</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 that</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options or warrants</w:t>
      </w:r>
      <w:r>
        <w:rPr>
          <w:rFonts w:ascii="Arial" w:cs="Arial" w:eastAsia="Arial" w:hAnsi="Arial"/>
          <w:sz w:val="22"/>
          <w:szCs w:val="22"/>
          <w:b w:val="1"/>
          <w:bCs w:val="1"/>
          <w:color w:val="auto"/>
        </w:rPr>
        <w:t xml:space="preserve"> </w:t>
      </w:r>
      <w:r>
        <w:rPr>
          <w:rFonts w:ascii="Arial" w:cs="Arial" w:eastAsia="Arial" w:hAnsi="Arial"/>
          <w:sz w:val="22"/>
          <w:szCs w:val="22"/>
          <w:color w:val="auto"/>
        </w:rPr>
        <w:t>trade together with the Common Stock and will be issued in respect of future issuances of shares of Common Stock.</w:t>
      </w:r>
    </w:p>
    <w:p>
      <w:pPr>
        <w:spacing w:after="0" w:line="232" w:lineRule="exact"/>
        <w:rPr>
          <w:sz w:val="20"/>
          <w:szCs w:val="20"/>
          <w:color w:val="auto"/>
        </w:rPr>
      </w:pPr>
    </w:p>
    <w:p>
      <w:pPr>
        <w:jc w:val="both"/>
        <w:ind w:left="180" w:firstLine="652"/>
        <w:spacing w:after="0" w:line="294" w:lineRule="auto"/>
        <w:tabs>
          <w:tab w:leader="none" w:pos="1314" w:val="left"/>
        </w:tabs>
        <w:numPr>
          <w:ilvl w:val="0"/>
          <w:numId w:val="84"/>
        </w:numPr>
        <w:rPr>
          <w:rFonts w:ascii="Arial" w:cs="Arial" w:eastAsia="Arial" w:hAnsi="Arial"/>
          <w:sz w:val="19"/>
          <w:szCs w:val="19"/>
          <w:color w:val="auto"/>
        </w:rPr>
      </w:pPr>
      <w:r>
        <w:rPr>
          <w:rFonts w:ascii="Arial" w:cs="Arial" w:eastAsia="Arial" w:hAnsi="Arial"/>
          <w:sz w:val="19"/>
          <w:szCs w:val="19"/>
          <w:i w:val="1"/>
          <w:iCs w:val="1"/>
          <w:color w:val="auto"/>
        </w:rPr>
        <w:t>Spin-Offs</w:t>
      </w:r>
      <w:r>
        <w:rPr>
          <w:rFonts w:ascii="Arial" w:cs="Arial" w:eastAsia="Arial" w:hAnsi="Arial"/>
          <w:sz w:val="19"/>
          <w:szCs w:val="19"/>
          <w:color w:val="auto"/>
        </w:rPr>
        <w:t>. If the Company distributes or dividends shares of Capital Stock of any class or series,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similar equity interests, of or relating to a Subsidiary or other business unit of the Company to all or substantially all holders of the Common Stock (other than solely pursuant to (x) a Common Stock Change Event, as to which </w:t>
      </w:r>
      <w:r>
        <w:rPr>
          <w:rFonts w:ascii="Arial" w:cs="Arial" w:eastAsia="Arial" w:hAnsi="Arial"/>
          <w:sz w:val="19"/>
          <w:szCs w:val="19"/>
          <w:b w:val="1"/>
          <w:bCs w:val="1"/>
          <w:color w:val="auto"/>
        </w:rPr>
        <w:t xml:space="preserve">Section 5.09 </w:t>
      </w:r>
      <w:r>
        <w:rPr>
          <w:rFonts w:ascii="Arial" w:cs="Arial" w:eastAsia="Arial" w:hAnsi="Arial"/>
          <w:sz w:val="19"/>
          <w:szCs w:val="19"/>
          <w:color w:val="auto"/>
        </w:rPr>
        <w:t>will apply; or (y) a tender offer or exchange offer for shares of Common Stock, as to which</w:t>
      </w:r>
      <w:r>
        <w:rPr>
          <w:rFonts w:ascii="Arial" w:cs="Arial" w:eastAsia="Arial" w:hAnsi="Arial"/>
          <w:sz w:val="19"/>
          <w:szCs w:val="19"/>
          <w:b w:val="1"/>
          <w:bCs w:val="1"/>
          <w:color w:val="auto"/>
        </w:rPr>
        <w:t xml:space="preserve"> Section 5.05(A)(v) </w:t>
      </w:r>
      <w:r>
        <w:rPr>
          <w:rFonts w:ascii="Arial" w:cs="Arial" w:eastAsia="Arial" w:hAnsi="Arial"/>
          <w:sz w:val="19"/>
          <w:szCs w:val="19"/>
          <w:color w:val="auto"/>
        </w:rPr>
        <w:t>will apply), and such Capital Stock or equity interests are listed or quoted (or will be listed or quoted</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consummation of the transaction) on a U.S. national securities exchange (a “</w:t>
      </w:r>
      <w:r>
        <w:rPr>
          <w:rFonts w:ascii="Arial" w:cs="Arial" w:eastAsia="Arial" w:hAnsi="Arial"/>
          <w:sz w:val="19"/>
          <w:szCs w:val="19"/>
          <w:b w:val="1"/>
          <w:bCs w:val="1"/>
          <w:color w:val="auto"/>
        </w:rPr>
        <w:t>Spin-Off</w:t>
      </w:r>
      <w:r>
        <w:rPr>
          <w:rFonts w:ascii="Arial" w:cs="Arial" w:eastAsia="Arial" w:hAnsi="Arial"/>
          <w:sz w:val="19"/>
          <w:szCs w:val="19"/>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100965</wp:posOffset>
            </wp:positionV>
            <wp:extent cx="113982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98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0120"/>
          </w:cols>
          <w:pgMar w:left="1440" w:top="348" w:right="339" w:bottom="1440" w:gutter="0" w:footer="0" w:header="0"/>
        </w:sect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CR</w:t>
      </w:r>
      <w:r>
        <w:rPr>
          <w:rFonts w:ascii="Arial" w:cs="Arial" w:eastAsia="Arial" w:hAnsi="Arial"/>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hanging="647"/>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before the Close of Business on the last Trading Day of the Spin-Off Valuation Period for such Spin-Off;</w:t>
      </w:r>
    </w:p>
    <w:p>
      <w:pPr>
        <w:spacing w:after="0" w:line="200" w:lineRule="exact"/>
        <w:rPr>
          <w:sz w:val="20"/>
          <w:szCs w:val="20"/>
          <w:color w:val="auto"/>
        </w:rPr>
      </w:pPr>
    </w:p>
    <w:p>
      <w:pPr>
        <w:sectPr>
          <w:pgSz w:w="11900" w:h="16838" w:orient="portrait"/>
          <w:cols w:equalWidth="0" w:num="2">
            <w:col w:w="540" w:space="660"/>
            <w:col w:w="8920"/>
          </w:cols>
          <w:pgMar w:left="1440" w:top="348" w:right="339" w:bottom="1440" w:gutter="0" w:footer="0" w:header="0"/>
          <w:type w:val="continuous"/>
        </w:sectPr>
      </w:pPr>
    </w:p>
    <w:p>
      <w:pPr>
        <w:spacing w:after="0" w:line="15"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CR</w:t>
      </w:r>
      <w:r>
        <w:rPr>
          <w:rFonts w:ascii="Arial" w:cs="Arial" w:eastAsia="Arial" w:hAnsi="Arial"/>
          <w:sz w:val="13"/>
          <w:szCs w:val="13"/>
          <w:i w:val="1"/>
          <w:iCs w:val="1"/>
          <w:color w:val="auto"/>
        </w:rPr>
        <w:t>1</w:t>
      </w:r>
    </w:p>
    <w:p>
      <w:pPr>
        <w:spacing w:after="0" w:line="20" w:lineRule="exact"/>
        <w:rPr>
          <w:sz w:val="20"/>
          <w:szCs w:val="20"/>
          <w:color w:val="auto"/>
        </w:rPr>
      </w:pPr>
      <w:r>
        <w:rPr>
          <w:sz w:val="20"/>
          <w:szCs w:val="20"/>
          <w:color w:val="auto"/>
        </w:rPr>
        <w:br w:type="column"/>
      </w:r>
    </w:p>
    <w:p>
      <w:pPr>
        <w:ind w:right="20" w:hanging="647"/>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after the Close of Business on the last Trading Day of the Spin-Off Valuation Period;</w:t>
      </w:r>
    </w:p>
    <w:p>
      <w:pPr>
        <w:spacing w:after="0" w:line="200" w:lineRule="exact"/>
        <w:rPr>
          <w:sz w:val="20"/>
          <w:szCs w:val="20"/>
          <w:color w:val="auto"/>
        </w:rPr>
      </w:pPr>
    </w:p>
    <w:p>
      <w:pPr>
        <w:sectPr>
          <w:pgSz w:w="11900" w:h="16838" w:orient="portrait"/>
          <w:cols w:equalWidth="0" w:num="2">
            <w:col w:w="540" w:space="680"/>
            <w:col w:w="8900"/>
          </w:cols>
          <w:pgMar w:left="1440" w:top="348" w:right="339" w:bottom="1440" w:gutter="0" w:footer="0" w:header="0"/>
          <w:type w:val="continuous"/>
        </w:sectPr>
      </w:pPr>
    </w:p>
    <w:p>
      <w:pPr>
        <w:spacing w:after="0" w:line="15" w:lineRule="exact"/>
        <w:rPr>
          <w:sz w:val="20"/>
          <w:szCs w:val="20"/>
          <w:color w:val="auto"/>
        </w:rPr>
      </w:pPr>
    </w:p>
    <w:p>
      <w:pPr>
        <w:jc w:val="center"/>
        <w:ind w:left="180"/>
        <w:spacing w:after="0"/>
        <w:rPr>
          <w:sz w:val="20"/>
          <w:szCs w:val="20"/>
          <w:color w:val="auto"/>
        </w:rPr>
      </w:pPr>
      <w:r>
        <w:rPr>
          <w:rFonts w:ascii="Arial" w:cs="Arial" w:eastAsia="Arial" w:hAnsi="Arial"/>
          <w:sz w:val="19"/>
          <w:szCs w:val="19"/>
          <w:i w:val="1"/>
          <w:iCs w:val="1"/>
          <w:color w:val="auto"/>
        </w:rPr>
        <w:t>FMV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ind w:hanging="258"/>
        <w:spacing w:after="0" w:line="253" w:lineRule="auto"/>
        <w:rPr>
          <w:sz w:val="20"/>
          <w:szCs w:val="20"/>
          <w:color w:val="auto"/>
        </w:rPr>
      </w:pPr>
      <w:r>
        <w:rPr>
          <w:rFonts w:ascii="Arial" w:cs="Arial" w:eastAsia="Arial" w:hAnsi="Arial"/>
          <w:sz w:val="22"/>
          <w:szCs w:val="22"/>
          <w:color w:val="auto"/>
        </w:rPr>
        <w:t>the average of the Last Reported Sale Prices per share or unit of the Capital Stock or equity interests distributed in such Spin-Off applicable to one share of Common Stock over the ten (10) consecutive Trading Day period (the “</w:t>
      </w:r>
      <w:r>
        <w:rPr>
          <w:rFonts w:ascii="Arial" w:cs="Arial" w:eastAsia="Arial" w:hAnsi="Arial"/>
          <w:sz w:val="22"/>
          <w:szCs w:val="22"/>
          <w:b w:val="1"/>
          <w:bCs w:val="1"/>
          <w:color w:val="auto"/>
        </w:rPr>
        <w:t>Spin-Off Valuation Period</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3">
            <w:col w:w="620" w:space="220"/>
            <w:col w:w="120" w:space="520"/>
            <w:col w:w="8640"/>
          </w:cols>
          <w:pgMar w:left="1440" w:top="348" w:right="339" w:bottom="1440" w:gutter="0" w:footer="0" w:header="0"/>
          <w:type w:val="continuous"/>
        </w:sectPr>
      </w:pPr>
    </w:p>
    <w:p>
      <w:pPr>
        <w:spacing w:after="0" w:line="139"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120"/>
          </w:cols>
          <w:pgMar w:left="1440" w:top="348" w:right="339" w:bottom="1440" w:gutter="0" w:footer="0" w:header="0"/>
          <w:type w:val="continuous"/>
        </w:sectPr>
      </w:pPr>
    </w:p>
    <w:bookmarkStart w:id="60" w:name="page61"/>
    <w:bookmarkEnd w:id="60"/>
    <w:p>
      <w:pPr>
        <w:jc w:val="both"/>
        <w:ind w:left="1940"/>
        <w:spacing w:after="0" w:line="250" w:lineRule="auto"/>
        <w:rPr>
          <w:sz w:val="20"/>
          <w:szCs w:val="20"/>
          <w:color w:val="auto"/>
        </w:rPr>
      </w:pPr>
      <w:r>
        <w:rPr>
          <w:rFonts w:ascii="Arial" w:cs="Arial" w:eastAsia="Arial" w:hAnsi="Arial"/>
          <w:sz w:val="22"/>
          <w:szCs w:val="22"/>
          <w:color w:val="auto"/>
        </w:rPr>
        <w:t>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w:t>
      </w:r>
    </w:p>
    <w:p>
      <w:pPr>
        <w:sectPr>
          <w:pgSz w:w="11900" w:h="16838" w:orient="portrait"/>
          <w:cols w:equalWidth="0" w:num="1">
            <w:col w:w="10580"/>
          </w:cols>
          <w:pgMar w:left="980" w:top="348" w:right="339" w:bottom="1440" w:gutter="0" w:footer="0" w:header="0"/>
        </w:sectPr>
      </w:pPr>
    </w:p>
    <w:p>
      <w:pPr>
        <w:spacing w:after="0" w:line="13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SP</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20" w:hanging="647"/>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average of the Last Reported Sale Prices per share of Common Stock for each Trading Day in the Spin-Off Valuation Period.</w:t>
      </w:r>
    </w:p>
    <w:p>
      <w:pPr>
        <w:spacing w:after="0" w:line="115" w:lineRule="exact"/>
        <w:rPr>
          <w:sz w:val="20"/>
          <w:szCs w:val="20"/>
          <w:color w:val="auto"/>
        </w:rPr>
      </w:pPr>
    </w:p>
    <w:p>
      <w:pPr>
        <w:sectPr>
          <w:pgSz w:w="11900" w:h="16838" w:orient="portrait"/>
          <w:cols w:equalWidth="0" w:num="2">
            <w:col w:w="940" w:space="720"/>
            <w:col w:w="8920"/>
          </w:cols>
          <w:pgMar w:left="980" w:top="348" w:right="339" w:bottom="1440" w:gutter="0" w:footer="0" w:header="0"/>
          <w:type w:val="continuous"/>
        </w:sectPr>
      </w:pPr>
    </w:p>
    <w:p>
      <w:pPr>
        <w:jc w:val="both"/>
        <w:ind w:left="640"/>
        <w:spacing w:after="0" w:line="272" w:lineRule="auto"/>
        <w:rPr>
          <w:sz w:val="20"/>
          <w:szCs w:val="20"/>
          <w:color w:val="auto"/>
        </w:rPr>
      </w:pPr>
      <w:r>
        <w:rPr>
          <w:rFonts w:ascii="Arial" w:cs="Arial" w:eastAsia="Arial" w:hAnsi="Arial"/>
          <w:sz w:val="20"/>
          <w:szCs w:val="20"/>
          <w:color w:val="auto"/>
        </w:rPr>
        <w:t xml:space="preserve">For the avoidance of doubt, each adjustment to the Conversion Rate made pursuant to this </w:t>
      </w:r>
      <w:r>
        <w:rPr>
          <w:rFonts w:ascii="Arial" w:cs="Arial" w:eastAsia="Arial" w:hAnsi="Arial"/>
          <w:sz w:val="20"/>
          <w:szCs w:val="20"/>
          <w:b w:val="1"/>
          <w:bCs w:val="1"/>
          <w:color w:val="auto"/>
        </w:rPr>
        <w:t>Section 5.05(A)(iii)(2)</w:t>
      </w:r>
      <w:r>
        <w:rPr>
          <w:rFonts w:ascii="Arial" w:cs="Arial" w:eastAsia="Arial" w:hAnsi="Arial"/>
          <w:sz w:val="20"/>
          <w:szCs w:val="20"/>
          <w:color w:val="auto"/>
        </w:rPr>
        <w:t xml:space="preserve"> will become effective at the time set forth in the preceding definition of </w:t>
      </w:r>
      <w:r>
        <w:rPr>
          <w:rFonts w:ascii="Arial" w:cs="Arial" w:eastAsia="Arial" w:hAnsi="Arial"/>
          <w:sz w:val="20"/>
          <w:szCs w:val="20"/>
          <w:i w:val="1"/>
          <w:iCs w:val="1"/>
          <w:color w:val="auto"/>
        </w:rPr>
        <w:t>CR</w:t>
      </w:r>
      <w:r>
        <w:rPr>
          <w:rFonts w:ascii="Arial" w:cs="Arial" w:eastAsia="Arial" w:hAnsi="Arial"/>
          <w:sz w:val="13"/>
          <w:szCs w:val="13"/>
          <w:i w:val="1"/>
          <w:iCs w:val="1"/>
          <w:color w:val="auto"/>
        </w:rPr>
        <w:t>1</w:t>
      </w:r>
      <w:r>
        <w:rPr>
          <w:rFonts w:ascii="Arial" w:cs="Arial" w:eastAsia="Arial" w:hAnsi="Arial"/>
          <w:sz w:val="20"/>
          <w:szCs w:val="20"/>
          <w:color w:val="auto"/>
        </w:rPr>
        <w:t xml:space="preserve">. Notwithstanding anything to the contrary in this </w:t>
      </w:r>
      <w:r>
        <w:rPr>
          <w:rFonts w:ascii="Arial" w:cs="Arial" w:eastAsia="Arial" w:hAnsi="Arial"/>
          <w:sz w:val="20"/>
          <w:szCs w:val="20"/>
          <w:b w:val="1"/>
          <w:bCs w:val="1"/>
          <w:color w:val="auto"/>
        </w:rPr>
        <w:t>Section 5.05(A)(iii)(2)</w:t>
      </w:r>
      <w:r>
        <w:rPr>
          <w:rFonts w:ascii="Arial" w:cs="Arial" w:eastAsia="Arial" w:hAnsi="Arial"/>
          <w:sz w:val="20"/>
          <w:szCs w:val="20"/>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112" w:lineRule="exact"/>
        <w:rPr>
          <w:sz w:val="20"/>
          <w:szCs w:val="20"/>
          <w:color w:val="auto"/>
        </w:rPr>
      </w:pPr>
    </w:p>
    <w:p>
      <w:pPr>
        <w:jc w:val="both"/>
        <w:ind w:left="640"/>
        <w:spacing w:after="0" w:line="315" w:lineRule="auto"/>
        <w:rPr>
          <w:sz w:val="20"/>
          <w:szCs w:val="20"/>
          <w:color w:val="auto"/>
        </w:rPr>
      </w:pPr>
      <w:r>
        <w:rPr>
          <w:rFonts w:ascii="Arial" w:cs="Arial" w:eastAsia="Arial" w:hAnsi="Arial"/>
          <w:sz w:val="19"/>
          <w:szCs w:val="19"/>
          <w:color w:val="auto"/>
        </w:rPr>
        <w:t xml:space="preserve">To the extent any dividend or distribution of the type set forth in this </w:t>
      </w:r>
      <w:r>
        <w:rPr>
          <w:rFonts w:ascii="Arial" w:cs="Arial" w:eastAsia="Arial" w:hAnsi="Arial"/>
          <w:sz w:val="19"/>
          <w:szCs w:val="19"/>
          <w:b w:val="1"/>
          <w:bCs w:val="1"/>
          <w:color w:val="auto"/>
        </w:rPr>
        <w:t>Section 5.05(A)(iii)(2)</w:t>
      </w:r>
      <w:r>
        <w:rPr>
          <w:rFonts w:ascii="Arial" w:cs="Arial" w:eastAsia="Arial" w:hAnsi="Arial"/>
          <w:sz w:val="19"/>
          <w:szCs w:val="19"/>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77" w:lineRule="exact"/>
        <w:rPr>
          <w:sz w:val="20"/>
          <w:szCs w:val="20"/>
          <w:color w:val="auto"/>
        </w:rPr>
      </w:pPr>
    </w:p>
    <w:p>
      <w:pPr>
        <w:ind w:right="20" w:firstLine="644"/>
        <w:spacing w:after="0" w:line="301" w:lineRule="auto"/>
        <w:tabs>
          <w:tab w:leader="none" w:pos="1261" w:val="left"/>
        </w:tabs>
        <w:numPr>
          <w:ilvl w:val="0"/>
          <w:numId w:val="85"/>
        </w:numPr>
        <w:rPr>
          <w:rFonts w:ascii="Arial" w:cs="Arial" w:eastAsia="Arial" w:hAnsi="Arial"/>
          <w:sz w:val="21"/>
          <w:szCs w:val="21"/>
          <w:color w:val="auto"/>
        </w:rPr>
      </w:pPr>
      <w:r>
        <w:rPr>
          <w:rFonts w:ascii="Arial" w:cs="Arial" w:eastAsia="Arial" w:hAnsi="Arial"/>
          <w:sz w:val="21"/>
          <w:szCs w:val="21"/>
          <w:i w:val="1"/>
          <w:iCs w:val="1"/>
          <w:color w:val="auto"/>
        </w:rPr>
        <w:t>Cash Dividends or Distributions</w:t>
      </w:r>
      <w:r>
        <w:rPr>
          <w:rFonts w:ascii="Arial" w:cs="Arial" w:eastAsia="Arial" w:hAnsi="Arial"/>
          <w:sz w:val="21"/>
          <w:szCs w:val="21"/>
          <w:color w:val="auto"/>
        </w:rPr>
        <w:t>. If any cash dividend or distribution is made to all or substantially all</w:t>
      </w:r>
      <w:r>
        <w:rPr>
          <w:rFonts w:ascii="Arial" w:cs="Arial" w:eastAsia="Arial" w:hAnsi="Arial"/>
          <w:sz w:val="21"/>
          <w:szCs w:val="21"/>
          <w:i w:val="1"/>
          <w:iCs w:val="1"/>
          <w:color w:val="auto"/>
        </w:rPr>
        <w:t xml:space="preserve"> </w:t>
      </w:r>
      <w:r>
        <w:rPr>
          <w:rFonts w:ascii="Arial" w:cs="Arial" w:eastAsia="Arial" w:hAnsi="Arial"/>
          <w:sz w:val="21"/>
          <w:szCs w:val="21"/>
          <w:color w:val="auto"/>
        </w:rPr>
        <w:t>holders of Common Stock,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57785</wp:posOffset>
            </wp:positionV>
            <wp:extent cx="97726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2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0580"/>
          </w:cols>
          <w:pgMar w:left="980" w:top="348" w:right="3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2"/>
          <w:szCs w:val="12"/>
          <w:i w:val="1"/>
          <w:iCs w:val="1"/>
          <w:color w:val="auto"/>
        </w:rPr>
        <w:t>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hanging="217"/>
        <w:spacing w:after="0" w:line="263" w:lineRule="auto"/>
        <w:rPr>
          <w:sz w:val="20"/>
          <w:szCs w:val="20"/>
          <w:color w:val="auto"/>
        </w:rPr>
      </w:pPr>
      <w:r>
        <w:rPr>
          <w:rFonts w:ascii="Arial" w:cs="Arial" w:eastAsia="Arial" w:hAnsi="Arial"/>
          <w:sz w:val="22"/>
          <w:szCs w:val="22"/>
          <w:color w:val="auto"/>
        </w:rPr>
        <w:t>the Conversion Rate in effect immediately before the Open of Business on the Ex-Dividend Date for such dividend or distribution;</w:t>
      </w:r>
    </w:p>
    <w:p>
      <w:pPr>
        <w:spacing w:after="0" w:line="121" w:lineRule="exact"/>
        <w:rPr>
          <w:sz w:val="20"/>
          <w:szCs w:val="20"/>
          <w:color w:val="auto"/>
        </w:rPr>
      </w:pPr>
    </w:p>
    <w:p>
      <w:pPr>
        <w:sectPr>
          <w:pgSz w:w="11900" w:h="16838" w:orient="portrait"/>
          <w:cols w:equalWidth="0" w:num="3">
            <w:col w:w="340" w:space="300"/>
            <w:col w:w="120" w:space="540"/>
            <w:col w:w="9280"/>
          </w:cols>
          <w:pgMar w:left="980" w:top="348"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2"/>
          <w:szCs w:val="12"/>
          <w:i w:val="1"/>
          <w:iCs w:val="1"/>
          <w:color w:val="auto"/>
        </w:rPr>
        <w:t>1</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340" w:space="300"/>
            <w:col w:w="9940"/>
          </w:cols>
          <w:pgMar w:left="980" w:top="348" w:right="339" w:bottom="1440" w:gutter="0" w:footer="0" w:header="0"/>
          <w:type w:val="continuous"/>
        </w:sectPr>
      </w:pPr>
    </w:p>
    <w:p>
      <w:pPr>
        <w:spacing w:after="0" w:line="11"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580"/>
          </w:cols>
          <w:pgMar w:left="980" w:top="348" w:right="339" w:bottom="1440" w:gutter="0" w:footer="0" w:header="0"/>
          <w:type w:val="continuous"/>
        </w:sectPr>
      </w:pPr>
    </w:p>
    <w:bookmarkStart w:id="61" w:name="page62"/>
    <w:bookmarkEnd w:id="61"/>
    <w:p>
      <w:pPr>
        <w:ind w:left="4"/>
        <w:spacing w:after="0"/>
        <w:rPr>
          <w:sz w:val="20"/>
          <w:szCs w:val="20"/>
          <w:color w:val="auto"/>
        </w:rPr>
      </w:pPr>
      <w:r>
        <w:rPr>
          <w:rFonts w:ascii="Arial" w:cs="Arial" w:eastAsia="Arial" w:hAnsi="Arial"/>
          <w:sz w:val="17"/>
          <w:szCs w:val="17"/>
          <w:i w:val="1"/>
          <w:iCs w:val="1"/>
          <w:color w:val="auto"/>
        </w:rPr>
        <w:t>SP</w:t>
      </w:r>
    </w:p>
    <w:p>
      <w:pPr>
        <w:spacing w:after="0" w:line="20" w:lineRule="exact"/>
        <w:rPr>
          <w:sz w:val="20"/>
          <w:szCs w:val="20"/>
          <w:color w:val="auto"/>
        </w:rPr>
      </w:pPr>
      <w:r>
        <w:rPr>
          <w:sz w:val="20"/>
          <w:szCs w:val="20"/>
          <w:color w:val="auto"/>
        </w:rPr>
        <w:br w:type="column"/>
      </w:r>
    </w:p>
    <w:p>
      <w:pPr>
        <w:ind w:hanging="647"/>
        <w:spacing w:after="0" w:line="251"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Last Reported Sale Price per share of Common Stock on the Trading Day immediately before such Ex-Dividend Date; and</w:t>
      </w:r>
    </w:p>
    <w:p>
      <w:pPr>
        <w:spacing w:after="0" w:line="2" w:lineRule="exact"/>
        <w:rPr>
          <w:sz w:val="20"/>
          <w:szCs w:val="20"/>
          <w:color w:val="auto"/>
        </w:rPr>
      </w:pPr>
    </w:p>
    <w:p>
      <w:pPr>
        <w:sectPr>
          <w:pgSz w:w="11900" w:h="16838" w:orient="portrait"/>
          <w:cols w:equalWidth="0" w:num="2">
            <w:col w:w="344" w:space="720"/>
            <w:col w:w="9520"/>
          </w:cols>
          <w:pgMar w:left="976" w:top="348" w:right="339" w:bottom="1440" w:gutter="0" w:footer="0" w:header="0"/>
        </w:sectPr>
      </w:pPr>
    </w:p>
    <w:p>
      <w:pPr>
        <w:ind w:left="644" w:hanging="644"/>
        <w:spacing w:after="0"/>
        <w:tabs>
          <w:tab w:leader="none" w:pos="644" w:val="left"/>
        </w:tabs>
        <w:numPr>
          <w:ilvl w:val="0"/>
          <w:numId w:val="86"/>
        </w:numPr>
        <w:rPr>
          <w:rFonts w:ascii="Arial" w:cs="Arial" w:eastAsia="Arial" w:hAnsi="Arial"/>
          <w:sz w:val="22"/>
          <w:szCs w:val="22"/>
          <w:i w:val="1"/>
          <w:iCs w:val="1"/>
          <w:color w:val="auto"/>
        </w:rPr>
      </w:pPr>
      <w:r>
        <w:rPr>
          <w:rFonts w:ascii="Arial" w:cs="Arial" w:eastAsia="Arial" w:hAnsi="Arial"/>
          <w:sz w:val="22"/>
          <w:szCs w:val="22"/>
          <w:color w:val="auto"/>
        </w:rPr>
        <w:t>=  the cash amount distributed per share of Common Stock in such dividend or distribution;</w:t>
      </w:r>
    </w:p>
    <w:p>
      <w:pPr>
        <w:spacing w:after="0" w:line="148" w:lineRule="exact"/>
        <w:rPr>
          <w:sz w:val="20"/>
          <w:szCs w:val="20"/>
          <w:color w:val="auto"/>
        </w:rPr>
      </w:pPr>
    </w:p>
    <w:p>
      <w:pPr>
        <w:jc w:val="both"/>
        <w:ind w:left="4"/>
        <w:spacing w:after="0" w:line="246"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if</w:t>
      </w:r>
      <w:r>
        <w:rPr>
          <w:rFonts w:ascii="Arial" w:cs="Arial" w:eastAsia="Arial" w:hAnsi="Arial"/>
          <w:sz w:val="22"/>
          <w:szCs w:val="22"/>
          <w:i w:val="1"/>
          <w:iCs w:val="1"/>
          <w:color w:val="auto"/>
        </w:rPr>
        <w:t xml:space="preserve"> D </w:t>
      </w:r>
      <w:r>
        <w:rPr>
          <w:rFonts w:ascii="Arial" w:cs="Arial" w:eastAsia="Arial" w:hAnsi="Arial"/>
          <w:sz w:val="22"/>
          <w:szCs w:val="22"/>
          <w:color w:val="auto"/>
        </w:rPr>
        <w:t>is equal to or greater than</w:t>
      </w:r>
      <w:r>
        <w:rPr>
          <w:rFonts w:ascii="Arial" w:cs="Arial" w:eastAsia="Arial" w:hAnsi="Arial"/>
          <w:sz w:val="22"/>
          <w:szCs w:val="22"/>
          <w:i w:val="1"/>
          <w:iCs w:val="1"/>
          <w:color w:val="auto"/>
        </w:rPr>
        <w:t xml:space="preserve"> SP</w:t>
      </w:r>
      <w:r>
        <w:rPr>
          <w:rFonts w:ascii="Arial" w:cs="Arial" w:eastAsia="Arial" w:hAnsi="Arial"/>
          <w:sz w:val="22"/>
          <w:szCs w:val="22"/>
          <w:color w:val="auto"/>
        </w:rPr>
        <w:t>, then, in lieu of the foregoing adjustment to the Conversion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Rate, each Holder will receive, for each $1,000 principal amount of Notes held by such Holder on the Record Date for such dividend or distribution, at the same time and on the same terms as holders of Common Stock, the amount of cash that such Holder would have received if such Holder had owned, on such Record Date, a number of shares of Common Stock equal to the Conversion Rate in effect on such Record Date. For the avoidance of doubt, each adjustment to the Conversion Rate made pursuant to this </w:t>
      </w:r>
      <w:r>
        <w:rPr>
          <w:rFonts w:ascii="Arial" w:cs="Arial" w:eastAsia="Arial" w:hAnsi="Arial"/>
          <w:sz w:val="22"/>
          <w:szCs w:val="22"/>
          <w:b w:val="1"/>
          <w:bCs w:val="1"/>
          <w:color w:val="auto"/>
        </w:rPr>
        <w:t>Section 5.05(A)(iv)</w:t>
      </w:r>
      <w:r>
        <w:rPr>
          <w:rFonts w:ascii="Arial" w:cs="Arial" w:eastAsia="Arial" w:hAnsi="Arial"/>
          <w:sz w:val="22"/>
          <w:szCs w:val="22"/>
          <w:color w:val="auto"/>
        </w:rPr>
        <w:t xml:space="preserve"> will become effective at the time set forth in the preceding definition of </w:t>
      </w:r>
      <w:r>
        <w:rPr>
          <w:rFonts w:ascii="Arial" w:cs="Arial" w:eastAsia="Arial" w:hAnsi="Arial"/>
          <w:sz w:val="22"/>
          <w:szCs w:val="22"/>
          <w:i w:val="1"/>
          <w:iCs w:val="1"/>
          <w:color w:val="auto"/>
        </w:rPr>
        <w:t>CR</w:t>
      </w:r>
      <w:r>
        <w:rPr>
          <w:rFonts w:ascii="Arial" w:cs="Arial" w:eastAsia="Arial" w:hAnsi="Arial"/>
          <w:sz w:val="14"/>
          <w:szCs w:val="14"/>
          <w:i w:val="1"/>
          <w:iCs w:val="1"/>
          <w:color w:val="auto"/>
        </w:rPr>
        <w:t>1</w:t>
      </w:r>
      <w:r>
        <w:rPr>
          <w:rFonts w:ascii="Arial" w:cs="Arial" w:eastAsia="Arial" w:hAnsi="Arial"/>
          <w:sz w:val="22"/>
          <w:szCs w:val="22"/>
          <w:color w:val="auto"/>
        </w:rPr>
        <w:t>.</w:t>
      </w:r>
    </w:p>
    <w:p>
      <w:pPr>
        <w:spacing w:after="0" w:line="142" w:lineRule="exact"/>
        <w:rPr>
          <w:sz w:val="20"/>
          <w:szCs w:val="20"/>
          <w:color w:val="auto"/>
        </w:rPr>
      </w:pPr>
    </w:p>
    <w:p>
      <w:pPr>
        <w:jc w:val="both"/>
        <w:ind w:left="4"/>
        <w:spacing w:after="0" w:line="253" w:lineRule="auto"/>
        <w:rPr>
          <w:sz w:val="20"/>
          <w:szCs w:val="20"/>
          <w:color w:val="auto"/>
        </w:rPr>
      </w:pPr>
      <w:r>
        <w:rPr>
          <w:rFonts w:ascii="Arial" w:cs="Arial" w:eastAsia="Arial" w:hAnsi="Arial"/>
          <w:sz w:val="22"/>
          <w:szCs w:val="22"/>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31" w:lineRule="exact"/>
        <w:rPr>
          <w:sz w:val="20"/>
          <w:szCs w:val="20"/>
          <w:color w:val="auto"/>
        </w:rPr>
      </w:pPr>
    </w:p>
    <w:p>
      <w:pPr>
        <w:jc w:val="both"/>
        <w:ind w:left="4" w:firstLine="644"/>
        <w:spacing w:after="0" w:line="261" w:lineRule="auto"/>
        <w:tabs>
          <w:tab w:leader="none" w:pos="1097" w:val="left"/>
        </w:tabs>
        <w:numPr>
          <w:ilvl w:val="0"/>
          <w:numId w:val="87"/>
        </w:numPr>
        <w:rPr>
          <w:rFonts w:ascii="Arial" w:cs="Arial" w:eastAsia="Arial" w:hAnsi="Arial"/>
          <w:sz w:val="21"/>
          <w:szCs w:val="21"/>
          <w:color w:val="auto"/>
        </w:rPr>
      </w:pPr>
      <w:r>
        <w:rPr>
          <w:rFonts w:ascii="Arial" w:cs="Arial" w:eastAsia="Arial" w:hAnsi="Arial"/>
          <w:sz w:val="21"/>
          <w:szCs w:val="21"/>
          <w:i w:val="1"/>
          <w:iCs w:val="1"/>
          <w:color w:val="auto"/>
        </w:rPr>
        <w:t>Tender Offers or Exchange Offers</w:t>
      </w:r>
      <w:r>
        <w:rPr>
          <w:rFonts w:ascii="Arial" w:cs="Arial" w:eastAsia="Arial" w:hAnsi="Arial"/>
          <w:sz w:val="21"/>
          <w:szCs w:val="21"/>
          <w:color w:val="auto"/>
        </w:rPr>
        <w:t>. If the Company or any of its Subsidiaries makes a payment in respect of a</w:t>
      </w:r>
      <w:r>
        <w:rPr>
          <w:rFonts w:ascii="Arial" w:cs="Arial" w:eastAsia="Arial" w:hAnsi="Arial"/>
          <w:sz w:val="21"/>
          <w:szCs w:val="21"/>
          <w:i w:val="1"/>
          <w:iCs w:val="1"/>
          <w:color w:val="auto"/>
        </w:rPr>
        <w:t xml:space="preserve"> </w:t>
      </w:r>
      <w:r>
        <w:rPr>
          <w:rFonts w:ascii="Arial" w:cs="Arial" w:eastAsia="Arial" w:hAnsi="Arial"/>
          <w:sz w:val="21"/>
          <w:szCs w:val="21"/>
          <w:color w:val="auto"/>
        </w:rPr>
        <w:t>tender offer or exchange offer for shares of Common Stock, and the value (determined as of the Expiration Time by the Board of Directors) of the cash and other consideration paid per share of Common Stock in such tender or exchange offer exceeds the average of the Last Reported Sale Prices per share of Common Stock over the ten (10) consecutive Trading Day period commencing on, and including, the Trading Day immediately after the last date (the “</w:t>
      </w:r>
      <w:r>
        <w:rPr>
          <w:rFonts w:ascii="Arial" w:cs="Arial" w:eastAsia="Arial" w:hAnsi="Arial"/>
          <w:sz w:val="21"/>
          <w:szCs w:val="21"/>
          <w:b w:val="1"/>
          <w:bCs w:val="1"/>
          <w:color w:val="auto"/>
        </w:rPr>
        <w:t>Expiration Date</w:t>
      </w:r>
      <w:r>
        <w:rPr>
          <w:rFonts w:ascii="Arial" w:cs="Arial" w:eastAsia="Arial" w:hAnsi="Arial"/>
          <w:sz w:val="21"/>
          <w:szCs w:val="21"/>
          <w:color w:val="auto"/>
        </w:rPr>
        <w:t>”) on which tenders or exchanges may be made pursuant to such tender or exchange offer (as it may be amended) (such period, the “</w:t>
      </w:r>
      <w:r>
        <w:rPr>
          <w:rFonts w:ascii="Arial" w:cs="Arial" w:eastAsia="Arial" w:hAnsi="Arial"/>
          <w:sz w:val="21"/>
          <w:szCs w:val="21"/>
          <w:b w:val="1"/>
          <w:bCs w:val="1"/>
          <w:color w:val="auto"/>
        </w:rPr>
        <w:t>Tender/Exchange Offer Valuation Period</w:t>
      </w:r>
      <w:r>
        <w:rPr>
          <w:rFonts w:ascii="Arial" w:cs="Arial" w:eastAsia="Arial" w:hAnsi="Arial"/>
          <w:sz w:val="21"/>
          <w:szCs w:val="21"/>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85725</wp:posOffset>
            </wp:positionV>
            <wp:extent cx="1354455"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544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0584"/>
          </w:cols>
          <w:pgMar w:left="976" w:top="348" w:right="339" w:bottom="1440" w:gutter="0" w:footer="0" w:header="0"/>
          <w:type w:val="continuous"/>
        </w:sectPr>
      </w:pP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2"/>
          <w:szCs w:val="12"/>
          <w:i w:val="1"/>
          <w:iCs w:val="1"/>
          <w:color w:val="auto"/>
        </w:rPr>
        <w:t>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hanging="163"/>
        <w:spacing w:after="0" w:line="263" w:lineRule="auto"/>
        <w:rPr>
          <w:sz w:val="20"/>
          <w:szCs w:val="20"/>
          <w:color w:val="auto"/>
        </w:rPr>
      </w:pPr>
      <w:r>
        <w:rPr>
          <w:rFonts w:ascii="Arial" w:cs="Arial" w:eastAsia="Arial" w:hAnsi="Arial"/>
          <w:sz w:val="22"/>
          <w:szCs w:val="22"/>
          <w:color w:val="auto"/>
        </w:rPr>
        <w:t>the Conversion Rate in effect immediately before the Close of Business on the last Trading Day of the Tender/Exchange Offer Valuation Period for such tender or exchange offer;</w:t>
      </w:r>
    </w:p>
    <w:p>
      <w:pPr>
        <w:spacing w:after="0" w:line="121" w:lineRule="exact"/>
        <w:rPr>
          <w:sz w:val="20"/>
          <w:szCs w:val="20"/>
          <w:color w:val="auto"/>
        </w:rPr>
      </w:pPr>
    </w:p>
    <w:p>
      <w:pPr>
        <w:sectPr>
          <w:pgSz w:w="11900" w:h="16838" w:orient="portrait"/>
          <w:cols w:equalWidth="0" w:num="3">
            <w:col w:w="344" w:space="300"/>
            <w:col w:w="120" w:space="540"/>
            <w:col w:w="9280"/>
          </w:cols>
          <w:pgMar w:left="976" w:top="348" w:right="339" w:bottom="1440" w:gutter="0" w:footer="0" w:header="0"/>
          <w:type w:val="continuous"/>
        </w:sectPr>
      </w:pPr>
    </w:p>
    <w:p>
      <w:pPr>
        <w:ind w:left="4"/>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2"/>
          <w:szCs w:val="12"/>
          <w:i w:val="1"/>
          <w:i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20" w:hanging="134"/>
        <w:spacing w:after="0" w:line="263" w:lineRule="auto"/>
        <w:rPr>
          <w:sz w:val="20"/>
          <w:szCs w:val="20"/>
          <w:color w:val="auto"/>
        </w:rPr>
      </w:pPr>
      <w:r>
        <w:rPr>
          <w:rFonts w:ascii="Arial" w:cs="Arial" w:eastAsia="Arial" w:hAnsi="Arial"/>
          <w:sz w:val="22"/>
          <w:szCs w:val="22"/>
          <w:color w:val="auto"/>
        </w:rPr>
        <w:t>the Conversion Rate in effect immediately after the Close of Business on the last Trading Day of the Tender/Exchange Offer Valuation Period;</w:t>
      </w:r>
    </w:p>
    <w:p>
      <w:pPr>
        <w:spacing w:after="0" w:line="115" w:lineRule="exact"/>
        <w:rPr>
          <w:sz w:val="20"/>
          <w:szCs w:val="20"/>
          <w:color w:val="auto"/>
        </w:rPr>
      </w:pPr>
    </w:p>
    <w:p>
      <w:pPr>
        <w:sectPr>
          <w:pgSz w:w="11900" w:h="16838" w:orient="portrait"/>
          <w:cols w:equalWidth="0" w:num="3">
            <w:col w:w="344" w:space="300"/>
            <w:col w:w="120" w:space="540"/>
            <w:col w:w="9280"/>
          </w:cols>
          <w:pgMar w:left="976" w:top="348" w:right="339" w:bottom="1440" w:gutter="0" w:footer="0" w:header="0"/>
          <w:type w:val="continuous"/>
        </w:sectPr>
      </w:pPr>
    </w:p>
    <w:p>
      <w:pPr>
        <w:spacing w:after="0" w:line="6" w:lineRule="exact"/>
        <w:rPr>
          <w:sz w:val="20"/>
          <w:szCs w:val="20"/>
          <w:color w:val="auto"/>
        </w:rPr>
      </w:pPr>
    </w:p>
    <w:p>
      <w:pPr>
        <w:ind w:left="4"/>
        <w:spacing w:after="0"/>
        <w:rPr>
          <w:sz w:val="20"/>
          <w:szCs w:val="20"/>
          <w:color w:val="auto"/>
        </w:rPr>
      </w:pPr>
      <w:r>
        <w:rPr>
          <w:rFonts w:ascii="Arial" w:cs="Arial" w:eastAsia="Arial" w:hAnsi="Arial"/>
          <w:sz w:val="19"/>
          <w:szCs w:val="19"/>
          <w:i w:val="1"/>
          <w:iCs w:val="1"/>
          <w:color w:val="auto"/>
        </w:rPr>
        <w:t>AC</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aggregate value (determined as of the time (the “</w:t>
      </w:r>
      <w:r>
        <w:rPr>
          <w:rFonts w:ascii="Arial" w:cs="Arial" w:eastAsia="Arial" w:hAnsi="Arial"/>
          <w:sz w:val="19"/>
          <w:szCs w:val="19"/>
          <w:b w:val="1"/>
          <w:bCs w:val="1"/>
          <w:color w:val="auto"/>
        </w:rPr>
        <w:t>Expiration Time</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284" w:space="360"/>
            <w:col w:w="9940"/>
          </w:cols>
          <w:pgMar w:left="976" w:top="348" w:right="339" w:bottom="1440" w:gutter="0" w:footer="0" w:header="0"/>
          <w:type w:val="continuous"/>
        </w:sectPr>
      </w:pPr>
    </w:p>
    <w:p>
      <w:pPr>
        <w:spacing w:after="0" w:line="17" w:lineRule="exact"/>
        <w:rPr>
          <w:sz w:val="20"/>
          <w:szCs w:val="20"/>
          <w:color w:val="auto"/>
        </w:rPr>
      </w:pPr>
    </w:p>
    <w:p>
      <w:pPr>
        <w:ind w:left="4804"/>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584"/>
          </w:cols>
          <w:pgMar w:left="976" w:top="348" w:right="339" w:bottom="1440" w:gutter="0" w:footer="0" w:header="0"/>
          <w:type w:val="continuous"/>
        </w:sectPr>
      </w:pPr>
    </w:p>
    <w:bookmarkStart w:id="62" w:name="page63"/>
    <w:bookmarkEnd w:id="62"/>
    <w:p>
      <w:pPr>
        <w:ind w:left="1304"/>
        <w:spacing w:after="0" w:line="287" w:lineRule="auto"/>
        <w:rPr>
          <w:sz w:val="20"/>
          <w:szCs w:val="20"/>
          <w:color w:val="auto"/>
        </w:rPr>
      </w:pPr>
      <w:r>
        <w:rPr>
          <w:rFonts w:ascii="Arial" w:cs="Arial" w:eastAsia="Arial" w:hAnsi="Arial"/>
          <w:sz w:val="21"/>
          <w:szCs w:val="21"/>
          <w:color w:val="auto"/>
        </w:rPr>
        <w:t>such tender or exchange offer expires by the Board of Directors) of all cash and other consideration paid for shares of Common Stock purchased or exchanged in such tender or exchange offer;</w:t>
      </w:r>
    </w:p>
    <w:p>
      <w:pPr>
        <w:sectPr>
          <w:pgSz w:w="11900" w:h="16838" w:orient="portrait"/>
          <w:cols w:equalWidth="0" w:num="1">
            <w:col w:w="10584"/>
          </w:cols>
          <w:pgMar w:left="976" w:top="348" w:right="339" w:bottom="1440" w:gutter="0" w:footer="0" w:header="0"/>
        </w:sectPr>
      </w:pP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2"/>
          <w:szCs w:val="12"/>
          <w:i w:val="1"/>
          <w:iCs w:val="1"/>
          <w:color w:val="auto"/>
        </w:rPr>
        <w:t>0</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hanging="647"/>
        <w:spacing w:after="0" w:line="287"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1"/>
          <w:szCs w:val="21"/>
          <w:color w:val="auto"/>
        </w:rPr>
        <w:t>the number of shares of Common Stock outstanding immediately before the Expiration Time (including all shares of Common Stock accepted for purchase or exchange in such tender or exchange offer);</w:t>
      </w:r>
    </w:p>
    <w:p>
      <w:pPr>
        <w:spacing w:after="0" w:line="97" w:lineRule="exact"/>
        <w:rPr>
          <w:sz w:val="20"/>
          <w:szCs w:val="20"/>
          <w:color w:val="auto"/>
        </w:rPr>
      </w:pPr>
    </w:p>
    <w:p>
      <w:pPr>
        <w:sectPr>
          <w:pgSz w:w="11900" w:h="16838" w:orient="portrait"/>
          <w:cols w:equalWidth="0" w:num="2">
            <w:col w:w="344" w:space="720"/>
            <w:col w:w="9520"/>
          </w:cols>
          <w:pgMar w:left="976" w:top="348" w:right="339" w:bottom="1440" w:gutter="0" w:footer="0" w:header="0"/>
          <w:type w:val="continuous"/>
        </w:sectPr>
      </w:pPr>
    </w:p>
    <w:p>
      <w:pPr>
        <w:ind w:left="4"/>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2"/>
          <w:szCs w:val="12"/>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hanging="204"/>
        <w:spacing w:after="0" w:line="343" w:lineRule="auto"/>
        <w:rPr>
          <w:sz w:val="20"/>
          <w:szCs w:val="20"/>
          <w:color w:val="auto"/>
        </w:rPr>
      </w:pPr>
      <w:r>
        <w:rPr>
          <w:rFonts w:ascii="Arial" w:cs="Arial" w:eastAsia="Arial" w:hAnsi="Arial"/>
          <w:sz w:val="19"/>
          <w:szCs w:val="19"/>
          <w:color w:val="auto"/>
        </w:rPr>
        <w:t>the number of shares of Common Stock outstanding immediately after the Expiration Time (excluding all shares of Common Stock accepted for purchase or exchange in such tender or exchange offer); and</w:t>
      </w:r>
    </w:p>
    <w:p>
      <w:pPr>
        <w:spacing w:after="0" w:line="50" w:lineRule="exact"/>
        <w:rPr>
          <w:sz w:val="20"/>
          <w:szCs w:val="20"/>
          <w:color w:val="auto"/>
        </w:rPr>
      </w:pPr>
    </w:p>
    <w:p>
      <w:pPr>
        <w:sectPr>
          <w:pgSz w:w="11900" w:h="16838" w:orient="portrait"/>
          <w:cols w:equalWidth="0" w:num="3">
            <w:col w:w="344" w:space="300"/>
            <w:col w:w="120" w:space="540"/>
            <w:col w:w="9280"/>
          </w:cols>
          <w:pgMar w:left="976" w:top="348" w:right="339" w:bottom="1440" w:gutter="0" w:footer="0" w:header="0"/>
          <w:type w:val="continuous"/>
        </w:sectPr>
      </w:pPr>
    </w:p>
    <w:p>
      <w:pPr>
        <w:ind w:left="4"/>
        <w:spacing w:after="0"/>
        <w:rPr>
          <w:sz w:val="20"/>
          <w:szCs w:val="20"/>
          <w:color w:val="auto"/>
        </w:rPr>
      </w:pPr>
      <w:r>
        <w:rPr>
          <w:rFonts w:ascii="Arial" w:cs="Arial" w:eastAsia="Arial" w:hAnsi="Arial"/>
          <w:sz w:val="17"/>
          <w:szCs w:val="17"/>
          <w:i w:val="1"/>
          <w:iCs w:val="1"/>
          <w:color w:val="auto"/>
        </w:rPr>
        <w:t>SP</w:t>
      </w:r>
    </w:p>
    <w:p>
      <w:pPr>
        <w:spacing w:after="0" w:line="20" w:lineRule="exact"/>
        <w:rPr>
          <w:sz w:val="20"/>
          <w:szCs w:val="20"/>
          <w:color w:val="auto"/>
        </w:rPr>
      </w:pPr>
      <w:r>
        <w:rPr>
          <w:sz w:val="20"/>
          <w:szCs w:val="20"/>
          <w:color w:val="auto"/>
        </w:rPr>
        <w:br w:type="column"/>
      </w:r>
    </w:p>
    <w:p>
      <w:pPr>
        <w:ind w:hanging="647"/>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average of the Last Reported Sale Prices per share of Common Stock over the Tender/Exchange Offer Valuation Period;</w:t>
      </w:r>
    </w:p>
    <w:p>
      <w:pPr>
        <w:spacing w:after="0" w:line="115" w:lineRule="exact"/>
        <w:rPr>
          <w:sz w:val="20"/>
          <w:szCs w:val="20"/>
          <w:color w:val="auto"/>
        </w:rPr>
      </w:pPr>
    </w:p>
    <w:p>
      <w:pPr>
        <w:sectPr>
          <w:pgSz w:w="11900" w:h="16838" w:orient="portrait"/>
          <w:cols w:equalWidth="0" w:num="2">
            <w:col w:w="364" w:space="720"/>
            <w:col w:w="9500"/>
          </w:cols>
          <w:pgMar w:left="976" w:top="348" w:right="339" w:bottom="1440" w:gutter="0" w:footer="0" w:header="0"/>
          <w:type w:val="continuous"/>
        </w:sectPr>
      </w:pPr>
    </w:p>
    <w:p>
      <w:pPr>
        <w:jc w:val="both"/>
        <w:ind w:left="4"/>
        <w:spacing w:after="0" w:line="271"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the Conversion Rate will in no event be adjusted down pursuant to this</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Section 5.05(A)(v)</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except to the extent provided in the immediately following paragraph. For the avoidance of doubt, each adjustment to the Conversion Rate made pursuant to this </w:t>
      </w:r>
      <w:r>
        <w:rPr>
          <w:rFonts w:ascii="Arial" w:cs="Arial" w:eastAsia="Arial" w:hAnsi="Arial"/>
          <w:sz w:val="20"/>
          <w:szCs w:val="20"/>
          <w:b w:val="1"/>
          <w:bCs w:val="1"/>
          <w:color w:val="auto"/>
        </w:rPr>
        <w:t>Section 5.05(A)(v)</w:t>
      </w:r>
      <w:r>
        <w:rPr>
          <w:rFonts w:ascii="Arial" w:cs="Arial" w:eastAsia="Arial" w:hAnsi="Arial"/>
          <w:sz w:val="20"/>
          <w:szCs w:val="20"/>
          <w:color w:val="auto"/>
        </w:rPr>
        <w:t xml:space="preserve"> will become effective at the time set forth in the preceding definition of </w:t>
      </w:r>
      <w:r>
        <w:rPr>
          <w:rFonts w:ascii="Arial" w:cs="Arial" w:eastAsia="Arial" w:hAnsi="Arial"/>
          <w:sz w:val="20"/>
          <w:szCs w:val="20"/>
          <w:i w:val="1"/>
          <w:iCs w:val="1"/>
          <w:color w:val="auto"/>
        </w:rPr>
        <w:t>CR</w:t>
      </w:r>
      <w:r>
        <w:rPr>
          <w:rFonts w:ascii="Arial" w:cs="Arial" w:eastAsia="Arial" w:hAnsi="Arial"/>
          <w:sz w:val="13"/>
          <w:szCs w:val="13"/>
          <w:i w:val="1"/>
          <w:iCs w:val="1"/>
          <w:color w:val="auto"/>
        </w:rPr>
        <w:t>1</w:t>
      </w:r>
      <w:r>
        <w:rPr>
          <w:rFonts w:ascii="Arial" w:cs="Arial" w:eastAsia="Arial" w:hAnsi="Arial"/>
          <w:sz w:val="20"/>
          <w:szCs w:val="20"/>
          <w:color w:val="auto"/>
        </w:rPr>
        <w:t xml:space="preserve">. Notwithstanding anything to the contrary in this </w:t>
      </w:r>
      <w:r>
        <w:rPr>
          <w:rFonts w:ascii="Arial" w:cs="Arial" w:eastAsia="Arial" w:hAnsi="Arial"/>
          <w:sz w:val="20"/>
          <w:szCs w:val="20"/>
          <w:b w:val="1"/>
          <w:bCs w:val="1"/>
          <w:color w:val="auto"/>
        </w:rPr>
        <w:t>Section 5.05(A)(v)</w:t>
      </w:r>
      <w:r>
        <w:rPr>
          <w:rFonts w:ascii="Arial" w:cs="Arial" w:eastAsia="Arial" w:hAnsi="Arial"/>
          <w:sz w:val="20"/>
          <w:szCs w:val="20"/>
          <w:color w:val="auto"/>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spacing w:after="0" w:line="123" w:lineRule="exact"/>
        <w:rPr>
          <w:sz w:val="20"/>
          <w:szCs w:val="20"/>
          <w:color w:val="auto"/>
        </w:rPr>
      </w:pPr>
    </w:p>
    <w:p>
      <w:pPr>
        <w:jc w:val="both"/>
        <w:ind w:left="4"/>
        <w:spacing w:after="0" w:line="247" w:lineRule="auto"/>
        <w:rPr>
          <w:sz w:val="20"/>
          <w:szCs w:val="20"/>
          <w:color w:val="auto"/>
        </w:rPr>
      </w:pPr>
      <w:r>
        <w:rPr>
          <w:rFonts w:ascii="Arial" w:cs="Arial" w:eastAsia="Arial" w:hAnsi="Arial"/>
          <w:sz w:val="22"/>
          <w:szCs w:val="22"/>
          <w:color w:val="auto"/>
        </w:rPr>
        <w:t>To the extent such tender or exchange offer is announced but not consummated (including as a result of the Company or such Subsidiary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39" w:lineRule="exact"/>
        <w:rPr>
          <w:sz w:val="20"/>
          <w:szCs w:val="20"/>
          <w:color w:val="auto"/>
        </w:rPr>
      </w:pPr>
    </w:p>
    <w:p>
      <w:pPr>
        <w:ind w:left="464" w:hanging="464"/>
        <w:spacing w:after="0"/>
        <w:tabs>
          <w:tab w:leader="none" w:pos="464" w:val="left"/>
        </w:tabs>
        <w:numPr>
          <w:ilvl w:val="0"/>
          <w:numId w:val="88"/>
        </w:numPr>
        <w:rPr>
          <w:rFonts w:ascii="Arial" w:cs="Arial" w:eastAsia="Arial" w:hAnsi="Arial"/>
          <w:sz w:val="22"/>
          <w:szCs w:val="22"/>
          <w:color w:val="auto"/>
        </w:rPr>
      </w:pPr>
      <w:r>
        <w:rPr>
          <w:rFonts w:ascii="Arial" w:cs="Arial" w:eastAsia="Arial" w:hAnsi="Arial"/>
          <w:sz w:val="22"/>
          <w:szCs w:val="22"/>
          <w:i w:val="1"/>
          <w:iCs w:val="1"/>
          <w:color w:val="auto"/>
        </w:rPr>
        <w:t>No Adjustments in Certain Cases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4" w:firstLine="644"/>
        <w:spacing w:after="0" w:line="276" w:lineRule="auto"/>
        <w:tabs>
          <w:tab w:leader="none" w:pos="1063"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Where Holders Participate in the Transaction or Event Without Conversion</w:t>
      </w:r>
      <w:r>
        <w:rPr>
          <w:rFonts w:ascii="Arial" w:cs="Arial" w:eastAsia="Arial" w:hAnsi="Arial"/>
          <w:sz w:val="22"/>
          <w:szCs w:val="22"/>
          <w:color w:val="auto"/>
        </w:rPr>
        <w:t>. Notwithstanding anything to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contrary in </w:t>
      </w:r>
      <w:r>
        <w:rPr>
          <w:rFonts w:ascii="Arial" w:cs="Arial" w:eastAsia="Arial" w:hAnsi="Arial"/>
          <w:sz w:val="22"/>
          <w:szCs w:val="22"/>
          <w:b w:val="1"/>
          <w:bCs w:val="1"/>
          <w:color w:val="auto"/>
        </w:rPr>
        <w:t>Section 5.05(A)</w:t>
      </w:r>
      <w:r>
        <w:rPr>
          <w:rFonts w:ascii="Arial" w:cs="Arial" w:eastAsia="Arial" w:hAnsi="Arial"/>
          <w:sz w:val="22"/>
          <w:szCs w:val="22"/>
          <w:color w:val="auto"/>
        </w:rPr>
        <w:t>, the Company</w:t>
      </w:r>
    </w:p>
    <w:p>
      <w:pPr>
        <w:spacing w:after="0" w:line="368" w:lineRule="exact"/>
        <w:rPr>
          <w:sz w:val="20"/>
          <w:szCs w:val="20"/>
          <w:color w:val="auto"/>
        </w:rPr>
      </w:pPr>
    </w:p>
    <w:p>
      <w:pPr>
        <w:ind w:left="4804"/>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0584"/>
          </w:cols>
          <w:pgMar w:left="976" w:top="348" w:right="339" w:bottom="1440" w:gutter="0" w:footer="0" w:header="0"/>
          <w:type w:val="continuous"/>
        </w:sectPr>
      </w:pPr>
    </w:p>
    <w:bookmarkStart w:id="63" w:name="page64"/>
    <w:bookmarkEnd w:id="63"/>
    <w:p>
      <w:pPr>
        <w:jc w:val="both"/>
        <w:ind w:left="4"/>
        <w:spacing w:after="0" w:line="294" w:lineRule="auto"/>
        <w:rPr>
          <w:sz w:val="20"/>
          <w:szCs w:val="20"/>
          <w:color w:val="auto"/>
        </w:rPr>
      </w:pPr>
      <w:r>
        <w:rPr>
          <w:rFonts w:ascii="Arial" w:cs="Arial" w:eastAsia="Arial" w:hAnsi="Arial"/>
          <w:sz w:val="19"/>
          <w:szCs w:val="19"/>
          <w:color w:val="auto"/>
        </w:rPr>
        <w:t xml:space="preserve">will not be required to adjust the Conversion Rate on account of a transaction or other event otherwise requiring an adjustment pursuant to </w:t>
      </w:r>
      <w:r>
        <w:rPr>
          <w:rFonts w:ascii="Arial" w:cs="Arial" w:eastAsia="Arial" w:hAnsi="Arial"/>
          <w:sz w:val="19"/>
          <w:szCs w:val="19"/>
          <w:b w:val="1"/>
          <w:bCs w:val="1"/>
          <w:color w:val="auto"/>
        </w:rPr>
        <w:t>Section 5.05(A)</w:t>
      </w:r>
      <w:r>
        <w:rPr>
          <w:rFonts w:ascii="Arial" w:cs="Arial" w:eastAsia="Arial" w:hAnsi="Arial"/>
          <w:sz w:val="19"/>
          <w:szCs w:val="19"/>
          <w:color w:val="auto"/>
        </w:rPr>
        <w:t xml:space="preserve"> (other than a stock split or combination of the type set forth in </w:t>
      </w:r>
      <w:r>
        <w:rPr>
          <w:rFonts w:ascii="Arial" w:cs="Arial" w:eastAsia="Arial" w:hAnsi="Arial"/>
          <w:sz w:val="19"/>
          <w:szCs w:val="19"/>
          <w:b w:val="1"/>
          <w:bCs w:val="1"/>
          <w:color w:val="auto"/>
        </w:rPr>
        <w:t>Section 5.05(A)(i)</w:t>
      </w:r>
      <w:r>
        <w:rPr>
          <w:rFonts w:ascii="Arial" w:cs="Arial" w:eastAsia="Arial" w:hAnsi="Arial"/>
          <w:sz w:val="19"/>
          <w:szCs w:val="19"/>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149" w:lineRule="exact"/>
        <w:rPr>
          <w:sz w:val="20"/>
          <w:szCs w:val="20"/>
          <w:color w:val="auto"/>
        </w:rPr>
      </w:pPr>
    </w:p>
    <w:p>
      <w:pPr>
        <w:jc w:val="both"/>
        <w:ind w:left="4" w:firstLine="644"/>
        <w:spacing w:after="0" w:line="259" w:lineRule="auto"/>
        <w:tabs>
          <w:tab w:leader="none" w:pos="1217" w:val="left"/>
        </w:tabs>
        <w:numPr>
          <w:ilvl w:val="1"/>
          <w:numId w:val="89"/>
        </w:numPr>
        <w:rPr>
          <w:rFonts w:ascii="Arial" w:cs="Arial" w:eastAsia="Arial" w:hAnsi="Arial"/>
          <w:sz w:val="22"/>
          <w:szCs w:val="22"/>
          <w:color w:val="auto"/>
        </w:rPr>
      </w:pPr>
      <w:r>
        <w:rPr>
          <w:rFonts w:ascii="Arial" w:cs="Arial" w:eastAsia="Arial" w:hAnsi="Arial"/>
          <w:sz w:val="22"/>
          <w:szCs w:val="22"/>
          <w:i w:val="1"/>
          <w:iCs w:val="1"/>
          <w:color w:val="auto"/>
        </w:rPr>
        <w:t>Certain Events</w:t>
      </w:r>
      <w:r>
        <w:rPr>
          <w:rFonts w:ascii="Arial" w:cs="Arial" w:eastAsia="Arial" w:hAnsi="Arial"/>
          <w:sz w:val="22"/>
          <w:szCs w:val="22"/>
          <w:color w:val="auto"/>
        </w:rPr>
        <w:t>. The Company will not be required to adjust the Conversion Rate except as provided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 xml:space="preserve">Section 5.05 </w:t>
      </w:r>
      <w:r>
        <w:rPr>
          <w:rFonts w:ascii="Arial" w:cs="Arial" w:eastAsia="Arial" w:hAnsi="Arial"/>
          <w:sz w:val="22"/>
          <w:szCs w:val="22"/>
          <w:color w:val="auto"/>
        </w:rPr>
        <w:t>or</w:t>
      </w:r>
      <w:r>
        <w:rPr>
          <w:rFonts w:ascii="Arial" w:cs="Arial" w:eastAsia="Arial" w:hAnsi="Arial"/>
          <w:sz w:val="22"/>
          <w:szCs w:val="22"/>
          <w:b w:val="1"/>
          <w:bCs w:val="1"/>
          <w:color w:val="auto"/>
        </w:rPr>
        <w:t xml:space="preserve"> Section 5.07</w:t>
      </w:r>
      <w:r>
        <w:rPr>
          <w:rFonts w:ascii="Arial" w:cs="Arial" w:eastAsia="Arial" w:hAnsi="Arial"/>
          <w:sz w:val="22"/>
          <w:szCs w:val="22"/>
          <w:color w:val="auto"/>
        </w:rPr>
        <w:t>. Without limiting the foregoing, the Company will not be required to adjust the Conversion</w:t>
      </w:r>
      <w:r>
        <w:rPr>
          <w:rFonts w:ascii="Arial" w:cs="Arial" w:eastAsia="Arial" w:hAnsi="Arial"/>
          <w:sz w:val="22"/>
          <w:szCs w:val="22"/>
          <w:b w:val="1"/>
          <w:bCs w:val="1"/>
          <w:color w:val="auto"/>
        </w:rPr>
        <w:t xml:space="preserve"> </w:t>
      </w:r>
      <w:r>
        <w:rPr>
          <w:rFonts w:ascii="Arial" w:cs="Arial" w:eastAsia="Arial" w:hAnsi="Arial"/>
          <w:sz w:val="22"/>
          <w:szCs w:val="22"/>
          <w:color w:val="auto"/>
        </w:rPr>
        <w:t>Rate on account of:</w:t>
      </w:r>
    </w:p>
    <w:p>
      <w:pPr>
        <w:spacing w:after="0" w:line="126" w:lineRule="exact"/>
        <w:rPr>
          <w:rFonts w:ascii="Arial" w:cs="Arial" w:eastAsia="Arial" w:hAnsi="Arial"/>
          <w:sz w:val="22"/>
          <w:szCs w:val="22"/>
          <w:color w:val="auto"/>
        </w:rPr>
      </w:pPr>
    </w:p>
    <w:p>
      <w:pPr>
        <w:jc w:val="both"/>
        <w:ind w:left="644" w:firstLine="652"/>
        <w:spacing w:after="0" w:line="259" w:lineRule="auto"/>
        <w:tabs>
          <w:tab w:leader="none" w:pos="1791" w:val="left"/>
        </w:tabs>
        <w:numPr>
          <w:ilvl w:val="2"/>
          <w:numId w:val="89"/>
        </w:numPr>
        <w:rPr>
          <w:rFonts w:ascii="Arial" w:cs="Arial" w:eastAsia="Arial" w:hAnsi="Arial"/>
          <w:sz w:val="22"/>
          <w:szCs w:val="22"/>
          <w:color w:val="auto"/>
        </w:rPr>
      </w:pPr>
      <w:r>
        <w:rPr>
          <w:rFonts w:ascii="Arial" w:cs="Arial" w:eastAsia="Arial" w:hAnsi="Arial"/>
          <w:sz w:val="22"/>
          <w:szCs w:val="22"/>
          <w:color w:val="auto"/>
        </w:rPr>
        <w:t xml:space="preserve">stock repurchases, including pursuant to structured or derivative transactions or pursuant to a stock repurchase program approved by the Board of Directors or otherwise, in each case that are not tender or exchange offers of the type referred to in </w:t>
      </w:r>
      <w:r>
        <w:rPr>
          <w:rFonts w:ascii="Arial" w:cs="Arial" w:eastAsia="Arial" w:hAnsi="Arial"/>
          <w:sz w:val="22"/>
          <w:szCs w:val="22"/>
          <w:b w:val="1"/>
          <w:bCs w:val="1"/>
          <w:color w:val="auto"/>
        </w:rPr>
        <w:t>Section 5.05(A)(v)</w:t>
      </w:r>
      <w:r>
        <w:rPr>
          <w:rFonts w:ascii="Arial" w:cs="Arial" w:eastAsia="Arial" w:hAnsi="Arial"/>
          <w:sz w:val="22"/>
          <w:szCs w:val="22"/>
          <w:color w:val="auto"/>
        </w:rPr>
        <w:t>;</w:t>
      </w:r>
    </w:p>
    <w:p>
      <w:pPr>
        <w:spacing w:after="0" w:line="120" w:lineRule="exact"/>
        <w:rPr>
          <w:rFonts w:ascii="Arial" w:cs="Arial" w:eastAsia="Arial" w:hAnsi="Arial"/>
          <w:sz w:val="22"/>
          <w:szCs w:val="22"/>
          <w:color w:val="auto"/>
        </w:rPr>
      </w:pPr>
    </w:p>
    <w:p>
      <w:pPr>
        <w:ind w:left="644" w:right="20" w:firstLine="652"/>
        <w:spacing w:after="0" w:line="364" w:lineRule="auto"/>
        <w:tabs>
          <w:tab w:leader="none" w:pos="1805" w:val="left"/>
        </w:tabs>
        <w:numPr>
          <w:ilvl w:val="2"/>
          <w:numId w:val="89"/>
        </w:numPr>
        <w:rPr>
          <w:rFonts w:ascii="Arial" w:cs="Arial" w:eastAsia="Arial" w:hAnsi="Arial"/>
          <w:sz w:val="19"/>
          <w:szCs w:val="19"/>
          <w:color w:val="auto"/>
        </w:rPr>
      </w:pPr>
      <w:r>
        <w:rPr>
          <w:rFonts w:ascii="Arial" w:cs="Arial" w:eastAsia="Arial" w:hAnsi="Arial"/>
          <w:sz w:val="19"/>
          <w:szCs w:val="19"/>
          <w:color w:val="auto"/>
        </w:rPr>
        <w:t xml:space="preserve">except as otherwise provided in </w:t>
      </w:r>
      <w:r>
        <w:rPr>
          <w:rFonts w:ascii="Arial" w:cs="Arial" w:eastAsia="Arial" w:hAnsi="Arial"/>
          <w:sz w:val="19"/>
          <w:szCs w:val="19"/>
          <w:b w:val="1"/>
          <w:bCs w:val="1"/>
          <w:color w:val="auto"/>
        </w:rPr>
        <w:t>Section 5.05</w:t>
      </w:r>
      <w:r>
        <w:rPr>
          <w:rFonts w:ascii="Arial" w:cs="Arial" w:eastAsia="Arial" w:hAnsi="Arial"/>
          <w:sz w:val="19"/>
          <w:szCs w:val="19"/>
          <w:color w:val="auto"/>
        </w:rPr>
        <w:t>, the sale of shares of Common Stock for a purchase price that is less than the market price per share of Common Stock or less than the Conversion Price;</w:t>
      </w:r>
    </w:p>
    <w:p>
      <w:pPr>
        <w:spacing w:after="0" w:line="31" w:lineRule="exact"/>
        <w:rPr>
          <w:rFonts w:ascii="Arial" w:cs="Arial" w:eastAsia="Arial" w:hAnsi="Arial"/>
          <w:sz w:val="19"/>
          <w:szCs w:val="19"/>
          <w:color w:val="auto"/>
        </w:rPr>
      </w:pPr>
    </w:p>
    <w:p>
      <w:pPr>
        <w:jc w:val="both"/>
        <w:ind w:left="644" w:firstLine="652"/>
        <w:spacing w:after="0" w:line="259" w:lineRule="auto"/>
        <w:tabs>
          <w:tab w:leader="none" w:pos="1751" w:val="left"/>
        </w:tabs>
        <w:numPr>
          <w:ilvl w:val="2"/>
          <w:numId w:val="89"/>
        </w:numPr>
        <w:rPr>
          <w:rFonts w:ascii="Arial" w:cs="Arial" w:eastAsia="Arial" w:hAnsi="Arial"/>
          <w:sz w:val="22"/>
          <w:szCs w:val="22"/>
          <w:color w:val="auto"/>
        </w:rPr>
      </w:pPr>
      <w:r>
        <w:rPr>
          <w:rFonts w:ascii="Arial" w:cs="Arial" w:eastAsia="Arial" w:hAnsi="Arial"/>
          <w:sz w:val="22"/>
          <w:szCs w:val="22"/>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26" w:lineRule="exact"/>
        <w:rPr>
          <w:rFonts w:ascii="Arial" w:cs="Arial" w:eastAsia="Arial" w:hAnsi="Arial"/>
          <w:sz w:val="22"/>
          <w:szCs w:val="22"/>
          <w:color w:val="auto"/>
        </w:rPr>
      </w:pPr>
    </w:p>
    <w:p>
      <w:pPr>
        <w:jc w:val="both"/>
        <w:ind w:left="644" w:firstLine="652"/>
        <w:spacing w:after="0" w:line="259" w:lineRule="auto"/>
        <w:tabs>
          <w:tab w:leader="none" w:pos="1832" w:val="left"/>
        </w:tabs>
        <w:numPr>
          <w:ilvl w:val="2"/>
          <w:numId w:val="89"/>
        </w:numPr>
        <w:rPr>
          <w:rFonts w:ascii="Arial" w:cs="Arial" w:eastAsia="Arial" w:hAnsi="Arial"/>
          <w:sz w:val="22"/>
          <w:szCs w:val="22"/>
          <w:color w:val="auto"/>
        </w:rPr>
      </w:pPr>
      <w:r>
        <w:rPr>
          <w:rFonts w:ascii="Arial" w:cs="Arial" w:eastAsia="Arial" w:hAnsi="Arial"/>
          <w:sz w:val="22"/>
          <w:szCs w:val="22"/>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26" w:lineRule="exact"/>
        <w:rPr>
          <w:rFonts w:ascii="Arial" w:cs="Arial" w:eastAsia="Arial" w:hAnsi="Arial"/>
          <w:sz w:val="22"/>
          <w:szCs w:val="22"/>
          <w:color w:val="auto"/>
        </w:rPr>
      </w:pPr>
    </w:p>
    <w:p>
      <w:pPr>
        <w:ind w:left="644" w:firstLine="652"/>
        <w:spacing w:after="0" w:line="276" w:lineRule="auto"/>
        <w:tabs>
          <w:tab w:leader="none" w:pos="1805" w:val="left"/>
        </w:tabs>
        <w:numPr>
          <w:ilvl w:val="2"/>
          <w:numId w:val="89"/>
        </w:numPr>
        <w:rPr>
          <w:rFonts w:ascii="Arial" w:cs="Arial" w:eastAsia="Arial" w:hAnsi="Arial"/>
          <w:sz w:val="22"/>
          <w:szCs w:val="22"/>
          <w:color w:val="auto"/>
        </w:rPr>
      </w:pPr>
      <w:r>
        <w:rPr>
          <w:rFonts w:ascii="Arial" w:cs="Arial" w:eastAsia="Arial" w:hAnsi="Arial"/>
          <w:sz w:val="22"/>
          <w:szCs w:val="22"/>
          <w:color w:val="auto"/>
        </w:rPr>
        <w:t>the issuance of any shares of Common Stock pursuant to any option, warrant, right or exercisable, convertible or exchangeable security of the Company outstanding as of the Issue Date;</w:t>
      </w:r>
    </w:p>
    <w:p>
      <w:pPr>
        <w:spacing w:after="0" w:line="106" w:lineRule="exact"/>
        <w:rPr>
          <w:rFonts w:ascii="Arial" w:cs="Arial" w:eastAsia="Arial" w:hAnsi="Arial"/>
          <w:sz w:val="22"/>
          <w:szCs w:val="22"/>
          <w:color w:val="auto"/>
        </w:rPr>
      </w:pPr>
    </w:p>
    <w:p>
      <w:pPr>
        <w:ind w:left="1724" w:hanging="428"/>
        <w:spacing w:after="0"/>
        <w:tabs>
          <w:tab w:leader="none" w:pos="1724" w:val="left"/>
        </w:tabs>
        <w:numPr>
          <w:ilvl w:val="2"/>
          <w:numId w:val="89"/>
        </w:numPr>
        <w:rPr>
          <w:rFonts w:ascii="Arial" w:cs="Arial" w:eastAsia="Arial" w:hAnsi="Arial"/>
          <w:sz w:val="22"/>
          <w:szCs w:val="22"/>
          <w:color w:val="auto"/>
        </w:rPr>
      </w:pPr>
      <w:r>
        <w:rPr>
          <w:rFonts w:ascii="Arial" w:cs="Arial" w:eastAsia="Arial" w:hAnsi="Arial"/>
          <w:sz w:val="22"/>
          <w:szCs w:val="22"/>
          <w:color w:val="auto"/>
        </w:rPr>
        <w:t>solely a change in the par value of the Common Stock; or</w:t>
      </w:r>
    </w:p>
    <w:p>
      <w:pPr>
        <w:spacing w:after="0" w:line="179" w:lineRule="exact"/>
        <w:rPr>
          <w:rFonts w:ascii="Arial" w:cs="Arial" w:eastAsia="Arial" w:hAnsi="Arial"/>
          <w:sz w:val="22"/>
          <w:szCs w:val="22"/>
          <w:color w:val="auto"/>
        </w:rPr>
      </w:pPr>
    </w:p>
    <w:p>
      <w:pPr>
        <w:ind w:left="1724" w:hanging="428"/>
        <w:spacing w:after="0"/>
        <w:tabs>
          <w:tab w:leader="none" w:pos="1724" w:val="left"/>
        </w:tabs>
        <w:numPr>
          <w:ilvl w:val="2"/>
          <w:numId w:val="89"/>
        </w:numPr>
        <w:rPr>
          <w:rFonts w:ascii="Arial" w:cs="Arial" w:eastAsia="Arial" w:hAnsi="Arial"/>
          <w:sz w:val="22"/>
          <w:szCs w:val="22"/>
          <w:color w:val="auto"/>
        </w:rPr>
      </w:pPr>
      <w:r>
        <w:rPr>
          <w:rFonts w:ascii="Arial" w:cs="Arial" w:eastAsia="Arial" w:hAnsi="Arial"/>
          <w:sz w:val="22"/>
          <w:szCs w:val="22"/>
          <w:color w:val="auto"/>
        </w:rPr>
        <w:t>accrued and unpaid interest on the Notes.</w:t>
      </w:r>
    </w:p>
    <w:p>
      <w:pPr>
        <w:spacing w:after="0" w:line="179" w:lineRule="exact"/>
        <w:rPr>
          <w:rFonts w:ascii="Arial" w:cs="Arial" w:eastAsia="Arial" w:hAnsi="Arial"/>
          <w:sz w:val="22"/>
          <w:szCs w:val="22"/>
          <w:color w:val="auto"/>
        </w:rPr>
      </w:pPr>
    </w:p>
    <w:p>
      <w:pPr>
        <w:ind w:left="464" w:hanging="464"/>
        <w:spacing w:after="0"/>
        <w:tabs>
          <w:tab w:leader="none" w:pos="464" w:val="left"/>
        </w:tabs>
        <w:numPr>
          <w:ilvl w:val="0"/>
          <w:numId w:val="90"/>
        </w:numPr>
        <w:rPr>
          <w:rFonts w:ascii="Arial" w:cs="Arial" w:eastAsia="Arial" w:hAnsi="Arial"/>
          <w:sz w:val="21"/>
          <w:szCs w:val="21"/>
          <w:color w:val="auto"/>
        </w:rPr>
      </w:pPr>
      <w:r>
        <w:rPr>
          <w:rFonts w:ascii="Arial" w:cs="Arial" w:eastAsia="Arial" w:hAnsi="Arial"/>
          <w:sz w:val="21"/>
          <w:szCs w:val="21"/>
          <w:i w:val="1"/>
          <w:iCs w:val="1"/>
          <w:color w:val="auto"/>
        </w:rPr>
        <w:t xml:space="preserve">Adjustments Not Yet Effective. </w:t>
      </w:r>
      <w:r>
        <w:rPr>
          <w:rFonts w:ascii="Arial" w:cs="Arial" w:eastAsia="Arial" w:hAnsi="Arial"/>
          <w:sz w:val="21"/>
          <w:szCs w:val="21"/>
          <w:color w:val="auto"/>
        </w:rPr>
        <w:t>Notwithstanding anything to the contrary in this Indenture or the Notes, if:</w:t>
      </w:r>
    </w:p>
    <w:p>
      <w:pPr>
        <w:spacing w:after="0" w:line="190" w:lineRule="exact"/>
        <w:rPr>
          <w:rFonts w:ascii="Arial" w:cs="Arial" w:eastAsia="Arial" w:hAnsi="Arial"/>
          <w:sz w:val="21"/>
          <w:szCs w:val="21"/>
          <w:color w:val="auto"/>
        </w:rPr>
      </w:pPr>
    </w:p>
    <w:p>
      <w:pPr>
        <w:ind w:left="1024" w:hanging="376"/>
        <w:spacing w:after="0"/>
        <w:tabs>
          <w:tab w:leader="none" w:pos="1024" w:val="left"/>
        </w:tabs>
        <w:numPr>
          <w:ilvl w:val="1"/>
          <w:numId w:val="90"/>
        </w:numPr>
        <w:rPr>
          <w:rFonts w:ascii="Arial" w:cs="Arial" w:eastAsia="Arial" w:hAnsi="Arial"/>
          <w:sz w:val="22"/>
          <w:szCs w:val="22"/>
          <w:color w:val="auto"/>
        </w:rPr>
      </w:pPr>
      <w:r>
        <w:rPr>
          <w:rFonts w:ascii="Arial" w:cs="Arial" w:eastAsia="Arial" w:hAnsi="Arial"/>
          <w:sz w:val="22"/>
          <w:szCs w:val="22"/>
          <w:color w:val="auto"/>
        </w:rPr>
        <w:t>a Note is to be converted pursuant to Physical Settlement or Combination Settlement;</w:t>
      </w:r>
    </w:p>
    <w:p>
      <w:pPr>
        <w:spacing w:after="0" w:line="179" w:lineRule="exact"/>
        <w:rPr>
          <w:rFonts w:ascii="Arial" w:cs="Arial" w:eastAsia="Arial" w:hAnsi="Arial"/>
          <w:sz w:val="22"/>
          <w:szCs w:val="22"/>
          <w:color w:val="auto"/>
        </w:rPr>
      </w:pPr>
    </w:p>
    <w:p>
      <w:pPr>
        <w:ind w:left="1084" w:hanging="436"/>
        <w:spacing w:after="0"/>
        <w:tabs>
          <w:tab w:leader="none" w:pos="1084"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Record Date, Effective Date or Expiration Time for any event that</w:t>
      </w:r>
    </w:p>
    <w:p>
      <w:pPr>
        <w:spacing w:after="0" w:line="200" w:lineRule="exact"/>
        <w:rPr>
          <w:sz w:val="20"/>
          <w:szCs w:val="20"/>
          <w:color w:val="auto"/>
        </w:rPr>
      </w:pPr>
    </w:p>
    <w:p>
      <w:pPr>
        <w:spacing w:after="0" w:line="240" w:lineRule="exact"/>
        <w:rPr>
          <w:sz w:val="20"/>
          <w:szCs w:val="20"/>
          <w:color w:val="auto"/>
        </w:rPr>
      </w:pPr>
    </w:p>
    <w:p>
      <w:pPr>
        <w:ind w:left="4804"/>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0584"/>
          </w:cols>
          <w:pgMar w:left="976" w:top="348" w:right="339" w:bottom="1440" w:gutter="0" w:footer="0" w:header="0"/>
        </w:sectPr>
      </w:pPr>
    </w:p>
    <w:bookmarkStart w:id="64" w:name="page65"/>
    <w:bookmarkEnd w:id="64"/>
    <w:p>
      <w:pPr>
        <w:jc w:val="both"/>
        <w:ind w:left="660"/>
        <w:spacing w:after="0" w:line="304" w:lineRule="auto"/>
        <w:rPr>
          <w:sz w:val="20"/>
          <w:szCs w:val="20"/>
          <w:color w:val="auto"/>
        </w:rPr>
      </w:pPr>
      <w:r>
        <w:rPr>
          <w:rFonts w:ascii="Arial" w:cs="Arial" w:eastAsia="Arial" w:hAnsi="Arial"/>
          <w:sz w:val="19"/>
          <w:szCs w:val="19"/>
          <w:color w:val="auto"/>
        </w:rPr>
        <w:t xml:space="preserve">requires an adjustment to the Conversion Rate pursuant to </w:t>
      </w:r>
      <w:r>
        <w:rPr>
          <w:rFonts w:ascii="Arial" w:cs="Arial" w:eastAsia="Arial" w:hAnsi="Arial"/>
          <w:sz w:val="19"/>
          <w:szCs w:val="19"/>
          <w:b w:val="1"/>
          <w:bCs w:val="1"/>
          <w:color w:val="auto"/>
        </w:rPr>
        <w:t>Section 5.05(A)</w:t>
      </w:r>
      <w:r>
        <w:rPr>
          <w:rFonts w:ascii="Arial" w:cs="Arial" w:eastAsia="Arial" w:hAnsi="Arial"/>
          <w:sz w:val="19"/>
          <w:szCs w:val="19"/>
          <w:color w:val="auto"/>
        </w:rPr>
        <w:t xml:space="preserve">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87" w:lineRule="exact"/>
        <w:rPr>
          <w:sz w:val="20"/>
          <w:szCs w:val="20"/>
          <w:color w:val="auto"/>
        </w:rPr>
      </w:pPr>
    </w:p>
    <w:p>
      <w:pPr>
        <w:jc w:val="both"/>
        <w:ind w:left="660" w:firstLine="644"/>
        <w:spacing w:after="0" w:line="259" w:lineRule="auto"/>
        <w:tabs>
          <w:tab w:leader="none" w:pos="1866"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Conversion Consideration due upon such conversion includes any whole shares of Common Stock (in the case of Physical Settlement) or due in respect of such VWAP Trading Day includes any whole or fractional shares of Common Stock (in the case of Combination Settlement); and</w:t>
      </w:r>
    </w:p>
    <w:p>
      <w:pPr>
        <w:spacing w:after="0" w:line="126" w:lineRule="exact"/>
        <w:rPr>
          <w:rFonts w:ascii="Arial" w:cs="Arial" w:eastAsia="Arial" w:hAnsi="Arial"/>
          <w:sz w:val="22"/>
          <w:szCs w:val="22"/>
          <w:color w:val="auto"/>
        </w:rPr>
      </w:pPr>
    </w:p>
    <w:p>
      <w:pPr>
        <w:ind w:left="660" w:firstLine="644"/>
        <w:spacing w:after="0" w:line="276" w:lineRule="auto"/>
        <w:tabs>
          <w:tab w:leader="none" w:pos="1854" w:val="left"/>
        </w:tabs>
        <w:numPr>
          <w:ilvl w:val="0"/>
          <w:numId w:val="91"/>
        </w:numPr>
        <w:rPr>
          <w:rFonts w:ascii="Arial" w:cs="Arial" w:eastAsia="Arial" w:hAnsi="Arial"/>
          <w:sz w:val="22"/>
          <w:szCs w:val="22"/>
          <w:color w:val="auto"/>
        </w:rPr>
      </w:pPr>
      <w:r>
        <w:rPr>
          <w:rFonts w:ascii="Arial" w:cs="Arial" w:eastAsia="Arial" w:hAnsi="Arial"/>
          <w:sz w:val="22"/>
          <w:szCs w:val="22"/>
          <w:color w:val="auto"/>
        </w:rPr>
        <w:t>such shares are not entitled to participate in such event (because they were not held on the related Record Date or otherwise),</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Conversion Consideration due upon such conversion is before the first date on which the amount of such adjustment can be determined, then the Company will delay the settlement of such conversion until the second (2nd) Business Day after such first date.</w:t>
      </w:r>
    </w:p>
    <w:p>
      <w:pPr>
        <w:spacing w:after="0" w:line="93" w:lineRule="exact"/>
        <w:rPr>
          <w:sz w:val="20"/>
          <w:szCs w:val="20"/>
          <w:color w:val="auto"/>
        </w:rPr>
      </w:pPr>
    </w:p>
    <w:p>
      <w:pPr>
        <w:ind w:firstLine="656"/>
        <w:spacing w:after="0" w:line="276" w:lineRule="auto"/>
        <w:tabs>
          <w:tab w:leader="none" w:pos="1344" w:val="left"/>
        </w:tabs>
        <w:numPr>
          <w:ilvl w:val="0"/>
          <w:numId w:val="92"/>
        </w:numPr>
        <w:rPr>
          <w:rFonts w:ascii="Arial" w:cs="Arial" w:eastAsia="Arial" w:hAnsi="Arial"/>
          <w:sz w:val="22"/>
          <w:szCs w:val="22"/>
          <w:color w:val="auto"/>
        </w:rPr>
      </w:pPr>
      <w:r>
        <w:rPr>
          <w:rFonts w:ascii="Arial" w:cs="Arial" w:eastAsia="Arial" w:hAnsi="Arial"/>
          <w:sz w:val="22"/>
          <w:szCs w:val="22"/>
          <w:i w:val="1"/>
          <w:iCs w:val="1"/>
          <w:color w:val="auto"/>
        </w:rPr>
        <w:t xml:space="preserve">Conversion Rate Adjustments where Converting Holders Participate in the Relevant Transaction or Event. </w:t>
      </w:r>
      <w:r>
        <w:rPr>
          <w:rFonts w:ascii="Arial" w:cs="Arial" w:eastAsia="Arial" w:hAnsi="Arial"/>
          <w:sz w:val="22"/>
          <w:szCs w:val="22"/>
          <w:color w:val="auto"/>
        </w:rPr>
        <w:t>Notwithstanding anything to the contrary in this Indenture or the Notes, if:</w:t>
      </w:r>
    </w:p>
    <w:p>
      <w:pPr>
        <w:spacing w:after="0" w:line="106" w:lineRule="exact"/>
        <w:rPr>
          <w:rFonts w:ascii="Arial" w:cs="Arial" w:eastAsia="Arial" w:hAnsi="Arial"/>
          <w:sz w:val="22"/>
          <w:szCs w:val="22"/>
          <w:color w:val="auto"/>
        </w:rPr>
      </w:pPr>
    </w:p>
    <w:p>
      <w:pPr>
        <w:ind w:left="660" w:firstLine="644"/>
        <w:spacing w:after="0" w:line="276" w:lineRule="auto"/>
        <w:tabs>
          <w:tab w:leader="none" w:pos="1759" w:val="left"/>
        </w:tabs>
        <w:numPr>
          <w:ilvl w:val="1"/>
          <w:numId w:val="92"/>
        </w:numPr>
        <w:rPr>
          <w:rFonts w:ascii="Arial" w:cs="Arial" w:eastAsia="Arial" w:hAnsi="Arial"/>
          <w:sz w:val="22"/>
          <w:szCs w:val="22"/>
          <w:color w:val="auto"/>
        </w:rPr>
      </w:pPr>
      <w:r>
        <w:rPr>
          <w:rFonts w:ascii="Arial" w:cs="Arial" w:eastAsia="Arial" w:hAnsi="Arial"/>
          <w:sz w:val="22"/>
          <w:szCs w:val="22"/>
          <w:color w:val="auto"/>
        </w:rPr>
        <w:t xml:space="preserve">a Conversion Rate adjustment for any dividend or distribution becomes effective on any Ex-Dividend Date pursuant to </w:t>
      </w:r>
      <w:r>
        <w:rPr>
          <w:rFonts w:ascii="Arial" w:cs="Arial" w:eastAsia="Arial" w:hAnsi="Arial"/>
          <w:sz w:val="22"/>
          <w:szCs w:val="22"/>
          <w:b w:val="1"/>
          <w:bCs w:val="1"/>
          <w:color w:val="auto"/>
        </w:rPr>
        <w:t>Section 5.05(A)</w:t>
      </w:r>
      <w:r>
        <w:rPr>
          <w:rFonts w:ascii="Arial" w:cs="Arial" w:eastAsia="Arial" w:hAnsi="Arial"/>
          <w:sz w:val="22"/>
          <w:szCs w:val="22"/>
          <w:color w:val="auto"/>
        </w:rPr>
        <w:t>;</w:t>
      </w:r>
    </w:p>
    <w:p>
      <w:pPr>
        <w:spacing w:after="0" w:line="106" w:lineRule="exact"/>
        <w:rPr>
          <w:rFonts w:ascii="Arial" w:cs="Arial" w:eastAsia="Arial" w:hAnsi="Arial"/>
          <w:sz w:val="22"/>
          <w:szCs w:val="22"/>
          <w:color w:val="auto"/>
        </w:rPr>
      </w:pPr>
    </w:p>
    <w:p>
      <w:pPr>
        <w:ind w:left="1740" w:hanging="436"/>
        <w:spacing w:after="0"/>
        <w:tabs>
          <w:tab w:leader="none" w:pos="1740" w:val="left"/>
        </w:tabs>
        <w:numPr>
          <w:ilvl w:val="1"/>
          <w:numId w:val="92"/>
        </w:numPr>
        <w:rPr>
          <w:rFonts w:ascii="Arial" w:cs="Arial" w:eastAsia="Arial" w:hAnsi="Arial"/>
          <w:sz w:val="22"/>
          <w:szCs w:val="22"/>
          <w:color w:val="auto"/>
        </w:rPr>
      </w:pPr>
      <w:r>
        <w:rPr>
          <w:rFonts w:ascii="Arial" w:cs="Arial" w:eastAsia="Arial" w:hAnsi="Arial"/>
          <w:sz w:val="22"/>
          <w:szCs w:val="22"/>
          <w:color w:val="auto"/>
        </w:rPr>
        <w:t>a Note is to be converted pursuant to Physical Settlement or Combination Settlement;</w:t>
      </w:r>
    </w:p>
    <w:p>
      <w:pPr>
        <w:spacing w:after="0" w:line="179" w:lineRule="exact"/>
        <w:rPr>
          <w:rFonts w:ascii="Arial" w:cs="Arial" w:eastAsia="Arial" w:hAnsi="Arial"/>
          <w:sz w:val="22"/>
          <w:szCs w:val="22"/>
          <w:color w:val="auto"/>
        </w:rPr>
      </w:pPr>
    </w:p>
    <w:p>
      <w:pPr>
        <w:jc w:val="both"/>
        <w:ind w:left="660" w:firstLine="644"/>
        <w:spacing w:after="0" w:line="259" w:lineRule="auto"/>
        <w:tabs>
          <w:tab w:leader="none" w:pos="1839"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26" w:lineRule="exact"/>
        <w:rPr>
          <w:rFonts w:ascii="Arial" w:cs="Arial" w:eastAsia="Arial" w:hAnsi="Arial"/>
          <w:sz w:val="22"/>
          <w:szCs w:val="22"/>
          <w:color w:val="auto"/>
        </w:rPr>
      </w:pPr>
    </w:p>
    <w:p>
      <w:pPr>
        <w:jc w:val="both"/>
        <w:ind w:left="660" w:firstLine="644"/>
        <w:spacing w:after="0" w:line="254" w:lineRule="auto"/>
        <w:tabs>
          <w:tab w:leader="none" w:pos="1867"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Conversion Consideration due upon such conversion includes any whole shares of Common Stock (in the case of Physical Settlement) or due in respect of such VWAP Trading Day includes any whole or fractional shares of Common Stock (in the case of Combination Settlement), in each case based on a Conversion Rate that is adjusted for such dividend or distribution; and</w:t>
      </w:r>
    </w:p>
    <w:p>
      <w:pPr>
        <w:spacing w:after="0" w:line="124" w:lineRule="exact"/>
        <w:rPr>
          <w:rFonts w:ascii="Arial" w:cs="Arial" w:eastAsia="Arial" w:hAnsi="Arial"/>
          <w:sz w:val="22"/>
          <w:szCs w:val="22"/>
          <w:color w:val="auto"/>
        </w:rPr>
      </w:pPr>
    </w:p>
    <w:p>
      <w:pPr>
        <w:ind w:left="1780" w:hanging="476"/>
        <w:spacing w:after="0"/>
        <w:tabs>
          <w:tab w:leader="none" w:pos="1780"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such shares would be entitled to participate in such dividend or distribution (including pursuant to </w:t>
      </w:r>
      <w:r>
        <w:rPr>
          <w:rFonts w:ascii="Arial" w:cs="Arial" w:eastAsia="Arial" w:hAnsi="Arial"/>
          <w:sz w:val="19"/>
          <w:szCs w:val="19"/>
          <w:b w:val="1"/>
          <w:bCs w:val="1"/>
          <w:color w:val="auto"/>
        </w:rPr>
        <w:t>Section</w:t>
      </w:r>
    </w:p>
    <w:p>
      <w:pPr>
        <w:spacing w:after="0" w:line="6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b w:val="1"/>
          <w:bCs w:val="1"/>
          <w:color w:val="auto"/>
        </w:rPr>
        <w:t>5.02(C)</w:t>
      </w:r>
      <w:r>
        <w:rPr>
          <w:rFonts w:ascii="Arial" w:cs="Arial" w:eastAsia="Arial" w:hAnsi="Arial"/>
          <w:sz w:val="22"/>
          <w:szCs w:val="22"/>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then (x) in the case of Physical Settlement, such Conversion Rate adjustment will not be given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342"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21"/>
          <w:szCs w:val="21"/>
          <w:color w:val="auto"/>
        </w:rPr>
        <w:t>effect for such conversion and the shares of Common Stock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83" w:lineRule="exact"/>
        <w:rPr>
          <w:sz w:val="20"/>
          <w:szCs w:val="20"/>
          <w:color w:val="auto"/>
        </w:rPr>
      </w:pPr>
    </w:p>
    <w:p>
      <w:pPr>
        <w:jc w:val="both"/>
        <w:ind w:firstLine="656"/>
        <w:spacing w:after="0" w:line="292" w:lineRule="auto"/>
        <w:tabs>
          <w:tab w:leader="none" w:pos="1131" w:val="left"/>
        </w:tabs>
        <w:numPr>
          <w:ilvl w:val="0"/>
          <w:numId w:val="93"/>
        </w:numPr>
        <w:rPr>
          <w:rFonts w:ascii="Arial" w:cs="Arial" w:eastAsia="Arial" w:hAnsi="Arial"/>
          <w:sz w:val="19"/>
          <w:szCs w:val="19"/>
          <w:color w:val="auto"/>
        </w:rPr>
      </w:pPr>
      <w:r>
        <w:rPr>
          <w:rFonts w:ascii="Arial" w:cs="Arial" w:eastAsia="Arial" w:hAnsi="Arial"/>
          <w:sz w:val="19"/>
          <w:szCs w:val="19"/>
          <w:i w:val="1"/>
          <w:iCs w:val="1"/>
          <w:color w:val="auto"/>
        </w:rPr>
        <w:t>Stockholder Rights Plans</w:t>
      </w:r>
      <w:r>
        <w:rPr>
          <w:rFonts w:ascii="Arial" w:cs="Arial" w:eastAsia="Arial" w:hAnsi="Arial"/>
          <w:sz w:val="19"/>
          <w:szCs w:val="19"/>
          <w:color w:val="auto"/>
        </w:rPr>
        <w:t>. If any shares of Common Stock are to be issued upon conversion of any Note and, at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time of such conversion, the Company has in effect any stockholder rights plan, then the Holder of such Note will be entitled to receive, in addition to, and concurrently with the delivery of, the Conversion Consideration otherwise due under this Indenture upon such conversion, the rights set forth in such stockholder rights plan, unless such rights have separated from the Common Stock in accordance with the provisions of the applicable stockholder rights plan at such time, in which case, and only in such case, the Conversion Rate will be adjusted pursuant to </w:t>
      </w:r>
      <w:r>
        <w:rPr>
          <w:rFonts w:ascii="Arial" w:cs="Arial" w:eastAsia="Arial" w:hAnsi="Arial"/>
          <w:sz w:val="19"/>
          <w:szCs w:val="19"/>
          <w:b w:val="1"/>
          <w:bCs w:val="1"/>
          <w:color w:val="auto"/>
        </w:rPr>
        <w:t>Section 5.05(A)(iii)(1)</w:t>
      </w:r>
      <w:r>
        <w:rPr>
          <w:rFonts w:ascii="Arial" w:cs="Arial" w:eastAsia="Arial" w:hAnsi="Arial"/>
          <w:sz w:val="19"/>
          <w:szCs w:val="19"/>
          <w:color w:val="auto"/>
        </w:rPr>
        <w:t xml:space="preserve"> on account of such separation as if, at the time of such separation, the Company had made a distribution of the type referred to in such Section to all holders of the Common Stock, subject to readjustment in accordance with such Section if such rights expire, terminate or are redeemed.</w:t>
      </w:r>
    </w:p>
    <w:p>
      <w:pPr>
        <w:spacing w:after="0" w:line="154" w:lineRule="exact"/>
        <w:rPr>
          <w:rFonts w:ascii="Arial" w:cs="Arial" w:eastAsia="Arial" w:hAnsi="Arial"/>
          <w:sz w:val="19"/>
          <w:szCs w:val="19"/>
          <w:color w:val="auto"/>
        </w:rPr>
      </w:pPr>
    </w:p>
    <w:p>
      <w:pPr>
        <w:ind w:left="1160" w:hanging="504"/>
        <w:spacing w:after="0"/>
        <w:tabs>
          <w:tab w:leader="none" w:pos="11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656"/>
        <w:spacing w:after="0" w:line="248" w:lineRule="auto"/>
        <w:tabs>
          <w:tab w:leader="none" w:pos="1182"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Equitable Adjustments to Prices</w:t>
      </w:r>
      <w:r>
        <w:rPr>
          <w:rFonts w:ascii="Arial" w:cs="Arial" w:eastAsia="Arial" w:hAnsi="Arial"/>
          <w:sz w:val="22"/>
          <w:szCs w:val="22"/>
          <w:color w:val="auto"/>
        </w:rPr>
        <w:t>. Whenever any provision of this Indenture requires the Company to calculate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average of the Last Reported Sale Prices, or any function thereof, over a period of multiple days (including to calculate the Stock Price or an adjustment to the Conversion Rate), or to calculate Daily VWAPs over an Observation Period, the Company will make proportionate adjustments, if any, to such calculations to account for any adjustment to the Conversion Rate pursuant to </w:t>
      </w:r>
      <w:r>
        <w:rPr>
          <w:rFonts w:ascii="Arial" w:cs="Arial" w:eastAsia="Arial" w:hAnsi="Arial"/>
          <w:sz w:val="22"/>
          <w:szCs w:val="22"/>
          <w:b w:val="1"/>
          <w:bCs w:val="1"/>
          <w:color w:val="auto"/>
        </w:rPr>
        <w:t xml:space="preserve">Section 5.05(A)(i) </w:t>
      </w:r>
      <w:r>
        <w:rPr>
          <w:rFonts w:ascii="Arial" w:cs="Arial" w:eastAsia="Arial" w:hAnsi="Arial"/>
          <w:sz w:val="22"/>
          <w:szCs w:val="22"/>
          <w:color w:val="auto"/>
        </w:rPr>
        <w:t>that becomes effective, or any event requiring such an adjustment to the Conversion Rate where the Ex-Dividend Date or effective date, as applicable, of such event occurs, at any time during such period or Observation Period, as applicable.</w:t>
      </w:r>
    </w:p>
    <w:p>
      <w:pPr>
        <w:spacing w:after="0" w:line="189" w:lineRule="exact"/>
        <w:rPr>
          <w:rFonts w:ascii="Arial" w:cs="Arial" w:eastAsia="Arial" w:hAnsi="Arial"/>
          <w:sz w:val="22"/>
          <w:szCs w:val="22"/>
          <w:color w:val="auto"/>
        </w:rPr>
      </w:pPr>
    </w:p>
    <w:p>
      <w:pPr>
        <w:jc w:val="both"/>
        <w:ind w:firstLine="656"/>
        <w:spacing w:after="0" w:line="309" w:lineRule="auto"/>
        <w:tabs>
          <w:tab w:leader="none" w:pos="1182" w:val="left"/>
        </w:tabs>
        <w:numPr>
          <w:ilvl w:val="0"/>
          <w:numId w:val="93"/>
        </w:numPr>
        <w:rPr>
          <w:rFonts w:ascii="Arial" w:cs="Arial" w:eastAsia="Arial" w:hAnsi="Arial"/>
          <w:sz w:val="19"/>
          <w:szCs w:val="19"/>
          <w:color w:val="auto"/>
        </w:rPr>
      </w:pPr>
      <w:r>
        <w:rPr>
          <w:rFonts w:ascii="Arial" w:cs="Arial" w:eastAsia="Arial" w:hAnsi="Arial"/>
          <w:sz w:val="19"/>
          <w:szCs w:val="19"/>
          <w:i w:val="1"/>
          <w:iCs w:val="1"/>
          <w:color w:val="auto"/>
        </w:rPr>
        <w:t>Calculation of Number of Outstanding Shares of Common Stock</w:t>
      </w:r>
      <w:r>
        <w:rPr>
          <w:rFonts w:ascii="Arial" w:cs="Arial" w:eastAsia="Arial" w:hAnsi="Arial"/>
          <w:sz w:val="19"/>
          <w:szCs w:val="19"/>
          <w:color w:val="auto"/>
        </w:rPr>
        <w:t>. For purposes of</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5.05(A)</w:t>
      </w:r>
      <w:r>
        <w:rPr>
          <w:rFonts w:ascii="Arial" w:cs="Arial" w:eastAsia="Arial" w:hAnsi="Arial"/>
          <w:sz w:val="19"/>
          <w:szCs w:val="19"/>
          <w:color w:val="auto"/>
        </w:rPr>
        <w:t>, the number of</w:t>
      </w:r>
      <w:r>
        <w:rPr>
          <w:rFonts w:ascii="Arial" w:cs="Arial" w:eastAsia="Arial" w:hAnsi="Arial"/>
          <w:sz w:val="19"/>
          <w:szCs w:val="19"/>
          <w:i w:val="1"/>
          <w:iCs w:val="1"/>
          <w:color w:val="auto"/>
        </w:rPr>
        <w:t xml:space="preserve"> </w:t>
      </w:r>
      <w:r>
        <w:rPr>
          <w:rFonts w:ascii="Arial" w:cs="Arial" w:eastAsia="Arial" w:hAnsi="Arial"/>
          <w:sz w:val="19"/>
          <w:szCs w:val="19"/>
          <w:color w:val="auto"/>
        </w:rPr>
        <w:t>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36" w:lineRule="exact"/>
        <w:rPr>
          <w:rFonts w:ascii="Arial" w:cs="Arial" w:eastAsia="Arial" w:hAnsi="Arial"/>
          <w:sz w:val="19"/>
          <w:szCs w:val="19"/>
          <w:color w:val="auto"/>
        </w:rPr>
      </w:pPr>
    </w:p>
    <w:p>
      <w:pPr>
        <w:ind w:firstLine="656"/>
        <w:spacing w:after="0" w:line="276" w:lineRule="auto"/>
        <w:tabs>
          <w:tab w:leader="none" w:pos="1165"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Calculations</w:t>
      </w:r>
      <w:r>
        <w:rPr>
          <w:rFonts w:ascii="Arial" w:cs="Arial" w:eastAsia="Arial" w:hAnsi="Arial"/>
          <w:sz w:val="22"/>
          <w:szCs w:val="22"/>
          <w:color w:val="auto"/>
        </w:rPr>
        <w:t>. All calculations with respect to the Conversion Rate and adjustments thereto will be made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nearest 1/10,000th of a share of Common Stock (with 5/100,000ths rounded upward).</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Notice of Conversion Rate Adjustments</w:t>
      </w:r>
      <w:r>
        <w:rPr>
          <w:rFonts w:ascii="Arial" w:cs="Arial" w:eastAsia="Arial" w:hAnsi="Arial"/>
          <w:sz w:val="22"/>
          <w:szCs w:val="22"/>
          <w:color w:val="auto"/>
        </w:rPr>
        <w:t>. Upon the effectiveness of any adjustment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348" w:right="339" w:bottom="1440" w:gutter="0" w:footer="0" w:header="0"/>
        </w:sectPr>
      </w:pPr>
    </w:p>
    <w:bookmarkStart w:id="66" w:name="page67"/>
    <w:bookmarkEnd w:id="66"/>
    <w:p>
      <w:pPr>
        <w:jc w:val="both"/>
        <w:spacing w:after="0" w:line="315" w:lineRule="auto"/>
        <w:rPr>
          <w:sz w:val="20"/>
          <w:szCs w:val="20"/>
          <w:color w:val="auto"/>
        </w:rPr>
      </w:pPr>
      <w:r>
        <w:rPr>
          <w:rFonts w:ascii="Arial" w:cs="Arial" w:eastAsia="Arial" w:hAnsi="Arial"/>
          <w:sz w:val="19"/>
          <w:szCs w:val="19"/>
          <w:color w:val="auto"/>
        </w:rPr>
        <w:t xml:space="preserve">to the Conversion Rate pursuant to </w:t>
      </w:r>
      <w:r>
        <w:rPr>
          <w:rFonts w:ascii="Arial" w:cs="Arial" w:eastAsia="Arial" w:hAnsi="Arial"/>
          <w:sz w:val="19"/>
          <w:szCs w:val="19"/>
          <w:b w:val="1"/>
          <w:bCs w:val="1"/>
          <w:color w:val="auto"/>
        </w:rPr>
        <w:t>Section 5.05(A)</w:t>
      </w:r>
      <w:r>
        <w:rPr>
          <w:rFonts w:ascii="Arial" w:cs="Arial" w:eastAsia="Arial" w:hAnsi="Arial"/>
          <w:sz w:val="19"/>
          <w:szCs w:val="19"/>
          <w:color w:val="auto"/>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7"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5.06.</w:t>
      </w:r>
      <w:r>
        <w:rPr>
          <w:sz w:val="20"/>
          <w:szCs w:val="20"/>
          <w:color w:val="auto"/>
        </w:rPr>
        <w:tab/>
      </w:r>
      <w:r>
        <w:rPr>
          <w:rFonts w:ascii="Arial" w:cs="Arial" w:eastAsia="Arial" w:hAnsi="Arial"/>
          <w:sz w:val="21"/>
          <w:szCs w:val="21"/>
          <w:b w:val="1"/>
          <w:bCs w:val="1"/>
          <w:color w:val="auto"/>
        </w:rPr>
        <w:t>VOLUNTARY ADJUSTMENTS.</w:t>
      </w:r>
    </w:p>
    <w:p>
      <w:pPr>
        <w:spacing w:after="0" w:line="131" w:lineRule="exact"/>
        <w:rPr>
          <w:sz w:val="20"/>
          <w:szCs w:val="20"/>
          <w:color w:val="auto"/>
        </w:rPr>
      </w:pPr>
    </w:p>
    <w:p>
      <w:pPr>
        <w:jc w:val="both"/>
        <w:ind w:firstLine="656"/>
        <w:spacing w:after="0" w:line="294" w:lineRule="auto"/>
        <w:tabs>
          <w:tab w:leader="none" w:pos="1195"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Generally</w:t>
      </w:r>
      <w:r>
        <w:rPr>
          <w:rFonts w:ascii="Arial" w:cs="Arial" w:eastAsia="Arial" w:hAnsi="Arial"/>
          <w:sz w:val="19"/>
          <w:szCs w:val="19"/>
          <w:color w:val="auto"/>
        </w:rPr>
        <w:t>. To the extent permitted by law and applicable stock exchange rules, the Company, from time to time,</w:t>
      </w:r>
      <w:r>
        <w:rPr>
          <w:rFonts w:ascii="Arial" w:cs="Arial" w:eastAsia="Arial" w:hAnsi="Arial"/>
          <w:sz w:val="19"/>
          <w:szCs w:val="19"/>
          <w:i w:val="1"/>
          <w:iCs w:val="1"/>
          <w:color w:val="auto"/>
        </w:rPr>
        <w:t xml:space="preserve"> </w:t>
      </w:r>
      <w:r>
        <w:rPr>
          <w:rFonts w:ascii="Arial" w:cs="Arial" w:eastAsia="Arial" w:hAnsi="Arial"/>
          <w:sz w:val="19"/>
          <w:szCs w:val="19"/>
          <w:color w:val="auto"/>
        </w:rPr>
        <w:t>may (but is not required to) increase the Conversion Rate by any amount if (i) the Board of Directors determines that such increase is in the best interest of the Company; (ii) such increase is in effect for a period of at least twenty (20) Business Days; and (iii) such increase is irrevocable during such period. To the extent permitted by law and applicable stock exchange rules, the Company, from time to time, may also (but is not required to) increase the Conversion Rate by any amount if such increase is advisable to avoid or diminish any income tax imposed on holders of Common Stock or rights to purchase Common Stock as a result of any dividend or distribution of shares (or rights to acquire shares) of Common Stock or any similar event.</w:t>
      </w:r>
    </w:p>
    <w:p>
      <w:pPr>
        <w:spacing w:after="0" w:line="43" w:lineRule="exact"/>
        <w:rPr>
          <w:rFonts w:ascii="Arial" w:cs="Arial" w:eastAsia="Arial" w:hAnsi="Arial"/>
          <w:sz w:val="19"/>
          <w:szCs w:val="19"/>
          <w:color w:val="auto"/>
        </w:rPr>
      </w:pPr>
    </w:p>
    <w:p>
      <w:pPr>
        <w:jc w:val="both"/>
        <w:ind w:firstLine="656"/>
        <w:spacing w:after="0" w:line="254" w:lineRule="auto"/>
        <w:tabs>
          <w:tab w:leader="none" w:pos="1210" w:val="left"/>
        </w:tabs>
        <w:numPr>
          <w:ilvl w:val="0"/>
          <w:numId w:val="94"/>
        </w:numPr>
        <w:rPr>
          <w:rFonts w:ascii="Arial" w:cs="Arial" w:eastAsia="Arial" w:hAnsi="Arial"/>
          <w:sz w:val="22"/>
          <w:szCs w:val="22"/>
          <w:color w:val="auto"/>
        </w:rPr>
      </w:pPr>
      <w:r>
        <w:rPr>
          <w:rFonts w:ascii="Arial" w:cs="Arial" w:eastAsia="Arial" w:hAnsi="Arial"/>
          <w:sz w:val="22"/>
          <w:szCs w:val="22"/>
          <w:i w:val="1"/>
          <w:iCs w:val="1"/>
          <w:color w:val="auto"/>
        </w:rPr>
        <w:t>Notice of Voluntary Increases</w:t>
      </w:r>
      <w:r>
        <w:rPr>
          <w:rFonts w:ascii="Arial" w:cs="Arial" w:eastAsia="Arial" w:hAnsi="Arial"/>
          <w:sz w:val="22"/>
          <w:szCs w:val="22"/>
          <w:color w:val="auto"/>
        </w:rPr>
        <w:t>. If the Board of Directors determines to increase the Conversion Rate pursuant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5.06(A)</w:t>
      </w:r>
      <w:r>
        <w:rPr>
          <w:rFonts w:ascii="Arial" w:cs="Arial" w:eastAsia="Arial" w:hAnsi="Arial"/>
          <w:sz w:val="22"/>
          <w:szCs w:val="22"/>
          <w:color w:val="auto"/>
        </w:rPr>
        <w:t>, then, no later than the first Business Day of the period that such increase is in effect, the Company will send</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to each Holder, the Trustee and the Conversion Agent of such increase, the amount thereof and the period during which such increase will be in effect.</w:t>
      </w:r>
    </w:p>
    <w:p>
      <w:pPr>
        <w:spacing w:after="0" w:line="71"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Section 5.07. ADJUSTMENTS TO THE CONVERSION RATE IN CONNECTION WITH A MAKE-WHOLE FUNDAMENTAL CHANGE.</w:t>
      </w:r>
    </w:p>
    <w:p>
      <w:pPr>
        <w:spacing w:after="0" w:line="46" w:lineRule="exact"/>
        <w:rPr>
          <w:sz w:val="20"/>
          <w:szCs w:val="20"/>
          <w:color w:val="auto"/>
        </w:rPr>
      </w:pPr>
    </w:p>
    <w:p>
      <w:pPr>
        <w:jc w:val="both"/>
        <w:ind w:firstLine="656"/>
        <w:spacing w:after="0" w:line="266" w:lineRule="auto"/>
        <w:tabs>
          <w:tab w:leader="none" w:pos="1209" w:val="left"/>
        </w:tabs>
        <w:numPr>
          <w:ilvl w:val="0"/>
          <w:numId w:val="95"/>
        </w:numPr>
        <w:rPr>
          <w:rFonts w:ascii="Arial" w:cs="Arial" w:eastAsia="Arial" w:hAnsi="Arial"/>
          <w:sz w:val="21"/>
          <w:szCs w:val="21"/>
          <w:color w:val="auto"/>
        </w:rPr>
      </w:pPr>
      <w:r>
        <w:rPr>
          <w:rFonts w:ascii="Arial" w:cs="Arial" w:eastAsia="Arial" w:hAnsi="Arial"/>
          <w:sz w:val="21"/>
          <w:szCs w:val="21"/>
          <w:i w:val="1"/>
          <w:iCs w:val="1"/>
          <w:color w:val="auto"/>
        </w:rPr>
        <w:t>Generally</w:t>
      </w:r>
      <w:r>
        <w:rPr>
          <w:rFonts w:ascii="Arial" w:cs="Arial" w:eastAsia="Arial" w:hAnsi="Arial"/>
          <w:sz w:val="21"/>
          <w:szCs w:val="21"/>
          <w:color w:val="auto"/>
        </w:rPr>
        <w:t>. If a Make-Whole Fundamental Change occurs and the Conversion Date for the conversion of a Note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occurs during the related Make-Whole Fundamental Change Conversion Period, then, subject to this </w:t>
      </w:r>
      <w:r>
        <w:rPr>
          <w:rFonts w:ascii="Arial" w:cs="Arial" w:eastAsia="Arial" w:hAnsi="Arial"/>
          <w:sz w:val="21"/>
          <w:szCs w:val="21"/>
          <w:b w:val="1"/>
          <w:bCs w:val="1"/>
          <w:color w:val="auto"/>
        </w:rPr>
        <w:t>Section 5.07</w:t>
      </w:r>
      <w:r>
        <w:rPr>
          <w:rFonts w:ascii="Arial" w:cs="Arial" w:eastAsia="Arial" w:hAnsi="Arial"/>
          <w:sz w:val="21"/>
          <w:szCs w:val="21"/>
          <w:color w:val="auto"/>
        </w:rPr>
        <w:t>, the Conversion Rate applicable to such conversion will be increased by a number of shares (the “</w:t>
      </w:r>
      <w:r>
        <w:rPr>
          <w:rFonts w:ascii="Arial" w:cs="Arial" w:eastAsia="Arial" w:hAnsi="Arial"/>
          <w:sz w:val="21"/>
          <w:szCs w:val="21"/>
          <w:b w:val="1"/>
          <w:bCs w:val="1"/>
          <w:color w:val="auto"/>
        </w:rPr>
        <w:t>Additional Shares</w:t>
      </w:r>
      <w:r>
        <w:rPr>
          <w:rFonts w:ascii="Arial" w:cs="Arial" w:eastAsia="Arial" w:hAnsi="Arial"/>
          <w:sz w:val="21"/>
          <w:szCs w:val="21"/>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Make-Whole</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Fundamental</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3"/>
              </w:rPr>
              <w:t>Change Effective</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Stock Price</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7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$24.45</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$27.00</w:t>
            </w: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$31.17</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$35.00</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$40.53</w:t>
            </w: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$45.00</w:t>
            </w: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$50.00</w:t>
            </w: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$60.00</w:t>
            </w: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$75.00</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$100.00</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$125.00</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$150.00</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$175.00</w:t>
            </w:r>
          </w:p>
        </w:tc>
        <w:tc>
          <w:tcPr>
            <w:tcW w:w="0" w:type="dxa"/>
            <w:vAlign w:val="bottom"/>
          </w:tcPr>
          <w:p>
            <w:pPr>
              <w:spacing w:after="0"/>
              <w:rPr>
                <w:sz w:val="1"/>
                <w:szCs w:val="1"/>
                <w:color w:val="auto"/>
              </w:rPr>
            </w:pPr>
          </w:p>
        </w:tc>
      </w:tr>
      <w:tr>
        <w:trPr>
          <w:trHeight w:val="53"/>
        </w:trPr>
        <w:tc>
          <w:tcPr>
            <w:tcW w:w="1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40"/>
              <w:spacing w:after="0"/>
              <w:rPr>
                <w:sz w:val="20"/>
                <w:szCs w:val="20"/>
                <w:color w:val="auto"/>
              </w:rPr>
            </w:pPr>
            <w:r>
              <w:rPr>
                <w:rFonts w:ascii="Arial" w:cs="Arial" w:eastAsia="Arial" w:hAnsi="Arial"/>
                <w:sz w:val="14"/>
                <w:szCs w:val="14"/>
                <w:color w:val="auto"/>
              </w:rPr>
              <w:t>May 12, 2020.....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8.8214</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7.7481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5.9885</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4.8523</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3.7135</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3.0696</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2.5364</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1.8300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1.2349</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0.7419</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0.4857</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0.3267</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0.2164</w:t>
            </w: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Arial" w:cs="Arial" w:eastAsia="Arial" w:hAnsi="Arial"/>
                <w:sz w:val="14"/>
                <w:szCs w:val="14"/>
                <w:color w:val="auto"/>
              </w:rPr>
              <w:t>May 15, 2021.....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8.8214</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7.5796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5.6901</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4.4997</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3.3400</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2.7044</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2.1928</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1.5407</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1.0193</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0.6092</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0.4022</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0.2750</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0.1868</w:t>
            </w: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Arial" w:cs="Arial" w:eastAsia="Arial" w:hAnsi="Arial"/>
                <w:sz w:val="14"/>
                <w:szCs w:val="14"/>
                <w:color w:val="auto"/>
              </w:rPr>
              <w:t>May 15, 2022.....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8.8214</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7.2978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5.2518</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4.0051</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2.8394</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2.2298</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1.7592</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1.1928</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0.7733</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0.4632</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0.3101</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0.2155</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0.1497</w:t>
            </w: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Arial" w:cs="Arial" w:eastAsia="Arial" w:hAnsi="Arial"/>
                <w:sz w:val="14"/>
                <w:szCs w:val="14"/>
                <w:color w:val="auto"/>
              </w:rPr>
              <w:t>May 15, 2023.....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8.8214</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6.8556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4.6006</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3.2971</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2.1604</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1.6129</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1.2204</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0.7918</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0.5087</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0.3115</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0.2128</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0.1502</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0.1061</w:t>
            </w: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Arial" w:cs="Arial" w:eastAsia="Arial" w:hAnsi="Arial"/>
                <w:sz w:val="14"/>
                <w:szCs w:val="14"/>
                <w:color w:val="auto"/>
              </w:rPr>
              <w:t>May 15, 2024.....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8.8214</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6.1144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3.5245</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2.1880</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1.2011</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0.8127</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0.5780</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0.3667</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0.2461</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0.1587</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0.1107</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0.0791</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0.0566</w:t>
            </w: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Arial" w:cs="Arial" w:eastAsia="Arial" w:hAnsi="Arial"/>
                <w:sz w:val="14"/>
                <w:szCs w:val="14"/>
                <w:color w:val="auto"/>
              </w:rPr>
              <w:t>May 15, 2025.....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8.8214</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4.9589</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0.0038</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0.0000</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0.0000</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0.0000</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0.0000</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0.0000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0.0000</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0.0000</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0.0000</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0.0000</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0.0000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such Make-Whole Fundamental Change Effective Date or Stock Price is not set forth in the table above, then:</w:t>
      </w:r>
    </w:p>
    <w:p>
      <w:pPr>
        <w:spacing w:after="0" w:line="123" w:lineRule="exact"/>
        <w:rPr>
          <w:sz w:val="20"/>
          <w:szCs w:val="20"/>
          <w:color w:val="auto"/>
        </w:rPr>
      </w:pPr>
    </w:p>
    <w:p>
      <w:pPr>
        <w:ind w:left="1680" w:hanging="376"/>
        <w:spacing w:after="0"/>
        <w:tabs>
          <w:tab w:leader="none" w:pos="16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such Stock Price is between two Stock Prices in the table above or the</w:t>
      </w:r>
    </w:p>
    <w:p>
      <w:pPr>
        <w:spacing w:after="0" w:line="332" w:lineRule="exact"/>
        <w:rPr>
          <w:rFonts w:ascii="Arial" w:cs="Arial" w:eastAsia="Arial" w:hAnsi="Arial"/>
          <w:sz w:val="22"/>
          <w:szCs w:val="22"/>
          <w:color w:val="auto"/>
        </w:rPr>
      </w:pPr>
    </w:p>
    <w:p>
      <w:pPr>
        <w:ind w:left="5460"/>
        <w:spacing w:after="0"/>
        <w:rPr>
          <w:rFonts w:ascii="Arial" w:cs="Arial" w:eastAsia="Arial" w:hAnsi="Arial"/>
          <w:sz w:val="22"/>
          <w:szCs w:val="22"/>
          <w:color w:val="auto"/>
        </w:rPr>
      </w:pPr>
      <w:r>
        <w:rPr>
          <w:rFonts w:ascii="Arial" w:cs="Arial" w:eastAsia="Arial" w:hAnsi="Arial"/>
          <w:sz w:val="20"/>
          <w:szCs w:val="20"/>
          <w:color w:val="auto"/>
        </w:rPr>
        <w:t>-58-</w:t>
      </w:r>
    </w:p>
    <w:p>
      <w:pPr>
        <w:sectPr>
          <w:pgSz w:w="11900" w:h="16838" w:orient="portrait"/>
          <w:cols w:equalWidth="0" w:num="1">
            <w:col w:w="11240"/>
          </w:cols>
          <w:pgMar w:left="320" w:top="342" w:right="339" w:bottom="1440" w:gutter="0" w:footer="0" w:header="0"/>
        </w:sectPr>
      </w:pPr>
    </w:p>
    <w:bookmarkStart w:id="67" w:name="page68"/>
    <w:bookmarkEnd w:id="67"/>
    <w:p>
      <w:pPr>
        <w:jc w:val="both"/>
        <w:ind w:left="660"/>
        <w:spacing w:after="0" w:line="250" w:lineRule="auto"/>
        <w:rPr>
          <w:sz w:val="20"/>
          <w:szCs w:val="20"/>
          <w:color w:val="auto"/>
        </w:rPr>
      </w:pPr>
      <w:r>
        <w:rPr>
          <w:rFonts w:ascii="Arial" w:cs="Arial" w:eastAsia="Arial" w:hAnsi="Arial"/>
          <w:sz w:val="22"/>
          <w:szCs w:val="22"/>
          <w:color w:val="auto"/>
        </w:rPr>
        <w:t>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34" w:lineRule="exact"/>
        <w:rPr>
          <w:sz w:val="20"/>
          <w:szCs w:val="20"/>
          <w:color w:val="auto"/>
        </w:rPr>
      </w:pPr>
    </w:p>
    <w:p>
      <w:pPr>
        <w:jc w:val="both"/>
        <w:ind w:left="660" w:firstLine="644"/>
        <w:spacing w:after="0" w:line="319" w:lineRule="auto"/>
        <w:tabs>
          <w:tab w:leader="none" w:pos="1806"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if the Stock Price is greater than $175.00 per share (subject to adjustment in the same manner as the Stock Prices set forth in the column headings of the table above are adjusted pursuant to </w:t>
      </w:r>
      <w:r>
        <w:rPr>
          <w:rFonts w:ascii="Arial" w:cs="Arial" w:eastAsia="Arial" w:hAnsi="Arial"/>
          <w:sz w:val="19"/>
          <w:szCs w:val="19"/>
          <w:b w:val="1"/>
          <w:bCs w:val="1"/>
          <w:color w:val="auto"/>
        </w:rPr>
        <w:t>Section 5.07(B)</w:t>
      </w:r>
      <w:r>
        <w:rPr>
          <w:rFonts w:ascii="Arial" w:cs="Arial" w:eastAsia="Arial" w:hAnsi="Arial"/>
          <w:sz w:val="19"/>
          <w:szCs w:val="19"/>
          <w:color w:val="auto"/>
        </w:rPr>
        <w:t>), or less than $24.45 per share (subject to adjustment in the same manner), then no Additional Shares will be added to the Conversion Rate.</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Notwithstanding anything to the contrary in this Indenture or the Notes, in no event will the Conversion Rate be increased to an amount that exceeds 40.8997 shares of Common Stock per $1,000 principal amount of Notes, which amount is subject to adjustment in the same manner as, and at the same time and for the same events for which, the Conversion Rate is required to be adjusted pursuant to </w:t>
      </w:r>
      <w:r>
        <w:rPr>
          <w:rFonts w:ascii="Arial" w:cs="Arial" w:eastAsia="Arial" w:hAnsi="Arial"/>
          <w:sz w:val="22"/>
          <w:szCs w:val="22"/>
          <w:b w:val="1"/>
          <w:bCs w:val="1"/>
          <w:color w:val="auto"/>
        </w:rPr>
        <w:t>Section 5.05(A)</w:t>
      </w:r>
      <w:r>
        <w:rPr>
          <w:rFonts w:ascii="Arial" w:cs="Arial" w:eastAsia="Arial" w:hAnsi="Arial"/>
          <w:sz w:val="22"/>
          <w:szCs w:val="22"/>
          <w:color w:val="auto"/>
        </w:rPr>
        <w:t>.</w:t>
      </w:r>
    </w:p>
    <w:p>
      <w:pPr>
        <w:spacing w:after="0" w:line="12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 xml:space="preserve">For the avoidance of doubt, but subject to </w:t>
      </w:r>
      <w:r>
        <w:rPr>
          <w:rFonts w:ascii="Arial" w:cs="Arial" w:eastAsia="Arial" w:hAnsi="Arial"/>
          <w:sz w:val="21"/>
          <w:szCs w:val="21"/>
          <w:b w:val="1"/>
          <w:bCs w:val="1"/>
          <w:color w:val="auto"/>
        </w:rPr>
        <w:t>Section 4.03(I)</w:t>
      </w:r>
      <w:r>
        <w:rPr>
          <w:rFonts w:ascii="Arial" w:cs="Arial" w:eastAsia="Arial" w:hAnsi="Arial"/>
          <w:sz w:val="21"/>
          <w:szCs w:val="21"/>
          <w:color w:val="auto"/>
        </w:rPr>
        <w:t xml:space="preserve">, (x) the sending of a Redemption Notice will constitute a Make-Whole Fundamental Change only with respect to the Notes called for Redemption pursuant to such Redemption Notice, and not with respect to any other Notes; and (y) the Conversion Rate applicable to the Notes not so called for Redemption will not be subject to increase pursuant to this </w:t>
      </w:r>
      <w:r>
        <w:rPr>
          <w:rFonts w:ascii="Arial" w:cs="Arial" w:eastAsia="Arial" w:hAnsi="Arial"/>
          <w:sz w:val="21"/>
          <w:szCs w:val="21"/>
          <w:b w:val="1"/>
          <w:bCs w:val="1"/>
          <w:color w:val="auto"/>
        </w:rPr>
        <w:t>Section 5.07</w:t>
      </w:r>
      <w:r>
        <w:rPr>
          <w:rFonts w:ascii="Arial" w:cs="Arial" w:eastAsia="Arial" w:hAnsi="Arial"/>
          <w:sz w:val="21"/>
          <w:szCs w:val="21"/>
          <w:color w:val="auto"/>
        </w:rPr>
        <w:t xml:space="preserve"> on account of such Redemption Notice.</w:t>
      </w:r>
    </w:p>
    <w:p>
      <w:pPr>
        <w:spacing w:after="0" w:line="119" w:lineRule="exact"/>
        <w:rPr>
          <w:sz w:val="20"/>
          <w:szCs w:val="20"/>
          <w:color w:val="auto"/>
        </w:rPr>
      </w:pPr>
    </w:p>
    <w:p>
      <w:pPr>
        <w:jc w:val="both"/>
        <w:ind w:firstLine="656"/>
        <w:spacing w:after="0" w:line="251" w:lineRule="auto"/>
        <w:tabs>
          <w:tab w:leader="none" w:pos="1129"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Adjustment of Stock Prices and Additional Shares</w:t>
      </w:r>
      <w:r>
        <w:rPr>
          <w:rFonts w:ascii="Arial" w:cs="Arial" w:eastAsia="Arial" w:hAnsi="Arial"/>
          <w:sz w:val="22"/>
          <w:szCs w:val="22"/>
          <w:color w:val="auto"/>
        </w:rPr>
        <w:t>. The Stock Prices in the first row (</w:t>
      </w:r>
      <w:r>
        <w:rPr>
          <w:rFonts w:ascii="Arial" w:cs="Arial" w:eastAsia="Arial" w:hAnsi="Arial"/>
          <w:sz w:val="22"/>
          <w:szCs w:val="22"/>
          <w:i w:val="1"/>
          <w:iCs w:val="1"/>
          <w:color w:val="auto"/>
        </w:rPr>
        <w:t>i.e.</w:t>
      </w:r>
      <w:r>
        <w:rPr>
          <w:rFonts w:ascii="Arial" w:cs="Arial" w:eastAsia="Arial" w:hAnsi="Arial"/>
          <w:sz w:val="22"/>
          <w:szCs w:val="22"/>
          <w:color w:val="auto"/>
        </w:rPr>
        <w:t>, the column headers)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table set forth in </w:t>
      </w:r>
      <w:r>
        <w:rPr>
          <w:rFonts w:ascii="Arial" w:cs="Arial" w:eastAsia="Arial" w:hAnsi="Arial"/>
          <w:sz w:val="22"/>
          <w:szCs w:val="22"/>
          <w:b w:val="1"/>
          <w:bCs w:val="1"/>
          <w:color w:val="auto"/>
        </w:rPr>
        <w:t>Section 5.07(A)</w:t>
      </w:r>
      <w:r>
        <w:rPr>
          <w:rFonts w:ascii="Arial" w:cs="Arial" w:eastAsia="Arial" w:hAnsi="Arial"/>
          <w:sz w:val="22"/>
          <w:szCs w:val="22"/>
          <w:color w:val="auto"/>
        </w:rPr>
        <w:t xml:space="preserve"> will be adjusted in the same manner as, and at the same time and for the same events for which, the Conversion Price is adjusted as a result of the operation of </w:t>
      </w:r>
      <w:r>
        <w:rPr>
          <w:rFonts w:ascii="Arial" w:cs="Arial" w:eastAsia="Arial" w:hAnsi="Arial"/>
          <w:sz w:val="22"/>
          <w:szCs w:val="22"/>
          <w:b w:val="1"/>
          <w:bCs w:val="1"/>
          <w:color w:val="auto"/>
        </w:rPr>
        <w:t>Section 5.05(A)</w:t>
      </w:r>
      <w:r>
        <w:rPr>
          <w:rFonts w:ascii="Arial" w:cs="Arial" w:eastAsia="Arial" w:hAnsi="Arial"/>
          <w:sz w:val="22"/>
          <w:szCs w:val="22"/>
          <w:color w:val="auto"/>
        </w:rPr>
        <w:t xml:space="preserve">. The numbers of Additional Shares in the table set forth in </w:t>
      </w:r>
      <w:r>
        <w:rPr>
          <w:rFonts w:ascii="Arial" w:cs="Arial" w:eastAsia="Arial" w:hAnsi="Arial"/>
          <w:sz w:val="22"/>
          <w:szCs w:val="22"/>
          <w:b w:val="1"/>
          <w:bCs w:val="1"/>
          <w:color w:val="auto"/>
        </w:rPr>
        <w:t>Section 5.07(A)</w:t>
      </w:r>
      <w:r>
        <w:rPr>
          <w:rFonts w:ascii="Arial" w:cs="Arial" w:eastAsia="Arial" w:hAnsi="Arial"/>
          <w:sz w:val="22"/>
          <w:szCs w:val="22"/>
          <w:color w:val="auto"/>
        </w:rPr>
        <w:t xml:space="preserve"> will be adjusted in the same manner as, and at the same time and for the same events for which, the Conversion Rate is adjusted pursuant to </w:t>
      </w:r>
      <w:r>
        <w:rPr>
          <w:rFonts w:ascii="Arial" w:cs="Arial" w:eastAsia="Arial" w:hAnsi="Arial"/>
          <w:sz w:val="22"/>
          <w:szCs w:val="22"/>
          <w:b w:val="1"/>
          <w:bCs w:val="1"/>
          <w:color w:val="auto"/>
        </w:rPr>
        <w:t>Section 5.05(A)</w:t>
      </w:r>
      <w:r>
        <w:rPr>
          <w:rFonts w:ascii="Arial" w:cs="Arial" w:eastAsia="Arial" w:hAnsi="Arial"/>
          <w:sz w:val="22"/>
          <w:szCs w:val="22"/>
          <w:color w:val="auto"/>
        </w:rPr>
        <w:t>.</w:t>
      </w:r>
    </w:p>
    <w:p>
      <w:pPr>
        <w:spacing w:after="0" w:line="135" w:lineRule="exact"/>
        <w:rPr>
          <w:rFonts w:ascii="Arial" w:cs="Arial" w:eastAsia="Arial" w:hAnsi="Arial"/>
          <w:sz w:val="22"/>
          <w:szCs w:val="22"/>
          <w:color w:val="auto"/>
        </w:rPr>
      </w:pPr>
    </w:p>
    <w:p>
      <w:pPr>
        <w:jc w:val="both"/>
        <w:ind w:firstLine="656"/>
        <w:spacing w:after="0" w:line="254" w:lineRule="auto"/>
        <w:tabs>
          <w:tab w:leader="none" w:pos="1116"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Notice of the Occurrence of a Make-Whole Fundamental Change</w:t>
      </w:r>
      <w:r>
        <w:rPr>
          <w:rFonts w:ascii="Arial" w:cs="Arial" w:eastAsia="Arial" w:hAnsi="Arial"/>
          <w:sz w:val="22"/>
          <w:szCs w:val="22"/>
          <w:color w:val="auto"/>
        </w:rPr>
        <w:t>. The Company will notify the Holders, the Trustee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and the Conversion Agent of each Make-Whole Fundamental Change occurring pursuant to </w:t>
      </w:r>
      <w:r>
        <w:rPr>
          <w:rFonts w:ascii="Arial" w:cs="Arial" w:eastAsia="Arial" w:hAnsi="Arial"/>
          <w:sz w:val="22"/>
          <w:szCs w:val="22"/>
          <w:b w:val="1"/>
          <w:bCs w:val="1"/>
          <w:color w:val="auto"/>
        </w:rPr>
        <w:t>clause (A)</w:t>
      </w:r>
      <w:r>
        <w:rPr>
          <w:rFonts w:ascii="Arial" w:cs="Arial" w:eastAsia="Arial" w:hAnsi="Arial"/>
          <w:sz w:val="22"/>
          <w:szCs w:val="22"/>
          <w:color w:val="auto"/>
        </w:rPr>
        <w:t xml:space="preserve"> of the definition thereof in accordance with </w:t>
      </w:r>
      <w:r>
        <w:rPr>
          <w:rFonts w:ascii="Arial" w:cs="Arial" w:eastAsia="Arial" w:hAnsi="Arial"/>
          <w:sz w:val="22"/>
          <w:szCs w:val="22"/>
          <w:b w:val="1"/>
          <w:bCs w:val="1"/>
          <w:color w:val="auto"/>
        </w:rPr>
        <w:t>Section 5.01(C)(i)(3)(b)</w:t>
      </w:r>
      <w:r>
        <w:rPr>
          <w:rFonts w:ascii="Arial" w:cs="Arial" w:eastAsia="Arial" w:hAnsi="Arial"/>
          <w:sz w:val="22"/>
          <w:szCs w:val="22"/>
          <w:color w:val="auto"/>
        </w:rPr>
        <w:t xml:space="preserve"> and occurring pursuant to </w:t>
      </w:r>
      <w:r>
        <w:rPr>
          <w:rFonts w:ascii="Arial" w:cs="Arial" w:eastAsia="Arial" w:hAnsi="Arial"/>
          <w:sz w:val="22"/>
          <w:szCs w:val="22"/>
          <w:b w:val="1"/>
          <w:bCs w:val="1"/>
          <w:color w:val="auto"/>
        </w:rPr>
        <w:t>clause (B)</w:t>
      </w:r>
      <w:r>
        <w:rPr>
          <w:rFonts w:ascii="Arial" w:cs="Arial" w:eastAsia="Arial" w:hAnsi="Arial"/>
          <w:sz w:val="22"/>
          <w:szCs w:val="22"/>
          <w:color w:val="auto"/>
        </w:rPr>
        <w:t xml:space="preserve"> of the definition thereof in accordance with </w:t>
      </w:r>
      <w:r>
        <w:rPr>
          <w:rFonts w:ascii="Arial" w:cs="Arial" w:eastAsia="Arial" w:hAnsi="Arial"/>
          <w:sz w:val="22"/>
          <w:szCs w:val="22"/>
          <w:b w:val="1"/>
          <w:bCs w:val="1"/>
          <w:color w:val="auto"/>
        </w:rPr>
        <w:t>Section 4.03</w:t>
      </w:r>
      <w:r>
        <w:rPr>
          <w:rFonts w:ascii="Arial" w:cs="Arial" w:eastAsia="Arial" w:hAnsi="Arial"/>
          <w:sz w:val="22"/>
          <w:szCs w:val="22"/>
          <w:color w:val="auto"/>
        </w:rPr>
        <w:t>, as applicable.</w:t>
      </w:r>
    </w:p>
    <w:p>
      <w:pPr>
        <w:spacing w:after="0" w:line="125"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5.08.</w:t>
        <w:tab/>
        <w:t>EXCHANGE IN LIEU OF CONVERSION.</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b w:val="1"/>
          <w:bCs w:val="1"/>
          <w:color w:val="auto"/>
        </w:rPr>
        <w:t>Article 5</w:t>
      </w:r>
      <w:r>
        <w:rPr>
          <w:rFonts w:ascii="Arial" w:cs="Arial" w:eastAsia="Arial" w:hAnsi="Arial"/>
          <w:sz w:val="21"/>
          <w:szCs w:val="21"/>
          <w:color w:val="auto"/>
        </w:rPr>
        <w:t xml:space="preserve">, and subject to the terms of this </w:t>
      </w:r>
      <w:r>
        <w:rPr>
          <w:rFonts w:ascii="Arial" w:cs="Arial" w:eastAsia="Arial" w:hAnsi="Arial"/>
          <w:sz w:val="21"/>
          <w:szCs w:val="21"/>
          <w:b w:val="1"/>
          <w:bCs w:val="1"/>
          <w:color w:val="auto"/>
        </w:rPr>
        <w:t>Section 5.08</w:t>
      </w:r>
      <w:r>
        <w:rPr>
          <w:rFonts w:ascii="Arial" w:cs="Arial" w:eastAsia="Arial" w:hAnsi="Arial"/>
          <w:sz w:val="21"/>
          <w:szCs w:val="21"/>
          <w:color w:val="auto"/>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348"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immediately following the Conversion Date for such Note. If the Company has made such election, then:</w:t>
      </w:r>
    </w:p>
    <w:p>
      <w:pPr>
        <w:spacing w:after="0" w:line="166" w:lineRule="exact"/>
        <w:rPr>
          <w:sz w:val="20"/>
          <w:szCs w:val="20"/>
          <w:color w:val="auto"/>
        </w:rPr>
      </w:pPr>
    </w:p>
    <w:p>
      <w:pPr>
        <w:jc w:val="both"/>
        <w:ind w:firstLine="656"/>
        <w:spacing w:after="0" w:line="251" w:lineRule="auto"/>
        <w:tabs>
          <w:tab w:leader="none" w:pos="1168"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Arial" w:cs="Arial" w:eastAsia="Arial" w:hAnsi="Arial"/>
          <w:sz w:val="22"/>
          <w:szCs w:val="22"/>
          <w:b w:val="1"/>
          <w:bCs w:val="1"/>
          <w:color w:val="auto"/>
        </w:rPr>
        <w:t>Article 5</w:t>
      </w:r>
      <w:r>
        <w:rPr>
          <w:rFonts w:ascii="Arial" w:cs="Arial" w:eastAsia="Arial" w:hAnsi="Arial"/>
          <w:sz w:val="22"/>
          <w:szCs w:val="22"/>
          <w:color w:val="auto"/>
        </w:rPr>
        <w:t>;</w:t>
      </w:r>
    </w:p>
    <w:p>
      <w:pPr>
        <w:spacing w:after="0" w:line="135" w:lineRule="exact"/>
        <w:rPr>
          <w:rFonts w:ascii="Arial" w:cs="Arial" w:eastAsia="Arial" w:hAnsi="Arial"/>
          <w:sz w:val="22"/>
          <w:szCs w:val="22"/>
          <w:color w:val="auto"/>
        </w:rPr>
      </w:pPr>
    </w:p>
    <w:p>
      <w:pPr>
        <w:jc w:val="both"/>
        <w:ind w:firstLine="656"/>
        <w:spacing w:after="0" w:line="270" w:lineRule="auto"/>
        <w:tabs>
          <w:tab w:leader="none" w:pos="1156" w:val="left"/>
        </w:tabs>
        <w:numPr>
          <w:ilvl w:val="0"/>
          <w:numId w:val="99"/>
        </w:numPr>
        <w:rPr>
          <w:rFonts w:ascii="Arial" w:cs="Arial" w:eastAsia="Arial" w:hAnsi="Arial"/>
          <w:sz w:val="21"/>
          <w:szCs w:val="21"/>
          <w:color w:val="auto"/>
        </w:rPr>
      </w:pPr>
      <w:r>
        <w:rPr>
          <w:rFonts w:ascii="Arial" w:cs="Arial" w:eastAsia="Arial" w:hAnsi="Arial"/>
          <w:sz w:val="21"/>
          <w:szCs w:val="21"/>
          <w:color w:val="auto"/>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spacing w:after="0" w:line="114" w:lineRule="exact"/>
        <w:rPr>
          <w:rFonts w:ascii="Arial" w:cs="Arial" w:eastAsia="Arial" w:hAnsi="Arial"/>
          <w:sz w:val="21"/>
          <w:szCs w:val="21"/>
          <w:color w:val="auto"/>
        </w:rPr>
      </w:pPr>
    </w:p>
    <w:p>
      <w:pPr>
        <w:ind w:left="1120" w:hanging="464"/>
        <w:spacing w:after="0"/>
        <w:tabs>
          <w:tab w:leader="none" w:pos="11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such Note will not cease to be outstanding by reason of such exchange in lieu of conversion;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if such financial institution does not accept such Note or fails to timely deliver such Conversion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Consideration, then the Company will be responsible for delivering such Conversion Consideration in the manner and at the time provided in this </w:t>
      </w:r>
      <w:r>
        <w:rPr>
          <w:rFonts w:ascii="Arial" w:cs="Arial" w:eastAsia="Arial" w:hAnsi="Arial"/>
          <w:sz w:val="21"/>
          <w:szCs w:val="21"/>
          <w:b w:val="1"/>
          <w:bCs w:val="1"/>
          <w:color w:val="auto"/>
        </w:rPr>
        <w:t>Article 5</w:t>
      </w:r>
      <w:r>
        <w:rPr>
          <w:rFonts w:ascii="Arial" w:cs="Arial" w:eastAsia="Arial" w:hAnsi="Arial"/>
          <w:sz w:val="21"/>
          <w:szCs w:val="21"/>
          <w:color w:val="auto"/>
        </w:rPr>
        <w:t xml:space="preserve"> as if the Company had not elected to make an exchange in lieu of conversion.</w:t>
      </w:r>
    </w:p>
    <w:p>
      <w:pPr>
        <w:spacing w:after="0" w:line="107"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5.09.</w:t>
      </w:r>
      <w:r>
        <w:rPr>
          <w:sz w:val="20"/>
          <w:szCs w:val="20"/>
          <w:color w:val="auto"/>
        </w:rPr>
        <w:tab/>
      </w:r>
      <w:r>
        <w:rPr>
          <w:rFonts w:ascii="Arial" w:cs="Arial" w:eastAsia="Arial" w:hAnsi="Arial"/>
          <w:sz w:val="21"/>
          <w:szCs w:val="21"/>
          <w:b w:val="1"/>
          <w:bCs w:val="1"/>
          <w:color w:val="auto"/>
        </w:rPr>
        <w:t>EFFECT OF COMMON STOCK CHANGE EVENT.</w:t>
      </w:r>
    </w:p>
    <w:p>
      <w:pPr>
        <w:spacing w:after="0" w:line="185" w:lineRule="exact"/>
        <w:rPr>
          <w:sz w:val="20"/>
          <w:szCs w:val="20"/>
          <w:color w:val="auto"/>
        </w:rPr>
      </w:pPr>
    </w:p>
    <w:p>
      <w:pPr>
        <w:ind w:left="1140" w:hanging="484"/>
        <w:spacing w:after="0"/>
        <w:tabs>
          <w:tab w:leader="none" w:pos="1140"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Generally</w:t>
      </w:r>
      <w:r>
        <w:rPr>
          <w:rFonts w:ascii="Arial" w:cs="Arial" w:eastAsia="Arial" w:hAnsi="Arial"/>
          <w:sz w:val="22"/>
          <w:szCs w:val="22"/>
          <w:color w:val="auto"/>
        </w:rPr>
        <w:t>. If there occurs any:</w:t>
      </w:r>
    </w:p>
    <w:p>
      <w:pPr>
        <w:spacing w:after="0" w:line="179" w:lineRule="exact"/>
        <w:rPr>
          <w:rFonts w:ascii="Arial" w:cs="Arial" w:eastAsia="Arial" w:hAnsi="Arial"/>
          <w:sz w:val="22"/>
          <w:szCs w:val="22"/>
          <w:color w:val="auto"/>
        </w:rPr>
      </w:pPr>
    </w:p>
    <w:p>
      <w:pPr>
        <w:jc w:val="both"/>
        <w:ind w:left="660" w:firstLine="644"/>
        <w:spacing w:after="0" w:line="254" w:lineRule="auto"/>
        <w:tabs>
          <w:tab w:leader="none" w:pos="169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30" w:lineRule="exact"/>
        <w:rPr>
          <w:rFonts w:ascii="Arial" w:cs="Arial" w:eastAsia="Arial" w:hAnsi="Arial"/>
          <w:sz w:val="22"/>
          <w:szCs w:val="22"/>
          <w:color w:val="auto"/>
        </w:rPr>
      </w:pPr>
    </w:p>
    <w:p>
      <w:pPr>
        <w:ind w:left="1740" w:hanging="436"/>
        <w:spacing w:after="0"/>
        <w:tabs>
          <w:tab w:leader="none" w:pos="1740" w:val="left"/>
        </w:tabs>
        <w:numPr>
          <w:ilvl w:val="1"/>
          <w:numId w:val="100"/>
        </w:numPr>
        <w:rPr>
          <w:rFonts w:ascii="Arial" w:cs="Arial" w:eastAsia="Arial" w:hAnsi="Arial"/>
          <w:sz w:val="21"/>
          <w:szCs w:val="21"/>
          <w:color w:val="auto"/>
        </w:rPr>
      </w:pPr>
      <w:r>
        <w:rPr>
          <w:rFonts w:ascii="Arial" w:cs="Arial" w:eastAsia="Arial" w:hAnsi="Arial"/>
          <w:sz w:val="21"/>
          <w:szCs w:val="21"/>
          <w:color w:val="auto"/>
        </w:rPr>
        <w:t>consolidation, merger, combination or binding or statutory share exchange involving the Company;</w:t>
      </w:r>
    </w:p>
    <w:p>
      <w:pPr>
        <w:spacing w:after="0" w:line="190" w:lineRule="exact"/>
        <w:rPr>
          <w:rFonts w:ascii="Arial" w:cs="Arial" w:eastAsia="Arial" w:hAnsi="Arial"/>
          <w:sz w:val="21"/>
          <w:szCs w:val="21"/>
          <w:color w:val="auto"/>
        </w:rPr>
      </w:pPr>
    </w:p>
    <w:p>
      <w:pPr>
        <w:ind w:left="660" w:right="20" w:firstLine="644"/>
        <w:spacing w:after="0" w:line="276" w:lineRule="auto"/>
        <w:tabs>
          <w:tab w:leader="none" w:pos="1825" w:val="left"/>
        </w:tabs>
        <w:numPr>
          <w:ilvl w:val="1"/>
          <w:numId w:val="100"/>
        </w:numPr>
        <w:rPr>
          <w:rFonts w:ascii="Arial" w:cs="Arial" w:eastAsia="Arial" w:hAnsi="Arial"/>
          <w:sz w:val="22"/>
          <w:szCs w:val="22"/>
          <w:color w:val="auto"/>
        </w:rPr>
      </w:pPr>
      <w:r>
        <w:rPr>
          <w:rFonts w:ascii="Arial" w:cs="Arial" w:eastAsia="Arial" w:hAnsi="Arial"/>
          <w:sz w:val="22"/>
          <w:szCs w:val="22"/>
          <w:color w:val="auto"/>
        </w:rPr>
        <w:t>sale, lease or other transfer of all or substantially all of the assets of the Company and its Subsidiaries, taken as a whole, to any Person; or</w:t>
      </w:r>
    </w:p>
    <w:p>
      <w:pPr>
        <w:spacing w:after="0" w:line="106" w:lineRule="exact"/>
        <w:rPr>
          <w:rFonts w:ascii="Arial" w:cs="Arial" w:eastAsia="Arial" w:hAnsi="Arial"/>
          <w:sz w:val="22"/>
          <w:szCs w:val="22"/>
          <w:color w:val="auto"/>
        </w:rPr>
      </w:pPr>
    </w:p>
    <w:p>
      <w:pPr>
        <w:ind w:left="1800" w:hanging="496"/>
        <w:spacing w:after="0"/>
        <w:tabs>
          <w:tab w:leader="none" w:pos="180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other similar event,</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and, as a result of which, the Common Stock is converted into, or is exchanged for, or represents solely the right to receive, stock, other securities, cash or other property or assets, or any combination of the foregoing (such an event, a “</w:t>
      </w:r>
      <w:r>
        <w:rPr>
          <w:rFonts w:ascii="Arial" w:cs="Arial" w:eastAsia="Arial" w:hAnsi="Arial"/>
          <w:sz w:val="21"/>
          <w:szCs w:val="21"/>
          <w:b w:val="1"/>
          <w:bCs w:val="1"/>
          <w:color w:val="auto"/>
        </w:rPr>
        <w:t>Common Stock Change</w:t>
      </w:r>
      <w:r>
        <w:rPr>
          <w:rFonts w:ascii="Arial" w:cs="Arial" w:eastAsia="Arial" w:hAnsi="Arial"/>
          <w:sz w:val="21"/>
          <w:szCs w:val="21"/>
          <w:color w:val="auto"/>
        </w:rPr>
        <w:t xml:space="preserve"> </w:t>
      </w:r>
      <w:r>
        <w:rPr>
          <w:rFonts w:ascii="Arial" w:cs="Arial" w:eastAsia="Arial" w:hAnsi="Arial"/>
          <w:sz w:val="21"/>
          <w:szCs w:val="21"/>
          <w:b w:val="1"/>
          <w:bCs w:val="1"/>
          <w:color w:val="auto"/>
        </w:rPr>
        <w:t>Event</w:t>
      </w:r>
      <w:r>
        <w:rPr>
          <w:rFonts w:ascii="Arial" w:cs="Arial" w:eastAsia="Arial" w:hAnsi="Arial"/>
          <w:sz w:val="21"/>
          <w:szCs w:val="21"/>
          <w:color w:val="auto"/>
        </w:rPr>
        <w:t>,” and such other stock, securities, cash, property or assets, the “</w:t>
      </w:r>
      <w:r>
        <w:rPr>
          <w:rFonts w:ascii="Arial" w:cs="Arial" w:eastAsia="Arial" w:hAnsi="Arial"/>
          <w:sz w:val="21"/>
          <w:szCs w:val="21"/>
          <w:b w:val="1"/>
          <w:bCs w:val="1"/>
          <w:color w:val="auto"/>
        </w:rPr>
        <w:t>Reference Property</w:t>
      </w:r>
      <w:r>
        <w:rPr>
          <w:rFonts w:ascii="Arial" w:cs="Arial" w:eastAsia="Arial" w:hAnsi="Arial"/>
          <w:sz w:val="21"/>
          <w:szCs w:val="21"/>
          <w:color w:val="auto"/>
        </w:rPr>
        <w:t>,” and the amount and kind of</w:t>
      </w:r>
      <w:r>
        <w:rPr>
          <w:rFonts w:ascii="Arial" w:cs="Arial" w:eastAsia="Arial" w:hAnsi="Arial"/>
          <w:sz w:val="21"/>
          <w:szCs w:val="21"/>
          <w:b w:val="1"/>
          <w:bCs w:val="1"/>
          <w:color w:val="auto"/>
        </w:rPr>
        <w:t xml:space="preserve"> </w:t>
      </w:r>
      <w:r>
        <w:rPr>
          <w:rFonts w:ascii="Arial" w:cs="Arial" w:eastAsia="Arial" w:hAnsi="Arial"/>
          <w:sz w:val="21"/>
          <w:szCs w:val="21"/>
          <w:color w:val="auto"/>
        </w:rPr>
        <w:t>Reference Property that a holder of one (1) share of Common Stock would be entitled to receive on account of such Common Stock Change Event (without giving effect to any arrangement not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348" w:right="339" w:bottom="1440" w:gutter="0" w:footer="0" w:header="0"/>
        </w:sectPr>
      </w:pPr>
    </w:p>
    <w:bookmarkStart w:id="69" w:name="page70"/>
    <w:bookmarkEnd w:id="69"/>
    <w:p>
      <w:pPr>
        <w:spacing w:after="0" w:line="269" w:lineRule="auto"/>
        <w:rPr>
          <w:sz w:val="20"/>
          <w:szCs w:val="20"/>
          <w:color w:val="auto"/>
        </w:rPr>
      </w:pPr>
      <w:r>
        <w:rPr>
          <w:rFonts w:ascii="Arial" w:cs="Arial" w:eastAsia="Arial" w:hAnsi="Arial"/>
          <w:sz w:val="22"/>
          <w:szCs w:val="22"/>
          <w:color w:val="auto"/>
        </w:rPr>
        <w:t>to issue or deliver a fractional portion of any security or other property), a “</w:t>
      </w:r>
      <w:r>
        <w:rPr>
          <w:rFonts w:ascii="Arial" w:cs="Arial" w:eastAsia="Arial" w:hAnsi="Arial"/>
          <w:sz w:val="22"/>
          <w:szCs w:val="22"/>
          <w:b w:val="1"/>
          <w:bCs w:val="1"/>
          <w:color w:val="auto"/>
        </w:rPr>
        <w:t>Reference Property Unit</w:t>
      </w:r>
      <w:r>
        <w:rPr>
          <w:rFonts w:ascii="Arial" w:cs="Arial" w:eastAsia="Arial" w:hAnsi="Arial"/>
          <w:sz w:val="22"/>
          <w:szCs w:val="22"/>
          <w:color w:val="auto"/>
        </w:rPr>
        <w:t>”), then, notwithstanding anything to the contrary in this Indenture or the Notes,</w:t>
      </w:r>
    </w:p>
    <w:p>
      <w:pPr>
        <w:spacing w:after="0" w:line="114" w:lineRule="exact"/>
        <w:rPr>
          <w:sz w:val="20"/>
          <w:szCs w:val="20"/>
          <w:color w:val="auto"/>
        </w:rPr>
      </w:pPr>
    </w:p>
    <w:p>
      <w:pPr>
        <w:jc w:val="both"/>
        <w:ind w:left="660" w:firstLine="644"/>
        <w:spacing w:after="0" w:line="259" w:lineRule="auto"/>
        <w:tabs>
          <w:tab w:leader="none" w:pos="185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Arial" w:cs="Arial" w:eastAsia="Arial" w:hAnsi="Arial"/>
          <w:sz w:val="21"/>
          <w:szCs w:val="21"/>
          <w:b w:val="1"/>
          <w:bCs w:val="1"/>
          <w:color w:val="auto"/>
        </w:rPr>
        <w:t>Article 5</w:t>
      </w:r>
      <w:r>
        <w:rPr>
          <w:rFonts w:ascii="Arial" w:cs="Arial" w:eastAsia="Arial" w:hAnsi="Arial"/>
          <w:sz w:val="21"/>
          <w:szCs w:val="21"/>
          <w:color w:val="auto"/>
        </w:rPr>
        <w:t xml:space="preserve"> (or in any related definitions) were instead a reference to the same number of Reference Property Units; (II) for purposes of </w:t>
      </w:r>
      <w:r>
        <w:rPr>
          <w:rFonts w:ascii="Arial" w:cs="Arial" w:eastAsia="Arial" w:hAnsi="Arial"/>
          <w:sz w:val="21"/>
          <w:szCs w:val="21"/>
          <w:b w:val="1"/>
          <w:bCs w:val="1"/>
          <w:color w:val="auto"/>
        </w:rPr>
        <w:t>Section 4.03</w:t>
      </w:r>
      <w:r>
        <w:rPr>
          <w:rFonts w:ascii="Arial" w:cs="Arial" w:eastAsia="Arial" w:hAnsi="Arial"/>
          <w:sz w:val="21"/>
          <w:szCs w:val="21"/>
          <w:color w:val="auto"/>
        </w:rPr>
        <w:t>, each reference to any number of shares of Common Stock in such Section (or in any related definitions) will instead be deemed to be a reference to the same number of Reference Property Units; and (III) for purposes of the definition of “Fundamental Change” and “Make-Whole Fundamental Change,” the terms “Common Stock” and “common equity” will be deemed to mean the common equity (including depositary receipts representing common equity), if any, forming part of such Reference Property;</w:t>
      </w:r>
    </w:p>
    <w:p>
      <w:pPr>
        <w:spacing w:after="0" w:line="125" w:lineRule="exact"/>
        <w:rPr>
          <w:rFonts w:ascii="Arial" w:cs="Arial" w:eastAsia="Arial" w:hAnsi="Arial"/>
          <w:sz w:val="21"/>
          <w:szCs w:val="21"/>
          <w:color w:val="auto"/>
        </w:rPr>
      </w:pPr>
    </w:p>
    <w:p>
      <w:pPr>
        <w:jc w:val="both"/>
        <w:ind w:left="660" w:firstLine="644"/>
        <w:spacing w:after="0" w:line="250" w:lineRule="auto"/>
        <w:tabs>
          <w:tab w:leader="none" w:pos="178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if such Reference Property Unit consists entirely of cash, then the Company will be deemed to elect Physical Settlement in respect of all conversions whose Conversion Date occurs on or after the effective date of such Common Stock Change Event and will pay the cash due upon such conversions no later than the second (2nd) Business Day after the relevant Conversion Date; and</w:t>
      </w:r>
    </w:p>
    <w:p>
      <w:pPr>
        <w:spacing w:after="0" w:line="133" w:lineRule="exact"/>
        <w:rPr>
          <w:rFonts w:ascii="Arial" w:cs="Arial" w:eastAsia="Arial" w:hAnsi="Arial"/>
          <w:sz w:val="22"/>
          <w:szCs w:val="22"/>
          <w:color w:val="auto"/>
        </w:rPr>
      </w:pPr>
    </w:p>
    <w:p>
      <w:pPr>
        <w:jc w:val="both"/>
        <w:ind w:left="660" w:firstLine="644"/>
        <w:spacing w:after="0" w:line="292" w:lineRule="auto"/>
        <w:tabs>
          <w:tab w:leader="none" w:pos="1813" w:val="left"/>
        </w:tabs>
        <w:numPr>
          <w:ilvl w:val="0"/>
          <w:numId w:val="101"/>
        </w:numPr>
        <w:rPr>
          <w:rFonts w:ascii="Arial" w:cs="Arial" w:eastAsia="Arial" w:hAnsi="Arial"/>
          <w:sz w:val="19"/>
          <w:szCs w:val="19"/>
          <w:color w:val="auto"/>
        </w:rPr>
      </w:pPr>
      <w:r>
        <w:rPr>
          <w:rFonts w:ascii="Arial" w:cs="Arial" w:eastAsia="Arial" w:hAnsi="Arial"/>
          <w:sz w:val="19"/>
          <w:szCs w:val="19"/>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of such weighted average as soon as practicable after such determination is made.</w:t>
      </w:r>
    </w:p>
    <w:p>
      <w:pPr>
        <w:spacing w:after="0" w:line="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At or before the effective time of such Common Stock Change Event, the Company or the resulting, surviving or transferee Person (if not the Company) of such Common Stock Change Event (the “</w:t>
      </w:r>
      <w:r>
        <w:rPr>
          <w:rFonts w:ascii="Arial" w:cs="Arial" w:eastAsia="Arial" w:hAnsi="Arial"/>
          <w:sz w:val="19"/>
          <w:szCs w:val="19"/>
          <w:b w:val="1"/>
          <w:bCs w:val="1"/>
          <w:color w:val="auto"/>
        </w:rPr>
        <w:t>Successor Person</w:t>
      </w:r>
      <w:r>
        <w:rPr>
          <w:rFonts w:ascii="Arial" w:cs="Arial" w:eastAsia="Arial" w:hAnsi="Arial"/>
          <w:sz w:val="19"/>
          <w:szCs w:val="19"/>
          <w:color w:val="auto"/>
        </w:rPr>
        <w:t xml:space="preserve">”), as the case may be, will execute and deliver to the Trustee a supplemental indenture pursuant to </w:t>
      </w:r>
      <w:r>
        <w:rPr>
          <w:rFonts w:ascii="Arial" w:cs="Arial" w:eastAsia="Arial" w:hAnsi="Arial"/>
          <w:sz w:val="19"/>
          <w:szCs w:val="19"/>
          <w:b w:val="1"/>
          <w:bCs w:val="1"/>
          <w:color w:val="auto"/>
        </w:rPr>
        <w:t>Section 8.01(F)</w:t>
      </w:r>
      <w:r>
        <w:rPr>
          <w:rFonts w:ascii="Arial" w:cs="Arial" w:eastAsia="Arial" w:hAnsi="Arial"/>
          <w:sz w:val="19"/>
          <w:szCs w:val="19"/>
          <w:color w:val="auto"/>
        </w:rPr>
        <w:t xml:space="preserve">, which supplemental indenture will (x) provide for subsequent conversions of Notes in the manner set forth in this </w:t>
      </w:r>
      <w:r>
        <w:rPr>
          <w:rFonts w:ascii="Arial" w:cs="Arial" w:eastAsia="Arial" w:hAnsi="Arial"/>
          <w:sz w:val="19"/>
          <w:szCs w:val="19"/>
          <w:b w:val="1"/>
          <w:bCs w:val="1"/>
          <w:color w:val="auto"/>
        </w:rPr>
        <w:t>Section 5.09</w:t>
      </w:r>
      <w:r>
        <w:rPr>
          <w:rFonts w:ascii="Arial" w:cs="Arial" w:eastAsia="Arial" w:hAnsi="Arial"/>
          <w:sz w:val="19"/>
          <w:szCs w:val="19"/>
          <w:color w:val="auto"/>
        </w:rPr>
        <w:t xml:space="preserve">; (y) provide for subsequent adjustments to the Conversion Rate pursuant to </w:t>
      </w:r>
      <w:r>
        <w:rPr>
          <w:rFonts w:ascii="Arial" w:cs="Arial" w:eastAsia="Arial" w:hAnsi="Arial"/>
          <w:sz w:val="19"/>
          <w:szCs w:val="19"/>
          <w:b w:val="1"/>
          <w:bCs w:val="1"/>
          <w:color w:val="auto"/>
        </w:rPr>
        <w:t>Section 5.05(A)</w:t>
      </w:r>
      <w:r>
        <w:rPr>
          <w:rFonts w:ascii="Arial" w:cs="Arial" w:eastAsia="Arial" w:hAnsi="Arial"/>
          <w:sz w:val="19"/>
          <w:szCs w:val="19"/>
          <w:color w:val="auto"/>
        </w:rPr>
        <w:t xml:space="preserve"> in a manner consistent with this </w:t>
      </w:r>
      <w:r>
        <w:rPr>
          <w:rFonts w:ascii="Arial" w:cs="Arial" w:eastAsia="Arial" w:hAnsi="Arial"/>
          <w:sz w:val="19"/>
          <w:szCs w:val="19"/>
          <w:b w:val="1"/>
          <w:bCs w:val="1"/>
          <w:color w:val="auto"/>
        </w:rPr>
        <w:t>Section 5.09</w:t>
      </w:r>
      <w:r>
        <w:rPr>
          <w:rFonts w:ascii="Arial" w:cs="Arial" w:eastAsia="Arial" w:hAnsi="Arial"/>
          <w:sz w:val="19"/>
          <w:szCs w:val="19"/>
          <w:color w:val="auto"/>
        </w:rPr>
        <w:t>; and (z) contain such other provisions, if any, that the Company reasonably determines are appropriate to preserve the economic interests of the Holders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342" w:right="339" w:bottom="1440" w:gutter="0" w:footer="0" w:header="0"/>
        </w:sectPr>
      </w:pPr>
    </w:p>
    <w:bookmarkStart w:id="70" w:name="page71"/>
    <w:bookmarkEnd w:id="70"/>
    <w:p>
      <w:pPr>
        <w:jc w:val="both"/>
        <w:spacing w:after="0" w:line="264" w:lineRule="auto"/>
        <w:rPr>
          <w:sz w:val="20"/>
          <w:szCs w:val="20"/>
          <w:color w:val="auto"/>
        </w:rPr>
      </w:pPr>
      <w:r>
        <w:rPr>
          <w:rFonts w:ascii="Arial" w:cs="Arial" w:eastAsia="Arial" w:hAnsi="Arial"/>
          <w:sz w:val="21"/>
          <w:szCs w:val="21"/>
          <w:color w:val="auto"/>
        </w:rPr>
        <w:t xml:space="preserve">and to give effect to the provisions of this </w:t>
      </w:r>
      <w:r>
        <w:rPr>
          <w:rFonts w:ascii="Arial" w:cs="Arial" w:eastAsia="Arial" w:hAnsi="Arial"/>
          <w:sz w:val="21"/>
          <w:szCs w:val="21"/>
          <w:b w:val="1"/>
          <w:bCs w:val="1"/>
          <w:color w:val="auto"/>
        </w:rPr>
        <w:t>Section 5.09(A),</w:t>
      </w:r>
      <w:r>
        <w:rPr>
          <w:rFonts w:ascii="Arial" w:cs="Arial" w:eastAsia="Arial" w:hAnsi="Arial"/>
          <w:sz w:val="21"/>
          <w:szCs w:val="21"/>
          <w:color w:val="auto"/>
        </w:rPr>
        <w:t xml:space="preserve"> which supplemental indenture shall not require the consent of the Holders. If the Reference Property includes shares of stock or other securities or other property or assets of a Person other than the Company or the Successor Person, then such other Person will also execute such supplemental indenture pursuant to the terms of this Indenture and such supplemental indenture will contain such additional provisions, if any, that the Company reasonably determines are appropriate to preserve the economic interests of the Holders.</w:t>
      </w:r>
    </w:p>
    <w:p>
      <w:pPr>
        <w:spacing w:after="0" w:line="122" w:lineRule="exact"/>
        <w:rPr>
          <w:sz w:val="20"/>
          <w:szCs w:val="20"/>
          <w:color w:val="auto"/>
        </w:rPr>
      </w:pPr>
    </w:p>
    <w:p>
      <w:pPr>
        <w:ind w:firstLine="656"/>
        <w:spacing w:after="0" w:line="276" w:lineRule="auto"/>
        <w:tabs>
          <w:tab w:leader="none" w:pos="1116" w:val="left"/>
        </w:tabs>
        <w:numPr>
          <w:ilvl w:val="0"/>
          <w:numId w:val="102"/>
        </w:numPr>
        <w:rPr>
          <w:rFonts w:ascii="Arial" w:cs="Arial" w:eastAsia="Arial" w:hAnsi="Arial"/>
          <w:sz w:val="22"/>
          <w:szCs w:val="22"/>
          <w:color w:val="auto"/>
        </w:rPr>
      </w:pPr>
      <w:r>
        <w:rPr>
          <w:rFonts w:ascii="Arial" w:cs="Arial" w:eastAsia="Arial" w:hAnsi="Arial"/>
          <w:sz w:val="22"/>
          <w:szCs w:val="22"/>
          <w:i w:val="1"/>
          <w:iCs w:val="1"/>
          <w:color w:val="auto"/>
        </w:rPr>
        <w:t>Notice of Common Stock Change Events</w:t>
      </w:r>
      <w:r>
        <w:rPr>
          <w:rFonts w:ascii="Arial" w:cs="Arial" w:eastAsia="Arial" w:hAnsi="Arial"/>
          <w:sz w:val="22"/>
          <w:szCs w:val="22"/>
          <w:color w:val="auto"/>
        </w:rPr>
        <w:t>. The Company will provide notice of each Common Stock Change Event in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manner provided in </w:t>
      </w:r>
      <w:r>
        <w:rPr>
          <w:rFonts w:ascii="Arial" w:cs="Arial" w:eastAsia="Arial" w:hAnsi="Arial"/>
          <w:sz w:val="22"/>
          <w:szCs w:val="22"/>
          <w:b w:val="1"/>
          <w:bCs w:val="1"/>
          <w:color w:val="auto"/>
        </w:rPr>
        <w:t>Section 5.01(C)(i)(3)(b)</w:t>
      </w:r>
      <w:r>
        <w:rPr>
          <w:rFonts w:ascii="Arial" w:cs="Arial" w:eastAsia="Arial" w:hAnsi="Arial"/>
          <w:sz w:val="22"/>
          <w:szCs w:val="22"/>
          <w:color w:val="auto"/>
        </w:rPr>
        <w:t>.</w:t>
      </w:r>
    </w:p>
    <w:p>
      <w:pPr>
        <w:spacing w:after="0" w:line="106" w:lineRule="exact"/>
        <w:rPr>
          <w:rFonts w:ascii="Arial" w:cs="Arial" w:eastAsia="Arial" w:hAnsi="Arial"/>
          <w:sz w:val="22"/>
          <w:szCs w:val="22"/>
          <w:color w:val="auto"/>
        </w:rPr>
      </w:pPr>
    </w:p>
    <w:p>
      <w:pPr>
        <w:ind w:firstLine="656"/>
        <w:spacing w:after="0" w:line="276" w:lineRule="auto"/>
        <w:tabs>
          <w:tab w:leader="none" w:pos="1129" w:val="left"/>
        </w:tabs>
        <w:numPr>
          <w:ilvl w:val="0"/>
          <w:numId w:val="102"/>
        </w:numPr>
        <w:rPr>
          <w:rFonts w:ascii="Arial" w:cs="Arial" w:eastAsia="Arial" w:hAnsi="Arial"/>
          <w:sz w:val="22"/>
          <w:szCs w:val="22"/>
          <w:color w:val="auto"/>
        </w:rPr>
      </w:pPr>
      <w:r>
        <w:rPr>
          <w:rFonts w:ascii="Arial" w:cs="Arial" w:eastAsia="Arial" w:hAnsi="Arial"/>
          <w:sz w:val="22"/>
          <w:szCs w:val="22"/>
          <w:i w:val="1"/>
          <w:iCs w:val="1"/>
          <w:color w:val="auto"/>
        </w:rPr>
        <w:t>Compliance Covenant</w:t>
      </w:r>
      <w:r>
        <w:rPr>
          <w:rFonts w:ascii="Arial" w:cs="Arial" w:eastAsia="Arial" w:hAnsi="Arial"/>
          <w:sz w:val="22"/>
          <w:szCs w:val="22"/>
          <w:color w:val="auto"/>
        </w:rPr>
        <w:t>. The Company will not become a party to any Common Stock Change Event unless its terms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are consistent with this </w:t>
      </w:r>
      <w:r>
        <w:rPr>
          <w:rFonts w:ascii="Arial" w:cs="Arial" w:eastAsia="Arial" w:hAnsi="Arial"/>
          <w:sz w:val="22"/>
          <w:szCs w:val="22"/>
          <w:b w:val="1"/>
          <w:bCs w:val="1"/>
          <w:color w:val="auto"/>
        </w:rPr>
        <w:t>Section 5.09</w:t>
      </w:r>
      <w:r>
        <w:rPr>
          <w:rFonts w:ascii="Arial" w:cs="Arial" w:eastAsia="Arial" w:hAnsi="Arial"/>
          <w:sz w:val="22"/>
          <w:szCs w:val="22"/>
          <w:color w:val="auto"/>
        </w:rPr>
        <w:t>.</w:t>
      </w:r>
    </w:p>
    <w:p>
      <w:pPr>
        <w:spacing w:after="0" w:line="101" w:lineRule="exact"/>
        <w:rPr>
          <w:sz w:val="20"/>
          <w:szCs w:val="20"/>
          <w:color w:val="auto"/>
        </w:rPr>
      </w:pPr>
    </w:p>
    <w:p>
      <w:pPr>
        <w:ind w:left="4400"/>
        <w:spacing w:after="0"/>
        <w:tabs>
          <w:tab w:leader="none" w:pos="542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19"/>
          <w:szCs w:val="19"/>
          <w:b w:val="1"/>
          <w:bCs w:val="1"/>
          <w:color w:val="auto"/>
        </w:rPr>
        <w:t>SUCCESSORS</w:t>
      </w:r>
    </w:p>
    <w:p>
      <w:pPr>
        <w:spacing w:after="0" w:line="17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6.01.</w:t>
      </w:r>
      <w:r>
        <w:rPr>
          <w:sz w:val="20"/>
          <w:szCs w:val="20"/>
          <w:color w:val="auto"/>
        </w:rPr>
        <w:tab/>
      </w:r>
      <w:r>
        <w:rPr>
          <w:rFonts w:ascii="Arial" w:cs="Arial" w:eastAsia="Arial" w:hAnsi="Arial"/>
          <w:sz w:val="21"/>
          <w:szCs w:val="21"/>
          <w:b w:val="1"/>
          <w:bCs w:val="1"/>
          <w:color w:val="auto"/>
        </w:rPr>
        <w:t>WHEN THE COMPANY MAY MERGE, ETC.</w:t>
      </w:r>
    </w:p>
    <w:p>
      <w:pPr>
        <w:spacing w:after="0" w:line="185" w:lineRule="exact"/>
        <w:rPr>
          <w:sz w:val="20"/>
          <w:szCs w:val="20"/>
          <w:color w:val="auto"/>
        </w:rPr>
      </w:pPr>
    </w:p>
    <w:p>
      <w:pPr>
        <w:jc w:val="both"/>
        <w:ind w:firstLine="656"/>
        <w:spacing w:after="0" w:line="307" w:lineRule="auto"/>
        <w:tabs>
          <w:tab w:leader="none" w:pos="1182" w:val="left"/>
        </w:tabs>
        <w:numPr>
          <w:ilvl w:val="0"/>
          <w:numId w:val="103"/>
        </w:numPr>
        <w:rPr>
          <w:rFonts w:ascii="Arial" w:cs="Arial" w:eastAsia="Arial" w:hAnsi="Arial"/>
          <w:sz w:val="19"/>
          <w:szCs w:val="19"/>
          <w:color w:val="auto"/>
        </w:rPr>
      </w:pPr>
      <w:r>
        <w:rPr>
          <w:rFonts w:ascii="Arial" w:cs="Arial" w:eastAsia="Arial" w:hAnsi="Arial"/>
          <w:sz w:val="19"/>
          <w:szCs w:val="19"/>
          <w:i w:val="1"/>
          <w:iCs w:val="1"/>
          <w:color w:val="auto"/>
        </w:rPr>
        <w:t>Generally</w:t>
      </w:r>
      <w:r>
        <w:rPr>
          <w:rFonts w:ascii="Arial" w:cs="Arial" w:eastAsia="Arial" w:hAnsi="Arial"/>
          <w:sz w:val="19"/>
          <w:szCs w:val="19"/>
          <w:color w:val="auto"/>
        </w:rPr>
        <w:t>. The Company will not consolidate with or merge with or into, or (directly or indirectly through one or</w:t>
      </w:r>
      <w:r>
        <w:rPr>
          <w:rFonts w:ascii="Arial" w:cs="Arial" w:eastAsia="Arial" w:hAnsi="Arial"/>
          <w:sz w:val="19"/>
          <w:szCs w:val="19"/>
          <w:i w:val="1"/>
          <w:iCs w:val="1"/>
          <w:color w:val="auto"/>
        </w:rPr>
        <w:t xml:space="preserve"> </w:t>
      </w:r>
      <w:r>
        <w:rPr>
          <w:rFonts w:ascii="Arial" w:cs="Arial" w:eastAsia="Arial" w:hAnsi="Arial"/>
          <w:sz w:val="19"/>
          <w:szCs w:val="19"/>
          <w:color w:val="auto"/>
        </w:rPr>
        <w:t>more of its Subsidiaries) sell, lease or otherwise transfer, in one transaction or a series of transactions, all or substantially all of the assets of the Company and its Subsidiaries, taken as a whole, to another Person (other than to one or more of the Company’s direct or indirect Wholly Owned Subsidiaries) (a “</w:t>
      </w:r>
      <w:r>
        <w:rPr>
          <w:rFonts w:ascii="Arial" w:cs="Arial" w:eastAsia="Arial" w:hAnsi="Arial"/>
          <w:sz w:val="19"/>
          <w:szCs w:val="19"/>
          <w:b w:val="1"/>
          <w:bCs w:val="1"/>
          <w:color w:val="auto"/>
        </w:rPr>
        <w:t>Business Combination Event</w:t>
      </w:r>
      <w:r>
        <w:rPr>
          <w:rFonts w:ascii="Arial" w:cs="Arial" w:eastAsia="Arial" w:hAnsi="Arial"/>
          <w:sz w:val="19"/>
          <w:szCs w:val="19"/>
          <w:color w:val="auto"/>
        </w:rPr>
        <w:t>”), unless:</w:t>
      </w:r>
    </w:p>
    <w:p>
      <w:pPr>
        <w:spacing w:after="0" w:line="83" w:lineRule="exact"/>
        <w:rPr>
          <w:rFonts w:ascii="Arial" w:cs="Arial" w:eastAsia="Arial" w:hAnsi="Arial"/>
          <w:sz w:val="19"/>
          <w:szCs w:val="19"/>
          <w:color w:val="auto"/>
        </w:rPr>
      </w:pPr>
    </w:p>
    <w:p>
      <w:pPr>
        <w:jc w:val="both"/>
        <w:ind w:left="660" w:firstLine="644"/>
        <w:spacing w:after="0" w:line="266" w:lineRule="auto"/>
        <w:tabs>
          <w:tab w:leader="none" w:pos="1840" w:val="left"/>
        </w:tabs>
        <w:numPr>
          <w:ilvl w:val="1"/>
          <w:numId w:val="103"/>
        </w:numPr>
        <w:rPr>
          <w:rFonts w:ascii="Arial" w:cs="Arial" w:eastAsia="Arial" w:hAnsi="Arial"/>
          <w:sz w:val="21"/>
          <w:szCs w:val="21"/>
          <w:color w:val="auto"/>
        </w:rPr>
      </w:pPr>
      <w:r>
        <w:rPr>
          <w:rFonts w:ascii="Arial" w:cs="Arial" w:eastAsia="Arial" w:hAnsi="Arial"/>
          <w:sz w:val="21"/>
          <w:szCs w:val="21"/>
          <w:color w:val="auto"/>
        </w:rPr>
        <w:t>the resulting, surviving or transferee Person either (x) is the Company or (y) if not the Company, is a corporation (the “</w:t>
      </w:r>
      <w:r>
        <w:rPr>
          <w:rFonts w:ascii="Arial" w:cs="Arial" w:eastAsia="Arial" w:hAnsi="Arial"/>
          <w:sz w:val="21"/>
          <w:szCs w:val="21"/>
          <w:b w:val="1"/>
          <w:bCs w:val="1"/>
          <w:color w:val="auto"/>
        </w:rPr>
        <w:t>Successor Corporation</w:t>
      </w:r>
      <w:r>
        <w:rPr>
          <w:rFonts w:ascii="Arial" w:cs="Arial" w:eastAsia="Arial" w:hAnsi="Arial"/>
          <w:sz w:val="21"/>
          <w:szCs w:val="21"/>
          <w:color w:val="auto"/>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Arial" w:cs="Arial" w:eastAsia="Arial" w:hAnsi="Arial"/>
          <w:sz w:val="21"/>
          <w:szCs w:val="21"/>
          <w:b w:val="1"/>
          <w:bCs w:val="1"/>
          <w:color w:val="auto"/>
        </w:rPr>
        <w:t>Section 8.01(E)</w:t>
      </w:r>
      <w:r>
        <w:rPr>
          <w:rFonts w:ascii="Arial" w:cs="Arial" w:eastAsia="Arial" w:hAnsi="Arial"/>
          <w:sz w:val="21"/>
          <w:szCs w:val="21"/>
          <w:color w:val="auto"/>
        </w:rPr>
        <w:t>) all of the Company’s obligations under this Indenture and the Notes; and</w:t>
      </w:r>
    </w:p>
    <w:p>
      <w:pPr>
        <w:spacing w:after="0" w:line="119" w:lineRule="exact"/>
        <w:rPr>
          <w:rFonts w:ascii="Arial" w:cs="Arial" w:eastAsia="Arial" w:hAnsi="Arial"/>
          <w:sz w:val="21"/>
          <w:szCs w:val="21"/>
          <w:color w:val="auto"/>
        </w:rPr>
      </w:pPr>
    </w:p>
    <w:p>
      <w:pPr>
        <w:ind w:left="660" w:firstLine="644"/>
        <w:spacing w:after="0" w:line="276" w:lineRule="auto"/>
        <w:tabs>
          <w:tab w:leader="none" w:pos="1833" w:val="left"/>
        </w:tabs>
        <w:numPr>
          <w:ilvl w:val="1"/>
          <w:numId w:val="103"/>
        </w:numPr>
        <w:rPr>
          <w:rFonts w:ascii="Arial" w:cs="Arial" w:eastAsia="Arial" w:hAnsi="Arial"/>
          <w:sz w:val="22"/>
          <w:szCs w:val="22"/>
          <w:color w:val="auto"/>
        </w:rPr>
      </w:pPr>
      <w:r>
        <w:rPr>
          <w:rFonts w:ascii="Arial" w:cs="Arial" w:eastAsia="Arial" w:hAnsi="Arial"/>
          <w:sz w:val="22"/>
          <w:szCs w:val="22"/>
          <w:color w:val="auto"/>
        </w:rPr>
        <w:t>immediately after giving effect to such Business Combination Event, no Default or Event of Default will have occurred and be continuing.</w:t>
      </w:r>
    </w:p>
    <w:p>
      <w:pPr>
        <w:spacing w:after="0" w:line="106" w:lineRule="exact"/>
        <w:rPr>
          <w:rFonts w:ascii="Arial" w:cs="Arial" w:eastAsia="Arial" w:hAnsi="Arial"/>
          <w:sz w:val="22"/>
          <w:szCs w:val="22"/>
          <w:color w:val="auto"/>
        </w:rPr>
      </w:pPr>
    </w:p>
    <w:p>
      <w:pPr>
        <w:jc w:val="both"/>
        <w:ind w:firstLine="656"/>
        <w:spacing w:after="0" w:line="307" w:lineRule="auto"/>
        <w:tabs>
          <w:tab w:leader="none" w:pos="1170" w:val="left"/>
        </w:tabs>
        <w:numPr>
          <w:ilvl w:val="0"/>
          <w:numId w:val="103"/>
        </w:numPr>
        <w:rPr>
          <w:rFonts w:ascii="Arial" w:cs="Arial" w:eastAsia="Arial" w:hAnsi="Arial"/>
          <w:sz w:val="19"/>
          <w:szCs w:val="19"/>
          <w:color w:val="auto"/>
        </w:rPr>
      </w:pPr>
      <w:r>
        <w:rPr>
          <w:rFonts w:ascii="Arial" w:cs="Arial" w:eastAsia="Arial" w:hAnsi="Arial"/>
          <w:sz w:val="19"/>
          <w:szCs w:val="19"/>
          <w:i w:val="1"/>
          <w:iCs w:val="1"/>
          <w:color w:val="auto"/>
        </w:rPr>
        <w:t>Delivery of Officer’s Certificate and Opinion of Counsel to the Trustee</w:t>
      </w:r>
      <w:r>
        <w:rPr>
          <w:rFonts w:ascii="Arial" w:cs="Arial" w:eastAsia="Arial" w:hAnsi="Arial"/>
          <w:sz w:val="19"/>
          <w:szCs w:val="19"/>
          <w:color w:val="auto"/>
        </w:rPr>
        <w:t>. Before the effective time of any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Combination Event, the Company will deliver to the Trustee an Officer’s Certificate and Opinion of Counsel, each stating that (i) such Business Combination Event (and, if applicable, the related supplemental indenture) comply with </w:t>
      </w:r>
      <w:r>
        <w:rPr>
          <w:rFonts w:ascii="Arial" w:cs="Arial" w:eastAsia="Arial" w:hAnsi="Arial"/>
          <w:sz w:val="19"/>
          <w:szCs w:val="19"/>
          <w:b w:val="1"/>
          <w:bCs w:val="1"/>
          <w:color w:val="auto"/>
        </w:rPr>
        <w:t>Section 6.01(A)</w:t>
      </w:r>
      <w:r>
        <w:rPr>
          <w:rFonts w:ascii="Arial" w:cs="Arial" w:eastAsia="Arial" w:hAnsi="Arial"/>
          <w:sz w:val="19"/>
          <w:szCs w:val="19"/>
          <w:color w:val="auto"/>
        </w:rPr>
        <w:t>; and (ii) all conditions precedent to such Business Combination Event provided in this Indenture have been satisfied.</w:t>
      </w:r>
    </w:p>
    <w:p>
      <w:pPr>
        <w:spacing w:after="0" w:line="78"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6.02.</w:t>
      </w:r>
      <w:r>
        <w:rPr>
          <w:sz w:val="20"/>
          <w:szCs w:val="20"/>
          <w:color w:val="auto"/>
        </w:rPr>
        <w:tab/>
      </w:r>
      <w:r>
        <w:rPr>
          <w:rFonts w:ascii="Arial" w:cs="Arial" w:eastAsia="Arial" w:hAnsi="Arial"/>
          <w:sz w:val="21"/>
          <w:szCs w:val="21"/>
          <w:b w:val="1"/>
          <w:bCs w:val="1"/>
          <w:color w:val="auto"/>
        </w:rPr>
        <w:t>SUCCESSOR CORPORATION SUBSTITUTED.</w:t>
      </w:r>
    </w:p>
    <w:p>
      <w:pPr>
        <w:spacing w:after="0" w:line="17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At the effective time of any Business Combination Event that complies with </w:t>
      </w:r>
      <w:r>
        <w:rPr>
          <w:rFonts w:ascii="Arial" w:cs="Arial" w:eastAsia="Arial" w:hAnsi="Arial"/>
          <w:sz w:val="19"/>
          <w:szCs w:val="19"/>
          <w:b w:val="1"/>
          <w:bCs w:val="1"/>
          <w:color w:val="auto"/>
        </w:rPr>
        <w:t>Section 6.01</w:t>
      </w:r>
      <w:r>
        <w:rPr>
          <w:rFonts w:ascii="Arial" w:cs="Arial" w:eastAsia="Arial" w:hAnsi="Arial"/>
          <w:sz w:val="19"/>
          <w:szCs w:val="19"/>
          <w:color w:val="auto"/>
        </w:rPr>
        <w:t>, the Successor Corporation (if not the Company) will succeed to, and may exercise every right and power of, the Company under this Indenture and the Notes with the same effect as if such Successor Corporation had been named as the Company in this Indenture and the Notes, and, except in the case of a lease, the predecessor Company will be discharged from its obligations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342"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under this Indenture and the Notes.</w:t>
      </w:r>
    </w:p>
    <w:p>
      <w:pPr>
        <w:spacing w:after="0" w:line="16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21"/>
          <w:szCs w:val="21"/>
          <w:b w:val="1"/>
          <w:bCs w:val="1"/>
          <w:color w:val="auto"/>
        </w:rPr>
        <w:t>DEFAULTS AND REMEDIES</w:t>
      </w:r>
    </w:p>
    <w:p>
      <w:pPr>
        <w:spacing w:after="0" w:line="17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7.01.</w:t>
      </w:r>
      <w:r>
        <w:rPr>
          <w:sz w:val="20"/>
          <w:szCs w:val="20"/>
          <w:color w:val="auto"/>
        </w:rPr>
        <w:tab/>
      </w:r>
      <w:r>
        <w:rPr>
          <w:rFonts w:ascii="Arial" w:cs="Arial" w:eastAsia="Arial" w:hAnsi="Arial"/>
          <w:sz w:val="21"/>
          <w:szCs w:val="21"/>
          <w:b w:val="1"/>
          <w:bCs w:val="1"/>
          <w:color w:val="auto"/>
        </w:rPr>
        <w:t>EVENTS OF DEFAULT.</w:t>
      </w:r>
    </w:p>
    <w:p>
      <w:pPr>
        <w:spacing w:after="0" w:line="179" w:lineRule="exact"/>
        <w:rPr>
          <w:sz w:val="20"/>
          <w:szCs w:val="20"/>
          <w:color w:val="auto"/>
        </w:rPr>
      </w:pPr>
    </w:p>
    <w:p>
      <w:pPr>
        <w:ind w:left="1140" w:hanging="484"/>
        <w:spacing w:after="0"/>
        <w:tabs>
          <w:tab w:leader="none" w:pos="1140" w:val="left"/>
        </w:tabs>
        <w:numPr>
          <w:ilvl w:val="0"/>
          <w:numId w:val="104"/>
        </w:numPr>
        <w:rPr>
          <w:rFonts w:ascii="Arial" w:cs="Arial" w:eastAsia="Arial" w:hAnsi="Arial"/>
          <w:sz w:val="22"/>
          <w:szCs w:val="22"/>
          <w:color w:val="auto"/>
        </w:rPr>
      </w:pPr>
      <w:r>
        <w:rPr>
          <w:rFonts w:ascii="Arial" w:cs="Arial" w:eastAsia="Arial" w:hAnsi="Arial"/>
          <w:sz w:val="22"/>
          <w:szCs w:val="22"/>
          <w:i w:val="1"/>
          <w:iCs w:val="1"/>
          <w:color w:val="auto"/>
        </w:rPr>
        <w:t>Definition of Events of Default</w:t>
      </w:r>
      <w:r>
        <w:rPr>
          <w:rFonts w:ascii="Arial" w:cs="Arial" w:eastAsia="Arial" w:hAnsi="Arial"/>
          <w:sz w:val="22"/>
          <w:szCs w:val="22"/>
          <w:color w:val="auto"/>
        </w:rPr>
        <w:t>. “</w:t>
      </w:r>
      <w:r>
        <w:rPr>
          <w:rFonts w:ascii="Arial" w:cs="Arial" w:eastAsia="Arial" w:hAnsi="Arial"/>
          <w:sz w:val="22"/>
          <w:szCs w:val="22"/>
          <w:b w:val="1"/>
          <w:bCs w:val="1"/>
          <w:color w:val="auto"/>
        </w:rPr>
        <w:t>Event of Default</w:t>
      </w:r>
      <w:r>
        <w:rPr>
          <w:rFonts w:ascii="Arial" w:cs="Arial" w:eastAsia="Arial" w:hAnsi="Arial"/>
          <w:sz w:val="22"/>
          <w:szCs w:val="22"/>
          <w:color w:val="auto"/>
        </w:rPr>
        <w:t>” means the occurrence of any of the following:</w:t>
      </w:r>
    </w:p>
    <w:p>
      <w:pPr>
        <w:spacing w:after="0" w:line="185" w:lineRule="exact"/>
        <w:rPr>
          <w:rFonts w:ascii="Arial" w:cs="Arial" w:eastAsia="Arial" w:hAnsi="Arial"/>
          <w:sz w:val="22"/>
          <w:szCs w:val="22"/>
          <w:color w:val="auto"/>
        </w:rPr>
      </w:pPr>
    </w:p>
    <w:p>
      <w:pPr>
        <w:jc w:val="both"/>
        <w:ind w:left="660" w:firstLine="644"/>
        <w:spacing w:after="0" w:line="259" w:lineRule="auto"/>
        <w:tabs>
          <w:tab w:leader="none" w:pos="1705" w:val="left"/>
        </w:tabs>
        <w:numPr>
          <w:ilvl w:val="1"/>
          <w:numId w:val="104"/>
        </w:numPr>
        <w:rPr>
          <w:rFonts w:ascii="Arial" w:cs="Arial" w:eastAsia="Arial" w:hAnsi="Arial"/>
          <w:sz w:val="22"/>
          <w:szCs w:val="22"/>
          <w:color w:val="auto"/>
        </w:rPr>
      </w:pPr>
      <w:r>
        <w:rPr>
          <w:rFonts w:ascii="Arial" w:cs="Arial" w:eastAsia="Arial" w:hAnsi="Arial"/>
          <w:sz w:val="22"/>
          <w:szCs w:val="22"/>
          <w:color w:val="auto"/>
        </w:rPr>
        <w:t>a default in the payment when due (whether at maturity, upon Redemption or Repurchase Upon Fundamental Change or otherwise) of the principal of, or the Redemption Price or Fundamental Change Repurchase Price for, any Note;</w:t>
      </w:r>
    </w:p>
    <w:p>
      <w:pPr>
        <w:spacing w:after="0" w:line="126" w:lineRule="exact"/>
        <w:rPr>
          <w:rFonts w:ascii="Arial" w:cs="Arial" w:eastAsia="Arial" w:hAnsi="Arial"/>
          <w:sz w:val="22"/>
          <w:szCs w:val="22"/>
          <w:color w:val="auto"/>
        </w:rPr>
      </w:pPr>
    </w:p>
    <w:p>
      <w:pPr>
        <w:ind w:left="1740" w:hanging="436"/>
        <w:spacing w:after="0"/>
        <w:tabs>
          <w:tab w:leader="none" w:pos="17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a default for thirty (30) days in the payment when due of interest on any Note;</w:t>
      </w:r>
    </w:p>
    <w:p>
      <w:pPr>
        <w:spacing w:after="0" w:line="179" w:lineRule="exact"/>
        <w:rPr>
          <w:rFonts w:ascii="Arial" w:cs="Arial" w:eastAsia="Arial" w:hAnsi="Arial"/>
          <w:sz w:val="22"/>
          <w:szCs w:val="22"/>
          <w:color w:val="auto"/>
        </w:rPr>
      </w:pPr>
    </w:p>
    <w:p>
      <w:pPr>
        <w:ind w:left="660" w:firstLine="644"/>
        <w:spacing w:after="0" w:line="276" w:lineRule="auto"/>
        <w:tabs>
          <w:tab w:leader="none" w:pos="1812"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the Company’s failure to deliver, when required by this Indenture, a Fundamental Change Notice, or a notice pursuant to </w:t>
      </w:r>
      <w:r>
        <w:rPr>
          <w:rFonts w:ascii="Arial" w:cs="Arial" w:eastAsia="Arial" w:hAnsi="Arial"/>
          <w:sz w:val="22"/>
          <w:szCs w:val="22"/>
          <w:b w:val="1"/>
          <w:bCs w:val="1"/>
          <w:color w:val="auto"/>
        </w:rPr>
        <w:t>Section 5.01(C)(i)(3)</w:t>
      </w:r>
      <w:r>
        <w:rPr>
          <w:rFonts w:ascii="Arial" w:cs="Arial" w:eastAsia="Arial" w:hAnsi="Arial"/>
          <w:sz w:val="22"/>
          <w:szCs w:val="22"/>
          <w:color w:val="auto"/>
        </w:rPr>
        <w:t>, and such failure continues for three (3) Business Days;</w:t>
      </w:r>
    </w:p>
    <w:p>
      <w:pPr>
        <w:spacing w:after="0" w:line="100" w:lineRule="exact"/>
        <w:rPr>
          <w:rFonts w:ascii="Arial" w:cs="Arial" w:eastAsia="Arial" w:hAnsi="Arial"/>
          <w:sz w:val="22"/>
          <w:szCs w:val="22"/>
          <w:color w:val="auto"/>
        </w:rPr>
      </w:pPr>
    </w:p>
    <w:p>
      <w:pPr>
        <w:ind w:left="660" w:firstLine="644"/>
        <w:spacing w:after="0" w:line="282" w:lineRule="auto"/>
        <w:tabs>
          <w:tab w:leader="none" w:pos="185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a default in the Company’s obligation to convert a Note in accordance with </w:t>
      </w:r>
      <w:r>
        <w:rPr>
          <w:rFonts w:ascii="Arial" w:cs="Arial" w:eastAsia="Arial" w:hAnsi="Arial"/>
          <w:sz w:val="22"/>
          <w:szCs w:val="22"/>
          <w:b w:val="1"/>
          <w:bCs w:val="1"/>
          <w:color w:val="auto"/>
        </w:rPr>
        <w:t>Article 5</w:t>
      </w:r>
      <w:r>
        <w:rPr>
          <w:rFonts w:ascii="Arial" w:cs="Arial" w:eastAsia="Arial" w:hAnsi="Arial"/>
          <w:sz w:val="22"/>
          <w:szCs w:val="22"/>
          <w:color w:val="auto"/>
        </w:rPr>
        <w:t xml:space="preserve"> upon the exercise of the conversion right with respect thereto, and such failure continues for three (3) Business Days;</w:t>
      </w:r>
    </w:p>
    <w:p>
      <w:pPr>
        <w:spacing w:after="0" w:line="94" w:lineRule="exact"/>
        <w:rPr>
          <w:rFonts w:ascii="Arial" w:cs="Arial" w:eastAsia="Arial" w:hAnsi="Arial"/>
          <w:sz w:val="22"/>
          <w:szCs w:val="22"/>
          <w:color w:val="auto"/>
        </w:rPr>
      </w:pPr>
    </w:p>
    <w:p>
      <w:pPr>
        <w:ind w:left="1740" w:hanging="436"/>
        <w:spacing w:after="0"/>
        <w:tabs>
          <w:tab w:leader="none" w:pos="17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a default in the Company’s obligations under </w:t>
      </w:r>
      <w:r>
        <w:rPr>
          <w:rFonts w:ascii="Arial" w:cs="Arial" w:eastAsia="Arial" w:hAnsi="Arial"/>
          <w:sz w:val="22"/>
          <w:szCs w:val="22"/>
          <w:b w:val="1"/>
          <w:bCs w:val="1"/>
          <w:color w:val="auto"/>
        </w:rPr>
        <w:t>Article 6</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644"/>
        <w:spacing w:after="0" w:line="266" w:lineRule="auto"/>
        <w:tabs>
          <w:tab w:leader="none" w:pos="1827" w:val="left"/>
        </w:tabs>
        <w:numPr>
          <w:ilvl w:val="1"/>
          <w:numId w:val="104"/>
        </w:numPr>
        <w:rPr>
          <w:rFonts w:ascii="Arial" w:cs="Arial" w:eastAsia="Arial" w:hAnsi="Arial"/>
          <w:sz w:val="21"/>
          <w:szCs w:val="21"/>
          <w:color w:val="auto"/>
        </w:rPr>
      </w:pPr>
      <w:r>
        <w:rPr>
          <w:rFonts w:ascii="Arial" w:cs="Arial" w:eastAsia="Arial" w:hAnsi="Arial"/>
          <w:sz w:val="21"/>
          <w:szCs w:val="21"/>
          <w:color w:val="auto"/>
        </w:rPr>
        <w:t xml:space="preserve">a default in any of the Company’s obligations or agreements under this Indenture or the Notes (other than a default set forth in </w:t>
      </w:r>
      <w:r>
        <w:rPr>
          <w:rFonts w:ascii="Arial" w:cs="Arial" w:eastAsia="Arial" w:hAnsi="Arial"/>
          <w:sz w:val="21"/>
          <w:szCs w:val="21"/>
          <w:b w:val="1"/>
          <w:bCs w:val="1"/>
          <w:color w:val="auto"/>
        </w:rPr>
        <w:t>clause (i)</w:t>
      </w:r>
      <w:r>
        <w:rPr>
          <w:rFonts w:ascii="Arial" w:cs="Arial" w:eastAsia="Arial" w:hAnsi="Arial"/>
          <w:sz w:val="21"/>
          <w:szCs w:val="21"/>
          <w:color w:val="auto"/>
        </w:rPr>
        <w:t xml:space="preserve">, </w:t>
      </w:r>
      <w:r>
        <w:rPr>
          <w:rFonts w:ascii="Arial" w:cs="Arial" w:eastAsia="Arial" w:hAnsi="Arial"/>
          <w:sz w:val="21"/>
          <w:szCs w:val="21"/>
          <w:b w:val="1"/>
          <w:bCs w:val="1"/>
          <w:color w:val="auto"/>
        </w:rPr>
        <w:t>(ii)</w:t>
      </w:r>
      <w:r>
        <w:rPr>
          <w:rFonts w:ascii="Arial" w:cs="Arial" w:eastAsia="Arial" w:hAnsi="Arial"/>
          <w:sz w:val="21"/>
          <w:szCs w:val="21"/>
          <w:color w:val="auto"/>
        </w:rPr>
        <w:t xml:space="preserve">, </w:t>
      </w:r>
      <w:r>
        <w:rPr>
          <w:rFonts w:ascii="Arial" w:cs="Arial" w:eastAsia="Arial" w:hAnsi="Arial"/>
          <w:sz w:val="21"/>
          <w:szCs w:val="21"/>
          <w:b w:val="1"/>
          <w:bCs w:val="1"/>
          <w:color w:val="auto"/>
        </w:rPr>
        <w:t>(iii)</w:t>
      </w:r>
      <w:r>
        <w:rPr>
          <w:rFonts w:ascii="Arial" w:cs="Arial" w:eastAsia="Arial" w:hAnsi="Arial"/>
          <w:sz w:val="21"/>
          <w:szCs w:val="21"/>
          <w:color w:val="auto"/>
        </w:rPr>
        <w:t xml:space="preserve">, </w:t>
      </w:r>
      <w:r>
        <w:rPr>
          <w:rFonts w:ascii="Arial" w:cs="Arial" w:eastAsia="Arial" w:hAnsi="Arial"/>
          <w:sz w:val="21"/>
          <w:szCs w:val="21"/>
          <w:b w:val="1"/>
          <w:bCs w:val="1"/>
          <w:color w:val="auto"/>
        </w:rPr>
        <w:t>(iv)</w:t>
      </w:r>
      <w:r>
        <w:rPr>
          <w:rFonts w:ascii="Arial" w:cs="Arial" w:eastAsia="Arial" w:hAnsi="Arial"/>
          <w:sz w:val="21"/>
          <w:szCs w:val="21"/>
          <w:color w:val="auto"/>
        </w:rPr>
        <w:t xml:space="preserve"> or </w:t>
      </w:r>
      <w:r>
        <w:rPr>
          <w:rFonts w:ascii="Arial" w:cs="Arial" w:eastAsia="Arial" w:hAnsi="Arial"/>
          <w:sz w:val="21"/>
          <w:szCs w:val="21"/>
          <w:b w:val="1"/>
          <w:bCs w:val="1"/>
          <w:color w:val="auto"/>
        </w:rPr>
        <w:t>(v)</w:t>
      </w:r>
      <w:r>
        <w:rPr>
          <w:rFonts w:ascii="Arial" w:cs="Arial" w:eastAsia="Arial" w:hAnsi="Arial"/>
          <w:sz w:val="21"/>
          <w:szCs w:val="21"/>
          <w:color w:val="auto"/>
        </w:rPr>
        <w:t xml:space="preserve"> of this </w:t>
      </w:r>
      <w:r>
        <w:rPr>
          <w:rFonts w:ascii="Arial" w:cs="Arial" w:eastAsia="Arial" w:hAnsi="Arial"/>
          <w:sz w:val="21"/>
          <w:szCs w:val="21"/>
          <w:b w:val="1"/>
          <w:bCs w:val="1"/>
          <w:color w:val="auto"/>
        </w:rPr>
        <w:t>Section 7.01(A)</w:t>
      </w:r>
      <w:r>
        <w:rPr>
          <w:rFonts w:ascii="Arial" w:cs="Arial" w:eastAsia="Arial" w:hAnsi="Arial"/>
          <w:sz w:val="21"/>
          <w:szCs w:val="21"/>
          <w:color w:val="auto"/>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19" w:lineRule="exact"/>
        <w:rPr>
          <w:rFonts w:ascii="Arial" w:cs="Arial" w:eastAsia="Arial" w:hAnsi="Arial"/>
          <w:sz w:val="21"/>
          <w:szCs w:val="21"/>
          <w:color w:val="auto"/>
        </w:rPr>
      </w:pPr>
    </w:p>
    <w:p>
      <w:pPr>
        <w:jc w:val="both"/>
        <w:ind w:left="660" w:firstLine="644"/>
        <w:spacing w:after="0" w:line="251" w:lineRule="auto"/>
        <w:tabs>
          <w:tab w:leader="none" w:pos="1873" w:val="left"/>
        </w:tabs>
        <w:numPr>
          <w:ilvl w:val="1"/>
          <w:numId w:val="104"/>
        </w:numPr>
        <w:rPr>
          <w:rFonts w:ascii="Arial" w:cs="Arial" w:eastAsia="Arial" w:hAnsi="Arial"/>
          <w:sz w:val="22"/>
          <w:szCs w:val="22"/>
          <w:color w:val="auto"/>
        </w:rPr>
      </w:pPr>
      <w:r>
        <w:rPr>
          <w:rFonts w:ascii="Arial" w:cs="Arial" w:eastAsia="Arial" w:hAnsi="Arial"/>
          <w:sz w:val="22"/>
          <w:szCs w:val="22"/>
          <w:color w:val="auto"/>
        </w:rPr>
        <w:t>a default by the Company or any of its Subsidiaries with respect to any one or more mortgages, agreements or other instruments under which there is outstanding, or by which there is secured or evidenced, any indebtedness for money borrowed of at least thirty million dollars ($30,000,000) (or its foreign currency equivalent) in the aggregate of the Company or any of its Subsidiaries, whether such indebtedness exists as of the Issue Date or is thereafter created, where such default:</w:t>
      </w:r>
    </w:p>
    <w:p>
      <w:pPr>
        <w:spacing w:after="0" w:line="135" w:lineRule="exact"/>
        <w:rPr>
          <w:rFonts w:ascii="Arial" w:cs="Arial" w:eastAsia="Arial" w:hAnsi="Arial"/>
          <w:sz w:val="22"/>
          <w:szCs w:val="22"/>
          <w:color w:val="auto"/>
        </w:rPr>
      </w:pPr>
    </w:p>
    <w:p>
      <w:pPr>
        <w:jc w:val="both"/>
        <w:ind w:left="1300" w:firstLine="652"/>
        <w:spacing w:after="0" w:line="278" w:lineRule="auto"/>
        <w:tabs>
          <w:tab w:leader="none" w:pos="2393" w:val="left"/>
        </w:tabs>
        <w:numPr>
          <w:ilvl w:val="2"/>
          <w:numId w:val="104"/>
        </w:numPr>
        <w:rPr>
          <w:rFonts w:ascii="Arial" w:cs="Arial" w:eastAsia="Arial" w:hAnsi="Arial"/>
          <w:sz w:val="21"/>
          <w:szCs w:val="21"/>
          <w:color w:val="auto"/>
        </w:rPr>
      </w:pPr>
      <w:r>
        <w:rPr>
          <w:rFonts w:ascii="Arial" w:cs="Arial" w:eastAsia="Arial" w:hAnsi="Arial"/>
          <w:sz w:val="21"/>
          <w:szCs w:val="21"/>
          <w:color w:val="auto"/>
        </w:rPr>
        <w:t>constitutes a failure to pay the principal of, or premium or interest on, any of such indebtedness when due and payable at its stated maturity, upon required repurchase, upon declaration of acceleration or otherwise, in each case after the expiration of any applicable grace period; or</w:t>
      </w:r>
    </w:p>
    <w:p>
      <w:pPr>
        <w:spacing w:after="0" w:line="105" w:lineRule="exact"/>
        <w:rPr>
          <w:rFonts w:ascii="Arial" w:cs="Arial" w:eastAsia="Arial" w:hAnsi="Arial"/>
          <w:sz w:val="21"/>
          <w:szCs w:val="21"/>
          <w:color w:val="auto"/>
        </w:rPr>
      </w:pPr>
    </w:p>
    <w:p>
      <w:pPr>
        <w:ind w:left="1300" w:firstLine="652"/>
        <w:spacing w:after="0" w:line="276" w:lineRule="auto"/>
        <w:tabs>
          <w:tab w:leader="none" w:pos="2434" w:val="left"/>
        </w:tabs>
        <w:numPr>
          <w:ilvl w:val="2"/>
          <w:numId w:val="104"/>
        </w:numPr>
        <w:rPr>
          <w:rFonts w:ascii="Arial" w:cs="Arial" w:eastAsia="Arial" w:hAnsi="Arial"/>
          <w:sz w:val="22"/>
          <w:szCs w:val="22"/>
          <w:color w:val="auto"/>
        </w:rPr>
      </w:pPr>
      <w:r>
        <w:rPr>
          <w:rFonts w:ascii="Arial" w:cs="Arial" w:eastAsia="Arial" w:hAnsi="Arial"/>
          <w:sz w:val="22"/>
          <w:szCs w:val="22"/>
          <w:color w:val="auto"/>
        </w:rPr>
        <w:t>results in such indebtedness becoming or being declared due and payable before its stated maturity, after the expiration of any applicable grace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348" w:right="339" w:bottom="1440" w:gutter="0" w:footer="0" w:header="0"/>
        </w:sectPr>
      </w:pPr>
    </w:p>
    <w:bookmarkStart w:id="72" w:name="page73"/>
    <w:bookmarkEnd w:id="72"/>
    <w:p>
      <w:pPr>
        <w:ind w:left="640"/>
        <w:spacing w:after="0"/>
        <w:rPr>
          <w:sz w:val="20"/>
          <w:szCs w:val="20"/>
          <w:color w:val="auto"/>
        </w:rPr>
      </w:pPr>
      <w:r>
        <w:rPr>
          <w:rFonts w:ascii="Arial" w:cs="Arial" w:eastAsia="Arial" w:hAnsi="Arial"/>
          <w:sz w:val="22"/>
          <w:szCs w:val="22"/>
          <w:color w:val="auto"/>
        </w:rPr>
        <w:t>period,</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226" w:lineRule="exact"/>
        <w:rPr>
          <w:sz w:val="20"/>
          <w:szCs w:val="20"/>
          <w:color w:val="auto"/>
        </w:rPr>
      </w:pPr>
    </w:p>
    <w:p>
      <w:pPr>
        <w:jc w:val="both"/>
        <w:ind w:firstLine="644"/>
        <w:spacing w:after="0" w:line="251" w:lineRule="auto"/>
        <w:tabs>
          <w:tab w:leader="none" w:pos="12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one or more final judgments being rendered against the Company or any of its Subsidiaries for the payment of at least thirty million dollars ($30,000,000) (or its foreign currency equivalent) in the aggregate (excluding any amounts covered by insurance), where such judgment is not discharged or stayed within sixty (60) days after (i) the date on which the right to appeal the same has expired, if no such appeal has commenced; or (ii) the date on which all rights to appeal have been extinguished;</w:t>
      </w:r>
    </w:p>
    <w:p>
      <w:pPr>
        <w:spacing w:after="0" w:line="189" w:lineRule="exact"/>
        <w:rPr>
          <w:rFonts w:ascii="Arial" w:cs="Arial" w:eastAsia="Arial" w:hAnsi="Arial"/>
          <w:sz w:val="22"/>
          <w:szCs w:val="22"/>
          <w:color w:val="auto"/>
        </w:rPr>
      </w:pPr>
    </w:p>
    <w:p>
      <w:pPr>
        <w:ind w:left="1200" w:hanging="556"/>
        <w:spacing w:after="0"/>
        <w:tabs>
          <w:tab w:leader="none" w:pos="12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Company or any of its Significant Subsidiaries, pursuant to or within the meaning of any Bankruptcy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 either:</w:t>
      </w:r>
    </w:p>
    <w:p>
      <w:pPr>
        <w:spacing w:after="0" w:line="215" w:lineRule="exact"/>
        <w:rPr>
          <w:rFonts w:ascii="Arial" w:cs="Arial" w:eastAsia="Arial" w:hAnsi="Arial"/>
          <w:sz w:val="19"/>
          <w:szCs w:val="19"/>
          <w:color w:val="auto"/>
        </w:rPr>
      </w:pPr>
    </w:p>
    <w:p>
      <w:pPr>
        <w:ind w:left="1720" w:hanging="428"/>
        <w:spacing w:after="0"/>
        <w:tabs>
          <w:tab w:leader="none" w:pos="17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commences a voluntary case or proceeding;</w:t>
      </w:r>
    </w:p>
    <w:p>
      <w:pPr>
        <w:spacing w:after="0" w:line="233" w:lineRule="exact"/>
        <w:rPr>
          <w:rFonts w:ascii="Arial" w:cs="Arial" w:eastAsia="Arial" w:hAnsi="Arial"/>
          <w:sz w:val="22"/>
          <w:szCs w:val="22"/>
          <w:color w:val="auto"/>
        </w:rPr>
      </w:pPr>
    </w:p>
    <w:p>
      <w:pPr>
        <w:ind w:left="1720" w:hanging="428"/>
        <w:spacing w:after="0"/>
        <w:tabs>
          <w:tab w:leader="none" w:pos="17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 or proceeding;</w:t>
      </w:r>
    </w:p>
    <w:p>
      <w:pPr>
        <w:spacing w:after="0" w:line="233" w:lineRule="exact"/>
        <w:rPr>
          <w:rFonts w:ascii="Arial" w:cs="Arial" w:eastAsia="Arial" w:hAnsi="Arial"/>
          <w:sz w:val="22"/>
          <w:szCs w:val="22"/>
          <w:color w:val="auto"/>
        </w:rPr>
      </w:pPr>
    </w:p>
    <w:p>
      <w:pPr>
        <w:ind w:left="1720" w:hanging="428"/>
        <w:spacing w:after="0"/>
        <w:tabs>
          <w:tab w:leader="none" w:pos="17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any substantial part of its property;</w:t>
      </w:r>
    </w:p>
    <w:p>
      <w:pPr>
        <w:spacing w:after="0" w:line="233" w:lineRule="exact"/>
        <w:rPr>
          <w:rFonts w:ascii="Arial" w:cs="Arial" w:eastAsia="Arial" w:hAnsi="Arial"/>
          <w:sz w:val="22"/>
          <w:szCs w:val="22"/>
          <w:color w:val="auto"/>
        </w:rPr>
      </w:pPr>
    </w:p>
    <w:p>
      <w:pPr>
        <w:ind w:left="1720" w:hanging="428"/>
        <w:spacing w:after="0"/>
        <w:tabs>
          <w:tab w:leader="none" w:pos="17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w:t>
      </w:r>
    </w:p>
    <w:p>
      <w:pPr>
        <w:spacing w:after="0" w:line="233" w:lineRule="exact"/>
        <w:rPr>
          <w:rFonts w:ascii="Arial" w:cs="Arial" w:eastAsia="Arial" w:hAnsi="Arial"/>
          <w:sz w:val="22"/>
          <w:szCs w:val="22"/>
          <w:color w:val="auto"/>
        </w:rPr>
      </w:pPr>
    </w:p>
    <w:p>
      <w:pPr>
        <w:ind w:left="1720" w:hanging="428"/>
        <w:spacing w:after="0"/>
        <w:tabs>
          <w:tab w:leader="none" w:pos="17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takes any comparable action under any foreign Bankruptcy Law; or</w:t>
      </w:r>
    </w:p>
    <w:p>
      <w:pPr>
        <w:spacing w:after="0" w:line="233" w:lineRule="exact"/>
        <w:rPr>
          <w:rFonts w:ascii="Arial" w:cs="Arial" w:eastAsia="Arial" w:hAnsi="Arial"/>
          <w:sz w:val="22"/>
          <w:szCs w:val="22"/>
          <w:color w:val="auto"/>
        </w:rPr>
      </w:pPr>
    </w:p>
    <w:p>
      <w:pPr>
        <w:ind w:left="1720" w:hanging="428"/>
        <w:spacing w:after="0"/>
        <w:tabs>
          <w:tab w:leader="none" w:pos="17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33" w:lineRule="exact"/>
        <w:rPr>
          <w:rFonts w:ascii="Arial" w:cs="Arial" w:eastAsia="Arial" w:hAnsi="Arial"/>
          <w:sz w:val="22"/>
          <w:szCs w:val="22"/>
          <w:color w:val="auto"/>
        </w:rPr>
      </w:pPr>
    </w:p>
    <w:p>
      <w:pPr>
        <w:ind w:left="1080" w:hanging="436"/>
        <w:spacing w:after="0"/>
        <w:tabs>
          <w:tab w:leader="none" w:pos="10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 either:</w:t>
      </w:r>
    </w:p>
    <w:p>
      <w:pPr>
        <w:spacing w:after="0" w:line="233" w:lineRule="exact"/>
        <w:rPr>
          <w:rFonts w:ascii="Arial" w:cs="Arial" w:eastAsia="Arial" w:hAnsi="Arial"/>
          <w:sz w:val="22"/>
          <w:szCs w:val="22"/>
          <w:color w:val="auto"/>
        </w:rPr>
      </w:pPr>
    </w:p>
    <w:p>
      <w:pPr>
        <w:ind w:left="1840" w:hanging="548"/>
        <w:spacing w:after="0"/>
        <w:tabs>
          <w:tab w:leader="none" w:pos="184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is for relief against the Company or any of its Significant Subsidiaries in an involuntary case or</w:t>
      </w:r>
    </w:p>
    <w:p>
      <w:pPr>
        <w:spacing w:after="0" w:line="32"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2"/>
          <w:szCs w:val="22"/>
          <w:color w:val="auto"/>
        </w:rPr>
        <w:t>proceeding;</w:t>
      </w:r>
    </w:p>
    <w:p>
      <w:pPr>
        <w:spacing w:after="0" w:line="215" w:lineRule="exact"/>
        <w:rPr>
          <w:rFonts w:ascii="Arial" w:cs="Arial" w:eastAsia="Arial" w:hAnsi="Arial"/>
          <w:sz w:val="21"/>
          <w:szCs w:val="21"/>
          <w:color w:val="auto"/>
        </w:rPr>
      </w:pPr>
    </w:p>
    <w:p>
      <w:pPr>
        <w:ind w:left="640" w:firstLine="652"/>
        <w:spacing w:after="0" w:line="276" w:lineRule="auto"/>
        <w:tabs>
          <w:tab w:leader="none" w:pos="1733"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appoints a custodian of the Company or any of its Significant Subsidiaries, or for any substantial part of the property of the Company or any of its Significant Subsidiaries;</w:t>
      </w:r>
    </w:p>
    <w:p>
      <w:pPr>
        <w:spacing w:after="0" w:line="160" w:lineRule="exact"/>
        <w:rPr>
          <w:rFonts w:ascii="Arial" w:cs="Arial" w:eastAsia="Arial" w:hAnsi="Arial"/>
          <w:sz w:val="22"/>
          <w:szCs w:val="22"/>
          <w:color w:val="auto"/>
        </w:rPr>
      </w:pPr>
    </w:p>
    <w:p>
      <w:pPr>
        <w:ind w:left="1720" w:hanging="428"/>
        <w:spacing w:after="0"/>
        <w:tabs>
          <w:tab w:leader="none" w:pos="172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orders the winding up or liquidation of the Company or any of its Significant Subsidiaries; or</w:t>
      </w:r>
    </w:p>
    <w:p>
      <w:pPr>
        <w:spacing w:after="0" w:line="244" w:lineRule="exact"/>
        <w:rPr>
          <w:rFonts w:ascii="Arial" w:cs="Arial" w:eastAsia="Arial" w:hAnsi="Arial"/>
          <w:sz w:val="21"/>
          <w:szCs w:val="21"/>
          <w:color w:val="auto"/>
        </w:rPr>
      </w:pPr>
    </w:p>
    <w:p>
      <w:pPr>
        <w:ind w:left="1720" w:hanging="428"/>
        <w:spacing w:after="0"/>
        <w:tabs>
          <w:tab w:leader="none" w:pos="17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grants any similar relief under any foreign Bankruptcy Law,</w:t>
      </w:r>
    </w:p>
    <w:p>
      <w:pPr>
        <w:spacing w:after="0" w:line="227"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color w:val="auto"/>
        </w:rPr>
        <w:t xml:space="preserve">and, in each case under this </w:t>
      </w:r>
      <w:r>
        <w:rPr>
          <w:rFonts w:ascii="Arial" w:cs="Arial" w:eastAsia="Arial" w:hAnsi="Arial"/>
          <w:sz w:val="22"/>
          <w:szCs w:val="22"/>
          <w:b w:val="1"/>
          <w:bCs w:val="1"/>
          <w:color w:val="auto"/>
        </w:rPr>
        <w:t>Section 7.01(A)(x)</w:t>
      </w:r>
      <w:r>
        <w:rPr>
          <w:rFonts w:ascii="Arial" w:cs="Arial" w:eastAsia="Arial" w:hAnsi="Arial"/>
          <w:sz w:val="22"/>
          <w:szCs w:val="22"/>
          <w:color w:val="auto"/>
        </w:rPr>
        <w:t>, such order or decree remains unstayed and in effect for at least sixty (60) days.</w:t>
      </w:r>
    </w:p>
    <w:p>
      <w:pPr>
        <w:spacing w:after="0" w:line="159"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0580"/>
          </w:cols>
          <w:pgMar w:left="980" w:top="348" w:right="339" w:bottom="1440" w:gutter="0" w:footer="0" w:header="0"/>
        </w:sectPr>
      </w:pPr>
    </w:p>
    <w:bookmarkStart w:id="73" w:name="page74"/>
    <w:bookmarkEnd w:id="73"/>
    <w:p>
      <w:pPr>
        <w:ind w:left="1120" w:hanging="464"/>
        <w:spacing w:after="0"/>
        <w:tabs>
          <w:tab w:leader="none" w:pos="11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173"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7.02.</w:t>
      </w:r>
      <w:r>
        <w:rPr>
          <w:sz w:val="20"/>
          <w:szCs w:val="20"/>
          <w:color w:val="auto"/>
        </w:rPr>
        <w:tab/>
      </w:r>
      <w:r>
        <w:rPr>
          <w:rFonts w:ascii="Arial" w:cs="Arial" w:eastAsia="Arial" w:hAnsi="Arial"/>
          <w:sz w:val="21"/>
          <w:szCs w:val="21"/>
          <w:b w:val="1"/>
          <w:bCs w:val="1"/>
          <w:color w:val="auto"/>
        </w:rPr>
        <w:t>ACCELERATION.</w:t>
      </w:r>
    </w:p>
    <w:p>
      <w:pPr>
        <w:spacing w:after="0" w:line="179" w:lineRule="exact"/>
        <w:rPr>
          <w:sz w:val="20"/>
          <w:szCs w:val="20"/>
          <w:color w:val="auto"/>
        </w:rPr>
      </w:pPr>
    </w:p>
    <w:p>
      <w:pPr>
        <w:ind w:left="1140" w:hanging="484"/>
        <w:spacing w:after="0"/>
        <w:tabs>
          <w:tab w:leader="none" w:pos="1140" w:val="left"/>
        </w:tabs>
        <w:numPr>
          <w:ilvl w:val="1"/>
          <w:numId w:val="107"/>
        </w:numPr>
        <w:rPr>
          <w:rFonts w:ascii="Arial" w:cs="Arial" w:eastAsia="Arial" w:hAnsi="Arial"/>
          <w:sz w:val="19"/>
          <w:szCs w:val="19"/>
          <w:color w:val="auto"/>
        </w:rPr>
      </w:pPr>
      <w:r>
        <w:rPr>
          <w:rFonts w:ascii="Arial" w:cs="Arial" w:eastAsia="Arial" w:hAnsi="Arial"/>
          <w:sz w:val="19"/>
          <w:szCs w:val="19"/>
          <w:i w:val="1"/>
          <w:iCs w:val="1"/>
          <w:color w:val="auto"/>
        </w:rPr>
        <w:t>Automatic Acceleration in Certain Circumstances</w:t>
      </w:r>
      <w:r>
        <w:rPr>
          <w:rFonts w:ascii="Arial" w:cs="Arial" w:eastAsia="Arial" w:hAnsi="Arial"/>
          <w:sz w:val="19"/>
          <w:szCs w:val="19"/>
          <w:color w:val="auto"/>
        </w:rPr>
        <w:t>. If an Event of Default set forth in</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7.01(A)(ix)</w:t>
      </w:r>
      <w:r>
        <w:rPr>
          <w:rFonts w:ascii="Arial" w:cs="Arial" w:eastAsia="Arial" w:hAnsi="Arial"/>
          <w:sz w:val="19"/>
          <w:szCs w:val="19"/>
          <w:i w:val="1"/>
          <w:iCs w:val="1"/>
          <w:color w:val="auto"/>
        </w:rPr>
        <w:t xml:space="preserve"> </w:t>
      </w:r>
      <w:r>
        <w:rPr>
          <w:rFonts w:ascii="Arial" w:cs="Arial" w:eastAsia="Arial" w:hAnsi="Arial"/>
          <w:sz w:val="19"/>
          <w:szCs w:val="19"/>
          <w:color w:val="auto"/>
        </w:rPr>
        <w:t>or</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7.01(A)</w:t>
      </w:r>
    </w:p>
    <w:p>
      <w:pPr>
        <w:spacing w:after="0" w:line="61" w:lineRule="exact"/>
        <w:rPr>
          <w:rFonts w:ascii="Arial" w:cs="Arial" w:eastAsia="Arial" w:hAnsi="Arial"/>
          <w:sz w:val="19"/>
          <w:szCs w:val="19"/>
          <w:color w:val="auto"/>
        </w:rPr>
      </w:pPr>
    </w:p>
    <w:p>
      <w:pPr>
        <w:jc w:val="both"/>
        <w:ind w:firstLine="8"/>
        <w:spacing w:after="0" w:line="251" w:lineRule="auto"/>
        <w:tabs>
          <w:tab w:leader="none" w:pos="342" w:val="left"/>
        </w:tabs>
        <w:numPr>
          <w:ilvl w:val="0"/>
          <w:numId w:val="108"/>
        </w:numPr>
        <w:rPr>
          <w:rFonts w:ascii="Arial" w:cs="Arial" w:eastAsia="Arial" w:hAnsi="Arial"/>
          <w:sz w:val="22"/>
          <w:szCs w:val="22"/>
          <w:b w:val="1"/>
          <w:bCs w:val="1"/>
          <w:color w:val="auto"/>
        </w:rPr>
      </w:pPr>
      <w:r>
        <w:rPr>
          <w:rFonts w:ascii="Arial" w:cs="Arial" w:eastAsia="Arial" w:hAnsi="Arial"/>
          <w:sz w:val="22"/>
          <w:szCs w:val="22"/>
          <w:color w:val="auto"/>
        </w:rPr>
        <w:t>occurs with 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spacing w:after="0" w:line="127" w:lineRule="exact"/>
        <w:rPr>
          <w:rFonts w:ascii="Arial" w:cs="Arial" w:eastAsia="Arial" w:hAnsi="Arial"/>
          <w:sz w:val="22"/>
          <w:szCs w:val="22"/>
          <w:b w:val="1"/>
          <w:bCs w:val="1"/>
          <w:color w:val="auto"/>
        </w:rPr>
      </w:pPr>
    </w:p>
    <w:p>
      <w:pPr>
        <w:jc w:val="both"/>
        <w:ind w:firstLine="656"/>
        <w:spacing w:after="0" w:line="251" w:lineRule="auto"/>
        <w:tabs>
          <w:tab w:leader="none" w:pos="1170" w:val="left"/>
        </w:tabs>
        <w:numPr>
          <w:ilvl w:val="1"/>
          <w:numId w:val="108"/>
        </w:numPr>
        <w:rPr>
          <w:rFonts w:ascii="Arial" w:cs="Arial" w:eastAsia="Arial" w:hAnsi="Arial"/>
          <w:sz w:val="22"/>
          <w:szCs w:val="22"/>
          <w:color w:val="auto"/>
        </w:rPr>
      </w:pPr>
      <w:r>
        <w:rPr>
          <w:rFonts w:ascii="Arial" w:cs="Arial" w:eastAsia="Arial" w:hAnsi="Arial"/>
          <w:sz w:val="22"/>
          <w:szCs w:val="22"/>
          <w:i w:val="1"/>
          <w:iCs w:val="1"/>
          <w:color w:val="auto"/>
        </w:rPr>
        <w:t>Optional Acceleration</w:t>
      </w:r>
      <w:r>
        <w:rPr>
          <w:rFonts w:ascii="Arial" w:cs="Arial" w:eastAsia="Arial" w:hAnsi="Arial"/>
          <w:sz w:val="22"/>
          <w:szCs w:val="22"/>
          <w:color w:val="auto"/>
        </w:rPr>
        <w:t>. Subject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7.03</w:t>
      </w:r>
      <w:r>
        <w:rPr>
          <w:rFonts w:ascii="Arial" w:cs="Arial" w:eastAsia="Arial" w:hAnsi="Arial"/>
          <w:sz w:val="22"/>
          <w:szCs w:val="22"/>
          <w:color w:val="auto"/>
        </w:rPr>
        <w:t>, if an Event of Default (other than an Event of Default set forth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 xml:space="preserve">Section 7.01(A)(ix) </w:t>
      </w:r>
      <w:r>
        <w:rPr>
          <w:rFonts w:ascii="Arial" w:cs="Arial" w:eastAsia="Arial" w:hAnsi="Arial"/>
          <w:sz w:val="22"/>
          <w:szCs w:val="22"/>
          <w:color w:val="auto"/>
        </w:rPr>
        <w:t>or</w:t>
      </w:r>
      <w:r>
        <w:rPr>
          <w:rFonts w:ascii="Arial" w:cs="Arial" w:eastAsia="Arial" w:hAnsi="Arial"/>
          <w:sz w:val="22"/>
          <w:szCs w:val="22"/>
          <w:b w:val="1"/>
          <w:bCs w:val="1"/>
          <w:color w:val="auto"/>
        </w:rPr>
        <w:t xml:space="preserve"> 7.01(A)(x) </w:t>
      </w:r>
      <w:r>
        <w:rPr>
          <w:rFonts w:ascii="Arial" w:cs="Arial" w:eastAsia="Arial" w:hAnsi="Arial"/>
          <w:sz w:val="22"/>
          <w:szCs w:val="22"/>
          <w:color w:val="auto"/>
        </w:rPr>
        <w:t>with respect to the Company and not solely with respect to a Significant Subsidiary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occurs and is continuing, then the Trustee, by notice to the Company, or Holders of at least twenty five percent (25%) of the aggregate principal amount of Notes then outstanding, by written notice to the Company and the Trustee, may declare the principal amount of, and all accrued and unpaid interest on, all of the Notes then outstanding to become due and payable immediately.</w:t>
      </w:r>
    </w:p>
    <w:p>
      <w:pPr>
        <w:spacing w:after="0" w:line="133" w:lineRule="exact"/>
        <w:rPr>
          <w:rFonts w:ascii="Arial" w:cs="Arial" w:eastAsia="Arial" w:hAnsi="Arial"/>
          <w:sz w:val="22"/>
          <w:szCs w:val="22"/>
          <w:color w:val="auto"/>
        </w:rPr>
      </w:pPr>
    </w:p>
    <w:p>
      <w:pPr>
        <w:jc w:val="both"/>
        <w:ind w:firstLine="656"/>
        <w:spacing w:after="0" w:line="297" w:lineRule="auto"/>
        <w:tabs>
          <w:tab w:leader="none" w:pos="1129" w:val="left"/>
        </w:tabs>
        <w:numPr>
          <w:ilvl w:val="1"/>
          <w:numId w:val="108"/>
        </w:numPr>
        <w:rPr>
          <w:rFonts w:ascii="Arial" w:cs="Arial" w:eastAsia="Arial" w:hAnsi="Arial"/>
          <w:sz w:val="19"/>
          <w:szCs w:val="19"/>
          <w:color w:val="auto"/>
        </w:rPr>
      </w:pPr>
      <w:r>
        <w:rPr>
          <w:rFonts w:ascii="Arial" w:cs="Arial" w:eastAsia="Arial" w:hAnsi="Arial"/>
          <w:sz w:val="19"/>
          <w:szCs w:val="19"/>
          <w:i w:val="1"/>
          <w:iCs w:val="1"/>
          <w:color w:val="auto"/>
        </w:rPr>
        <w:t>Rescission of Acceleration</w:t>
      </w:r>
      <w:r>
        <w:rPr>
          <w:rFonts w:ascii="Arial" w:cs="Arial" w:eastAsia="Arial" w:hAnsi="Arial"/>
          <w:sz w:val="19"/>
          <w:szCs w:val="19"/>
          <w:color w:val="auto"/>
        </w:rPr>
        <w:t>. Notwithstanding anything to the contrary in this Indenture or the Notes, the Holders of a</w:t>
      </w:r>
      <w:r>
        <w:rPr>
          <w:rFonts w:ascii="Arial" w:cs="Arial" w:eastAsia="Arial" w:hAnsi="Arial"/>
          <w:sz w:val="19"/>
          <w:szCs w:val="19"/>
          <w:i w:val="1"/>
          <w:iCs w:val="1"/>
          <w:color w:val="auto"/>
        </w:rPr>
        <w:t xml:space="preserve"> </w:t>
      </w:r>
      <w:r>
        <w:rPr>
          <w:rFonts w:ascii="Arial" w:cs="Arial" w:eastAsia="Arial" w:hAnsi="Arial"/>
          <w:sz w:val="19"/>
          <w:szCs w:val="19"/>
          <w:color w:val="auto"/>
        </w:rPr>
        <w:t>majority in aggregate principal amount of the Notes then outstanding, by written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86"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7.03.</w:t>
      </w:r>
      <w:r>
        <w:rPr>
          <w:sz w:val="20"/>
          <w:szCs w:val="20"/>
          <w:color w:val="auto"/>
        </w:rPr>
        <w:tab/>
      </w:r>
      <w:r>
        <w:rPr>
          <w:rFonts w:ascii="Arial" w:cs="Arial" w:eastAsia="Arial" w:hAnsi="Arial"/>
          <w:sz w:val="21"/>
          <w:szCs w:val="21"/>
          <w:b w:val="1"/>
          <w:bCs w:val="1"/>
          <w:color w:val="auto"/>
        </w:rPr>
        <w:t>SOLE REMEDY FOR A FAILURE TO REPORT.</w:t>
      </w:r>
    </w:p>
    <w:p>
      <w:pPr>
        <w:spacing w:after="0" w:line="185" w:lineRule="exact"/>
        <w:rPr>
          <w:sz w:val="20"/>
          <w:szCs w:val="20"/>
          <w:color w:val="auto"/>
        </w:rPr>
      </w:pPr>
    </w:p>
    <w:p>
      <w:pPr>
        <w:jc w:val="both"/>
        <w:ind w:firstLine="656"/>
        <w:spacing w:after="0" w:line="290" w:lineRule="auto"/>
        <w:tabs>
          <w:tab w:leader="none" w:pos="1141" w:val="left"/>
        </w:tabs>
        <w:numPr>
          <w:ilvl w:val="0"/>
          <w:numId w:val="109"/>
        </w:numPr>
        <w:rPr>
          <w:rFonts w:ascii="Arial" w:cs="Arial" w:eastAsia="Arial" w:hAnsi="Arial"/>
          <w:sz w:val="19"/>
          <w:szCs w:val="19"/>
          <w:color w:val="auto"/>
        </w:rPr>
      </w:pPr>
      <w:r>
        <w:rPr>
          <w:rFonts w:ascii="Arial" w:cs="Arial" w:eastAsia="Arial" w:hAnsi="Arial"/>
          <w:sz w:val="19"/>
          <w:szCs w:val="19"/>
          <w:i w:val="1"/>
          <w:iCs w:val="1"/>
          <w:color w:val="auto"/>
        </w:rPr>
        <w:t>Generally</w:t>
      </w:r>
      <w:r>
        <w:rPr>
          <w:rFonts w:ascii="Arial" w:cs="Arial" w:eastAsia="Arial" w:hAnsi="Arial"/>
          <w:sz w:val="19"/>
          <w:szCs w:val="19"/>
          <w:color w:val="auto"/>
        </w:rPr>
        <w:t>. Notwithstanding anything to the contrary in this Indenture or the Notes, the Company may elect that the</w:t>
      </w:r>
      <w:r>
        <w:rPr>
          <w:rFonts w:ascii="Arial" w:cs="Arial" w:eastAsia="Arial" w:hAnsi="Arial"/>
          <w:sz w:val="19"/>
          <w:szCs w:val="19"/>
          <w:i w:val="1"/>
          <w:iCs w:val="1"/>
          <w:color w:val="auto"/>
        </w:rPr>
        <w:t xml:space="preserve"> </w:t>
      </w:r>
      <w:r>
        <w:rPr>
          <w:rFonts w:ascii="Arial" w:cs="Arial" w:eastAsia="Arial" w:hAnsi="Arial"/>
          <w:sz w:val="19"/>
          <w:szCs w:val="19"/>
          <w:color w:val="auto"/>
        </w:rPr>
        <w:t>sole remedy for any Event of Default (a “</w:t>
      </w:r>
      <w:r>
        <w:rPr>
          <w:rFonts w:ascii="Arial" w:cs="Arial" w:eastAsia="Arial" w:hAnsi="Arial"/>
          <w:sz w:val="19"/>
          <w:szCs w:val="19"/>
          <w:b w:val="1"/>
          <w:bCs w:val="1"/>
          <w:color w:val="auto"/>
        </w:rPr>
        <w:t>Reporting Event of Default</w:t>
      </w:r>
      <w:r>
        <w:rPr>
          <w:rFonts w:ascii="Arial" w:cs="Arial" w:eastAsia="Arial" w:hAnsi="Arial"/>
          <w:sz w:val="19"/>
          <w:szCs w:val="19"/>
          <w:color w:val="auto"/>
        </w:rPr>
        <w:t xml:space="preserve">”) pursuant to </w:t>
      </w:r>
      <w:r>
        <w:rPr>
          <w:rFonts w:ascii="Arial" w:cs="Arial" w:eastAsia="Arial" w:hAnsi="Arial"/>
          <w:sz w:val="19"/>
          <w:szCs w:val="19"/>
          <w:b w:val="1"/>
          <w:bCs w:val="1"/>
          <w:color w:val="auto"/>
        </w:rPr>
        <w:t>Section 7.01(A)(vi)</w:t>
      </w:r>
      <w:r>
        <w:rPr>
          <w:rFonts w:ascii="Arial" w:cs="Arial" w:eastAsia="Arial" w:hAnsi="Arial"/>
          <w:sz w:val="19"/>
          <w:szCs w:val="19"/>
          <w:color w:val="auto"/>
        </w:rPr>
        <w:t xml:space="preserve"> arising from the Company’s failure to comply with </w:t>
      </w:r>
      <w:r>
        <w:rPr>
          <w:rFonts w:ascii="Arial" w:cs="Arial" w:eastAsia="Arial" w:hAnsi="Arial"/>
          <w:sz w:val="19"/>
          <w:szCs w:val="19"/>
          <w:b w:val="1"/>
          <w:bCs w:val="1"/>
          <w:color w:val="auto"/>
        </w:rPr>
        <w:t>Section 3.02</w:t>
      </w:r>
      <w:r>
        <w:rPr>
          <w:rFonts w:ascii="Arial" w:cs="Arial" w:eastAsia="Arial" w:hAnsi="Arial"/>
          <w:sz w:val="19"/>
          <w:szCs w:val="19"/>
          <w:color w:val="auto"/>
        </w:rPr>
        <w:t xml:space="preserve"> will, for each of the first three hundred and sixty (360)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Arial" w:cs="Arial" w:eastAsia="Arial" w:hAnsi="Arial"/>
          <w:sz w:val="19"/>
          <w:szCs w:val="19"/>
          <w:b w:val="1"/>
          <w:bCs w:val="1"/>
          <w:color w:val="auto"/>
        </w:rPr>
        <w:t>Section 7.02</w:t>
      </w:r>
      <w:r>
        <w:rPr>
          <w:rFonts w:ascii="Arial" w:cs="Arial" w:eastAsia="Arial" w:hAnsi="Arial"/>
          <w:sz w:val="19"/>
          <w:szCs w:val="19"/>
          <w:color w:val="auto"/>
        </w:rPr>
        <w:t xml:space="preserve"> on account of the relevant Reporting Event of Default from, and including, the three hundred and sixty first (361st) calendar day on which a Reporting Event of Default has occurred and is continuing or if the Company fails to pay any accrued and unpaid Special Interest when due; and (ii) Special Interest will cease to accrue on any Notes from, and including, the earlier of (x) the date on which the Reporting Event of Default is cured or validly waived and (y) such three hundred and sixty first (361st) calendar day (it being understood that interest on any defaulted Special Interest will nonetheless accrue pursuant to </w:t>
      </w:r>
      <w:r>
        <w:rPr>
          <w:rFonts w:ascii="Arial" w:cs="Arial" w:eastAsia="Arial" w:hAnsi="Arial"/>
          <w:sz w:val="19"/>
          <w:szCs w:val="19"/>
          <w:b w:val="1"/>
          <w:bCs w:val="1"/>
          <w:color w:val="auto"/>
        </w:rPr>
        <w:t>Section 2.05(B)</w:t>
      </w:r>
      <w:r>
        <w:rPr>
          <w:rFonts w:ascii="Arial" w:cs="Arial" w:eastAsia="Arial" w:hAnsi="Arial"/>
          <w:sz w:val="19"/>
          <w:szCs w:val="19"/>
          <w:color w:val="auto"/>
        </w:rPr>
        <w:t>).</w:t>
      </w:r>
    </w:p>
    <w:p>
      <w:pPr>
        <w:spacing w:after="0" w:line="94" w:lineRule="exact"/>
        <w:rPr>
          <w:rFonts w:ascii="Arial" w:cs="Arial" w:eastAsia="Arial" w:hAnsi="Arial"/>
          <w:sz w:val="19"/>
          <w:szCs w:val="19"/>
          <w:color w:val="auto"/>
        </w:rPr>
      </w:pPr>
    </w:p>
    <w:p>
      <w:pPr>
        <w:jc w:val="both"/>
        <w:ind w:firstLine="656"/>
        <w:spacing w:after="0" w:line="262" w:lineRule="auto"/>
        <w:tabs>
          <w:tab w:leader="none" w:pos="1170" w:val="left"/>
        </w:tabs>
        <w:numPr>
          <w:ilvl w:val="0"/>
          <w:numId w:val="109"/>
        </w:numPr>
        <w:rPr>
          <w:rFonts w:ascii="Arial" w:cs="Arial" w:eastAsia="Arial" w:hAnsi="Arial"/>
          <w:sz w:val="22"/>
          <w:szCs w:val="22"/>
          <w:color w:val="auto"/>
        </w:rPr>
      </w:pPr>
      <w:r>
        <w:rPr>
          <w:rFonts w:ascii="Arial" w:cs="Arial" w:eastAsia="Arial" w:hAnsi="Arial"/>
          <w:sz w:val="22"/>
          <w:szCs w:val="22"/>
          <w:i w:val="1"/>
          <w:iCs w:val="1"/>
          <w:color w:val="auto"/>
        </w:rPr>
        <w:t>Amount and Payment of Special Interest</w:t>
      </w:r>
      <w:r>
        <w:rPr>
          <w:rFonts w:ascii="Arial" w:cs="Arial" w:eastAsia="Arial" w:hAnsi="Arial"/>
          <w:sz w:val="22"/>
          <w:szCs w:val="22"/>
          <w:color w:val="auto"/>
        </w:rPr>
        <w:t>. Any Special Interest that accrues on a Note pursuant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7.03(A)</w:t>
      </w:r>
      <w:r>
        <w:rPr>
          <w:rFonts w:ascii="Arial" w:cs="Arial" w:eastAsia="Arial" w:hAnsi="Arial"/>
          <w:sz w:val="22"/>
          <w:szCs w:val="22"/>
          <w:i w:val="1"/>
          <w:iCs w:val="1"/>
          <w:color w:val="auto"/>
        </w:rPr>
        <w:t xml:space="preserve"> </w:t>
      </w:r>
      <w:r>
        <w:rPr>
          <w:rFonts w:ascii="Arial" w:cs="Arial" w:eastAsia="Arial" w:hAnsi="Arial"/>
          <w:sz w:val="22"/>
          <w:szCs w:val="22"/>
          <w:color w:val="auto"/>
        </w:rPr>
        <w:t>will be payable on the same dates and in the same manner as the Stated Interest on such Note and will accrue at a rate per annum equal to one quarter of one percent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348" w:right="339" w:bottom="1440" w:gutter="0" w:footer="0" w:header="0"/>
        </w:sectPr>
      </w:pPr>
    </w:p>
    <w:bookmarkStart w:id="74" w:name="page75"/>
    <w:bookmarkEnd w:id="74"/>
    <w:p>
      <w:pPr>
        <w:jc w:val="both"/>
        <w:spacing w:after="0" w:line="292" w:lineRule="auto"/>
        <w:rPr>
          <w:sz w:val="20"/>
          <w:szCs w:val="20"/>
          <w:color w:val="auto"/>
        </w:rPr>
      </w:pPr>
      <w:r>
        <w:rPr>
          <w:rFonts w:ascii="Arial" w:cs="Arial" w:eastAsia="Arial" w:hAnsi="Arial"/>
          <w:sz w:val="19"/>
          <w:szCs w:val="19"/>
          <w:color w:val="auto"/>
        </w:rPr>
        <w:t xml:space="preserve">(0.25%) of the principal amount thereof for the first one hundred and eighty (180) days on which Special Interest accrues and, thereafter, at a rate per annum equal to one half of one percent (0.50%) of the principal amount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will Special Interest, together with any Additional Interest, accrue on any day on a Note at a combined rate per annum that exceeds one half of one percent (0.50%), regardless of the number of events or circumstances giving rise to the requirement to pay such Special Interest or Additional Interest.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spacing w:after="0" w:line="91" w:lineRule="exact"/>
        <w:rPr>
          <w:sz w:val="20"/>
          <w:szCs w:val="20"/>
          <w:color w:val="auto"/>
        </w:rPr>
      </w:pPr>
    </w:p>
    <w:p>
      <w:pPr>
        <w:jc w:val="both"/>
        <w:ind w:firstLine="656"/>
        <w:spacing w:after="0" w:line="251" w:lineRule="auto"/>
        <w:tabs>
          <w:tab w:leader="none" w:pos="1170"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Notice of Election</w:t>
      </w:r>
      <w:r>
        <w:rPr>
          <w:rFonts w:ascii="Arial" w:cs="Arial" w:eastAsia="Arial" w:hAnsi="Arial"/>
          <w:sz w:val="22"/>
          <w:szCs w:val="22"/>
          <w:color w:val="auto"/>
        </w:rPr>
        <w:t>. To make the election set forth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7.03(A)</w:t>
      </w:r>
      <w:r>
        <w:rPr>
          <w:rFonts w:ascii="Arial" w:cs="Arial" w:eastAsia="Arial" w:hAnsi="Arial"/>
          <w:sz w:val="22"/>
          <w:szCs w:val="22"/>
          <w:color w:val="auto"/>
        </w:rPr>
        <w:t>, the Company must send to the Holders, the</w:t>
      </w:r>
      <w:r>
        <w:rPr>
          <w:rFonts w:ascii="Arial" w:cs="Arial" w:eastAsia="Arial" w:hAnsi="Arial"/>
          <w:sz w:val="22"/>
          <w:szCs w:val="22"/>
          <w:i w:val="1"/>
          <w:iCs w:val="1"/>
          <w:color w:val="auto"/>
        </w:rPr>
        <w:t xml:space="preserve"> </w:t>
      </w:r>
      <w:r>
        <w:rPr>
          <w:rFonts w:ascii="Arial" w:cs="Arial" w:eastAsia="Arial" w:hAnsi="Arial"/>
          <w:sz w:val="22"/>
          <w:szCs w:val="22"/>
          <w:color w:val="auto"/>
        </w:rPr>
        <w:t>Trustee and the Paying Agent, on or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33" w:lineRule="exact"/>
        <w:rPr>
          <w:rFonts w:ascii="Arial" w:cs="Arial" w:eastAsia="Arial" w:hAnsi="Arial"/>
          <w:sz w:val="22"/>
          <w:szCs w:val="22"/>
          <w:color w:val="auto"/>
        </w:rPr>
      </w:pPr>
    </w:p>
    <w:p>
      <w:pPr>
        <w:jc w:val="both"/>
        <w:ind w:firstLine="656"/>
        <w:spacing w:after="0" w:line="266" w:lineRule="auto"/>
        <w:tabs>
          <w:tab w:leader="none" w:pos="1128" w:val="left"/>
        </w:tabs>
        <w:numPr>
          <w:ilvl w:val="0"/>
          <w:numId w:val="110"/>
        </w:numPr>
        <w:rPr>
          <w:rFonts w:ascii="Arial" w:cs="Arial" w:eastAsia="Arial" w:hAnsi="Arial"/>
          <w:sz w:val="21"/>
          <w:szCs w:val="21"/>
          <w:color w:val="auto"/>
        </w:rPr>
      </w:pPr>
      <w:r>
        <w:rPr>
          <w:rFonts w:ascii="Arial" w:cs="Arial" w:eastAsia="Arial" w:hAnsi="Arial"/>
          <w:sz w:val="21"/>
          <w:szCs w:val="21"/>
          <w:i w:val="1"/>
          <w:iCs w:val="1"/>
          <w:color w:val="auto"/>
        </w:rPr>
        <w:t>Notice to Trustee and Paying Agent; Trustee’s Disclaimer</w:t>
      </w:r>
      <w:r>
        <w:rPr>
          <w:rFonts w:ascii="Arial" w:cs="Arial" w:eastAsia="Arial" w:hAnsi="Arial"/>
          <w:sz w:val="21"/>
          <w:szCs w:val="21"/>
          <w:color w:val="auto"/>
        </w:rPr>
        <w:t>. If Special Interest accrues on any Note, then, no later than</w:t>
      </w:r>
      <w:r>
        <w:rPr>
          <w:rFonts w:ascii="Arial" w:cs="Arial" w:eastAsia="Arial" w:hAnsi="Arial"/>
          <w:sz w:val="21"/>
          <w:szCs w:val="21"/>
          <w:i w:val="1"/>
          <w:iCs w:val="1"/>
          <w:color w:val="auto"/>
        </w:rPr>
        <w:t xml:space="preserve"> </w:t>
      </w:r>
      <w:r>
        <w:rPr>
          <w:rFonts w:ascii="Arial" w:cs="Arial" w:eastAsia="Arial" w:hAnsi="Arial"/>
          <w:sz w:val="21"/>
          <w:szCs w:val="21"/>
          <w:color w:val="auto"/>
        </w:rPr>
        <w:t>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13" w:lineRule="exact"/>
        <w:rPr>
          <w:rFonts w:ascii="Arial" w:cs="Arial" w:eastAsia="Arial" w:hAnsi="Arial"/>
          <w:sz w:val="21"/>
          <w:szCs w:val="21"/>
          <w:color w:val="auto"/>
        </w:rPr>
      </w:pPr>
    </w:p>
    <w:p>
      <w:pPr>
        <w:jc w:val="both"/>
        <w:ind w:firstLine="656"/>
        <w:spacing w:after="0" w:line="262" w:lineRule="auto"/>
        <w:tabs>
          <w:tab w:leader="none" w:pos="1117"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No Effect on Other Events of Default</w:t>
      </w:r>
      <w:r>
        <w:rPr>
          <w:rFonts w:ascii="Arial" w:cs="Arial" w:eastAsia="Arial" w:hAnsi="Arial"/>
          <w:sz w:val="22"/>
          <w:szCs w:val="22"/>
          <w:color w:val="auto"/>
        </w:rPr>
        <w:t>. No election pursuant to this</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7.03</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a Reporting Event of</w:t>
      </w:r>
      <w:r>
        <w:rPr>
          <w:rFonts w:ascii="Arial" w:cs="Arial" w:eastAsia="Arial" w:hAnsi="Arial"/>
          <w:sz w:val="22"/>
          <w:szCs w:val="22"/>
          <w:i w:val="1"/>
          <w:iCs w:val="1"/>
          <w:color w:val="auto"/>
        </w:rPr>
        <w:t xml:space="preserve"> </w:t>
      </w:r>
      <w:r>
        <w:rPr>
          <w:rFonts w:ascii="Arial" w:cs="Arial" w:eastAsia="Arial" w:hAnsi="Arial"/>
          <w:sz w:val="22"/>
          <w:szCs w:val="22"/>
          <w:color w:val="auto"/>
        </w:rPr>
        <w:t>Default will affect the rights of any Holder with respect to any other Event of Default, including with respect to any other Reporting Event of Default.</w:t>
      </w:r>
    </w:p>
    <w:p>
      <w:pPr>
        <w:spacing w:after="0" w:line="117"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7.04.</w:t>
      </w:r>
      <w:r>
        <w:rPr>
          <w:sz w:val="20"/>
          <w:szCs w:val="20"/>
          <w:color w:val="auto"/>
        </w:rPr>
        <w:tab/>
      </w:r>
      <w:r>
        <w:rPr>
          <w:rFonts w:ascii="Arial" w:cs="Arial" w:eastAsia="Arial" w:hAnsi="Arial"/>
          <w:sz w:val="21"/>
          <w:szCs w:val="21"/>
          <w:b w:val="1"/>
          <w:bCs w:val="1"/>
          <w:color w:val="auto"/>
        </w:rPr>
        <w:t>OTHER REMEDIES.</w:t>
      </w:r>
    </w:p>
    <w:p>
      <w:pPr>
        <w:spacing w:after="0" w:line="185" w:lineRule="exact"/>
        <w:rPr>
          <w:sz w:val="20"/>
          <w:szCs w:val="20"/>
          <w:color w:val="auto"/>
        </w:rPr>
      </w:pPr>
    </w:p>
    <w:p>
      <w:pPr>
        <w:jc w:val="both"/>
        <w:ind w:firstLine="656"/>
        <w:spacing w:after="0" w:line="259" w:lineRule="auto"/>
        <w:tabs>
          <w:tab w:leader="none" w:pos="1141" w:val="left"/>
        </w:tabs>
        <w:numPr>
          <w:ilvl w:val="0"/>
          <w:numId w:val="111"/>
        </w:numPr>
        <w:rPr>
          <w:rFonts w:ascii="Arial" w:cs="Arial" w:eastAsia="Arial" w:hAnsi="Arial"/>
          <w:sz w:val="22"/>
          <w:szCs w:val="22"/>
          <w:color w:val="auto"/>
        </w:rPr>
      </w:pPr>
      <w:r>
        <w:rPr>
          <w:rFonts w:ascii="Arial" w:cs="Arial" w:eastAsia="Arial" w:hAnsi="Arial"/>
          <w:sz w:val="22"/>
          <w:szCs w:val="22"/>
          <w:i w:val="1"/>
          <w:iCs w:val="1"/>
          <w:color w:val="auto"/>
        </w:rPr>
        <w:t>Trustee May Pursue All Remedies</w:t>
      </w:r>
      <w:r>
        <w:rPr>
          <w:rFonts w:ascii="Arial" w:cs="Arial" w:eastAsia="Arial" w:hAnsi="Arial"/>
          <w:sz w:val="22"/>
          <w:szCs w:val="22"/>
          <w:color w:val="auto"/>
        </w:rPr>
        <w:t>. If an Event of Default occurs and is continuing, then the Trustee may pursue any</w:t>
      </w:r>
      <w:r>
        <w:rPr>
          <w:rFonts w:ascii="Arial" w:cs="Arial" w:eastAsia="Arial" w:hAnsi="Arial"/>
          <w:sz w:val="22"/>
          <w:szCs w:val="22"/>
          <w:i w:val="1"/>
          <w:iCs w:val="1"/>
          <w:color w:val="auto"/>
        </w:rPr>
        <w:t xml:space="preserve"> </w:t>
      </w:r>
      <w:r>
        <w:rPr>
          <w:rFonts w:ascii="Arial" w:cs="Arial" w:eastAsia="Arial" w:hAnsi="Arial"/>
          <w:sz w:val="22"/>
          <w:szCs w:val="22"/>
          <w:color w:val="auto"/>
        </w:rPr>
        <w:t>available remedy to collect the payment of any amounts due with respect to the Notes or to enforce the performance of any provision of this Indenture or the Notes.</w:t>
      </w:r>
    </w:p>
    <w:p>
      <w:pPr>
        <w:spacing w:after="0" w:line="126" w:lineRule="exact"/>
        <w:rPr>
          <w:rFonts w:ascii="Arial" w:cs="Arial" w:eastAsia="Arial" w:hAnsi="Arial"/>
          <w:sz w:val="22"/>
          <w:szCs w:val="22"/>
          <w:color w:val="auto"/>
        </w:rPr>
      </w:pPr>
    </w:p>
    <w:p>
      <w:pPr>
        <w:jc w:val="both"/>
        <w:ind w:firstLine="656"/>
        <w:spacing w:after="0" w:line="254" w:lineRule="auto"/>
        <w:tabs>
          <w:tab w:leader="none" w:pos="1129" w:val="left"/>
        </w:tabs>
        <w:numPr>
          <w:ilvl w:val="0"/>
          <w:numId w:val="111"/>
        </w:numPr>
        <w:rPr>
          <w:rFonts w:ascii="Arial" w:cs="Arial" w:eastAsia="Arial" w:hAnsi="Arial"/>
          <w:sz w:val="22"/>
          <w:szCs w:val="22"/>
          <w:color w:val="auto"/>
        </w:rPr>
      </w:pPr>
      <w:r>
        <w:rPr>
          <w:rFonts w:ascii="Arial" w:cs="Arial" w:eastAsia="Arial" w:hAnsi="Arial"/>
          <w:sz w:val="22"/>
          <w:szCs w:val="22"/>
          <w:i w:val="1"/>
          <w:iCs w:val="1"/>
          <w:color w:val="auto"/>
        </w:rPr>
        <w:t>Procedural Matters</w:t>
      </w:r>
      <w:r>
        <w:rPr>
          <w:rFonts w:ascii="Arial" w:cs="Arial" w:eastAsia="Arial" w:hAnsi="Arial"/>
          <w:sz w:val="22"/>
          <w:szCs w:val="22"/>
          <w:color w:val="auto"/>
        </w:rPr>
        <w:t>. The Trustee may maintain a proceeding even if it does not possess any of the Notes or does not</w:t>
      </w:r>
      <w:r>
        <w:rPr>
          <w:rFonts w:ascii="Arial" w:cs="Arial" w:eastAsia="Arial" w:hAnsi="Arial"/>
          <w:sz w:val="22"/>
          <w:szCs w:val="22"/>
          <w:i w:val="1"/>
          <w:iCs w:val="1"/>
          <w:color w:val="auto"/>
        </w:rPr>
        <w:t xml:space="preserve"> </w:t>
      </w:r>
      <w:r>
        <w:rPr>
          <w:rFonts w:ascii="Arial" w:cs="Arial" w:eastAsia="Arial" w:hAnsi="Arial"/>
          <w:sz w:val="22"/>
          <w:szCs w:val="22"/>
          <w:color w:val="auto"/>
        </w:rPr>
        <w:t>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25"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7.05.</w:t>
      </w:r>
      <w:r>
        <w:rPr>
          <w:sz w:val="20"/>
          <w:szCs w:val="20"/>
          <w:color w:val="auto"/>
        </w:rPr>
        <w:tab/>
      </w:r>
      <w:r>
        <w:rPr>
          <w:rFonts w:ascii="Arial" w:cs="Arial" w:eastAsia="Arial" w:hAnsi="Arial"/>
          <w:sz w:val="21"/>
          <w:szCs w:val="21"/>
          <w:b w:val="1"/>
          <w:bCs w:val="1"/>
          <w:color w:val="auto"/>
        </w:rPr>
        <w:t>WAIVER OF PAST DEFAULTS.</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An Event of Default pursuant to </w:t>
      </w:r>
      <w:r>
        <w:rPr>
          <w:rFonts w:ascii="Arial" w:cs="Arial" w:eastAsia="Arial" w:hAnsi="Arial"/>
          <w:sz w:val="22"/>
          <w:szCs w:val="22"/>
          <w:b w:val="1"/>
          <w:bCs w:val="1"/>
          <w:color w:val="auto"/>
        </w:rPr>
        <w:t>clause (i)</w:t>
      </w:r>
      <w:r>
        <w:rPr>
          <w:rFonts w:ascii="Arial" w:cs="Arial" w:eastAsia="Arial" w:hAnsi="Arial"/>
          <w:sz w:val="22"/>
          <w:szCs w:val="22"/>
          <w:color w:val="auto"/>
        </w:rPr>
        <w:t xml:space="preserve">, </w:t>
      </w:r>
      <w:r>
        <w:rPr>
          <w:rFonts w:ascii="Arial" w:cs="Arial" w:eastAsia="Arial" w:hAnsi="Arial"/>
          <w:sz w:val="22"/>
          <w:szCs w:val="22"/>
          <w:b w:val="1"/>
          <w:bCs w:val="1"/>
          <w:color w:val="auto"/>
        </w:rPr>
        <w:t>(ii)</w:t>
      </w:r>
      <w:r>
        <w:rPr>
          <w:rFonts w:ascii="Arial" w:cs="Arial" w:eastAsia="Arial" w:hAnsi="Arial"/>
          <w:sz w:val="22"/>
          <w:szCs w:val="22"/>
          <w:color w:val="auto"/>
        </w:rPr>
        <w:t xml:space="preserve">, </w:t>
      </w:r>
      <w:r>
        <w:rPr>
          <w:rFonts w:ascii="Arial" w:cs="Arial" w:eastAsia="Arial" w:hAnsi="Arial"/>
          <w:sz w:val="22"/>
          <w:szCs w:val="22"/>
          <w:b w:val="1"/>
          <w:bCs w:val="1"/>
          <w:color w:val="auto"/>
        </w:rPr>
        <w:t>(iv)</w:t>
      </w:r>
      <w:r>
        <w:rPr>
          <w:rFonts w:ascii="Arial" w:cs="Arial" w:eastAsia="Arial" w:hAnsi="Arial"/>
          <w:sz w:val="22"/>
          <w:szCs w:val="22"/>
          <w:color w:val="auto"/>
        </w:rPr>
        <w:t xml:space="preserve"> or </w:t>
      </w:r>
      <w:r>
        <w:rPr>
          <w:rFonts w:ascii="Arial" w:cs="Arial" w:eastAsia="Arial" w:hAnsi="Arial"/>
          <w:sz w:val="22"/>
          <w:szCs w:val="22"/>
          <w:b w:val="1"/>
          <w:bCs w:val="1"/>
          <w:color w:val="auto"/>
        </w:rPr>
        <w:t>(vi)</w:t>
      </w:r>
      <w:r>
        <w:rPr>
          <w:rFonts w:ascii="Arial" w:cs="Arial" w:eastAsia="Arial" w:hAnsi="Arial"/>
          <w:sz w:val="22"/>
          <w:szCs w:val="22"/>
          <w:color w:val="auto"/>
        </w:rPr>
        <w:t xml:space="preserve"> of </w:t>
      </w:r>
      <w:r>
        <w:rPr>
          <w:rFonts w:ascii="Arial" w:cs="Arial" w:eastAsia="Arial" w:hAnsi="Arial"/>
          <w:sz w:val="22"/>
          <w:szCs w:val="22"/>
          <w:b w:val="1"/>
          <w:bCs w:val="1"/>
          <w:color w:val="auto"/>
        </w:rPr>
        <w:t>Section 7.01(A)</w:t>
      </w:r>
      <w:r>
        <w:rPr>
          <w:rFonts w:ascii="Arial" w:cs="Arial" w:eastAsia="Arial" w:hAnsi="Arial"/>
          <w:sz w:val="22"/>
          <w:szCs w:val="22"/>
          <w:color w:val="auto"/>
        </w:rPr>
        <w:t xml:space="preserve"> (that, in the case of </w:t>
      </w:r>
      <w:r>
        <w:rPr>
          <w:rFonts w:ascii="Arial" w:cs="Arial" w:eastAsia="Arial" w:hAnsi="Arial"/>
          <w:sz w:val="22"/>
          <w:szCs w:val="22"/>
          <w:b w:val="1"/>
          <w:bCs w:val="1"/>
          <w:color w:val="auto"/>
        </w:rPr>
        <w:t>clause (vi)</w:t>
      </w:r>
      <w:r>
        <w:rPr>
          <w:rFonts w:ascii="Arial" w:cs="Arial" w:eastAsia="Arial" w:hAnsi="Arial"/>
          <w:sz w:val="22"/>
          <w:szCs w:val="22"/>
          <w:color w:val="auto"/>
        </w:rPr>
        <w:t xml:space="preserve"> only, results from a Default under any covenant that cannot be amended without the consent of each affected Holder), and a Default that could lead to such an Event of Default,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348" w:right="339" w:bottom="1440" w:gutter="0" w:footer="0" w:header="0"/>
        </w:sectPr>
      </w:pPr>
    </w:p>
    <w:bookmarkStart w:id="75" w:name="page76"/>
    <w:bookmarkEnd w:id="75"/>
    <w:p>
      <w:pPr>
        <w:jc w:val="both"/>
        <w:spacing w:after="0" w:line="248" w:lineRule="auto"/>
        <w:rPr>
          <w:sz w:val="20"/>
          <w:szCs w:val="20"/>
          <w:color w:val="auto"/>
        </w:rPr>
      </w:pPr>
      <w:r>
        <w:rPr>
          <w:rFonts w:ascii="Arial" w:cs="Arial" w:eastAsia="Arial" w:hAnsi="Arial"/>
          <w:sz w:val="22"/>
          <w:szCs w:val="22"/>
          <w:color w:val="auto"/>
        </w:rPr>
        <w:t>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132"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7.06.</w:t>
        <w:tab/>
        <w:t>CONTROL BY MAJORITY.</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Arial" w:cs="Arial" w:eastAsia="Arial" w:hAnsi="Arial"/>
          <w:sz w:val="19"/>
          <w:szCs w:val="19"/>
          <w:b w:val="1"/>
          <w:bCs w:val="1"/>
          <w:color w:val="auto"/>
        </w:rPr>
        <w:t>Section 10.01</w:t>
      </w:r>
      <w:r>
        <w:rPr>
          <w:rFonts w:ascii="Arial" w:cs="Arial" w:eastAsia="Arial" w:hAnsi="Arial"/>
          <w:sz w:val="19"/>
          <w:szCs w:val="19"/>
          <w:color w:val="auto"/>
        </w:rPr>
        <w:t>, may be unduly prejudicial to the rights of other Holders (it being understood that the Trustee does not have an</w:t>
      </w:r>
      <w:r>
        <w:rPr>
          <w:rFonts w:ascii="Arial" w:cs="Arial" w:eastAsia="Arial" w:hAnsi="Arial"/>
          <w:sz w:val="19"/>
          <w:szCs w:val="19"/>
          <w:b w:val="1"/>
          <w:bCs w:val="1"/>
          <w:color w:val="auto"/>
        </w:rPr>
        <w:t xml:space="preserve"> </w:t>
      </w:r>
      <w:r>
        <w:rPr>
          <w:rFonts w:ascii="Arial" w:cs="Arial" w:eastAsia="Arial" w:hAnsi="Arial"/>
          <w:sz w:val="19"/>
          <w:szCs w:val="19"/>
          <w:color w:val="auto"/>
        </w:rPr>
        <w:t>affirmative duty to ascertain whether or not any such direction is unduly prejudicial to any Holders) or may involve the Trustee in liability, unless the Trustee is offered security and indemnity satisfactory to the Trustee against any loss, liability or expense to the Trustee that may result from the Trustee’s following such direction.</w:t>
      </w:r>
    </w:p>
    <w:p>
      <w:pPr>
        <w:spacing w:after="0" w:line="9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7.07.</w:t>
        <w:tab/>
        <w:t>LIMITATION ON SUITS.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No Holder may pursue any remedy with respect to this Indenture or the Notes (except to enforce (x) its rights to receive the principal of, or the Redemption Price or Fundamental Change Repurchase Price for, or interest on, any Notes; or (y) the Company’s obligations to convert any Notes pursuant to </w:t>
      </w:r>
      <w:r>
        <w:rPr>
          <w:rFonts w:ascii="Arial" w:cs="Arial" w:eastAsia="Arial" w:hAnsi="Arial"/>
          <w:sz w:val="22"/>
          <w:szCs w:val="22"/>
          <w:b w:val="1"/>
          <w:bCs w:val="1"/>
          <w:color w:val="auto"/>
        </w:rPr>
        <w:t>Article 5</w:t>
      </w:r>
      <w:r>
        <w:rPr>
          <w:rFonts w:ascii="Arial" w:cs="Arial" w:eastAsia="Arial" w:hAnsi="Arial"/>
          <w:sz w:val="22"/>
          <w:szCs w:val="22"/>
          <w:color w:val="auto"/>
        </w:rPr>
        <w:t>, in each case under clause (x) or (y), on or after the respective due dates therefor provided in this Indenture and the Notes), unless:</w:t>
      </w:r>
    </w:p>
    <w:p>
      <w:pPr>
        <w:spacing w:after="0" w:line="134" w:lineRule="exact"/>
        <w:rPr>
          <w:sz w:val="20"/>
          <w:szCs w:val="20"/>
          <w:color w:val="auto"/>
        </w:rPr>
      </w:pPr>
    </w:p>
    <w:p>
      <w:pPr>
        <w:ind w:left="1140" w:hanging="484"/>
        <w:spacing w:after="0"/>
        <w:tabs>
          <w:tab w:leader="none" w:pos="11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such Holder has previously delivered to the Trustee notice that an Event of Default is continuing;</w:t>
      </w:r>
    </w:p>
    <w:p>
      <w:pPr>
        <w:spacing w:after="0" w:line="179" w:lineRule="exact"/>
        <w:rPr>
          <w:rFonts w:ascii="Arial" w:cs="Arial" w:eastAsia="Arial" w:hAnsi="Arial"/>
          <w:sz w:val="22"/>
          <w:szCs w:val="22"/>
          <w:color w:val="auto"/>
        </w:rPr>
      </w:pPr>
    </w:p>
    <w:p>
      <w:pPr>
        <w:ind w:firstLine="656"/>
        <w:spacing w:after="0" w:line="276" w:lineRule="auto"/>
        <w:tabs>
          <w:tab w:leader="none" w:pos="114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Holders of at least twenty five percent (25%) in aggregate principal amount of the Notes then outstanding deliver a written request to the Trustee to pursue such remedy;</w:t>
      </w:r>
    </w:p>
    <w:p>
      <w:pPr>
        <w:spacing w:after="0" w:line="106" w:lineRule="exact"/>
        <w:rPr>
          <w:rFonts w:ascii="Arial" w:cs="Arial" w:eastAsia="Arial" w:hAnsi="Arial"/>
          <w:sz w:val="22"/>
          <w:szCs w:val="22"/>
          <w:color w:val="auto"/>
        </w:rPr>
      </w:pPr>
    </w:p>
    <w:p>
      <w:pPr>
        <w:ind w:right="20" w:firstLine="656"/>
        <w:spacing w:after="0" w:line="301" w:lineRule="auto"/>
        <w:tabs>
          <w:tab w:leader="none" w:pos="121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82" w:lineRule="exact"/>
        <w:rPr>
          <w:rFonts w:ascii="Arial" w:cs="Arial" w:eastAsia="Arial" w:hAnsi="Arial"/>
          <w:sz w:val="21"/>
          <w:szCs w:val="21"/>
          <w:color w:val="auto"/>
        </w:rPr>
      </w:pPr>
    </w:p>
    <w:p>
      <w:pPr>
        <w:ind w:firstLine="656"/>
        <w:spacing w:after="0" w:line="276" w:lineRule="auto"/>
        <w:tabs>
          <w:tab w:leader="none" w:pos="116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Trustee does not comply with such request within sixty (60) calendar days after its receipt of such request and such offer of security or indemnity; and</w:t>
      </w:r>
    </w:p>
    <w:p>
      <w:pPr>
        <w:spacing w:after="0" w:line="106" w:lineRule="exact"/>
        <w:rPr>
          <w:rFonts w:ascii="Arial" w:cs="Arial" w:eastAsia="Arial" w:hAnsi="Arial"/>
          <w:sz w:val="22"/>
          <w:szCs w:val="22"/>
          <w:color w:val="auto"/>
        </w:rPr>
      </w:pPr>
    </w:p>
    <w:p>
      <w:pPr>
        <w:ind w:firstLine="656"/>
        <w:spacing w:after="0" w:line="276" w:lineRule="auto"/>
        <w:tabs>
          <w:tab w:leader="none" w:pos="115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during such sixty (60) calendar day period, Holders of a majority in aggregate principal amount of the Notes then outstanding do not deliver to the Trustee a direction that is inconsistent with such request.</w:t>
      </w:r>
    </w:p>
    <w:p>
      <w:pPr>
        <w:spacing w:after="0" w:line="1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348" w:right="339" w:bottom="1440" w:gutter="0" w:footer="0" w:header="0"/>
        </w:sectPr>
      </w:pPr>
    </w:p>
    <w:bookmarkStart w:id="76" w:name="page77"/>
    <w:bookmarkEnd w:id="76"/>
    <w:p>
      <w:pPr>
        <w:jc w:val="both"/>
        <w:ind w:right="20"/>
        <w:spacing w:after="0" w:line="282" w:lineRule="auto"/>
        <w:rPr>
          <w:sz w:val="20"/>
          <w:szCs w:val="20"/>
          <w:color w:val="auto"/>
        </w:rPr>
      </w:pPr>
      <w:r>
        <w:rPr>
          <w:rFonts w:ascii="Arial" w:cs="Arial" w:eastAsia="Arial" w:hAnsi="Arial"/>
          <w:sz w:val="22"/>
          <w:szCs w:val="22"/>
          <w:b w:val="1"/>
          <w:bCs w:val="1"/>
          <w:color w:val="auto"/>
        </w:rPr>
        <w:t>Section 7.08. RIGHT OF HOLDERS TO INSTITUTE SUIT FOR THE ENFORCEMENT OF THE RIGHT TO RECEIVE PAYMENT AND CONVERSION CONSIDERATION.</w:t>
      </w:r>
    </w:p>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Notwithstanding anything to the contrary in this Indenture or the Notes (but without limiting </w:t>
      </w:r>
      <w:r>
        <w:rPr>
          <w:rFonts w:ascii="Arial" w:cs="Arial" w:eastAsia="Arial" w:hAnsi="Arial"/>
          <w:sz w:val="21"/>
          <w:szCs w:val="21"/>
          <w:b w:val="1"/>
          <w:bCs w:val="1"/>
          <w:color w:val="auto"/>
        </w:rPr>
        <w:t>Section 8.01</w:t>
      </w:r>
      <w:r>
        <w:rPr>
          <w:rFonts w:ascii="Arial" w:cs="Arial" w:eastAsia="Arial" w:hAnsi="Arial"/>
          <w:sz w:val="21"/>
          <w:szCs w:val="21"/>
          <w:color w:val="auto"/>
        </w:rPr>
        <w:t xml:space="preserve">), the right of each Holder of a Note to bring suit for the enforcement of any payment or delivery, as applicable, of the principal of, or the Redemption Price or Fundamental Change Repurchase Price for, or any interest on, or the Conversion Consideration due pursuant to </w:t>
      </w:r>
      <w:r>
        <w:rPr>
          <w:rFonts w:ascii="Arial" w:cs="Arial" w:eastAsia="Arial" w:hAnsi="Arial"/>
          <w:sz w:val="21"/>
          <w:szCs w:val="21"/>
          <w:b w:val="1"/>
          <w:bCs w:val="1"/>
          <w:color w:val="auto"/>
        </w:rPr>
        <w:t>Article 5</w:t>
      </w:r>
      <w:r>
        <w:rPr>
          <w:rFonts w:ascii="Arial" w:cs="Arial" w:eastAsia="Arial" w:hAnsi="Arial"/>
          <w:sz w:val="21"/>
          <w:szCs w:val="21"/>
          <w:color w:val="auto"/>
        </w:rPr>
        <w:t xml:space="preserve"> upon conversion of, such Note on or after the respective due dates therefor provided in this Indenture and the Notes, will not be impaired or affected without the consent of such Holder.</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7.09.</w:t>
      </w:r>
      <w:r>
        <w:rPr>
          <w:sz w:val="20"/>
          <w:szCs w:val="20"/>
          <w:color w:val="auto"/>
        </w:rPr>
        <w:tab/>
      </w:r>
      <w:r>
        <w:rPr>
          <w:rFonts w:ascii="Arial" w:cs="Arial" w:eastAsia="Arial" w:hAnsi="Arial"/>
          <w:sz w:val="21"/>
          <w:szCs w:val="21"/>
          <w:b w:val="1"/>
          <w:bCs w:val="1"/>
          <w:color w:val="auto"/>
        </w:rPr>
        <w:t>COLLECTION SUIT BY TRUSTEE.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Trustee will have the right, upon the occurrence and continuance of an Event of Default pursuant to </w:t>
      </w:r>
      <w:r>
        <w:rPr>
          <w:rFonts w:ascii="Arial" w:cs="Arial" w:eastAsia="Arial" w:hAnsi="Arial"/>
          <w:sz w:val="19"/>
          <w:szCs w:val="19"/>
          <w:b w:val="1"/>
          <w:bCs w:val="1"/>
          <w:color w:val="auto"/>
        </w:rPr>
        <w:t>clause (i)</w:t>
      </w:r>
      <w:r>
        <w:rPr>
          <w:rFonts w:ascii="Arial" w:cs="Arial" w:eastAsia="Arial" w:hAnsi="Arial"/>
          <w:sz w:val="19"/>
          <w:szCs w:val="19"/>
          <w:color w:val="auto"/>
        </w:rPr>
        <w:t xml:space="preserve">, </w:t>
      </w:r>
      <w:r>
        <w:rPr>
          <w:rFonts w:ascii="Arial" w:cs="Arial" w:eastAsia="Arial" w:hAnsi="Arial"/>
          <w:sz w:val="19"/>
          <w:szCs w:val="19"/>
          <w:b w:val="1"/>
          <w:bCs w:val="1"/>
          <w:color w:val="auto"/>
        </w:rPr>
        <w:t>(ii)</w:t>
      </w:r>
      <w:r>
        <w:rPr>
          <w:rFonts w:ascii="Arial" w:cs="Arial" w:eastAsia="Arial" w:hAnsi="Arial"/>
          <w:sz w:val="19"/>
          <w:szCs w:val="19"/>
          <w:color w:val="auto"/>
        </w:rPr>
        <w:t xml:space="preserve"> or</w:t>
      </w:r>
    </w:p>
    <w:p>
      <w:pPr>
        <w:spacing w:after="0" w:line="62" w:lineRule="exact"/>
        <w:rPr>
          <w:sz w:val="20"/>
          <w:szCs w:val="20"/>
          <w:color w:val="auto"/>
        </w:rPr>
      </w:pPr>
    </w:p>
    <w:p>
      <w:pPr>
        <w:jc w:val="both"/>
        <w:ind w:firstLine="8"/>
        <w:spacing w:after="0" w:line="244" w:lineRule="auto"/>
        <w:tabs>
          <w:tab w:leader="none" w:pos="366" w:val="left"/>
        </w:tabs>
        <w:numPr>
          <w:ilvl w:val="0"/>
          <w:numId w:val="113"/>
        </w:numPr>
        <w:rPr>
          <w:rFonts w:ascii="Arial" w:cs="Arial" w:eastAsia="Arial" w:hAnsi="Arial"/>
          <w:sz w:val="22"/>
          <w:szCs w:val="22"/>
          <w:b w:val="1"/>
          <w:bCs w:val="1"/>
          <w:color w:val="auto"/>
        </w:rPr>
      </w:pPr>
      <w:r>
        <w:rPr>
          <w:rFonts w:ascii="Arial" w:cs="Arial" w:eastAsia="Arial" w:hAnsi="Arial"/>
          <w:sz w:val="22"/>
          <w:szCs w:val="22"/>
          <w:color w:val="auto"/>
        </w:rPr>
        <w:t xml:space="preserve">of </w:t>
      </w:r>
      <w:r>
        <w:rPr>
          <w:rFonts w:ascii="Arial" w:cs="Arial" w:eastAsia="Arial" w:hAnsi="Arial"/>
          <w:sz w:val="22"/>
          <w:szCs w:val="22"/>
          <w:b w:val="1"/>
          <w:bCs w:val="1"/>
          <w:color w:val="auto"/>
        </w:rPr>
        <w:t>Section 7.01(A)</w:t>
      </w:r>
      <w:r>
        <w:rPr>
          <w:rFonts w:ascii="Arial" w:cs="Arial" w:eastAsia="Arial" w:hAnsi="Arial"/>
          <w:sz w:val="22"/>
          <w:szCs w:val="22"/>
          <w:color w:val="auto"/>
        </w:rPr>
        <w:t xml:space="preserve">, to recover judgment in its own name and as trustee of an express trust against the Company for the total unpaid or undelivered principal of, or Redemption Price or Fundamental Change Repurchase Price for, or interest on, or Conversion Consideration due pursuant to </w:t>
      </w:r>
      <w:r>
        <w:rPr>
          <w:rFonts w:ascii="Arial" w:cs="Arial" w:eastAsia="Arial" w:hAnsi="Arial"/>
          <w:sz w:val="22"/>
          <w:szCs w:val="22"/>
          <w:b w:val="1"/>
          <w:bCs w:val="1"/>
          <w:color w:val="auto"/>
        </w:rPr>
        <w:t>Article 5</w:t>
      </w:r>
      <w:r>
        <w:rPr>
          <w:rFonts w:ascii="Arial" w:cs="Arial" w:eastAsia="Arial" w:hAnsi="Arial"/>
          <w:sz w:val="22"/>
          <w:szCs w:val="22"/>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Arial" w:cs="Arial" w:eastAsia="Arial" w:hAnsi="Arial"/>
          <w:sz w:val="22"/>
          <w:szCs w:val="22"/>
          <w:b w:val="1"/>
          <w:bCs w:val="1"/>
          <w:color w:val="auto"/>
        </w:rPr>
        <w:t>Section 10.06</w:t>
      </w:r>
      <w:r>
        <w:rPr>
          <w:rFonts w:ascii="Arial" w:cs="Arial" w:eastAsia="Arial" w:hAnsi="Arial"/>
          <w:sz w:val="22"/>
          <w:szCs w:val="22"/>
          <w:color w:val="auto"/>
        </w:rPr>
        <w:t>.</w:t>
      </w:r>
    </w:p>
    <w:p>
      <w:pPr>
        <w:spacing w:after="0" w:line="22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7.10.</w:t>
      </w:r>
      <w:r>
        <w:rPr>
          <w:sz w:val="20"/>
          <w:szCs w:val="20"/>
          <w:color w:val="auto"/>
        </w:rPr>
        <w:tab/>
      </w:r>
      <w:r>
        <w:rPr>
          <w:rFonts w:ascii="Arial" w:cs="Arial" w:eastAsia="Arial" w:hAnsi="Arial"/>
          <w:sz w:val="21"/>
          <w:szCs w:val="21"/>
          <w:b w:val="1"/>
          <w:bCs w:val="1"/>
          <w:color w:val="auto"/>
        </w:rPr>
        <w:t>TRUSTEE MAY FILE PROOFS OF CLAIM.</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Arial" w:cs="Arial" w:eastAsia="Arial" w:hAnsi="Arial"/>
          <w:sz w:val="19"/>
          <w:szCs w:val="19"/>
          <w:b w:val="1"/>
          <w:bCs w:val="1"/>
          <w:color w:val="auto"/>
        </w:rPr>
        <w:t>Section 10.06</w:t>
      </w:r>
      <w:r>
        <w:rPr>
          <w:rFonts w:ascii="Arial" w:cs="Arial" w:eastAsia="Arial" w:hAnsi="Arial"/>
          <w:sz w:val="19"/>
          <w:szCs w:val="19"/>
          <w:color w:val="auto"/>
        </w:rPr>
        <w:t>.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342" w:right="339" w:bottom="1440" w:gutter="0" w:footer="0" w:header="0"/>
        </w:sectPr>
      </w:pPr>
    </w:p>
    <w:bookmarkStart w:id="77" w:name="page78"/>
    <w:bookmarkEnd w:id="77"/>
    <w:p>
      <w:pPr>
        <w:spacing w:after="0"/>
        <w:tabs>
          <w:tab w:leader="none" w:pos="1320" w:val="left"/>
        </w:tabs>
        <w:rPr>
          <w:sz w:val="20"/>
          <w:szCs w:val="20"/>
          <w:color w:val="auto"/>
        </w:rPr>
      </w:pPr>
      <w:r>
        <w:rPr>
          <w:rFonts w:ascii="Arial" w:cs="Arial" w:eastAsia="Arial" w:hAnsi="Arial"/>
          <w:sz w:val="22"/>
          <w:szCs w:val="22"/>
          <w:b w:val="1"/>
          <w:bCs w:val="1"/>
          <w:color w:val="auto"/>
        </w:rPr>
        <w:t>Section 7.11.</w:t>
        <w:tab/>
        <w:t>PRIORITIES.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Trustee will pay or deliver in the following order any money or other property that it collects pursuant to this </w:t>
      </w:r>
      <w:r>
        <w:rPr>
          <w:rFonts w:ascii="Arial" w:cs="Arial" w:eastAsia="Arial" w:hAnsi="Arial"/>
          <w:sz w:val="19"/>
          <w:szCs w:val="19"/>
          <w:b w:val="1"/>
          <w:bCs w:val="1"/>
          <w:color w:val="auto"/>
        </w:rPr>
        <w:t>Article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w:t>
      </w:r>
      <w:r>
        <w:rPr>
          <w:rFonts w:ascii="Arial" w:cs="Arial" w:eastAsia="Arial" w:hAnsi="Arial"/>
          <w:sz w:val="22"/>
          <w:szCs w:val="22"/>
          <w:color w:val="auto"/>
        </w:rPr>
        <w:t>:</w:t>
      </w:r>
    </w:p>
    <w:p>
      <w:pPr>
        <w:spacing w:after="0" w:line="196"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the Trustee, any Note Agent and their respective agents and attorneys for amounts due under</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10.06</w:t>
      </w:r>
      <w:r>
        <w:rPr>
          <w:rFonts w:ascii="Arial" w:cs="Arial" w:eastAsia="Arial" w:hAnsi="Arial"/>
          <w:sz w:val="22"/>
          <w:szCs w:val="22"/>
          <w:color w:val="auto"/>
        </w:rPr>
        <w:t>, including payment of all fees, compensation, expenses and liabilities incurred, and all advances made,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Trustee and the costs and expenses of collection;</w:t>
      </w:r>
    </w:p>
    <w:p>
      <w:pPr>
        <w:spacing w:after="0" w:line="223"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Holders for unpaid amounts or other property due on the Notes, including the principal of, or the</w:t>
      </w:r>
      <w:r>
        <w:rPr>
          <w:rFonts w:ascii="Arial" w:cs="Arial" w:eastAsia="Arial" w:hAnsi="Arial"/>
          <w:sz w:val="22"/>
          <w:szCs w:val="22"/>
          <w:i w:val="1"/>
          <w:iCs w:val="1"/>
          <w:color w:val="auto"/>
        </w:rPr>
        <w:t xml:space="preserve"> </w:t>
      </w:r>
      <w:r>
        <w:rPr>
          <w:rFonts w:ascii="Arial" w:cs="Arial" w:eastAsia="Arial" w:hAnsi="Arial"/>
          <w:sz w:val="22"/>
          <w:szCs w:val="22"/>
          <w:color w:val="auto"/>
        </w:rPr>
        <w:t>Redemption Price or Fundamental Change Repurchase Price for, or any interest on, or any Conversion Consideration due upon conversion of, the Notes, ratably, and without preference or priority of any kind, according to such amounts or other property due and payable on all of the Notes; and</w:t>
      </w:r>
    </w:p>
    <w:p>
      <w:pPr>
        <w:spacing w:after="0" w:line="228"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to the Company or such other Person as a court of competent jurisdiction directs.</w:t>
      </w:r>
    </w:p>
    <w:p>
      <w:pPr>
        <w:spacing w:after="0" w:line="2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The Trustee may fix a record date and payment date for any payment or delivery to the Holders pursuant to this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7.11</w:t>
      </w:r>
      <w:r>
        <w:rPr>
          <w:rFonts w:ascii="Arial" w:cs="Arial" w:eastAsia="Arial" w:hAnsi="Arial"/>
          <w:sz w:val="22"/>
          <w:szCs w:val="22"/>
          <w:color w:val="auto"/>
        </w:rPr>
        <w:t>, in which case the Trustee will instruct the Company to, and the Company will, deliver, at least fifteen (15) calendar days</w:t>
      </w:r>
      <w:r>
        <w:rPr>
          <w:rFonts w:ascii="Arial" w:cs="Arial" w:eastAsia="Arial" w:hAnsi="Arial"/>
          <w:sz w:val="22"/>
          <w:szCs w:val="22"/>
          <w:b w:val="1"/>
          <w:bCs w:val="1"/>
          <w:color w:val="auto"/>
        </w:rPr>
        <w:t xml:space="preserve"> </w:t>
      </w:r>
      <w:r>
        <w:rPr>
          <w:rFonts w:ascii="Arial" w:cs="Arial" w:eastAsia="Arial" w:hAnsi="Arial"/>
          <w:sz w:val="22"/>
          <w:szCs w:val="22"/>
          <w:color w:val="auto"/>
        </w:rPr>
        <w:t>before such record date, to each Holder and the Trustee a notice stating such record date, such payment date and the amount of such payment or nature of such delivery, as applicable.</w:t>
      </w:r>
    </w:p>
    <w:p>
      <w:pPr>
        <w:spacing w:after="0" w:line="220"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7.12.</w:t>
      </w:r>
      <w:r>
        <w:rPr>
          <w:sz w:val="20"/>
          <w:szCs w:val="20"/>
          <w:color w:val="auto"/>
        </w:rPr>
        <w:tab/>
      </w:r>
      <w:r>
        <w:rPr>
          <w:rFonts w:ascii="Arial" w:cs="Arial" w:eastAsia="Arial" w:hAnsi="Arial"/>
          <w:sz w:val="21"/>
          <w:szCs w:val="21"/>
          <w:b w:val="1"/>
          <w:bCs w:val="1"/>
          <w:color w:val="auto"/>
        </w:rPr>
        <w:t>UNDERTAKING FOR COSTS.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this </w:t>
      </w:r>
      <w:r>
        <w:rPr>
          <w:rFonts w:ascii="Arial" w:cs="Arial" w:eastAsia="Arial" w:hAnsi="Arial"/>
          <w:sz w:val="22"/>
          <w:szCs w:val="22"/>
          <w:b w:val="1"/>
          <w:bCs w:val="1"/>
          <w:color w:val="auto"/>
        </w:rPr>
        <w:t>Section 7.12</w:t>
      </w:r>
      <w:r>
        <w:rPr>
          <w:rFonts w:ascii="Arial" w:cs="Arial" w:eastAsia="Arial" w:hAnsi="Arial"/>
          <w:sz w:val="22"/>
          <w:szCs w:val="22"/>
          <w:color w:val="auto"/>
        </w:rPr>
        <w:t xml:space="preserve"> does not apply to any suit by the Trustee, any suit by a Holder pursuant to </w:t>
      </w:r>
      <w:r>
        <w:rPr>
          <w:rFonts w:ascii="Arial" w:cs="Arial" w:eastAsia="Arial" w:hAnsi="Arial"/>
          <w:sz w:val="22"/>
          <w:szCs w:val="22"/>
          <w:b w:val="1"/>
          <w:bCs w:val="1"/>
          <w:color w:val="auto"/>
        </w:rPr>
        <w:t xml:space="preserve">Section 7.08 </w:t>
      </w:r>
      <w:r>
        <w:rPr>
          <w:rFonts w:ascii="Arial" w:cs="Arial" w:eastAsia="Arial" w:hAnsi="Arial"/>
          <w:sz w:val="22"/>
          <w:szCs w:val="22"/>
          <w:color w:val="auto"/>
        </w:rPr>
        <w:t>or any suit by one or more Holders of more than ten percent (10%) in aggregate principal amount of the Notes then</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w:t>
      </w:r>
    </w:p>
    <w:p>
      <w:pPr>
        <w:spacing w:after="0" w:line="23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7.13.</w:t>
      </w:r>
      <w:r>
        <w:rPr>
          <w:sz w:val="20"/>
          <w:szCs w:val="20"/>
          <w:color w:val="auto"/>
        </w:rPr>
        <w:tab/>
      </w:r>
      <w:r>
        <w:rPr>
          <w:rFonts w:ascii="Arial" w:cs="Arial" w:eastAsia="Arial" w:hAnsi="Arial"/>
          <w:sz w:val="21"/>
          <w:szCs w:val="21"/>
          <w:b w:val="1"/>
          <w:bCs w:val="1"/>
          <w:color w:val="auto"/>
        </w:rPr>
        <w:t>RESTORATION OF RIGHTS.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If the Trustee has proceeded to enforce any right under this Indenture and such proceedings are discontinued or abandoned because of any waiver under this Indenture or any rescission and annulment under this Indenture or are determined adversely to the Trustee, then the Company, the Holders and the Trustee will, subject to any determination in such proceeding, be restored to their respective several positions and rights under this Indenture, and all rights, remedies and powers of the Company, the Holders and the Trustee will continue as though no such proceeding had been instituted.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342" w:right="339" w:bottom="1440" w:gutter="0" w:footer="0" w:header="0"/>
        </w:sectPr>
      </w:pPr>
    </w:p>
    <w:bookmarkStart w:id="78" w:name="page79"/>
    <w:bookmarkEnd w:id="78"/>
    <w:p>
      <w:pPr>
        <w:ind w:right="2660" w:firstLine="2664"/>
        <w:spacing w:after="0" w:line="409" w:lineRule="auto"/>
        <w:rPr>
          <w:sz w:val="20"/>
          <w:szCs w:val="20"/>
          <w:color w:val="auto"/>
        </w:rPr>
      </w:pPr>
      <w:r>
        <w:rPr>
          <w:rFonts w:ascii="Arial" w:cs="Arial" w:eastAsia="Arial" w:hAnsi="Arial"/>
          <w:sz w:val="22"/>
          <w:szCs w:val="22"/>
          <w:b w:val="1"/>
          <w:bCs w:val="1"/>
          <w:color w:val="auto"/>
        </w:rPr>
        <w:t>Article 8. AMENDMENTS, SUPPLEMENTS AND WAIVERS Section 8.01. WITHOUT THE CONSENT OF HOLDERS.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Notwithstanding anything to the contrary in </w:t>
      </w:r>
      <w:r>
        <w:rPr>
          <w:rFonts w:ascii="Arial" w:cs="Arial" w:eastAsia="Arial" w:hAnsi="Arial"/>
          <w:sz w:val="19"/>
          <w:szCs w:val="19"/>
          <w:b w:val="1"/>
          <w:bCs w:val="1"/>
          <w:color w:val="auto"/>
        </w:rPr>
        <w:t>Section 8.02</w:t>
      </w:r>
      <w:r>
        <w:rPr>
          <w:rFonts w:ascii="Arial" w:cs="Arial" w:eastAsia="Arial" w:hAnsi="Arial"/>
          <w:sz w:val="19"/>
          <w:szCs w:val="19"/>
          <w:color w:val="auto"/>
        </w:rPr>
        <w:t>, the Company and the Trustee may amend or supplement this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Notes without the consent of any Holder to:</w:t>
      </w:r>
    </w:p>
    <w:p>
      <w:pPr>
        <w:spacing w:after="0" w:line="148" w:lineRule="exact"/>
        <w:rPr>
          <w:sz w:val="20"/>
          <w:szCs w:val="20"/>
          <w:color w:val="auto"/>
        </w:rPr>
      </w:pPr>
    </w:p>
    <w:p>
      <w:pPr>
        <w:ind w:left="1140" w:hanging="484"/>
        <w:spacing w:after="0"/>
        <w:tabs>
          <w:tab w:leader="none" w:pos="11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cure any ambiguity or correct any omission, defect or inconsistency in this Indenture or the Notes;</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add guarantees with respect to the Company’s obligations under this Indenture or the Notes;</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secure the Notes;</w:t>
      </w:r>
    </w:p>
    <w:p>
      <w:pPr>
        <w:spacing w:after="0" w:line="179" w:lineRule="exact"/>
        <w:rPr>
          <w:rFonts w:ascii="Arial" w:cs="Arial" w:eastAsia="Arial" w:hAnsi="Arial"/>
          <w:sz w:val="22"/>
          <w:szCs w:val="22"/>
          <w:color w:val="auto"/>
        </w:rPr>
      </w:pPr>
    </w:p>
    <w:p>
      <w:pPr>
        <w:ind w:right="20" w:firstLine="656"/>
        <w:spacing w:after="0" w:line="276" w:lineRule="auto"/>
        <w:tabs>
          <w:tab w:leader="none" w:pos="114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add to the Company’s covenants or Events of Default for the benefit of the Holders or surrender any right or power conferred on the Company;</w:t>
      </w:r>
    </w:p>
    <w:p>
      <w:pPr>
        <w:spacing w:after="0" w:line="106" w:lineRule="exact"/>
        <w:rPr>
          <w:rFonts w:ascii="Arial" w:cs="Arial" w:eastAsia="Arial" w:hAnsi="Arial"/>
          <w:sz w:val="22"/>
          <w:szCs w:val="22"/>
          <w:color w:val="auto"/>
        </w:rPr>
      </w:pPr>
    </w:p>
    <w:p>
      <w:pPr>
        <w:ind w:firstLine="656"/>
        <w:spacing w:after="0" w:line="276" w:lineRule="auto"/>
        <w:tabs>
          <w:tab w:leader="none" w:pos="119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provide for the assumption of the Company’s obligations under this Indenture and the Notes pursuant to, and in compliance with, </w:t>
      </w:r>
      <w:r>
        <w:rPr>
          <w:rFonts w:ascii="Arial" w:cs="Arial" w:eastAsia="Arial" w:hAnsi="Arial"/>
          <w:sz w:val="22"/>
          <w:szCs w:val="22"/>
          <w:b w:val="1"/>
          <w:bCs w:val="1"/>
          <w:color w:val="auto"/>
        </w:rPr>
        <w:t>Article 6</w:t>
      </w:r>
      <w:r>
        <w:rPr>
          <w:rFonts w:ascii="Arial" w:cs="Arial" w:eastAsia="Arial" w:hAnsi="Arial"/>
          <w:sz w:val="22"/>
          <w:szCs w:val="22"/>
          <w:color w:val="auto"/>
        </w:rPr>
        <w:t>;</w:t>
      </w:r>
    </w:p>
    <w:p>
      <w:pPr>
        <w:spacing w:after="0" w:line="100" w:lineRule="exact"/>
        <w:rPr>
          <w:rFonts w:ascii="Arial" w:cs="Arial" w:eastAsia="Arial" w:hAnsi="Arial"/>
          <w:sz w:val="22"/>
          <w:szCs w:val="22"/>
          <w:color w:val="auto"/>
        </w:rPr>
      </w:pPr>
    </w:p>
    <w:p>
      <w:pPr>
        <w:ind w:firstLine="656"/>
        <w:spacing w:after="0" w:line="282" w:lineRule="auto"/>
        <w:tabs>
          <w:tab w:leader="none" w:pos="111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enter into supplemental indentures pursuant to, and in accordance with, </w:t>
      </w:r>
      <w:r>
        <w:rPr>
          <w:rFonts w:ascii="Arial" w:cs="Arial" w:eastAsia="Arial" w:hAnsi="Arial"/>
          <w:sz w:val="22"/>
          <w:szCs w:val="22"/>
          <w:b w:val="1"/>
          <w:bCs w:val="1"/>
          <w:color w:val="auto"/>
        </w:rPr>
        <w:t>Section 5.09</w:t>
      </w:r>
      <w:r>
        <w:rPr>
          <w:rFonts w:ascii="Arial" w:cs="Arial" w:eastAsia="Arial" w:hAnsi="Arial"/>
          <w:sz w:val="22"/>
          <w:szCs w:val="22"/>
          <w:color w:val="auto"/>
        </w:rPr>
        <w:t xml:space="preserve"> in connection with a Common Stock Change Event;</w:t>
      </w:r>
    </w:p>
    <w:p>
      <w:pPr>
        <w:spacing w:after="0" w:line="100" w:lineRule="exact"/>
        <w:rPr>
          <w:rFonts w:ascii="Arial" w:cs="Arial" w:eastAsia="Arial" w:hAnsi="Arial"/>
          <w:sz w:val="22"/>
          <w:szCs w:val="22"/>
          <w:color w:val="auto"/>
        </w:rPr>
      </w:pPr>
    </w:p>
    <w:p>
      <w:pPr>
        <w:jc w:val="both"/>
        <w:ind w:firstLine="656"/>
        <w:spacing w:after="0" w:line="259" w:lineRule="auto"/>
        <w:tabs>
          <w:tab w:leader="none" w:pos="115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irrevocably elect or eliminate any Settlement Method or Specified Dollar Amount;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no such election or elimination will affect any Settlement Method theretofore elected (or deemed to be elected) with respect to any Note pursuant to </w:t>
      </w:r>
      <w:r>
        <w:rPr>
          <w:rFonts w:ascii="Arial" w:cs="Arial" w:eastAsia="Arial" w:hAnsi="Arial"/>
          <w:sz w:val="22"/>
          <w:szCs w:val="22"/>
          <w:b w:val="1"/>
          <w:bCs w:val="1"/>
          <w:color w:val="auto"/>
        </w:rPr>
        <w:t>Section 5.03(A)</w:t>
      </w:r>
      <w:r>
        <w:rPr>
          <w:rFonts w:ascii="Arial" w:cs="Arial" w:eastAsia="Arial" w:hAnsi="Arial"/>
          <w:sz w:val="22"/>
          <w:szCs w:val="22"/>
          <w:color w:val="auto"/>
        </w:rPr>
        <w:t>;</w:t>
      </w:r>
    </w:p>
    <w:p>
      <w:pPr>
        <w:spacing w:after="0" w:line="126" w:lineRule="exact"/>
        <w:rPr>
          <w:rFonts w:ascii="Arial" w:cs="Arial" w:eastAsia="Arial" w:hAnsi="Arial"/>
          <w:sz w:val="22"/>
          <w:szCs w:val="22"/>
          <w:color w:val="auto"/>
        </w:rPr>
      </w:pPr>
    </w:p>
    <w:p>
      <w:pPr>
        <w:ind w:left="1140" w:hanging="484"/>
        <w:spacing w:after="0"/>
        <w:tabs>
          <w:tab w:leader="none" w:pos="114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evidence or provide for the acceptance of the appointment, under this Indenture, of a successor Trustee;</w:t>
      </w:r>
    </w:p>
    <w:p>
      <w:pPr>
        <w:spacing w:after="0" w:line="190" w:lineRule="exact"/>
        <w:rPr>
          <w:rFonts w:ascii="Arial" w:cs="Arial" w:eastAsia="Arial" w:hAnsi="Arial"/>
          <w:sz w:val="21"/>
          <w:szCs w:val="21"/>
          <w:color w:val="auto"/>
        </w:rPr>
      </w:pPr>
    </w:p>
    <w:p>
      <w:pPr>
        <w:ind w:right="20" w:firstLine="656"/>
        <w:spacing w:after="0" w:line="358" w:lineRule="auto"/>
        <w:tabs>
          <w:tab w:leader="none" w:pos="115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conform the provisions of this Indenture and the Notes to the “Description of Notes” section of the Company’s preliminary offering memorandum, dated May 7, 2020, as supplemented by the related pricing term sheet, dated May 7, 2020;</w:t>
      </w:r>
    </w:p>
    <w:p>
      <w:pPr>
        <w:spacing w:after="0" w:line="30" w:lineRule="exact"/>
        <w:rPr>
          <w:rFonts w:ascii="Arial" w:cs="Arial" w:eastAsia="Arial" w:hAnsi="Arial"/>
          <w:sz w:val="19"/>
          <w:szCs w:val="19"/>
          <w:color w:val="auto"/>
        </w:rPr>
      </w:pPr>
    </w:p>
    <w:p>
      <w:pPr>
        <w:ind w:left="1060" w:hanging="404"/>
        <w:spacing w:after="0"/>
        <w:tabs>
          <w:tab w:leader="none" w:pos="10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provide for or confirm the issuance of additional Notes pursuant to </w:t>
      </w:r>
      <w:r>
        <w:rPr>
          <w:rFonts w:ascii="Arial" w:cs="Arial" w:eastAsia="Arial" w:hAnsi="Arial"/>
          <w:sz w:val="22"/>
          <w:szCs w:val="22"/>
          <w:b w:val="1"/>
          <w:bCs w:val="1"/>
          <w:color w:val="auto"/>
        </w:rPr>
        <w:t>Section 2.03(B)</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20" w:firstLine="656"/>
        <w:spacing w:after="0" w:line="276" w:lineRule="auto"/>
        <w:tabs>
          <w:tab w:leader="none" w:pos="114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comply with any requirement of the SEC in connection with any qualification of this Indenture or any supplemental indenture under the Trust Indenture Act, as then in effect; or</w:t>
      </w:r>
    </w:p>
    <w:p>
      <w:pPr>
        <w:spacing w:after="0" w:line="106" w:lineRule="exact"/>
        <w:rPr>
          <w:rFonts w:ascii="Arial" w:cs="Arial" w:eastAsia="Arial" w:hAnsi="Arial"/>
          <w:sz w:val="22"/>
          <w:szCs w:val="22"/>
          <w:color w:val="auto"/>
        </w:rPr>
      </w:pPr>
    </w:p>
    <w:p>
      <w:pPr>
        <w:ind w:firstLine="656"/>
        <w:spacing w:after="0" w:line="276" w:lineRule="auto"/>
        <w:tabs>
          <w:tab w:leader="none" w:pos="115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make any other change to this Indenture or the Notes that does not, individually or in the aggregate with all other such changes, adversely affect the rights of the Holders, as such, in any material respect.</w:t>
      </w:r>
    </w:p>
    <w:p>
      <w:pPr>
        <w:spacing w:after="0" w:line="10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At the written request of any Holder of a Note or owner of a beneficial interest in a Global Note, the Company will provide a copy of the “Description of Notes” section and pricing term sheet referred to in (I).</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342" w:right="339" w:bottom="1440" w:gutter="0" w:footer="0" w:header="0"/>
        </w:sectPr>
      </w:pPr>
    </w:p>
    <w:bookmarkStart w:id="79" w:name="page80"/>
    <w:bookmarkEnd w:id="79"/>
    <w:p>
      <w:pPr>
        <w:spacing w:after="0"/>
        <w:tabs>
          <w:tab w:leader="none" w:pos="1320" w:val="left"/>
        </w:tabs>
        <w:rPr>
          <w:sz w:val="20"/>
          <w:szCs w:val="20"/>
          <w:color w:val="auto"/>
        </w:rPr>
      </w:pPr>
      <w:r>
        <w:rPr>
          <w:rFonts w:ascii="Arial" w:cs="Arial" w:eastAsia="Arial" w:hAnsi="Arial"/>
          <w:sz w:val="22"/>
          <w:szCs w:val="22"/>
          <w:b w:val="1"/>
          <w:bCs w:val="1"/>
          <w:color w:val="auto"/>
        </w:rPr>
        <w:t>Section 8.02.</w:t>
      </w:r>
      <w:r>
        <w:rPr>
          <w:sz w:val="20"/>
          <w:szCs w:val="20"/>
          <w:color w:val="auto"/>
        </w:rPr>
        <w:tab/>
      </w:r>
      <w:r>
        <w:rPr>
          <w:rFonts w:ascii="Arial" w:cs="Arial" w:eastAsia="Arial" w:hAnsi="Arial"/>
          <w:sz w:val="21"/>
          <w:szCs w:val="21"/>
          <w:b w:val="1"/>
          <w:bCs w:val="1"/>
          <w:color w:val="auto"/>
        </w:rPr>
        <w:t>WITH THE CONSENT OF HOLDERS.</w:t>
      </w:r>
    </w:p>
    <w:p>
      <w:pPr>
        <w:spacing w:after="0" w:line="239" w:lineRule="exact"/>
        <w:rPr>
          <w:sz w:val="20"/>
          <w:szCs w:val="20"/>
          <w:color w:val="auto"/>
        </w:rPr>
      </w:pPr>
    </w:p>
    <w:p>
      <w:pPr>
        <w:jc w:val="both"/>
        <w:ind w:firstLine="656"/>
        <w:spacing w:after="0" w:line="248" w:lineRule="auto"/>
        <w:tabs>
          <w:tab w:leader="none" w:pos="1182" w:val="left"/>
        </w:tabs>
        <w:numPr>
          <w:ilvl w:val="0"/>
          <w:numId w:val="115"/>
        </w:numPr>
        <w:rPr>
          <w:rFonts w:ascii="Arial" w:cs="Arial" w:eastAsia="Arial" w:hAnsi="Arial"/>
          <w:sz w:val="22"/>
          <w:szCs w:val="22"/>
          <w:color w:val="auto"/>
        </w:rPr>
      </w:pPr>
      <w:r>
        <w:rPr>
          <w:rFonts w:ascii="Arial" w:cs="Arial" w:eastAsia="Arial" w:hAnsi="Arial"/>
          <w:sz w:val="22"/>
          <w:szCs w:val="22"/>
          <w:i w:val="1"/>
          <w:iCs w:val="1"/>
          <w:color w:val="auto"/>
        </w:rPr>
        <w:t>Generally</w:t>
      </w:r>
      <w:r>
        <w:rPr>
          <w:rFonts w:ascii="Arial" w:cs="Arial" w:eastAsia="Arial" w:hAnsi="Arial"/>
          <w:sz w:val="22"/>
          <w:szCs w:val="22"/>
          <w:color w:val="auto"/>
        </w:rPr>
        <w:t>. Subject to Sections 8.01, 7.05 and 7.08 and the immediately following sentence, the Company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Trustee may, with the consent of the Holders of a majority in aggregate principal amount of the Notes then outstanding (including, without limitation, consents obtained in connection with a repurchase of, or tender or exchange offer for, any Notes), amend or supplement this Indenture or the Notes or waive compliance with any provision of this Indenture or the Notes. Notwithstanding anything to the contrary in the foregoing sentence, but subject to Section 8.01, without the consent of each affected Holder, no amendment or supplement to this Indenture or the Notes, or waiver of any provision of this Indenture or the Notes, may:</w:t>
      </w:r>
    </w:p>
    <w:p>
      <w:pPr>
        <w:spacing w:after="0" w:line="195" w:lineRule="exact"/>
        <w:rPr>
          <w:rFonts w:ascii="Arial" w:cs="Arial" w:eastAsia="Arial" w:hAnsi="Arial"/>
          <w:sz w:val="22"/>
          <w:szCs w:val="22"/>
          <w:color w:val="auto"/>
        </w:rPr>
      </w:pPr>
    </w:p>
    <w:p>
      <w:pPr>
        <w:ind w:left="1680" w:hanging="376"/>
        <w:spacing w:after="0"/>
        <w:tabs>
          <w:tab w:leader="none" w:pos="16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reduce the principal, or change the stated maturity, of any Note;</w:t>
      </w:r>
    </w:p>
    <w:p>
      <w:pPr>
        <w:spacing w:after="0" w:line="233" w:lineRule="exact"/>
        <w:rPr>
          <w:rFonts w:ascii="Arial" w:cs="Arial" w:eastAsia="Arial" w:hAnsi="Arial"/>
          <w:sz w:val="22"/>
          <w:szCs w:val="22"/>
          <w:color w:val="auto"/>
        </w:rPr>
      </w:pPr>
    </w:p>
    <w:p>
      <w:pPr>
        <w:ind w:left="660" w:firstLine="644"/>
        <w:spacing w:after="0" w:line="358" w:lineRule="auto"/>
        <w:tabs>
          <w:tab w:leader="none" w:pos="1792" w:val="left"/>
        </w:tabs>
        <w:numPr>
          <w:ilvl w:val="1"/>
          <w:numId w:val="115"/>
        </w:numPr>
        <w:rPr>
          <w:rFonts w:ascii="Arial" w:cs="Arial" w:eastAsia="Arial" w:hAnsi="Arial"/>
          <w:sz w:val="19"/>
          <w:szCs w:val="19"/>
          <w:color w:val="auto"/>
        </w:rPr>
      </w:pPr>
      <w:r>
        <w:rPr>
          <w:rFonts w:ascii="Arial" w:cs="Arial" w:eastAsia="Arial" w:hAnsi="Arial"/>
          <w:sz w:val="19"/>
          <w:szCs w:val="19"/>
          <w:color w:val="auto"/>
        </w:rPr>
        <w:t>reduce the Redemption Price or Fundamental Change Repurchase Price for any Note or change the times at which, or the circumstances under which, the Notes may or will be redeemed or repurchased by the Company;</w:t>
      </w:r>
    </w:p>
    <w:p>
      <w:pPr>
        <w:spacing w:after="0" w:line="90" w:lineRule="exact"/>
        <w:rPr>
          <w:rFonts w:ascii="Arial" w:cs="Arial" w:eastAsia="Arial" w:hAnsi="Arial"/>
          <w:sz w:val="19"/>
          <w:szCs w:val="19"/>
          <w:color w:val="auto"/>
        </w:rPr>
      </w:pPr>
    </w:p>
    <w:p>
      <w:pPr>
        <w:ind w:left="1800" w:hanging="496"/>
        <w:spacing w:after="0"/>
        <w:tabs>
          <w:tab w:leader="none" w:pos="180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reduce the rate, or change the time for the payment, of interest on any Note;</w:t>
      </w:r>
    </w:p>
    <w:p>
      <w:pPr>
        <w:spacing w:after="0" w:line="233" w:lineRule="exact"/>
        <w:rPr>
          <w:rFonts w:ascii="Arial" w:cs="Arial" w:eastAsia="Arial" w:hAnsi="Arial"/>
          <w:sz w:val="22"/>
          <w:szCs w:val="22"/>
          <w:color w:val="auto"/>
        </w:rPr>
      </w:pPr>
    </w:p>
    <w:p>
      <w:pPr>
        <w:ind w:left="1800" w:hanging="496"/>
        <w:spacing w:after="0"/>
        <w:tabs>
          <w:tab w:leader="none" w:pos="180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make any change that adversely affects the conversion rights of any Note;</w:t>
      </w:r>
    </w:p>
    <w:p>
      <w:pPr>
        <w:spacing w:after="0" w:line="227" w:lineRule="exact"/>
        <w:rPr>
          <w:rFonts w:ascii="Arial" w:cs="Arial" w:eastAsia="Arial" w:hAnsi="Arial"/>
          <w:sz w:val="22"/>
          <w:szCs w:val="22"/>
          <w:color w:val="auto"/>
        </w:rPr>
      </w:pPr>
    </w:p>
    <w:p>
      <w:pPr>
        <w:ind w:left="1740" w:hanging="436"/>
        <w:spacing w:after="0"/>
        <w:tabs>
          <w:tab w:leader="none" w:pos="174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impair the rights of any Holder set forth in </w:t>
      </w:r>
      <w:r>
        <w:rPr>
          <w:rFonts w:ascii="Arial" w:cs="Arial" w:eastAsia="Arial" w:hAnsi="Arial"/>
          <w:sz w:val="19"/>
          <w:szCs w:val="19"/>
          <w:b w:val="1"/>
          <w:bCs w:val="1"/>
          <w:color w:val="auto"/>
        </w:rPr>
        <w:t>Section 7.08</w:t>
      </w:r>
      <w:r>
        <w:rPr>
          <w:rFonts w:ascii="Arial" w:cs="Arial" w:eastAsia="Arial" w:hAnsi="Arial"/>
          <w:sz w:val="19"/>
          <w:szCs w:val="19"/>
          <w:color w:val="auto"/>
        </w:rPr>
        <w:t xml:space="preserve"> (as such section is in effect on the Issue Date);</w:t>
      </w:r>
    </w:p>
    <w:p>
      <w:pPr>
        <w:spacing w:after="0" w:line="273" w:lineRule="exact"/>
        <w:rPr>
          <w:rFonts w:ascii="Arial" w:cs="Arial" w:eastAsia="Arial" w:hAnsi="Arial"/>
          <w:sz w:val="19"/>
          <w:szCs w:val="19"/>
          <w:color w:val="auto"/>
        </w:rPr>
      </w:pPr>
    </w:p>
    <w:p>
      <w:pPr>
        <w:ind w:left="1800" w:hanging="496"/>
        <w:spacing w:after="0"/>
        <w:tabs>
          <w:tab w:leader="none" w:pos="180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change the ranking of the Notes;</w:t>
      </w:r>
    </w:p>
    <w:p>
      <w:pPr>
        <w:spacing w:after="0" w:line="233" w:lineRule="exact"/>
        <w:rPr>
          <w:rFonts w:ascii="Arial" w:cs="Arial" w:eastAsia="Arial" w:hAnsi="Arial"/>
          <w:sz w:val="22"/>
          <w:szCs w:val="22"/>
          <w:color w:val="auto"/>
        </w:rPr>
      </w:pPr>
    </w:p>
    <w:p>
      <w:pPr>
        <w:ind w:left="1900" w:hanging="596"/>
        <w:spacing w:after="0"/>
        <w:tabs>
          <w:tab w:leader="none" w:pos="190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make any Note payable in money, or at a place of payment, other than that stated in this Indenture or the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Note;</w:t>
      </w:r>
    </w:p>
    <w:p>
      <w:pPr>
        <w:spacing w:after="0" w:line="215" w:lineRule="exact"/>
        <w:rPr>
          <w:rFonts w:ascii="Arial" w:cs="Arial" w:eastAsia="Arial" w:hAnsi="Arial"/>
          <w:sz w:val="19"/>
          <w:szCs w:val="19"/>
          <w:color w:val="auto"/>
        </w:rPr>
      </w:pPr>
    </w:p>
    <w:p>
      <w:pPr>
        <w:ind w:left="660" w:firstLine="644"/>
        <w:spacing w:after="0" w:line="276" w:lineRule="auto"/>
        <w:tabs>
          <w:tab w:leader="none" w:pos="196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reduce the amount of Notes whose Holders must consent to any amendment, supplement, waiver or other modification; or</w:t>
      </w:r>
    </w:p>
    <w:p>
      <w:pPr>
        <w:spacing w:after="0" w:line="160" w:lineRule="exact"/>
        <w:rPr>
          <w:rFonts w:ascii="Arial" w:cs="Arial" w:eastAsia="Arial" w:hAnsi="Arial"/>
          <w:sz w:val="22"/>
          <w:szCs w:val="22"/>
          <w:color w:val="auto"/>
        </w:rPr>
      </w:pPr>
    </w:p>
    <w:p>
      <w:pPr>
        <w:ind w:left="660" w:firstLine="644"/>
        <w:spacing w:after="0" w:line="276" w:lineRule="auto"/>
        <w:tabs>
          <w:tab w:leader="none" w:pos="1827" w:val="left"/>
        </w:tabs>
        <w:numPr>
          <w:ilvl w:val="1"/>
          <w:numId w:val="115"/>
        </w:numPr>
        <w:rPr>
          <w:rFonts w:ascii="Arial" w:cs="Arial" w:eastAsia="Arial" w:hAnsi="Arial"/>
          <w:sz w:val="22"/>
          <w:szCs w:val="22"/>
          <w:color w:val="auto"/>
        </w:rPr>
      </w:pPr>
      <w:r>
        <w:rPr>
          <w:rFonts w:ascii="Arial" w:cs="Arial" w:eastAsia="Arial" w:hAnsi="Arial"/>
          <w:sz w:val="22"/>
          <w:szCs w:val="22"/>
          <w:color w:val="auto"/>
        </w:rPr>
        <w:t>make any direct or indirect change to any amendment, supplement, waiver or modification provision of this Indenture or the Notes that requires the consent of each affected Holder.</w:t>
      </w:r>
    </w:p>
    <w:p>
      <w:pPr>
        <w:spacing w:after="0" w:line="15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For the avoidance of doubt, pursuant to </w:t>
      </w:r>
      <w:r>
        <w:rPr>
          <w:rFonts w:ascii="Arial" w:cs="Arial" w:eastAsia="Arial" w:hAnsi="Arial"/>
          <w:sz w:val="22"/>
          <w:szCs w:val="22"/>
          <w:b w:val="1"/>
          <w:bCs w:val="1"/>
          <w:color w:val="auto"/>
        </w:rPr>
        <w:t>clauses (i)</w:t>
      </w:r>
      <w:r>
        <w:rPr>
          <w:rFonts w:ascii="Arial" w:cs="Arial" w:eastAsia="Arial" w:hAnsi="Arial"/>
          <w:sz w:val="22"/>
          <w:szCs w:val="22"/>
          <w:color w:val="auto"/>
        </w:rPr>
        <w:t xml:space="preserve">, </w:t>
      </w:r>
      <w:r>
        <w:rPr>
          <w:rFonts w:ascii="Arial" w:cs="Arial" w:eastAsia="Arial" w:hAnsi="Arial"/>
          <w:sz w:val="22"/>
          <w:szCs w:val="22"/>
          <w:b w:val="1"/>
          <w:bCs w:val="1"/>
          <w:color w:val="auto"/>
        </w:rPr>
        <w:t>(ii)</w:t>
      </w:r>
      <w:r>
        <w:rPr>
          <w:rFonts w:ascii="Arial" w:cs="Arial" w:eastAsia="Arial" w:hAnsi="Arial"/>
          <w:sz w:val="22"/>
          <w:szCs w:val="22"/>
          <w:color w:val="auto"/>
        </w:rPr>
        <w:t xml:space="preserve">, </w:t>
      </w:r>
      <w:r>
        <w:rPr>
          <w:rFonts w:ascii="Arial" w:cs="Arial" w:eastAsia="Arial" w:hAnsi="Arial"/>
          <w:sz w:val="22"/>
          <w:szCs w:val="22"/>
          <w:b w:val="1"/>
          <w:bCs w:val="1"/>
          <w:color w:val="auto"/>
        </w:rPr>
        <w:t>(iii)</w:t>
      </w:r>
      <w:r>
        <w:rPr>
          <w:rFonts w:ascii="Arial" w:cs="Arial" w:eastAsia="Arial" w:hAnsi="Arial"/>
          <w:sz w:val="22"/>
          <w:szCs w:val="22"/>
          <w:color w:val="auto"/>
        </w:rPr>
        <w:t xml:space="preserve"> and </w:t>
      </w:r>
      <w:r>
        <w:rPr>
          <w:rFonts w:ascii="Arial" w:cs="Arial" w:eastAsia="Arial" w:hAnsi="Arial"/>
          <w:sz w:val="22"/>
          <w:szCs w:val="22"/>
          <w:b w:val="1"/>
          <w:bCs w:val="1"/>
          <w:color w:val="auto"/>
        </w:rPr>
        <w:t>(iv)</w:t>
      </w:r>
      <w:r>
        <w:rPr>
          <w:rFonts w:ascii="Arial" w:cs="Arial" w:eastAsia="Arial" w:hAnsi="Arial"/>
          <w:sz w:val="22"/>
          <w:szCs w:val="22"/>
          <w:color w:val="auto"/>
        </w:rPr>
        <w:t xml:space="preserve"> of this </w:t>
      </w:r>
      <w:r>
        <w:rPr>
          <w:rFonts w:ascii="Arial" w:cs="Arial" w:eastAsia="Arial" w:hAnsi="Arial"/>
          <w:sz w:val="22"/>
          <w:szCs w:val="22"/>
          <w:b w:val="1"/>
          <w:bCs w:val="1"/>
          <w:color w:val="auto"/>
        </w:rPr>
        <w:t>Section 8.02(A)</w:t>
      </w:r>
      <w:r>
        <w:rPr>
          <w:rFonts w:ascii="Arial" w:cs="Arial" w:eastAsia="Arial" w:hAnsi="Arial"/>
          <w:sz w:val="22"/>
          <w:szCs w:val="22"/>
          <w:color w:val="auto"/>
        </w:rPr>
        <w:t>, no amendment or supplement to this Indenture or the Notes, or waiver of any provision of this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spacing w:after="0" w:line="233" w:lineRule="exact"/>
        <w:rPr>
          <w:sz w:val="20"/>
          <w:szCs w:val="20"/>
          <w:color w:val="auto"/>
        </w:rPr>
      </w:pPr>
    </w:p>
    <w:p>
      <w:pPr>
        <w:jc w:val="both"/>
        <w:ind w:firstLine="656"/>
        <w:spacing w:after="0" w:line="259" w:lineRule="auto"/>
        <w:tabs>
          <w:tab w:leader="none" w:pos="1237" w:val="left"/>
        </w:tabs>
        <w:numPr>
          <w:ilvl w:val="0"/>
          <w:numId w:val="116"/>
        </w:numPr>
        <w:rPr>
          <w:rFonts w:ascii="Arial" w:cs="Arial" w:eastAsia="Arial" w:hAnsi="Arial"/>
          <w:sz w:val="22"/>
          <w:szCs w:val="22"/>
          <w:color w:val="auto"/>
        </w:rPr>
      </w:pPr>
      <w:r>
        <w:rPr>
          <w:rFonts w:ascii="Arial" w:cs="Arial" w:eastAsia="Arial" w:hAnsi="Arial"/>
          <w:sz w:val="22"/>
          <w:szCs w:val="22"/>
          <w:i w:val="1"/>
          <w:iCs w:val="1"/>
          <w:color w:val="auto"/>
        </w:rPr>
        <w:t>Holders Need Not Approve the Particular Form of any Amendment</w:t>
      </w:r>
      <w:r>
        <w:rPr>
          <w:rFonts w:ascii="Arial" w:cs="Arial" w:eastAsia="Arial" w:hAnsi="Arial"/>
          <w:sz w:val="22"/>
          <w:szCs w:val="22"/>
          <w:color w:val="auto"/>
        </w:rPr>
        <w:t>. A consent of any Holder pursuant to this</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 xml:space="preserve">Section 8.02 </w:t>
      </w:r>
      <w:r>
        <w:rPr>
          <w:rFonts w:ascii="Arial" w:cs="Arial" w:eastAsia="Arial" w:hAnsi="Arial"/>
          <w:sz w:val="22"/>
          <w:szCs w:val="22"/>
          <w:color w:val="auto"/>
        </w:rPr>
        <w:t>need approve only the substance, and not necessarily the particular form, of the proposed amendment, supplement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waiver.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342" w:right="339" w:bottom="1440" w:gutter="0" w:footer="0" w:header="0"/>
        </w:sectPr>
      </w:pPr>
    </w:p>
    <w:bookmarkStart w:id="80" w:name="page81"/>
    <w:bookmarkEnd w:id="80"/>
    <w:p>
      <w:pPr>
        <w:spacing w:after="0"/>
        <w:tabs>
          <w:tab w:leader="none" w:pos="1320" w:val="left"/>
        </w:tabs>
        <w:rPr>
          <w:sz w:val="20"/>
          <w:szCs w:val="20"/>
          <w:color w:val="auto"/>
        </w:rPr>
      </w:pPr>
      <w:r>
        <w:rPr>
          <w:rFonts w:ascii="Arial" w:cs="Arial" w:eastAsia="Arial" w:hAnsi="Arial"/>
          <w:sz w:val="22"/>
          <w:szCs w:val="22"/>
          <w:b w:val="1"/>
          <w:bCs w:val="1"/>
          <w:color w:val="auto"/>
        </w:rPr>
        <w:t>Section 8.03.</w:t>
      </w:r>
      <w:r>
        <w:rPr>
          <w:sz w:val="20"/>
          <w:szCs w:val="20"/>
          <w:color w:val="auto"/>
        </w:rPr>
        <w:tab/>
      </w:r>
      <w:r>
        <w:rPr>
          <w:rFonts w:ascii="Arial" w:cs="Arial" w:eastAsia="Arial" w:hAnsi="Arial"/>
          <w:sz w:val="21"/>
          <w:szCs w:val="21"/>
          <w:b w:val="1"/>
          <w:bCs w:val="1"/>
          <w:color w:val="auto"/>
        </w:rPr>
        <w:t>NOTICE OF AMENDMENTS, SUPPLEMENTS AND WAIVERS.</w:t>
      </w:r>
    </w:p>
    <w:p>
      <w:pPr>
        <w:spacing w:after="0" w:line="23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As soon as reasonably practicable after any amendment, supplement or waiver pursuant to </w:t>
      </w:r>
      <w:r>
        <w:rPr>
          <w:rFonts w:ascii="Arial" w:cs="Arial" w:eastAsia="Arial" w:hAnsi="Arial"/>
          <w:sz w:val="19"/>
          <w:szCs w:val="19"/>
          <w:b w:val="1"/>
          <w:bCs w:val="1"/>
          <w:color w:val="auto"/>
        </w:rPr>
        <w:t>Section 8.01</w:t>
      </w:r>
      <w:r>
        <w:rPr>
          <w:rFonts w:ascii="Arial" w:cs="Arial" w:eastAsia="Arial" w:hAnsi="Arial"/>
          <w:sz w:val="19"/>
          <w:szCs w:val="19"/>
          <w:color w:val="auto"/>
        </w:rPr>
        <w:t xml:space="preserve"> or </w:t>
      </w:r>
      <w:r>
        <w:rPr>
          <w:rFonts w:ascii="Arial" w:cs="Arial" w:eastAsia="Arial" w:hAnsi="Arial"/>
          <w:sz w:val="19"/>
          <w:szCs w:val="19"/>
          <w:b w:val="1"/>
          <w:bCs w:val="1"/>
          <w:color w:val="auto"/>
        </w:rPr>
        <w:t>8.02</w:t>
      </w:r>
      <w:r>
        <w:rPr>
          <w:rFonts w:ascii="Arial" w:cs="Arial" w:eastAsia="Arial" w:hAnsi="Arial"/>
          <w:sz w:val="19"/>
          <w:szCs w:val="19"/>
          <w:color w:val="auto"/>
        </w:rPr>
        <w:t xml:space="preserve"> becomes effective, the Company will send to the Holders and the Trustee notice that (A) describes the substance of such amendment, supplement or waiver in reasonable detail and (B) states the effective date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18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8.04.</w:t>
      </w:r>
      <w:r>
        <w:rPr>
          <w:sz w:val="20"/>
          <w:szCs w:val="20"/>
          <w:color w:val="auto"/>
        </w:rPr>
        <w:tab/>
      </w:r>
      <w:r>
        <w:rPr>
          <w:rFonts w:ascii="Arial" w:cs="Arial" w:eastAsia="Arial" w:hAnsi="Arial"/>
          <w:sz w:val="21"/>
          <w:szCs w:val="21"/>
          <w:b w:val="1"/>
          <w:bCs w:val="1"/>
          <w:color w:val="auto"/>
        </w:rPr>
        <w:t>REVOCATION, EFFECT AND SOLICITATION OF CONSENTS; SPECIAL RECORD DATES; ETC.</w:t>
      </w:r>
    </w:p>
    <w:p>
      <w:pPr>
        <w:spacing w:after="0" w:line="239" w:lineRule="exact"/>
        <w:rPr>
          <w:sz w:val="20"/>
          <w:szCs w:val="20"/>
          <w:color w:val="auto"/>
        </w:rPr>
      </w:pPr>
    </w:p>
    <w:p>
      <w:pPr>
        <w:jc w:val="both"/>
        <w:ind w:firstLine="656"/>
        <w:spacing w:after="0" w:line="266" w:lineRule="auto"/>
        <w:tabs>
          <w:tab w:leader="none" w:pos="1155" w:val="left"/>
        </w:tabs>
        <w:numPr>
          <w:ilvl w:val="0"/>
          <w:numId w:val="117"/>
        </w:numPr>
        <w:rPr>
          <w:rFonts w:ascii="Arial" w:cs="Arial" w:eastAsia="Arial" w:hAnsi="Arial"/>
          <w:sz w:val="21"/>
          <w:szCs w:val="21"/>
          <w:color w:val="auto"/>
        </w:rPr>
      </w:pPr>
      <w:r>
        <w:rPr>
          <w:rFonts w:ascii="Arial" w:cs="Arial" w:eastAsia="Arial" w:hAnsi="Arial"/>
          <w:sz w:val="21"/>
          <w:szCs w:val="21"/>
          <w:i w:val="1"/>
          <w:iCs w:val="1"/>
          <w:color w:val="auto"/>
        </w:rPr>
        <w:t>Revocation and Effect of Consents</w:t>
      </w:r>
      <w:r>
        <w:rPr>
          <w:rFonts w:ascii="Arial" w:cs="Arial" w:eastAsia="Arial" w:hAnsi="Arial"/>
          <w:sz w:val="21"/>
          <w:szCs w:val="21"/>
          <w:color w:val="auto"/>
        </w:rPr>
        <w:t>. The consent of a Holder of a Note to an amendment, supplement or waiver will</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Arial" w:cs="Arial" w:eastAsia="Arial" w:hAnsi="Arial"/>
          <w:sz w:val="21"/>
          <w:szCs w:val="21"/>
          <w:b w:val="1"/>
          <w:bCs w:val="1"/>
          <w:color w:val="auto"/>
        </w:rPr>
        <w:t>Section 8.04(B)</w:t>
      </w:r>
      <w:r>
        <w:rPr>
          <w:rFonts w:ascii="Arial" w:cs="Arial" w:eastAsia="Arial" w:hAnsi="Arial"/>
          <w:sz w:val="21"/>
          <w:szCs w:val="21"/>
          <w:color w:val="auto"/>
        </w:rPr>
        <w:t>) any such consent with respect to such Note by delivering notice of revocation to the Trustee before the time</w:t>
      </w:r>
      <w:r>
        <w:rPr>
          <w:rFonts w:ascii="Arial" w:cs="Arial" w:eastAsia="Arial" w:hAnsi="Arial"/>
          <w:sz w:val="21"/>
          <w:szCs w:val="21"/>
          <w:b w:val="1"/>
          <w:bCs w:val="1"/>
          <w:color w:val="auto"/>
        </w:rPr>
        <w:t xml:space="preserve"> </w:t>
      </w:r>
      <w:r>
        <w:rPr>
          <w:rFonts w:ascii="Arial" w:cs="Arial" w:eastAsia="Arial" w:hAnsi="Arial"/>
          <w:sz w:val="21"/>
          <w:szCs w:val="21"/>
          <w:color w:val="auto"/>
        </w:rPr>
        <w:t>such amendment, supplement or waiver becomes effective.</w:t>
      </w:r>
    </w:p>
    <w:p>
      <w:pPr>
        <w:spacing w:after="0" w:line="173" w:lineRule="exact"/>
        <w:rPr>
          <w:rFonts w:ascii="Arial" w:cs="Arial" w:eastAsia="Arial" w:hAnsi="Arial"/>
          <w:sz w:val="21"/>
          <w:szCs w:val="21"/>
          <w:color w:val="auto"/>
        </w:rPr>
      </w:pPr>
    </w:p>
    <w:p>
      <w:pPr>
        <w:jc w:val="both"/>
        <w:ind w:firstLine="656"/>
        <w:spacing w:after="0" w:line="248" w:lineRule="auto"/>
        <w:tabs>
          <w:tab w:leader="none" w:pos="1116" w:val="left"/>
        </w:tabs>
        <w:numPr>
          <w:ilvl w:val="0"/>
          <w:numId w:val="117"/>
        </w:numPr>
        <w:rPr>
          <w:rFonts w:ascii="Arial" w:cs="Arial" w:eastAsia="Arial" w:hAnsi="Arial"/>
          <w:sz w:val="22"/>
          <w:szCs w:val="22"/>
          <w:color w:val="auto"/>
        </w:rPr>
      </w:pPr>
      <w:r>
        <w:rPr>
          <w:rFonts w:ascii="Arial" w:cs="Arial" w:eastAsia="Arial" w:hAnsi="Arial"/>
          <w:sz w:val="22"/>
          <w:szCs w:val="22"/>
          <w:i w:val="1"/>
          <w:iCs w:val="1"/>
          <w:color w:val="auto"/>
        </w:rPr>
        <w:t>Special Record Dates</w:t>
      </w:r>
      <w:r>
        <w:rPr>
          <w:rFonts w:ascii="Arial" w:cs="Arial" w:eastAsia="Arial" w:hAnsi="Arial"/>
          <w:sz w:val="22"/>
          <w:szCs w:val="22"/>
          <w:color w:val="auto"/>
        </w:rPr>
        <w:t>. The Company may, but is not required to, fix a record date for the purpose of determining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Holders entitled to consent or take any other action in connection with any amendment, supplement or waiver pursuant to this </w:t>
      </w:r>
      <w:r>
        <w:rPr>
          <w:rFonts w:ascii="Arial" w:cs="Arial" w:eastAsia="Arial" w:hAnsi="Arial"/>
          <w:sz w:val="22"/>
          <w:szCs w:val="22"/>
          <w:b w:val="1"/>
          <w:bCs w:val="1"/>
          <w:color w:val="auto"/>
        </w:rPr>
        <w:t>Article 8</w:t>
      </w:r>
      <w:r>
        <w:rPr>
          <w:rFonts w:ascii="Arial" w:cs="Arial" w:eastAsia="Arial" w:hAnsi="Arial"/>
          <w:sz w:val="22"/>
          <w:szCs w:val="22"/>
          <w:color w:val="auto"/>
        </w:rPr>
        <w:t>. If a record date is fixed, then, notwithstanding anything to the contrary in</w:t>
      </w:r>
      <w:r>
        <w:rPr>
          <w:rFonts w:ascii="Arial" w:cs="Arial" w:eastAsia="Arial" w:hAnsi="Arial"/>
          <w:sz w:val="22"/>
          <w:szCs w:val="22"/>
          <w:b w:val="1"/>
          <w:bCs w:val="1"/>
          <w:color w:val="auto"/>
        </w:rPr>
        <w:t xml:space="preserve"> Section 8.04(A)</w:t>
      </w:r>
      <w:r>
        <w:rPr>
          <w:rFonts w:ascii="Arial" w:cs="Arial" w:eastAsia="Arial" w:hAnsi="Arial"/>
          <w:sz w:val="22"/>
          <w:szCs w:val="22"/>
          <w:color w:val="auto"/>
        </w:rPr>
        <w:t>, only Persons who 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Holders as of such record date (or their duly designated proxies) will be entitled to give such consent, to revoke any consent previously given or to take any such action, regardless of whether such Persons continue to be Holders after such record date;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no such consent will be valid or effective for more than one hundred and twenty (120) calendar days after</w:t>
      </w:r>
      <w:r>
        <w:rPr>
          <w:rFonts w:ascii="Arial" w:cs="Arial" w:eastAsia="Arial" w:hAnsi="Arial"/>
          <w:sz w:val="22"/>
          <w:szCs w:val="22"/>
          <w:i w:val="1"/>
          <w:iCs w:val="1"/>
          <w:color w:val="auto"/>
        </w:rPr>
        <w:t xml:space="preserve"> </w:t>
      </w:r>
      <w:r>
        <w:rPr>
          <w:rFonts w:ascii="Arial" w:cs="Arial" w:eastAsia="Arial" w:hAnsi="Arial"/>
          <w:sz w:val="22"/>
          <w:szCs w:val="22"/>
          <w:color w:val="auto"/>
        </w:rPr>
        <w:t>such record date.</w:t>
      </w:r>
    </w:p>
    <w:p>
      <w:pPr>
        <w:spacing w:after="0" w:line="195" w:lineRule="exact"/>
        <w:rPr>
          <w:rFonts w:ascii="Arial" w:cs="Arial" w:eastAsia="Arial" w:hAnsi="Arial"/>
          <w:sz w:val="22"/>
          <w:szCs w:val="22"/>
          <w:color w:val="auto"/>
        </w:rPr>
      </w:pPr>
    </w:p>
    <w:p>
      <w:pPr>
        <w:jc w:val="both"/>
        <w:ind w:firstLine="656"/>
        <w:spacing w:after="0" w:line="259" w:lineRule="auto"/>
        <w:tabs>
          <w:tab w:leader="none" w:pos="1116" w:val="left"/>
        </w:tabs>
        <w:numPr>
          <w:ilvl w:val="0"/>
          <w:numId w:val="117"/>
        </w:numPr>
        <w:rPr>
          <w:rFonts w:ascii="Arial" w:cs="Arial" w:eastAsia="Arial" w:hAnsi="Arial"/>
          <w:sz w:val="22"/>
          <w:szCs w:val="22"/>
          <w:color w:val="auto"/>
        </w:rPr>
      </w:pPr>
      <w:r>
        <w:rPr>
          <w:rFonts w:ascii="Arial" w:cs="Arial" w:eastAsia="Arial" w:hAnsi="Arial"/>
          <w:sz w:val="22"/>
          <w:szCs w:val="22"/>
          <w:i w:val="1"/>
          <w:iCs w:val="1"/>
          <w:color w:val="auto"/>
        </w:rPr>
        <w:t>Solicitation of Consents</w:t>
      </w:r>
      <w:r>
        <w:rPr>
          <w:rFonts w:ascii="Arial" w:cs="Arial" w:eastAsia="Arial" w:hAnsi="Arial"/>
          <w:sz w:val="22"/>
          <w:szCs w:val="22"/>
          <w:color w:val="auto"/>
        </w:rPr>
        <w:t>. For the avoidance of doubt, each reference in this Indenture or the Notes to the consent of a</w:t>
      </w:r>
      <w:r>
        <w:rPr>
          <w:rFonts w:ascii="Arial" w:cs="Arial" w:eastAsia="Arial" w:hAnsi="Arial"/>
          <w:sz w:val="22"/>
          <w:szCs w:val="22"/>
          <w:i w:val="1"/>
          <w:iCs w:val="1"/>
          <w:color w:val="auto"/>
        </w:rPr>
        <w:t xml:space="preserve"> </w:t>
      </w:r>
      <w:r>
        <w:rPr>
          <w:rFonts w:ascii="Arial" w:cs="Arial" w:eastAsia="Arial" w:hAnsi="Arial"/>
          <w:sz w:val="22"/>
          <w:szCs w:val="22"/>
          <w:color w:val="auto"/>
        </w:rPr>
        <w:t>Holder will be deemed to include any such consent obtained in connection with a repurchase of, or tender or exchange offer for, any Notes.</w:t>
      </w:r>
    </w:p>
    <w:p>
      <w:pPr>
        <w:spacing w:after="0" w:line="174" w:lineRule="exact"/>
        <w:rPr>
          <w:rFonts w:ascii="Arial" w:cs="Arial" w:eastAsia="Arial" w:hAnsi="Arial"/>
          <w:sz w:val="22"/>
          <w:szCs w:val="22"/>
          <w:color w:val="auto"/>
        </w:rPr>
      </w:pPr>
    </w:p>
    <w:p>
      <w:pPr>
        <w:jc w:val="both"/>
        <w:ind w:firstLine="656"/>
        <w:spacing w:after="0" w:line="262" w:lineRule="auto"/>
        <w:tabs>
          <w:tab w:leader="none" w:pos="1195" w:val="left"/>
        </w:tabs>
        <w:numPr>
          <w:ilvl w:val="0"/>
          <w:numId w:val="117"/>
        </w:numPr>
        <w:rPr>
          <w:rFonts w:ascii="Arial" w:cs="Arial" w:eastAsia="Arial" w:hAnsi="Arial"/>
          <w:sz w:val="22"/>
          <w:szCs w:val="22"/>
          <w:color w:val="auto"/>
        </w:rPr>
      </w:pPr>
      <w:r>
        <w:rPr>
          <w:rFonts w:ascii="Arial" w:cs="Arial" w:eastAsia="Arial" w:hAnsi="Arial"/>
          <w:sz w:val="22"/>
          <w:szCs w:val="22"/>
          <w:i w:val="1"/>
          <w:iCs w:val="1"/>
          <w:color w:val="auto"/>
        </w:rPr>
        <w:t>Effectiveness and Binding Effect</w:t>
      </w:r>
      <w:r>
        <w:rPr>
          <w:rFonts w:ascii="Arial" w:cs="Arial" w:eastAsia="Arial" w:hAnsi="Arial"/>
          <w:sz w:val="22"/>
          <w:szCs w:val="22"/>
          <w:color w:val="auto"/>
        </w:rPr>
        <w:t>. Each amendment, supplement or waiver pursuant to this</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Article 8</w:t>
      </w:r>
      <w:r>
        <w:rPr>
          <w:rFonts w:ascii="Arial" w:cs="Arial" w:eastAsia="Arial" w:hAnsi="Arial"/>
          <w:sz w:val="22"/>
          <w:szCs w:val="22"/>
          <w:i w:val="1"/>
          <w:iCs w:val="1"/>
          <w:color w:val="auto"/>
        </w:rPr>
        <w:t xml:space="preserve"> </w:t>
      </w:r>
      <w:r>
        <w:rPr>
          <w:rFonts w:ascii="Arial" w:cs="Arial" w:eastAsia="Arial" w:hAnsi="Arial"/>
          <w:sz w:val="22"/>
          <w:szCs w:val="22"/>
          <w:color w:val="auto"/>
        </w:rPr>
        <w:t>will become</w:t>
      </w:r>
      <w:r>
        <w:rPr>
          <w:rFonts w:ascii="Arial" w:cs="Arial" w:eastAsia="Arial" w:hAnsi="Arial"/>
          <w:sz w:val="22"/>
          <w:szCs w:val="22"/>
          <w:i w:val="1"/>
          <w:iCs w:val="1"/>
          <w:color w:val="auto"/>
        </w:rPr>
        <w:t xml:space="preserve"> </w:t>
      </w:r>
      <w:r>
        <w:rPr>
          <w:rFonts w:ascii="Arial" w:cs="Arial" w:eastAsia="Arial" w:hAnsi="Arial"/>
          <w:sz w:val="22"/>
          <w:szCs w:val="22"/>
          <w:color w:val="auto"/>
        </w:rPr>
        <w:t>effective in accordance with its terms and, when it becomes effective with respect to any Note (or any portion thereof), will thereafter bind every Holder of such Note (or such portion).</w:t>
      </w:r>
    </w:p>
    <w:p>
      <w:pPr>
        <w:spacing w:after="0" w:line="17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8.05.</w:t>
      </w:r>
      <w:r>
        <w:rPr>
          <w:sz w:val="20"/>
          <w:szCs w:val="20"/>
          <w:color w:val="auto"/>
        </w:rPr>
        <w:tab/>
      </w:r>
      <w:r>
        <w:rPr>
          <w:rFonts w:ascii="Arial" w:cs="Arial" w:eastAsia="Arial" w:hAnsi="Arial"/>
          <w:sz w:val="21"/>
          <w:szCs w:val="21"/>
          <w:b w:val="1"/>
          <w:bCs w:val="1"/>
          <w:color w:val="auto"/>
        </w:rPr>
        <w:t>NOTATIONS AND EXCHANGES.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342" w:right="339" w:bottom="1440" w:gutter="0" w:footer="0" w:header="0"/>
        </w:sectPr>
      </w:pPr>
    </w:p>
    <w:bookmarkStart w:id="81" w:name="page82"/>
    <w:bookmarkEnd w:id="81"/>
    <w:p>
      <w:pPr>
        <w:jc w:val="both"/>
        <w:spacing w:after="0" w:line="274" w:lineRule="auto"/>
        <w:rPr>
          <w:sz w:val="20"/>
          <w:szCs w:val="20"/>
          <w:color w:val="auto"/>
        </w:rPr>
      </w:pPr>
      <w:r>
        <w:rPr>
          <w:rFonts w:ascii="Arial" w:cs="Arial" w:eastAsia="Arial" w:hAnsi="Arial"/>
          <w:sz w:val="21"/>
          <w:szCs w:val="21"/>
          <w:color w:val="auto"/>
        </w:rPr>
        <w:t xml:space="preserve">exchange for such Note, issue, execute and deliver, and the Trustee will authenticate, in each case in accordance with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2.02</w:t>
      </w:r>
      <w:r>
        <w:rPr>
          <w:rFonts w:ascii="Arial" w:cs="Arial" w:eastAsia="Arial" w:hAnsi="Arial"/>
          <w:sz w:val="21"/>
          <w:szCs w:val="21"/>
          <w:color w:val="auto"/>
        </w:rPr>
        <w:t>, a new Note that reflects the changed terms. The failure to make any appropriate notation or issue a new Note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this </w:t>
      </w:r>
      <w:r>
        <w:rPr>
          <w:rFonts w:ascii="Arial" w:cs="Arial" w:eastAsia="Arial" w:hAnsi="Arial"/>
          <w:sz w:val="21"/>
          <w:szCs w:val="21"/>
          <w:b w:val="1"/>
          <w:bCs w:val="1"/>
          <w:color w:val="auto"/>
        </w:rPr>
        <w:t>Section 8.05</w:t>
      </w:r>
      <w:r>
        <w:rPr>
          <w:rFonts w:ascii="Arial" w:cs="Arial" w:eastAsia="Arial" w:hAnsi="Arial"/>
          <w:sz w:val="21"/>
          <w:szCs w:val="21"/>
          <w:color w:val="auto"/>
        </w:rPr>
        <w:t xml:space="preserve"> will not impair or affect the validity of such amendment, supplement or waiver.</w:t>
      </w:r>
    </w:p>
    <w:p>
      <w:pPr>
        <w:spacing w:after="0" w:line="10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8.06.</w:t>
      </w:r>
      <w:r>
        <w:rPr>
          <w:sz w:val="20"/>
          <w:szCs w:val="20"/>
          <w:color w:val="auto"/>
        </w:rPr>
        <w:tab/>
      </w:r>
      <w:r>
        <w:rPr>
          <w:rFonts w:ascii="Arial" w:cs="Arial" w:eastAsia="Arial" w:hAnsi="Arial"/>
          <w:sz w:val="21"/>
          <w:szCs w:val="21"/>
          <w:b w:val="1"/>
          <w:bCs w:val="1"/>
          <w:color w:val="auto"/>
        </w:rPr>
        <w:t>TRUSTEE TO EXECUTE SUPPLEMENTAL INDENTURES.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The Trustee will execute and deliver any amendment or supplemental indenture authorized pursuant to this </w:t>
      </w:r>
      <w:r>
        <w:rPr>
          <w:rFonts w:ascii="Arial" w:cs="Arial" w:eastAsia="Arial" w:hAnsi="Arial"/>
          <w:sz w:val="22"/>
          <w:szCs w:val="22"/>
          <w:b w:val="1"/>
          <w:bCs w:val="1"/>
          <w:color w:val="auto"/>
        </w:rPr>
        <w:t>Article 8</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the Trustee need not (but may, in its sole and absolute discretion) execute or deliver any such amendment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or supplemental indenture that adversely affects the Trustee’s rights, duties, liabilities or immunities. In executing any amendment or supplemental indenture, the Trustee will be entitled to receive, and (subject to </w:t>
      </w:r>
      <w:r>
        <w:rPr>
          <w:rFonts w:ascii="Arial" w:cs="Arial" w:eastAsia="Arial" w:hAnsi="Arial"/>
          <w:sz w:val="22"/>
          <w:szCs w:val="22"/>
          <w:b w:val="1"/>
          <w:bCs w:val="1"/>
          <w:color w:val="auto"/>
        </w:rPr>
        <w:t>Sections 10.01</w:t>
      </w:r>
      <w:r>
        <w:rPr>
          <w:rFonts w:ascii="Arial" w:cs="Arial" w:eastAsia="Arial" w:hAnsi="Arial"/>
          <w:sz w:val="22"/>
          <w:szCs w:val="22"/>
          <w:color w:val="auto"/>
        </w:rPr>
        <w:t xml:space="preserve"> and </w:t>
      </w:r>
      <w:r>
        <w:rPr>
          <w:rFonts w:ascii="Arial" w:cs="Arial" w:eastAsia="Arial" w:hAnsi="Arial"/>
          <w:sz w:val="22"/>
          <w:szCs w:val="22"/>
          <w:b w:val="1"/>
          <w:bCs w:val="1"/>
          <w:color w:val="auto"/>
        </w:rPr>
        <w:t>10.02</w:t>
      </w:r>
      <w:r>
        <w:rPr>
          <w:rFonts w:ascii="Arial" w:cs="Arial" w:eastAsia="Arial" w:hAnsi="Arial"/>
          <w:sz w:val="22"/>
          <w:szCs w:val="22"/>
          <w:color w:val="auto"/>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131" w:lineRule="exact"/>
        <w:rPr>
          <w:sz w:val="20"/>
          <w:szCs w:val="20"/>
          <w:color w:val="auto"/>
        </w:rPr>
      </w:pPr>
    </w:p>
    <w:p>
      <w:pPr>
        <w:ind w:left="3380"/>
        <w:spacing w:after="0"/>
        <w:tabs>
          <w:tab w:leader="none" w:pos="438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21"/>
          <w:szCs w:val="21"/>
          <w:b w:val="1"/>
          <w:bCs w:val="1"/>
          <w:color w:val="auto"/>
        </w:rPr>
        <w:t>SATISFACTION AND DISCHARGE</w:t>
      </w:r>
    </w:p>
    <w:p>
      <w:pPr>
        <w:spacing w:after="0" w:line="17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9.01.</w:t>
      </w:r>
      <w:r>
        <w:rPr>
          <w:sz w:val="20"/>
          <w:szCs w:val="20"/>
          <w:color w:val="auto"/>
        </w:rPr>
        <w:tab/>
      </w:r>
      <w:r>
        <w:rPr>
          <w:rFonts w:ascii="Arial" w:cs="Arial" w:eastAsia="Arial" w:hAnsi="Arial"/>
          <w:sz w:val="21"/>
          <w:szCs w:val="21"/>
          <w:b w:val="1"/>
          <w:bCs w:val="1"/>
          <w:color w:val="auto"/>
        </w:rPr>
        <w:t>TERMINATION OF COMPANY’S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Indenture will be discharged, and will cease to be of further effect as to all Notes issued under this Indenture, when:</w:t>
      </w:r>
    </w:p>
    <w:p>
      <w:pPr>
        <w:spacing w:after="0" w:line="194" w:lineRule="exact"/>
        <w:rPr>
          <w:sz w:val="20"/>
          <w:szCs w:val="20"/>
          <w:color w:val="auto"/>
        </w:rPr>
      </w:pPr>
    </w:p>
    <w:p>
      <w:pPr>
        <w:jc w:val="both"/>
        <w:ind w:firstLine="656"/>
        <w:spacing w:after="0" w:line="256" w:lineRule="auto"/>
        <w:tabs>
          <w:tab w:leader="none" w:pos="124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all Notes then outstanding (other than Notes replaced pursuant to </w:t>
      </w:r>
      <w:r>
        <w:rPr>
          <w:rFonts w:ascii="Arial" w:cs="Arial" w:eastAsia="Arial" w:hAnsi="Arial"/>
          <w:sz w:val="22"/>
          <w:szCs w:val="22"/>
          <w:b w:val="1"/>
          <w:bCs w:val="1"/>
          <w:color w:val="auto"/>
        </w:rPr>
        <w:t>Section 2.13</w:t>
      </w:r>
      <w:r>
        <w:rPr>
          <w:rFonts w:ascii="Arial" w:cs="Arial" w:eastAsia="Arial" w:hAnsi="Arial"/>
          <w:sz w:val="22"/>
          <w:szCs w:val="22"/>
          <w:color w:val="auto"/>
        </w:rPr>
        <w:t>) have (i) been delivered to the Trustee for cancellation; or (ii) become due and payable (whether on a Redemption Date, a Fundamental Change Repurchase Date, the Maturity Date, upon conversion or otherwise) and/or been converted for an amount of cash or Conversion Consideration, as applicable, that has been fixed;</w:t>
      </w:r>
    </w:p>
    <w:p>
      <w:pPr>
        <w:spacing w:after="0" w:line="128" w:lineRule="exact"/>
        <w:rPr>
          <w:rFonts w:ascii="Arial" w:cs="Arial" w:eastAsia="Arial" w:hAnsi="Arial"/>
          <w:sz w:val="22"/>
          <w:szCs w:val="22"/>
          <w:color w:val="auto"/>
        </w:rPr>
      </w:pPr>
    </w:p>
    <w:p>
      <w:pPr>
        <w:jc w:val="both"/>
        <w:ind w:firstLine="656"/>
        <w:spacing w:after="0" w:line="251" w:lineRule="auto"/>
        <w:tabs>
          <w:tab w:leader="none" w:pos="121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due on all Notes then outstanding (other than Notes replaced pursuant to </w:t>
      </w:r>
      <w:r>
        <w:rPr>
          <w:rFonts w:ascii="Arial" w:cs="Arial" w:eastAsia="Arial" w:hAnsi="Arial"/>
          <w:sz w:val="22"/>
          <w:szCs w:val="22"/>
          <w:b w:val="1"/>
          <w:bCs w:val="1"/>
          <w:color w:val="auto"/>
        </w:rPr>
        <w:t>Section 2.13</w:t>
      </w:r>
      <w:r>
        <w:rPr>
          <w:rFonts w:ascii="Arial" w:cs="Arial" w:eastAsia="Arial" w:hAnsi="Arial"/>
          <w:sz w:val="22"/>
          <w:szCs w:val="22"/>
          <w:color w:val="auto"/>
        </w:rPr>
        <w:t>) and/or satisfy all conversions, as the case may be;</w:t>
      </w:r>
    </w:p>
    <w:p>
      <w:pPr>
        <w:spacing w:after="0" w:line="135" w:lineRule="exact"/>
        <w:rPr>
          <w:rFonts w:ascii="Arial" w:cs="Arial" w:eastAsia="Arial" w:hAnsi="Arial"/>
          <w:sz w:val="22"/>
          <w:szCs w:val="22"/>
          <w:color w:val="auto"/>
        </w:rPr>
      </w:pPr>
    </w:p>
    <w:p>
      <w:pPr>
        <w:ind w:left="1120" w:hanging="464"/>
        <w:spacing w:after="0"/>
        <w:tabs>
          <w:tab w:leader="none" w:pos="11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Company has paid all other amounts payable by it under this Indenture; and</w:t>
      </w:r>
    </w:p>
    <w:p>
      <w:pPr>
        <w:spacing w:after="0" w:line="179" w:lineRule="exact"/>
        <w:rPr>
          <w:rFonts w:ascii="Arial" w:cs="Arial" w:eastAsia="Arial" w:hAnsi="Arial"/>
          <w:sz w:val="22"/>
          <w:szCs w:val="22"/>
          <w:color w:val="auto"/>
        </w:rPr>
      </w:pPr>
    </w:p>
    <w:p>
      <w:pPr>
        <w:ind w:firstLine="656"/>
        <w:spacing w:after="0" w:line="276" w:lineRule="auto"/>
        <w:tabs>
          <w:tab w:leader="none" w:pos="116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and an Opinion of Counsel, each stating that the conditions precedent to the discharge of this Indenture have been satisfied;</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Article 10</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11.01</w:t>
      </w:r>
      <w:r>
        <w:rPr>
          <w:rFonts w:ascii="Arial" w:cs="Arial" w:eastAsia="Arial" w:hAnsi="Arial"/>
          <w:sz w:val="22"/>
          <w:szCs w:val="22"/>
          <w:i w:val="1"/>
          <w:iCs w:val="1"/>
          <w:color w:val="auto"/>
        </w:rPr>
        <w:t xml:space="preserve"> </w:t>
      </w:r>
      <w:r>
        <w:rPr>
          <w:rFonts w:ascii="Arial" w:cs="Arial" w:eastAsia="Arial" w:hAnsi="Arial"/>
          <w:sz w:val="22"/>
          <w:szCs w:val="22"/>
          <w:color w:val="auto"/>
        </w:rPr>
        <w:t>will survive such discharge and, until no Notes remain outstanding,</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 xml:space="preserve">2.15 </w:t>
      </w:r>
      <w:r>
        <w:rPr>
          <w:rFonts w:ascii="Arial" w:cs="Arial" w:eastAsia="Arial" w:hAnsi="Arial"/>
          <w:sz w:val="22"/>
          <w:szCs w:val="22"/>
          <w:color w:val="auto"/>
        </w:rPr>
        <w:t>and the obligations of the Trustee, the Paying Agent and the Conversion Agent with respect to money or other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deposited with them will survive such discharge.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342"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21"/>
          <w:szCs w:val="21"/>
          <w:color w:val="auto"/>
        </w:rPr>
        <w:t>At the Company’s written request, the Trustee will acknowledge the satisfaction and discharge of this Indenture.</w:t>
      </w:r>
    </w:p>
    <w:p>
      <w:pPr>
        <w:spacing w:after="0" w:line="17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9.02.</w:t>
      </w:r>
      <w:r>
        <w:rPr>
          <w:sz w:val="20"/>
          <w:szCs w:val="20"/>
          <w:color w:val="auto"/>
        </w:rPr>
        <w:tab/>
      </w:r>
      <w:r>
        <w:rPr>
          <w:rFonts w:ascii="Arial" w:cs="Arial" w:eastAsia="Arial" w:hAnsi="Arial"/>
          <w:sz w:val="21"/>
          <w:szCs w:val="21"/>
          <w:b w:val="1"/>
          <w:bCs w:val="1"/>
          <w:color w:val="auto"/>
        </w:rPr>
        <w:t>REPAYMENT TO COMPANY.</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9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9.03.</w:t>
      </w:r>
      <w:r>
        <w:rPr>
          <w:sz w:val="20"/>
          <w:szCs w:val="20"/>
          <w:color w:val="auto"/>
        </w:rPr>
        <w:tab/>
      </w:r>
      <w:r>
        <w:rPr>
          <w:rFonts w:ascii="Arial" w:cs="Arial" w:eastAsia="Arial" w:hAnsi="Arial"/>
          <w:sz w:val="21"/>
          <w:szCs w:val="21"/>
          <w:b w:val="1"/>
          <w:bCs w:val="1"/>
          <w:color w:val="auto"/>
        </w:rPr>
        <w:t>REINSTATEMENT.</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If the Trustee, the Paying Agent or the Conversion Agent is unable to apply any cash or other property deposited with it pursuant to </w:t>
      </w:r>
      <w:r>
        <w:rPr>
          <w:rFonts w:ascii="Arial" w:cs="Arial" w:eastAsia="Arial" w:hAnsi="Arial"/>
          <w:sz w:val="19"/>
          <w:szCs w:val="19"/>
          <w:b w:val="1"/>
          <w:bCs w:val="1"/>
          <w:color w:val="auto"/>
        </w:rPr>
        <w:t>Section 9.01</w:t>
      </w:r>
      <w:r>
        <w:rPr>
          <w:rFonts w:ascii="Arial" w:cs="Arial" w:eastAsia="Arial" w:hAnsi="Arial"/>
          <w:sz w:val="19"/>
          <w:szCs w:val="19"/>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Arial" w:cs="Arial" w:eastAsia="Arial" w:hAnsi="Arial"/>
          <w:sz w:val="19"/>
          <w:szCs w:val="19"/>
          <w:b w:val="1"/>
          <w:bCs w:val="1"/>
          <w:color w:val="auto"/>
        </w:rPr>
        <w:t>Section 9.01</w:t>
      </w:r>
      <w:r>
        <w:rPr>
          <w:rFonts w:ascii="Arial" w:cs="Arial" w:eastAsia="Arial" w:hAnsi="Arial"/>
          <w:sz w:val="19"/>
          <w:szCs w:val="19"/>
          <w:color w:val="auto"/>
        </w:rPr>
        <w:t xml:space="preserve"> will be rescinded;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89"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b w:val="1"/>
          <w:bCs w:val="1"/>
          <w:color w:val="auto"/>
        </w:rPr>
        <w:t>Article 10.</w:t>
      </w:r>
      <w:r>
        <w:rPr>
          <w:sz w:val="20"/>
          <w:szCs w:val="20"/>
          <w:color w:val="auto"/>
        </w:rPr>
        <w:tab/>
      </w:r>
      <w:r>
        <w:rPr>
          <w:rFonts w:ascii="Arial" w:cs="Arial" w:eastAsia="Arial" w:hAnsi="Arial"/>
          <w:sz w:val="21"/>
          <w:szCs w:val="21"/>
          <w:b w:val="1"/>
          <w:bCs w:val="1"/>
          <w:color w:val="auto"/>
        </w:rPr>
        <w:t>TRUSTEE</w:t>
      </w:r>
    </w:p>
    <w:p>
      <w:pPr>
        <w:spacing w:after="0" w:line="179"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10.01.</w:t>
      </w:r>
      <w:r>
        <w:rPr>
          <w:sz w:val="20"/>
          <w:szCs w:val="20"/>
          <w:color w:val="auto"/>
        </w:rPr>
        <w:tab/>
      </w:r>
      <w:r>
        <w:rPr>
          <w:rFonts w:ascii="Arial" w:cs="Arial" w:eastAsia="Arial" w:hAnsi="Arial"/>
          <w:sz w:val="21"/>
          <w:szCs w:val="21"/>
          <w:b w:val="1"/>
          <w:bCs w:val="1"/>
          <w:color w:val="auto"/>
        </w:rPr>
        <w:t>DUTIES OF THE TRUSTEE.</w:t>
      </w:r>
    </w:p>
    <w:p>
      <w:pPr>
        <w:spacing w:after="0" w:line="185" w:lineRule="exact"/>
        <w:rPr>
          <w:sz w:val="20"/>
          <w:szCs w:val="20"/>
          <w:color w:val="auto"/>
        </w:rPr>
      </w:pPr>
    </w:p>
    <w:p>
      <w:pPr>
        <w:jc w:val="both"/>
        <w:ind w:firstLine="656"/>
        <w:spacing w:after="0" w:line="259" w:lineRule="auto"/>
        <w:tabs>
          <w:tab w:leader="none" w:pos="114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26" w:lineRule="exact"/>
        <w:rPr>
          <w:rFonts w:ascii="Arial" w:cs="Arial" w:eastAsia="Arial" w:hAnsi="Arial"/>
          <w:sz w:val="22"/>
          <w:szCs w:val="22"/>
          <w:color w:val="auto"/>
        </w:rPr>
      </w:pPr>
    </w:p>
    <w:p>
      <w:pPr>
        <w:ind w:left="1120" w:hanging="464"/>
        <w:spacing w:after="0"/>
        <w:tabs>
          <w:tab w:leader="none" w:pos="11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179" w:lineRule="exact"/>
        <w:rPr>
          <w:rFonts w:ascii="Arial" w:cs="Arial" w:eastAsia="Arial" w:hAnsi="Arial"/>
          <w:sz w:val="22"/>
          <w:szCs w:val="22"/>
          <w:color w:val="auto"/>
        </w:rPr>
      </w:pPr>
    </w:p>
    <w:p>
      <w:pPr>
        <w:jc w:val="both"/>
        <w:ind w:left="660" w:firstLine="644"/>
        <w:spacing w:after="0" w:line="259" w:lineRule="auto"/>
        <w:tabs>
          <w:tab w:leader="none" w:pos="1692"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26" w:lineRule="exact"/>
        <w:rPr>
          <w:rFonts w:ascii="Arial" w:cs="Arial" w:eastAsia="Arial" w:hAnsi="Arial"/>
          <w:sz w:val="22"/>
          <w:szCs w:val="22"/>
          <w:color w:val="auto"/>
        </w:rPr>
      </w:pPr>
    </w:p>
    <w:p>
      <w:pPr>
        <w:jc w:val="both"/>
        <w:ind w:left="660" w:firstLine="644"/>
        <w:spacing w:after="0" w:line="319" w:lineRule="auto"/>
        <w:tabs>
          <w:tab w:leader="none" w:pos="1765"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in the absence of bad faith or willful misconduct on its part, the Trustee may conclusively rely, as to the truth of the statements and the correctness of the opinions expressed therein, upon Officer’s Certificates or Opinions of Counsel that are provided to the Trustee and conform to the requirements of this Indenture. However, the Trustee will</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348" w:right="339" w:bottom="1440" w:gutter="0" w:footer="0" w:header="0"/>
        </w:sectPr>
      </w:pPr>
    </w:p>
    <w:bookmarkStart w:id="83" w:name="page84"/>
    <w:bookmarkEnd w:id="83"/>
    <w:p>
      <w:pPr>
        <w:ind w:left="660"/>
        <w:spacing w:after="0" w:line="263" w:lineRule="auto"/>
        <w:rPr>
          <w:sz w:val="20"/>
          <w:szCs w:val="20"/>
          <w:color w:val="auto"/>
        </w:rPr>
      </w:pPr>
      <w:r>
        <w:rPr>
          <w:rFonts w:ascii="Arial" w:cs="Arial" w:eastAsia="Arial" w:hAnsi="Arial"/>
          <w:sz w:val="22"/>
          <w:szCs w:val="22"/>
          <w:color w:val="auto"/>
        </w:rPr>
        <w:t>examine the certificates and opinions to determine whether or not they conform to the requirements of this Indenture, but shall have no affirmative duty to verify the contents thereof.</w:t>
      </w:r>
    </w:p>
    <w:p>
      <w:pPr>
        <w:spacing w:after="0" w:line="121" w:lineRule="exact"/>
        <w:rPr>
          <w:sz w:val="20"/>
          <w:szCs w:val="20"/>
          <w:color w:val="auto"/>
        </w:rPr>
      </w:pPr>
    </w:p>
    <w:p>
      <w:pPr>
        <w:ind w:left="1120" w:hanging="464"/>
        <w:spacing w:after="0"/>
        <w:tabs>
          <w:tab w:leader="none" w:pos="11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negligence or willful misconduct, except that:</w:t>
      </w:r>
    </w:p>
    <w:p>
      <w:pPr>
        <w:spacing w:after="0" w:line="173" w:lineRule="exact"/>
        <w:rPr>
          <w:rFonts w:ascii="Arial" w:cs="Arial" w:eastAsia="Arial" w:hAnsi="Arial"/>
          <w:sz w:val="22"/>
          <w:szCs w:val="22"/>
          <w:color w:val="auto"/>
        </w:rPr>
      </w:pPr>
    </w:p>
    <w:p>
      <w:pPr>
        <w:ind w:left="1680" w:hanging="376"/>
        <w:spacing w:after="0"/>
        <w:tabs>
          <w:tab w:leader="none" w:pos="16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 xml:space="preserve">this paragraph will not limit the effect of </w:t>
      </w:r>
      <w:r>
        <w:rPr>
          <w:rFonts w:ascii="Arial" w:cs="Arial" w:eastAsia="Arial" w:hAnsi="Arial"/>
          <w:sz w:val="22"/>
          <w:szCs w:val="22"/>
          <w:b w:val="1"/>
          <w:bCs w:val="1"/>
          <w:color w:val="auto"/>
        </w:rPr>
        <w:t>Section 10.01(B)</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660" w:firstLine="644"/>
        <w:spacing w:after="0" w:line="276" w:lineRule="auto"/>
        <w:tabs>
          <w:tab w:leader="none" w:pos="1752"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the Trustee will not be liable for any error of judgment made in good faith by a Responsible Officer, unless it is proved that the Trustee was negligent in ascertaining the pertinent facts; and</w:t>
      </w:r>
    </w:p>
    <w:p>
      <w:pPr>
        <w:spacing w:after="0" w:line="106" w:lineRule="exact"/>
        <w:rPr>
          <w:rFonts w:ascii="Arial" w:cs="Arial" w:eastAsia="Arial" w:hAnsi="Arial"/>
          <w:sz w:val="22"/>
          <w:szCs w:val="22"/>
          <w:color w:val="auto"/>
        </w:rPr>
      </w:pPr>
    </w:p>
    <w:p>
      <w:pPr>
        <w:ind w:left="660" w:firstLine="644"/>
        <w:spacing w:after="0" w:line="276" w:lineRule="auto"/>
        <w:tabs>
          <w:tab w:leader="none" w:pos="1839" w:val="left"/>
        </w:tabs>
        <w:numPr>
          <w:ilvl w:val="1"/>
          <w:numId w:val="120"/>
        </w:numPr>
        <w:rPr>
          <w:rFonts w:ascii="Arial" w:cs="Arial" w:eastAsia="Arial" w:hAnsi="Arial"/>
          <w:sz w:val="22"/>
          <w:szCs w:val="22"/>
          <w:color w:val="auto"/>
        </w:rPr>
      </w:pPr>
      <w:r>
        <w:rPr>
          <w:rFonts w:ascii="Arial" w:cs="Arial" w:eastAsia="Arial" w:hAnsi="Arial"/>
          <w:sz w:val="22"/>
          <w:szCs w:val="22"/>
          <w:color w:val="auto"/>
        </w:rPr>
        <w:t xml:space="preserve">the Trustee will not be liable with respect to any action it takes or omits to take in good faith in accordance with a direction received by it pursuant to </w:t>
      </w:r>
      <w:r>
        <w:rPr>
          <w:rFonts w:ascii="Arial" w:cs="Arial" w:eastAsia="Arial" w:hAnsi="Arial"/>
          <w:sz w:val="22"/>
          <w:szCs w:val="22"/>
          <w:b w:val="1"/>
          <w:bCs w:val="1"/>
          <w:color w:val="auto"/>
        </w:rPr>
        <w:t>Section 7.06</w:t>
      </w:r>
      <w:r>
        <w:rPr>
          <w:rFonts w:ascii="Arial" w:cs="Arial" w:eastAsia="Arial" w:hAnsi="Arial"/>
          <w:sz w:val="22"/>
          <w:szCs w:val="22"/>
          <w:color w:val="auto"/>
        </w:rPr>
        <w:t>.</w:t>
      </w:r>
    </w:p>
    <w:p>
      <w:pPr>
        <w:spacing w:after="0" w:line="100" w:lineRule="exact"/>
        <w:rPr>
          <w:rFonts w:ascii="Arial" w:cs="Arial" w:eastAsia="Arial" w:hAnsi="Arial"/>
          <w:sz w:val="22"/>
          <w:szCs w:val="22"/>
          <w:color w:val="auto"/>
        </w:rPr>
      </w:pPr>
    </w:p>
    <w:p>
      <w:pPr>
        <w:ind w:firstLine="656"/>
        <w:spacing w:after="0" w:line="282" w:lineRule="auto"/>
        <w:tabs>
          <w:tab w:leader="none" w:pos="116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Each provision of this Indenture that in any way relates to the Trustee is subject to paragraphs </w:t>
      </w:r>
      <w:r>
        <w:rPr>
          <w:rFonts w:ascii="Arial" w:cs="Arial" w:eastAsia="Arial" w:hAnsi="Arial"/>
          <w:sz w:val="22"/>
          <w:szCs w:val="22"/>
          <w:b w:val="1"/>
          <w:bCs w:val="1"/>
          <w:color w:val="auto"/>
        </w:rPr>
        <w:t>(A)</w:t>
      </w:r>
      <w:r>
        <w:rPr>
          <w:rFonts w:ascii="Arial" w:cs="Arial" w:eastAsia="Arial" w:hAnsi="Arial"/>
          <w:sz w:val="22"/>
          <w:szCs w:val="22"/>
          <w:color w:val="auto"/>
        </w:rPr>
        <w:t xml:space="preserve">, </w:t>
      </w:r>
      <w:r>
        <w:rPr>
          <w:rFonts w:ascii="Arial" w:cs="Arial" w:eastAsia="Arial" w:hAnsi="Arial"/>
          <w:sz w:val="22"/>
          <w:szCs w:val="22"/>
          <w:b w:val="1"/>
          <w:bCs w:val="1"/>
          <w:color w:val="auto"/>
        </w:rPr>
        <w:t>(B)</w:t>
      </w:r>
      <w:r>
        <w:rPr>
          <w:rFonts w:ascii="Arial" w:cs="Arial" w:eastAsia="Arial" w:hAnsi="Arial"/>
          <w:sz w:val="22"/>
          <w:szCs w:val="22"/>
          <w:color w:val="auto"/>
        </w:rPr>
        <w:t xml:space="preserve"> and </w:t>
      </w:r>
      <w:r>
        <w:rPr>
          <w:rFonts w:ascii="Arial" w:cs="Arial" w:eastAsia="Arial" w:hAnsi="Arial"/>
          <w:sz w:val="22"/>
          <w:szCs w:val="22"/>
          <w:b w:val="1"/>
          <w:bCs w:val="1"/>
          <w:color w:val="auto"/>
        </w:rPr>
        <w:t>(C)</w:t>
      </w:r>
      <w:r>
        <w:rPr>
          <w:rFonts w:ascii="Arial" w:cs="Arial" w:eastAsia="Arial" w:hAnsi="Arial"/>
          <w:sz w:val="22"/>
          <w:szCs w:val="22"/>
          <w:color w:val="auto"/>
        </w:rPr>
        <w:t xml:space="preserve"> of this </w:t>
      </w:r>
      <w:r>
        <w:rPr>
          <w:rFonts w:ascii="Arial" w:cs="Arial" w:eastAsia="Arial" w:hAnsi="Arial"/>
          <w:sz w:val="22"/>
          <w:szCs w:val="22"/>
          <w:b w:val="1"/>
          <w:bCs w:val="1"/>
          <w:color w:val="auto"/>
        </w:rPr>
        <w:t>Section 10.01</w:t>
      </w:r>
      <w:r>
        <w:rPr>
          <w:rFonts w:ascii="Arial" w:cs="Arial" w:eastAsia="Arial" w:hAnsi="Arial"/>
          <w:sz w:val="22"/>
          <w:szCs w:val="22"/>
          <w:color w:val="auto"/>
        </w:rPr>
        <w:t>, regardless of whether such provision so expressly provides.</w:t>
      </w:r>
    </w:p>
    <w:p>
      <w:pPr>
        <w:spacing w:after="0" w:line="100" w:lineRule="exact"/>
        <w:rPr>
          <w:rFonts w:ascii="Arial" w:cs="Arial" w:eastAsia="Arial" w:hAnsi="Arial"/>
          <w:sz w:val="22"/>
          <w:szCs w:val="22"/>
          <w:color w:val="auto"/>
        </w:rPr>
      </w:pPr>
    </w:p>
    <w:p>
      <w:pPr>
        <w:ind w:left="1120" w:hanging="464"/>
        <w:spacing w:after="0"/>
        <w:tabs>
          <w:tab w:leader="none" w:pos="11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No provision of this Indenture will require the Trustee to expend or risk its own funds or incur any liability.</w:t>
      </w:r>
    </w:p>
    <w:p>
      <w:pPr>
        <w:spacing w:after="0" w:line="190" w:lineRule="exact"/>
        <w:rPr>
          <w:rFonts w:ascii="Arial" w:cs="Arial" w:eastAsia="Arial" w:hAnsi="Arial"/>
          <w:sz w:val="21"/>
          <w:szCs w:val="21"/>
          <w:color w:val="auto"/>
        </w:rPr>
      </w:pPr>
    </w:p>
    <w:p>
      <w:pPr>
        <w:jc w:val="both"/>
        <w:ind w:firstLine="656"/>
        <w:spacing w:after="0" w:line="259" w:lineRule="auto"/>
        <w:tabs>
          <w:tab w:leader="none" w:pos="113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20"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10.02.</w:t>
      </w:r>
      <w:r>
        <w:rPr>
          <w:sz w:val="20"/>
          <w:szCs w:val="20"/>
          <w:color w:val="auto"/>
        </w:rPr>
        <w:tab/>
      </w:r>
      <w:r>
        <w:rPr>
          <w:rFonts w:ascii="Arial" w:cs="Arial" w:eastAsia="Arial" w:hAnsi="Arial"/>
          <w:sz w:val="21"/>
          <w:szCs w:val="21"/>
          <w:b w:val="1"/>
          <w:bCs w:val="1"/>
          <w:color w:val="auto"/>
        </w:rPr>
        <w:t>RIGHTS OF THE TRUSTEE.</w:t>
      </w:r>
    </w:p>
    <w:p>
      <w:pPr>
        <w:spacing w:after="0" w:line="185" w:lineRule="exact"/>
        <w:rPr>
          <w:sz w:val="20"/>
          <w:szCs w:val="20"/>
          <w:color w:val="auto"/>
        </w:rPr>
      </w:pPr>
    </w:p>
    <w:p>
      <w:pPr>
        <w:ind w:firstLine="656"/>
        <w:spacing w:after="0" w:line="276" w:lineRule="auto"/>
        <w:tabs>
          <w:tab w:leader="none" w:pos="118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Trustee may conclusively rely on any document that it believes to be genuine and signed or presented by the proper Person, and the Trustee need not investigate any fact or matter stated in such document.</w:t>
      </w:r>
    </w:p>
    <w:p>
      <w:pPr>
        <w:spacing w:after="0" w:line="106" w:lineRule="exact"/>
        <w:rPr>
          <w:rFonts w:ascii="Arial" w:cs="Arial" w:eastAsia="Arial" w:hAnsi="Arial"/>
          <w:sz w:val="22"/>
          <w:szCs w:val="22"/>
          <w:color w:val="auto"/>
        </w:rPr>
      </w:pPr>
    </w:p>
    <w:p>
      <w:pPr>
        <w:jc w:val="both"/>
        <w:ind w:firstLine="656"/>
        <w:spacing w:after="0" w:line="251" w:lineRule="auto"/>
        <w:tabs>
          <w:tab w:leader="none" w:pos="119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advice of such counsel, or any Opinion of Counsel, will constitute full and complete authorization of the Trustee to take or omit to take any action in good faith in reliance thereon without liability.</w:t>
      </w:r>
    </w:p>
    <w:p>
      <w:pPr>
        <w:spacing w:after="0" w:line="135" w:lineRule="exact"/>
        <w:rPr>
          <w:rFonts w:ascii="Arial" w:cs="Arial" w:eastAsia="Arial" w:hAnsi="Arial"/>
          <w:sz w:val="22"/>
          <w:szCs w:val="22"/>
          <w:color w:val="auto"/>
        </w:rPr>
      </w:pPr>
    </w:p>
    <w:p>
      <w:pPr>
        <w:ind w:firstLine="656"/>
        <w:spacing w:after="0" w:line="276" w:lineRule="auto"/>
        <w:tabs>
          <w:tab w:leader="none" w:pos="111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will not be responsible for the misconduct or negligence of any such agent appointed with due care.</w:t>
      </w:r>
    </w:p>
    <w:p>
      <w:pPr>
        <w:spacing w:after="0" w:line="106" w:lineRule="exact"/>
        <w:rPr>
          <w:rFonts w:ascii="Arial" w:cs="Arial" w:eastAsia="Arial" w:hAnsi="Arial"/>
          <w:sz w:val="22"/>
          <w:szCs w:val="22"/>
          <w:color w:val="auto"/>
        </w:rPr>
      </w:pPr>
    </w:p>
    <w:p>
      <w:pPr>
        <w:ind w:right="20" w:firstLine="656"/>
        <w:spacing w:after="0" w:line="276" w:lineRule="auto"/>
        <w:tabs>
          <w:tab w:leader="none" w:pos="126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Trustee will not be liable for any action it takes or omits to take in good faith and that it believes to be authorized or within the rights or powers vested in it by this Indenture.</w:t>
      </w:r>
    </w:p>
    <w:p>
      <w:pPr>
        <w:spacing w:after="0" w:line="106" w:lineRule="exact"/>
        <w:rPr>
          <w:rFonts w:ascii="Arial" w:cs="Arial" w:eastAsia="Arial" w:hAnsi="Arial"/>
          <w:sz w:val="22"/>
          <w:szCs w:val="22"/>
          <w:color w:val="auto"/>
        </w:rPr>
      </w:pPr>
    </w:p>
    <w:p>
      <w:pPr>
        <w:ind w:right="20" w:firstLine="656"/>
        <w:spacing w:after="0" w:line="276" w:lineRule="auto"/>
        <w:tabs>
          <w:tab w:leader="none" w:pos="110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Company will be sufficient if signed by an Officer of the Company.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348" w:right="339" w:bottom="1440" w:gutter="0" w:footer="0" w:header="0"/>
        </w:sectPr>
      </w:pPr>
    </w:p>
    <w:bookmarkStart w:id="84" w:name="page85"/>
    <w:bookmarkEnd w:id="84"/>
    <w:p>
      <w:pPr>
        <w:jc w:val="both"/>
        <w:ind w:firstLine="656"/>
        <w:spacing w:after="0" w:line="259" w:lineRule="auto"/>
        <w:tabs>
          <w:tab w:leader="none" w:pos="114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Trustee need not exercise any rights or powers vested in it by this Indenture at the request or direction of any Holder unless such Holder has offered the Trustee security or indemnity satisfactory to the Trustee against any loss, liability or expense that it may incur in complying with such request or direction.</w:t>
      </w:r>
    </w:p>
    <w:p>
      <w:pPr>
        <w:spacing w:after="0" w:line="180" w:lineRule="exact"/>
        <w:rPr>
          <w:rFonts w:ascii="Arial" w:cs="Arial" w:eastAsia="Arial" w:hAnsi="Arial"/>
          <w:sz w:val="22"/>
          <w:szCs w:val="22"/>
          <w:color w:val="auto"/>
        </w:rPr>
      </w:pPr>
    </w:p>
    <w:p>
      <w:pPr>
        <w:jc w:val="both"/>
        <w:ind w:firstLine="656"/>
        <w:spacing w:after="0" w:line="259" w:lineRule="auto"/>
        <w:tabs>
          <w:tab w:leader="none" w:pos="122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126" w:lineRule="exact"/>
        <w:rPr>
          <w:rFonts w:ascii="Arial" w:cs="Arial" w:eastAsia="Arial" w:hAnsi="Arial"/>
          <w:sz w:val="22"/>
          <w:szCs w:val="22"/>
          <w:color w:val="auto"/>
        </w:rPr>
      </w:pPr>
    </w:p>
    <w:p>
      <w:pPr>
        <w:jc w:val="both"/>
        <w:ind w:firstLine="656"/>
        <w:spacing w:after="0" w:line="270" w:lineRule="auto"/>
        <w:tabs>
          <w:tab w:leader="none" w:pos="1128"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Trustee will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will incur no liability of any kind by reason of such inquiry or investigation.</w:t>
      </w:r>
    </w:p>
    <w:p>
      <w:pPr>
        <w:spacing w:after="0" w:line="114" w:lineRule="exact"/>
        <w:rPr>
          <w:rFonts w:ascii="Arial" w:cs="Arial" w:eastAsia="Arial" w:hAnsi="Arial"/>
          <w:sz w:val="21"/>
          <w:szCs w:val="21"/>
          <w:color w:val="auto"/>
        </w:rPr>
      </w:pPr>
    </w:p>
    <w:p>
      <w:pPr>
        <w:ind w:firstLine="656"/>
        <w:spacing w:after="0" w:line="276" w:lineRule="auto"/>
        <w:tabs>
          <w:tab w:leader="none" w:pos="112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Trustee will not be required to give any bond or surety in respect of the execution of the trusts, powers, and duties under this Indenture.</w:t>
      </w:r>
    </w:p>
    <w:p>
      <w:pPr>
        <w:spacing w:after="0" w:line="106" w:lineRule="exact"/>
        <w:rPr>
          <w:rFonts w:ascii="Arial" w:cs="Arial" w:eastAsia="Arial" w:hAnsi="Arial"/>
          <w:sz w:val="22"/>
          <w:szCs w:val="22"/>
          <w:color w:val="auto"/>
        </w:rPr>
      </w:pPr>
    </w:p>
    <w:p>
      <w:pPr>
        <w:ind w:firstLine="656"/>
        <w:spacing w:after="0" w:line="276" w:lineRule="auto"/>
        <w:tabs>
          <w:tab w:leader="none" w:pos="1123"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permissive rights of the Trustee enumerated herein will not be construed as duties. The Trustee undertakes to perform such duties and only such duties as are specifically and expressly set forth in this Indenture.</w:t>
      </w:r>
    </w:p>
    <w:p>
      <w:pPr>
        <w:spacing w:after="0" w:line="106" w:lineRule="exact"/>
        <w:rPr>
          <w:rFonts w:ascii="Arial" w:cs="Arial" w:eastAsia="Arial" w:hAnsi="Arial"/>
          <w:sz w:val="22"/>
          <w:szCs w:val="22"/>
          <w:color w:val="auto"/>
        </w:rPr>
      </w:pPr>
    </w:p>
    <w:p>
      <w:pPr>
        <w:jc w:val="both"/>
        <w:ind w:firstLine="656"/>
        <w:spacing w:after="0" w:line="259" w:lineRule="auto"/>
        <w:tabs>
          <w:tab w:leader="none" w:pos="116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Delivery of reports and documents to the Trustee under this Indenture are for informational purposes only, and the Trustee’s receipt of such reports and documents will not constitute constructive notice of any information contained therein or determinable from information contained therein.</w:t>
      </w:r>
    </w:p>
    <w:p>
      <w:pPr>
        <w:spacing w:after="0" w:line="126" w:lineRule="exact"/>
        <w:rPr>
          <w:rFonts w:ascii="Arial" w:cs="Arial" w:eastAsia="Arial" w:hAnsi="Arial"/>
          <w:sz w:val="22"/>
          <w:szCs w:val="22"/>
          <w:color w:val="auto"/>
        </w:rPr>
      </w:pPr>
    </w:p>
    <w:p>
      <w:pPr>
        <w:jc w:val="both"/>
        <w:ind w:firstLine="656"/>
        <w:spacing w:after="0" w:line="254" w:lineRule="auto"/>
        <w:tabs>
          <w:tab w:leader="none" w:pos="110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Trustee may request that the Company deliver an Officer’s Certificate setting forth the names of individuals and titles of officers authorized at such time to take specified actions pursuant to this Indenture, which Officer’s Certificate may be signed by any Person authorized to sign an Officer’ Certificate, including any Person specified as so authorized in any such certificate previously delivered and not superseded.</w:t>
      </w:r>
    </w:p>
    <w:p>
      <w:pPr>
        <w:spacing w:after="0" w:line="130" w:lineRule="exact"/>
        <w:rPr>
          <w:rFonts w:ascii="Arial" w:cs="Arial" w:eastAsia="Arial" w:hAnsi="Arial"/>
          <w:sz w:val="22"/>
          <w:szCs w:val="22"/>
          <w:color w:val="auto"/>
        </w:rPr>
      </w:pPr>
    </w:p>
    <w:p>
      <w:pPr>
        <w:jc w:val="both"/>
        <w:ind w:firstLine="656"/>
        <w:spacing w:after="0" w:line="300" w:lineRule="auto"/>
        <w:tabs>
          <w:tab w:leader="none" w:pos="116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Trustee will not be deemed to have notice of any Default or Event of Default (except in the case of a Default or Event of Default in payment of scheduled principal of, or the Redemption Price or Fundamental Change Repurchase Price for, or interest on, any Note) unless written notice of any event that is in fact such a Default or Event of Default (and stating the occurrence of a Default or Event of Default) is actually received by the a Responsible Officer of the Trustee at the Corporate Trust Office of the Trustee, and such notice references the Notes, the Company and this Indenture.</w:t>
      </w:r>
    </w:p>
    <w:p>
      <w:pPr>
        <w:spacing w:after="0" w:line="86"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10.03.</w:t>
        <w:tab/>
        <w:t>INDIVIDUAL RIGHTS OF THE TRUSTEE.</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Trustee acquires a “conflicting interest” (within the meaning of Section 310(b) of the Trust Indenture Act), then it must eliminate such conflict within ninety (90) days or resign as Trustee. The rights, privileges,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348" w:right="339" w:bottom="1440" w:gutter="0" w:footer="0" w:header="0"/>
        </w:sectPr>
      </w:pPr>
    </w:p>
    <w:bookmarkStart w:id="85" w:name="page86"/>
    <w:bookmarkEnd w:id="85"/>
    <w:p>
      <w:pPr>
        <w:jc w:val="both"/>
        <w:spacing w:after="0" w:line="253" w:lineRule="auto"/>
        <w:rPr>
          <w:sz w:val="20"/>
          <w:szCs w:val="20"/>
          <w:color w:val="auto"/>
        </w:rPr>
      </w:pPr>
      <w:r>
        <w:rPr>
          <w:rFonts w:ascii="Arial" w:cs="Arial" w:eastAsia="Arial" w:hAnsi="Arial"/>
          <w:sz w:val="22"/>
          <w:szCs w:val="22"/>
          <w:color w:val="auto"/>
        </w:rPr>
        <w:t>protections, immunities and benefits given to the Trustee, including its right to be compensated, reimbursed and indemnified, are extended to, and will be enforceable by, the Trustee in each of its capacities under this Indenture and each Note Agent, custodian and other Person retained to act under this Indenture.</w:t>
      </w:r>
    </w:p>
    <w:p>
      <w:pPr>
        <w:spacing w:after="0" w:line="125"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10.04.</w:t>
      </w:r>
      <w:r>
        <w:rPr>
          <w:sz w:val="20"/>
          <w:szCs w:val="20"/>
          <w:color w:val="auto"/>
        </w:rPr>
        <w:tab/>
      </w:r>
      <w:r>
        <w:rPr>
          <w:rFonts w:ascii="Arial" w:cs="Arial" w:eastAsia="Arial" w:hAnsi="Arial"/>
          <w:sz w:val="21"/>
          <w:szCs w:val="21"/>
          <w:b w:val="1"/>
          <w:bCs w:val="1"/>
          <w:color w:val="auto"/>
        </w:rPr>
        <w:t>TRUSTEE’S DISCLAIMER.</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87"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10.05.</w:t>
      </w:r>
      <w:r>
        <w:rPr>
          <w:sz w:val="20"/>
          <w:szCs w:val="20"/>
          <w:color w:val="auto"/>
        </w:rPr>
        <w:tab/>
      </w:r>
      <w:r>
        <w:rPr>
          <w:rFonts w:ascii="Arial" w:cs="Arial" w:eastAsia="Arial" w:hAnsi="Arial"/>
          <w:sz w:val="21"/>
          <w:szCs w:val="21"/>
          <w:b w:val="1"/>
          <w:bCs w:val="1"/>
          <w:color w:val="auto"/>
        </w:rPr>
        <w:t>NOTICE OF DEFAULTS.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If a Default or Event of Default occurs and is continuing and is actually known to a Responsible Officer of the Trustee, then the Trustee shall send Holders a notice of such Default or Event of Default within ninety (90) days after it occurs or, if it is not known to the Trustee at such time, promptly (and in any event within ten (10) Business Days) after it becomes actually known to a Responsible Officer;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except in the case of a Default or Event of Default in the payment of the principal of, or interest on, any Note, the Trustee may withhold such notice if and for so long as it in good faith determines that withholding such notice is in the interests of the Holders.</w:t>
      </w:r>
    </w:p>
    <w:p>
      <w:pPr>
        <w:spacing w:after="0" w:line="119"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10.06.</w:t>
      </w:r>
      <w:r>
        <w:rPr>
          <w:sz w:val="20"/>
          <w:szCs w:val="20"/>
          <w:color w:val="auto"/>
        </w:rPr>
        <w:tab/>
      </w:r>
      <w:r>
        <w:rPr>
          <w:rFonts w:ascii="Arial" w:cs="Arial" w:eastAsia="Arial" w:hAnsi="Arial"/>
          <w:sz w:val="21"/>
          <w:szCs w:val="21"/>
          <w:b w:val="1"/>
          <w:bCs w:val="1"/>
          <w:color w:val="auto"/>
        </w:rPr>
        <w:t>COMPENSATION AND INDEMNITY.</w:t>
      </w:r>
    </w:p>
    <w:p>
      <w:pPr>
        <w:spacing w:after="0" w:line="185" w:lineRule="exact"/>
        <w:rPr>
          <w:sz w:val="20"/>
          <w:szCs w:val="20"/>
          <w:color w:val="auto"/>
        </w:rPr>
      </w:pPr>
    </w:p>
    <w:p>
      <w:pPr>
        <w:jc w:val="both"/>
        <w:ind w:firstLine="656"/>
        <w:spacing w:after="0" w:line="264" w:lineRule="auto"/>
        <w:tabs>
          <w:tab w:leader="none" w:pos="1236"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Company will, from time to time, pay the Trustee (acting in any capacity hereunder) compensation for its acceptance of this Indenture and services under this Indenture as may be agreed by the Company and the Trustee in writing from time to time.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20" w:lineRule="exact"/>
        <w:rPr>
          <w:rFonts w:ascii="Arial" w:cs="Arial" w:eastAsia="Arial" w:hAnsi="Arial"/>
          <w:sz w:val="21"/>
          <w:szCs w:val="21"/>
          <w:color w:val="auto"/>
        </w:rPr>
      </w:pPr>
    </w:p>
    <w:p>
      <w:pPr>
        <w:jc w:val="both"/>
        <w:ind w:firstLine="656"/>
        <w:spacing w:after="0" w:line="292" w:lineRule="auto"/>
        <w:tabs>
          <w:tab w:leader="none" w:pos="114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The Company will indemnify the Trustee (acting in any capacity hereunder)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Arial" w:cs="Arial" w:eastAsia="Arial" w:hAnsi="Arial"/>
          <w:sz w:val="19"/>
          <w:szCs w:val="19"/>
          <w:b w:val="1"/>
          <w:bCs w:val="1"/>
          <w:color w:val="auto"/>
        </w:rPr>
        <w:t>Section 10.06</w:t>
      </w:r>
      <w:r>
        <w:rPr>
          <w:rFonts w:ascii="Arial" w:cs="Arial" w:eastAsia="Arial" w:hAnsi="Arial"/>
          <w:sz w:val="19"/>
          <w:szCs w:val="19"/>
          <w:color w:val="auto"/>
        </w:rPr>
        <w:t>) and defending itself against any claim (whether asserted by the Company, any Holder or any other Person) or liability in connection with the exercise or performance of any of its powers or duties under this Indenture, except to the extent any such loss, liability or expense may be attributable to its gross negligence or willful misconduct as determined by a court of competent jurisdiction in a final and non-appealable decision. The Trustee will promptly notify the Company of any claim for which it may seek indemnity, but the Trustee’s failure to so notify the Company will not relieve the Company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40"/>
          </w:cols>
          <w:pgMar w:left="320" w:top="348" w:right="339" w:bottom="1440" w:gutter="0" w:footer="0" w:header="0"/>
        </w:sectPr>
      </w:pPr>
    </w:p>
    <w:bookmarkStart w:id="86" w:name="page87"/>
    <w:bookmarkEnd w:id="86"/>
    <w:p>
      <w:pPr>
        <w:jc w:val="both"/>
        <w:spacing w:after="0" w:line="258" w:lineRule="auto"/>
        <w:rPr>
          <w:sz w:val="20"/>
          <w:szCs w:val="20"/>
          <w:color w:val="auto"/>
        </w:rPr>
      </w:pPr>
      <w:r>
        <w:rPr>
          <w:rFonts w:ascii="Arial" w:cs="Arial" w:eastAsia="Arial" w:hAnsi="Arial"/>
          <w:sz w:val="21"/>
          <w:szCs w:val="21"/>
          <w:color w:val="auto"/>
        </w:rPr>
        <w:t xml:space="preserve">of its obligations under this </w:t>
      </w:r>
      <w:r>
        <w:rPr>
          <w:rFonts w:ascii="Arial" w:cs="Arial" w:eastAsia="Arial" w:hAnsi="Arial"/>
          <w:sz w:val="21"/>
          <w:szCs w:val="21"/>
          <w:b w:val="1"/>
          <w:bCs w:val="1"/>
          <w:color w:val="auto"/>
        </w:rPr>
        <w:t>Section 10.06(B)</w:t>
      </w:r>
      <w:r>
        <w:rPr>
          <w:rFonts w:ascii="Arial" w:cs="Arial" w:eastAsia="Arial" w:hAnsi="Arial"/>
          <w:sz w:val="21"/>
          <w:szCs w:val="21"/>
          <w:color w:val="auto"/>
        </w:rPr>
        <w:t xml:space="preserve">. The Company will defend such claim, and the Trustee will cooperate in such defense at the expense of the Company.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 conditioned or delayed. Any settlement that affects the Trustee may not be entered into without the consent of the Trustee, unless the Trustee is given a full and unconditional release from liability with respect to the claims covered thereby and such settlement does not include a statement or admission of fault, culpability or failure to act by or on behalf of the Trustee, and any amounts in connection with such settlement shall not be paid from the personal assets of the Trustee. The indemnification provided in this </w:t>
      </w:r>
      <w:r>
        <w:rPr>
          <w:rFonts w:ascii="Arial" w:cs="Arial" w:eastAsia="Arial" w:hAnsi="Arial"/>
          <w:sz w:val="21"/>
          <w:szCs w:val="21"/>
          <w:b w:val="1"/>
          <w:bCs w:val="1"/>
          <w:color w:val="auto"/>
        </w:rPr>
        <w:t xml:space="preserve">Section 10.06 </w:t>
      </w:r>
      <w:r>
        <w:rPr>
          <w:rFonts w:ascii="Arial" w:cs="Arial" w:eastAsia="Arial" w:hAnsi="Arial"/>
          <w:sz w:val="21"/>
          <w:szCs w:val="21"/>
          <w:color w:val="auto"/>
        </w:rPr>
        <w:t>will extend to the officers, directors, agents and employees of the Trustee and any successor Trustee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Indenture.</w:t>
      </w:r>
    </w:p>
    <w:p>
      <w:pPr>
        <w:spacing w:after="0" w:line="125" w:lineRule="exact"/>
        <w:rPr>
          <w:sz w:val="20"/>
          <w:szCs w:val="20"/>
          <w:color w:val="auto"/>
        </w:rPr>
      </w:pPr>
    </w:p>
    <w:p>
      <w:pPr>
        <w:ind w:firstLine="656"/>
        <w:spacing w:after="0" w:line="282" w:lineRule="auto"/>
        <w:tabs>
          <w:tab w:leader="none" w:pos="112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The obligations of the Company under this </w:t>
      </w:r>
      <w:r>
        <w:rPr>
          <w:rFonts w:ascii="Arial" w:cs="Arial" w:eastAsia="Arial" w:hAnsi="Arial"/>
          <w:sz w:val="22"/>
          <w:szCs w:val="22"/>
          <w:b w:val="1"/>
          <w:bCs w:val="1"/>
          <w:color w:val="auto"/>
        </w:rPr>
        <w:t>Section 10.06</w:t>
      </w:r>
      <w:r>
        <w:rPr>
          <w:rFonts w:ascii="Arial" w:cs="Arial" w:eastAsia="Arial" w:hAnsi="Arial"/>
          <w:sz w:val="22"/>
          <w:szCs w:val="22"/>
          <w:color w:val="auto"/>
        </w:rPr>
        <w:t xml:space="preserve"> will survive the resignation or removal of the Trustee and the discharge of this Indenture.</w:t>
      </w:r>
    </w:p>
    <w:p>
      <w:pPr>
        <w:spacing w:after="0" w:line="94" w:lineRule="exact"/>
        <w:rPr>
          <w:rFonts w:ascii="Arial" w:cs="Arial" w:eastAsia="Arial" w:hAnsi="Arial"/>
          <w:sz w:val="22"/>
          <w:szCs w:val="22"/>
          <w:color w:val="auto"/>
        </w:rPr>
      </w:pPr>
    </w:p>
    <w:p>
      <w:pPr>
        <w:jc w:val="both"/>
        <w:ind w:firstLine="656"/>
        <w:spacing w:after="0" w:line="262" w:lineRule="auto"/>
        <w:tabs>
          <w:tab w:leader="none" w:pos="116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To secure the Company’s payment obligations in this </w:t>
      </w:r>
      <w:r>
        <w:rPr>
          <w:rFonts w:ascii="Arial" w:cs="Arial" w:eastAsia="Arial" w:hAnsi="Arial"/>
          <w:sz w:val="22"/>
          <w:szCs w:val="22"/>
          <w:b w:val="1"/>
          <w:bCs w:val="1"/>
          <w:color w:val="auto"/>
        </w:rPr>
        <w:t>Section 10.06</w:t>
      </w:r>
      <w:r>
        <w:rPr>
          <w:rFonts w:ascii="Arial" w:cs="Arial" w:eastAsia="Arial" w:hAnsi="Arial"/>
          <w:sz w:val="22"/>
          <w:szCs w:val="22"/>
          <w:color w:val="auto"/>
        </w:rPr>
        <w:t>, the Trustee will have a lien prior to the Notes on all money or property held or collected by the Trustee, except that held in trust to pay principal of, or interest on, particular Notes, which lien will survive the discharge of this Indenture.</w:t>
      </w:r>
    </w:p>
    <w:p>
      <w:pPr>
        <w:spacing w:after="0" w:line="116" w:lineRule="exact"/>
        <w:rPr>
          <w:rFonts w:ascii="Arial" w:cs="Arial" w:eastAsia="Arial" w:hAnsi="Arial"/>
          <w:sz w:val="22"/>
          <w:szCs w:val="22"/>
          <w:color w:val="auto"/>
        </w:rPr>
      </w:pPr>
    </w:p>
    <w:p>
      <w:pPr>
        <w:jc w:val="both"/>
        <w:ind w:firstLine="656"/>
        <w:spacing w:after="0" w:line="281" w:lineRule="auto"/>
        <w:tabs>
          <w:tab w:leader="none" w:pos="113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If the Trustee incurs expenses or renders services after an Event of Default pursuant to </w:t>
      </w:r>
      <w:r>
        <w:rPr>
          <w:rFonts w:ascii="Arial" w:cs="Arial" w:eastAsia="Arial" w:hAnsi="Arial"/>
          <w:sz w:val="21"/>
          <w:szCs w:val="21"/>
          <w:b w:val="1"/>
          <w:bCs w:val="1"/>
          <w:color w:val="auto"/>
        </w:rPr>
        <w:t>clause (ix)</w:t>
      </w:r>
      <w:r>
        <w:rPr>
          <w:rFonts w:ascii="Arial" w:cs="Arial" w:eastAsia="Arial" w:hAnsi="Arial"/>
          <w:sz w:val="21"/>
          <w:szCs w:val="21"/>
          <w:color w:val="auto"/>
        </w:rPr>
        <w:t xml:space="preserve"> or </w:t>
      </w:r>
      <w:r>
        <w:rPr>
          <w:rFonts w:ascii="Arial" w:cs="Arial" w:eastAsia="Arial" w:hAnsi="Arial"/>
          <w:sz w:val="21"/>
          <w:szCs w:val="21"/>
          <w:b w:val="1"/>
          <w:bCs w:val="1"/>
          <w:color w:val="auto"/>
        </w:rPr>
        <w:t>(x)</w:t>
      </w:r>
      <w:r>
        <w:rPr>
          <w:rFonts w:ascii="Arial" w:cs="Arial" w:eastAsia="Arial" w:hAnsi="Arial"/>
          <w:sz w:val="21"/>
          <w:szCs w:val="21"/>
          <w:color w:val="auto"/>
        </w:rPr>
        <w:t xml:space="preserve"> of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7.01(A) </w:t>
      </w:r>
      <w:r>
        <w:rPr>
          <w:rFonts w:ascii="Arial" w:cs="Arial" w:eastAsia="Arial" w:hAnsi="Arial"/>
          <w:sz w:val="21"/>
          <w:szCs w:val="21"/>
          <w:color w:val="auto"/>
        </w:rPr>
        <w:t>occurs, then such expenses and the compensation for such services (including the fees and expenses of its agents and</w:t>
      </w:r>
      <w:r>
        <w:rPr>
          <w:rFonts w:ascii="Arial" w:cs="Arial" w:eastAsia="Arial" w:hAnsi="Arial"/>
          <w:sz w:val="21"/>
          <w:szCs w:val="21"/>
          <w:b w:val="1"/>
          <w:bCs w:val="1"/>
          <w:color w:val="auto"/>
        </w:rPr>
        <w:t xml:space="preserve"> </w:t>
      </w:r>
      <w:r>
        <w:rPr>
          <w:rFonts w:ascii="Arial" w:cs="Arial" w:eastAsia="Arial" w:hAnsi="Arial"/>
          <w:sz w:val="21"/>
          <w:szCs w:val="21"/>
          <w:color w:val="auto"/>
        </w:rPr>
        <w:t>counsel) are intended to constitute expenses of administration under any Bankruptcy Law.</w:t>
      </w:r>
    </w:p>
    <w:p>
      <w:pPr>
        <w:spacing w:after="0" w:line="97"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10.07.</w:t>
      </w:r>
      <w:r>
        <w:rPr>
          <w:sz w:val="20"/>
          <w:szCs w:val="20"/>
          <w:color w:val="auto"/>
        </w:rPr>
        <w:tab/>
      </w:r>
      <w:r>
        <w:rPr>
          <w:rFonts w:ascii="Arial" w:cs="Arial" w:eastAsia="Arial" w:hAnsi="Arial"/>
          <w:sz w:val="21"/>
          <w:szCs w:val="21"/>
          <w:b w:val="1"/>
          <w:bCs w:val="1"/>
          <w:color w:val="auto"/>
        </w:rPr>
        <w:t>REPLACEMENT OF THE TRUSTEE.</w:t>
      </w:r>
    </w:p>
    <w:p>
      <w:pPr>
        <w:spacing w:after="0" w:line="179" w:lineRule="exact"/>
        <w:rPr>
          <w:sz w:val="20"/>
          <w:szCs w:val="20"/>
          <w:color w:val="auto"/>
        </w:rPr>
      </w:pPr>
    </w:p>
    <w:p>
      <w:pPr>
        <w:jc w:val="both"/>
        <w:ind w:firstLine="656"/>
        <w:spacing w:after="0" w:line="262" w:lineRule="auto"/>
        <w:tabs>
          <w:tab w:leader="none" w:pos="120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b w:val="1"/>
          <w:bCs w:val="1"/>
          <w:color w:val="auto"/>
        </w:rPr>
        <w:t>Section 10.07</w:t>
      </w:r>
      <w:r>
        <w:rPr>
          <w:rFonts w:ascii="Arial" w:cs="Arial" w:eastAsia="Arial" w:hAnsi="Arial"/>
          <w:sz w:val="22"/>
          <w:szCs w:val="22"/>
          <w:color w:val="auto"/>
        </w:rPr>
        <w:t xml:space="preserve">, a resignation or removal of the Trustee, and the appointment of a successor Trustee, will become effective only upon such successor Trustee’s acceptance of appointment as provided in this </w:t>
      </w:r>
      <w:r>
        <w:rPr>
          <w:rFonts w:ascii="Arial" w:cs="Arial" w:eastAsia="Arial" w:hAnsi="Arial"/>
          <w:sz w:val="22"/>
          <w:szCs w:val="22"/>
          <w:b w:val="1"/>
          <w:bCs w:val="1"/>
          <w:color w:val="auto"/>
        </w:rPr>
        <w:t>Section 10.07</w:t>
      </w:r>
      <w:r>
        <w:rPr>
          <w:rFonts w:ascii="Arial" w:cs="Arial" w:eastAsia="Arial" w:hAnsi="Arial"/>
          <w:sz w:val="22"/>
          <w:szCs w:val="22"/>
          <w:color w:val="auto"/>
        </w:rPr>
        <w:t>.</w:t>
      </w:r>
    </w:p>
    <w:p>
      <w:pPr>
        <w:spacing w:after="0" w:line="122" w:lineRule="exact"/>
        <w:rPr>
          <w:rFonts w:ascii="Arial" w:cs="Arial" w:eastAsia="Arial" w:hAnsi="Arial"/>
          <w:sz w:val="22"/>
          <w:szCs w:val="22"/>
          <w:color w:val="auto"/>
        </w:rPr>
      </w:pPr>
    </w:p>
    <w:p>
      <w:pPr>
        <w:jc w:val="both"/>
        <w:ind w:firstLine="656"/>
        <w:spacing w:after="0" w:line="278" w:lineRule="auto"/>
        <w:tabs>
          <w:tab w:leader="none" w:pos="117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99" w:lineRule="exact"/>
        <w:rPr>
          <w:rFonts w:ascii="Arial" w:cs="Arial" w:eastAsia="Arial" w:hAnsi="Arial"/>
          <w:sz w:val="21"/>
          <w:szCs w:val="21"/>
          <w:color w:val="auto"/>
        </w:rPr>
      </w:pPr>
    </w:p>
    <w:p>
      <w:pPr>
        <w:ind w:left="1680" w:hanging="376"/>
        <w:spacing w:after="0"/>
        <w:tabs>
          <w:tab w:leader="none" w:pos="16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 xml:space="preserve">the Trustee fails to comply with </w:t>
      </w:r>
      <w:r>
        <w:rPr>
          <w:rFonts w:ascii="Arial" w:cs="Arial" w:eastAsia="Arial" w:hAnsi="Arial"/>
          <w:sz w:val="22"/>
          <w:szCs w:val="22"/>
          <w:b w:val="1"/>
          <w:bCs w:val="1"/>
          <w:color w:val="auto"/>
        </w:rPr>
        <w:t>Section 10.09</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660" w:right="20" w:firstLine="644"/>
        <w:spacing w:after="0" w:line="276" w:lineRule="auto"/>
        <w:tabs>
          <w:tab w:leader="none" w:pos="1752"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Trustee is adjudged to be bankrupt or insolvent or an order for relief is entered with respect to the Trustee under any Bankruptcy Law;</w:t>
      </w:r>
    </w:p>
    <w:p>
      <w:pPr>
        <w:spacing w:after="0" w:line="106" w:lineRule="exact"/>
        <w:rPr>
          <w:rFonts w:ascii="Arial" w:cs="Arial" w:eastAsia="Arial" w:hAnsi="Arial"/>
          <w:sz w:val="22"/>
          <w:szCs w:val="22"/>
          <w:color w:val="auto"/>
        </w:rPr>
      </w:pPr>
    </w:p>
    <w:p>
      <w:pPr>
        <w:ind w:left="1800" w:hanging="496"/>
        <w:spacing w:after="0"/>
        <w:tabs>
          <w:tab w:leader="none" w:pos="180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179" w:lineRule="exact"/>
        <w:rPr>
          <w:rFonts w:ascii="Arial" w:cs="Arial" w:eastAsia="Arial" w:hAnsi="Arial"/>
          <w:sz w:val="22"/>
          <w:szCs w:val="22"/>
          <w:color w:val="auto"/>
        </w:rPr>
      </w:pPr>
    </w:p>
    <w:p>
      <w:pPr>
        <w:ind w:left="1800" w:hanging="496"/>
        <w:spacing w:after="0"/>
        <w:tabs>
          <w:tab w:leader="none" w:pos="180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342" w:right="339" w:bottom="1440" w:gutter="0" w:footer="0" w:header="0"/>
        </w:sectPr>
      </w:pPr>
    </w:p>
    <w:bookmarkStart w:id="87" w:name="page88"/>
    <w:bookmarkEnd w:id="87"/>
    <w:p>
      <w:pPr>
        <w:jc w:val="both"/>
        <w:ind w:firstLine="656"/>
        <w:spacing w:after="0" w:line="254" w:lineRule="auto"/>
        <w:tabs>
          <w:tab w:leader="none" w:pos="122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If the Trustee resigns or is removed, or if a vacancy exists in the office of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30" w:lineRule="exact"/>
        <w:rPr>
          <w:rFonts w:ascii="Arial" w:cs="Arial" w:eastAsia="Arial" w:hAnsi="Arial"/>
          <w:sz w:val="22"/>
          <w:szCs w:val="22"/>
          <w:color w:val="auto"/>
        </w:rPr>
      </w:pPr>
    </w:p>
    <w:p>
      <w:pPr>
        <w:jc w:val="both"/>
        <w:ind w:firstLine="656"/>
        <w:spacing w:after="0" w:line="254" w:lineRule="auto"/>
        <w:tabs>
          <w:tab w:leader="none" w:pos="112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at the Company’s expense, petition any court of competent jurisdiction for the appointment of a successor Trustee.</w:t>
      </w:r>
    </w:p>
    <w:p>
      <w:pPr>
        <w:spacing w:after="0" w:line="124" w:lineRule="exact"/>
        <w:rPr>
          <w:rFonts w:ascii="Arial" w:cs="Arial" w:eastAsia="Arial" w:hAnsi="Arial"/>
          <w:sz w:val="22"/>
          <w:szCs w:val="22"/>
          <w:color w:val="auto"/>
        </w:rPr>
      </w:pPr>
    </w:p>
    <w:p>
      <w:pPr>
        <w:jc w:val="both"/>
        <w:ind w:firstLine="656"/>
        <w:spacing w:after="0" w:line="262" w:lineRule="auto"/>
        <w:tabs>
          <w:tab w:leader="none" w:pos="114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If the Trustee, after written request by a Holder of at least six (6) months, fails to comply with </w:t>
      </w:r>
      <w:r>
        <w:rPr>
          <w:rFonts w:ascii="Arial" w:cs="Arial" w:eastAsia="Arial" w:hAnsi="Arial"/>
          <w:sz w:val="22"/>
          <w:szCs w:val="22"/>
          <w:b w:val="1"/>
          <w:bCs w:val="1"/>
          <w:color w:val="auto"/>
        </w:rPr>
        <w:t>Section 10.09</w:t>
      </w:r>
      <w:r>
        <w:rPr>
          <w:rFonts w:ascii="Arial" w:cs="Arial" w:eastAsia="Arial" w:hAnsi="Arial"/>
          <w:sz w:val="22"/>
          <w:szCs w:val="22"/>
          <w:color w:val="auto"/>
        </w:rPr>
        <w:t>, then such Holder may petition any court of competent jurisdiction for the removal of the Trustee and the appointment of a successor Trustee.</w:t>
      </w:r>
    </w:p>
    <w:p>
      <w:pPr>
        <w:spacing w:after="0" w:line="122" w:lineRule="exact"/>
        <w:rPr>
          <w:rFonts w:ascii="Arial" w:cs="Arial" w:eastAsia="Arial" w:hAnsi="Arial"/>
          <w:sz w:val="22"/>
          <w:szCs w:val="22"/>
          <w:color w:val="auto"/>
        </w:rPr>
      </w:pPr>
    </w:p>
    <w:p>
      <w:pPr>
        <w:jc w:val="both"/>
        <w:ind w:firstLine="656"/>
        <w:spacing w:after="0" w:line="249" w:lineRule="auto"/>
        <w:tabs>
          <w:tab w:leader="none" w:pos="111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Arial" w:cs="Arial" w:eastAsia="Arial" w:hAnsi="Arial"/>
          <w:sz w:val="22"/>
          <w:szCs w:val="22"/>
          <w:b w:val="1"/>
          <w:bCs w:val="1"/>
          <w:color w:val="auto"/>
        </w:rPr>
        <w:t>Section 10.06(D)</w:t>
      </w:r>
      <w:r>
        <w:rPr>
          <w:rFonts w:ascii="Arial" w:cs="Arial" w:eastAsia="Arial" w:hAnsi="Arial"/>
          <w:sz w:val="22"/>
          <w:szCs w:val="22"/>
          <w:color w:val="auto"/>
        </w:rPr>
        <w:t>.</w:t>
      </w:r>
    </w:p>
    <w:p>
      <w:pPr>
        <w:spacing w:after="0" w:line="13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10.08.</w:t>
      </w:r>
      <w:r>
        <w:rPr>
          <w:sz w:val="20"/>
          <w:szCs w:val="20"/>
          <w:color w:val="auto"/>
        </w:rPr>
        <w:tab/>
      </w:r>
      <w:r>
        <w:rPr>
          <w:rFonts w:ascii="Arial" w:cs="Arial" w:eastAsia="Arial" w:hAnsi="Arial"/>
          <w:sz w:val="21"/>
          <w:szCs w:val="21"/>
          <w:b w:val="1"/>
          <w:bCs w:val="1"/>
          <w:color w:val="auto"/>
        </w:rPr>
        <w:t>SUCCESSOR TRUSTEE BY MERGER, ETC.</w:t>
      </w:r>
    </w:p>
    <w:p>
      <w:pPr>
        <w:spacing w:after="0" w:line="18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If the Trustee consolidates, merges or converts into, or transfers all or substantially all of its corporate trust business to, another corporation, then such corporation will become the successor Trustee without any further act or filing.</w:t>
      </w:r>
    </w:p>
    <w:p>
      <w:pPr>
        <w:spacing w:after="0" w:line="4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10.09.</w:t>
        <w:tab/>
        <w:t>ELIGIBILITY; DISQUALIFICATION.</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15"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21"/>
          <w:szCs w:val="21"/>
          <w:b w:val="1"/>
          <w:bCs w:val="1"/>
          <w:color w:val="auto"/>
        </w:rPr>
        <w:t>MISCELLANEOUS</w:t>
      </w:r>
    </w:p>
    <w:p>
      <w:pPr>
        <w:spacing w:after="0" w:line="179"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11.01.</w:t>
      </w:r>
      <w:r>
        <w:rPr>
          <w:sz w:val="20"/>
          <w:szCs w:val="20"/>
          <w:color w:val="auto"/>
        </w:rPr>
        <w:tab/>
      </w:r>
      <w:r>
        <w:rPr>
          <w:rFonts w:ascii="Arial" w:cs="Arial" w:eastAsia="Arial" w:hAnsi="Arial"/>
          <w:sz w:val="21"/>
          <w:szCs w:val="21"/>
          <w:b w:val="1"/>
          <w:bCs w:val="1"/>
          <w:color w:val="auto"/>
        </w:rPr>
        <w:t>NOTICES.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notice or communication by the Company or the Trustee (including in its capacity as any Note Agent) to the other must be in writing and will be deemed to have been duly given if delivered in person or by first class mail (registered or certified, return receipt requested),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348" w:right="339" w:bottom="1440" w:gutter="0" w:footer="0" w:header="0"/>
        </w:sectPr>
      </w:pPr>
    </w:p>
    <w:bookmarkStart w:id="88" w:name="page89"/>
    <w:bookmarkEnd w:id="88"/>
    <w:p>
      <w:pPr>
        <w:spacing w:after="0" w:line="263" w:lineRule="auto"/>
        <w:rPr>
          <w:sz w:val="20"/>
          <w:szCs w:val="20"/>
          <w:color w:val="auto"/>
        </w:rPr>
      </w:pPr>
      <w:r>
        <w:rPr>
          <w:rFonts w:ascii="Arial" w:cs="Arial" w:eastAsia="Arial" w:hAnsi="Arial"/>
          <w:sz w:val="22"/>
          <w:szCs w:val="22"/>
          <w:color w:val="auto"/>
        </w:rPr>
        <w:t>electronic transmission or other similar means of unsecured electronic communication or overnight air courier guaranteeing next day delivery, or to the other’s address, which initially is as follows: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National Vision Holdings,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2435 Commerce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Building 2200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Duluth, Georgia 30096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General Counsel</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will not constitute notice)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Simpson Thacher &amp; Bartlett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425 Lexington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Joseph Kaufman, Esq.</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Sunny Cheong, Esq.</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jkaufman@stblaw.com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scheong@stblaw.com</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 Wall Street, Suite 600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10005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Global Corporate Trust, Administrator – National Vision Holdings, Inc.</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or the Trustee, by notice to the other, may designate additional or different addresses (including electronic addresses) for subsequent notices or communications.</w:t>
      </w:r>
    </w:p>
    <w:p>
      <w:pPr>
        <w:spacing w:after="0" w:line="1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electronic transmission or other similar means of unsecured electronic communication; and (D) the next Business Day after timely delivery to the courier, if sent by overnight air courier guaranteeing next day delivery.</w:t>
      </w:r>
    </w:p>
    <w:p>
      <w:pPr>
        <w:spacing w:after="0" w:line="13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All notices or communications required to be made to a Holder pursuant to this Indenture (including notices referred to in </w:t>
      </w:r>
      <w:r>
        <w:rPr>
          <w:rFonts w:ascii="Arial" w:cs="Arial" w:eastAsia="Arial" w:hAnsi="Arial"/>
          <w:sz w:val="19"/>
          <w:szCs w:val="19"/>
          <w:b w:val="1"/>
          <w:bCs w:val="1"/>
          <w:color w:val="auto"/>
        </w:rPr>
        <w:t>Sections 7.01(A)(vi)</w:t>
      </w:r>
      <w:r>
        <w:rPr>
          <w:rFonts w:ascii="Arial" w:cs="Arial" w:eastAsia="Arial" w:hAnsi="Arial"/>
          <w:sz w:val="19"/>
          <w:szCs w:val="19"/>
          <w:color w:val="auto"/>
        </w:rPr>
        <w:t>,</w:t>
      </w:r>
      <w:r>
        <w:rPr>
          <w:rFonts w:ascii="Arial" w:cs="Arial" w:eastAsia="Arial" w:hAnsi="Arial"/>
          <w:sz w:val="19"/>
          <w:szCs w:val="19"/>
          <w:b w:val="1"/>
          <w:bCs w:val="1"/>
          <w:color w:val="auto"/>
        </w:rPr>
        <w:t xml:space="preserve"> 7.01(A)(vii)</w:t>
      </w:r>
      <w:r>
        <w:rPr>
          <w:rFonts w:ascii="Arial" w:cs="Arial" w:eastAsia="Arial" w:hAnsi="Arial"/>
          <w:sz w:val="19"/>
          <w:szCs w:val="19"/>
          <w:color w:val="auto"/>
        </w:rPr>
        <w:t>,</w:t>
      </w:r>
      <w:r>
        <w:rPr>
          <w:rFonts w:ascii="Arial" w:cs="Arial" w:eastAsia="Arial" w:hAnsi="Arial"/>
          <w:sz w:val="19"/>
          <w:szCs w:val="19"/>
          <w:b w:val="1"/>
          <w:bCs w:val="1"/>
          <w:color w:val="auto"/>
        </w:rPr>
        <w:t xml:space="preserve"> 7.02(B) </w:t>
      </w:r>
      <w:r>
        <w:rPr>
          <w:rFonts w:ascii="Arial" w:cs="Arial" w:eastAsia="Arial" w:hAnsi="Arial"/>
          <w:sz w:val="19"/>
          <w:szCs w:val="19"/>
          <w:color w:val="auto"/>
        </w:rPr>
        <w:t>and</w:t>
      </w:r>
      <w:r>
        <w:rPr>
          <w:rFonts w:ascii="Arial" w:cs="Arial" w:eastAsia="Arial" w:hAnsi="Arial"/>
          <w:sz w:val="19"/>
          <w:szCs w:val="19"/>
          <w:b w:val="1"/>
          <w:bCs w:val="1"/>
          <w:color w:val="auto"/>
        </w:rPr>
        <w:t xml:space="preserve"> 7.02(C)</w:t>
      </w:r>
      <w:r>
        <w:rPr>
          <w:rFonts w:ascii="Arial" w:cs="Arial" w:eastAsia="Arial" w:hAnsi="Arial"/>
          <w:sz w:val="19"/>
          <w:szCs w:val="19"/>
          <w:color w:val="auto"/>
        </w:rPr>
        <w:t>) must be made in writing and will be deemed to be duly sent or given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if mailed by first class mail, certified or registered, return receipt requested, or by overnight air courier guaranteeing next day delivery, to its address shown on the Register;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 All notices,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348" w:right="339" w:bottom="1440" w:gutter="0" w:footer="0" w:header="0"/>
        </w:sectPr>
      </w:pPr>
    </w:p>
    <w:bookmarkStart w:id="89" w:name="page90"/>
    <w:bookmarkEnd w:id="89"/>
    <w:p>
      <w:pPr>
        <w:jc w:val="both"/>
        <w:spacing w:after="0" w:line="259" w:lineRule="auto"/>
        <w:rPr>
          <w:sz w:val="20"/>
          <w:szCs w:val="20"/>
          <w:color w:val="auto"/>
        </w:rPr>
      </w:pPr>
      <w:r>
        <w:rPr>
          <w:rFonts w:ascii="Arial" w:cs="Arial" w:eastAsia="Arial" w:hAnsi="Arial"/>
          <w:sz w:val="21"/>
          <w:szCs w:val="21"/>
          <w:color w:val="auto"/>
        </w:rPr>
        <w:t>approvals, consents, requests and any communications hereunder must be in writing (provided that any communication sent to Trustee hereunder must be in the form of a document that is signed manually or by way of a digital signature), in English, and signatures of the parties hereto transmitted by facsimile, PDF or other electronic transmission (including any electronic signature complying with the U.S. federal ESIGN Act of 2000, e.g., www.docusign.com) will constitute effective execution and delivery of this Indenture as to the other parties hereto and will be deemed to be their original signatures for all purposes. The Company agrees to assume all risks arising out of the use of digital signatures and electronic methods to submit communications to Trustee, including, without limitation, the risk of the Trustee acting on unauthorized instructions, and the risk of interception and misuse by third parties.</w:t>
      </w:r>
    </w:p>
    <w:p>
      <w:pPr>
        <w:spacing w:after="0" w:line="1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such request is evidenced in a Company Order delivered, together with the text of such notice, to the Trustee at least two (2) Business Days (or such shorter period as the Trustee may agree)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22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a notice or communication is mailed or sent in the manner provided above within the time prescribed, it will be deemed to have been duly given, whether or not the addressee receives it.</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Section 11.02. DELIVERY OF OFFICER’S CERTIFICATE AND OPINION OF COUNSEL AS TO CONDITIONS PRECEDENT.</w:t>
      </w:r>
    </w:p>
    <w:p>
      <w:pPr>
        <w:spacing w:after="0" w:line="1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Upon any request or application by the Company to the Trustee to take any action under this Indenture (other than the initial authentication of Notes under this Indenture), the Company will furnish to the Trustee:</w:t>
      </w:r>
    </w:p>
    <w:p>
      <w:pPr>
        <w:spacing w:after="0" w:line="169" w:lineRule="exact"/>
        <w:rPr>
          <w:sz w:val="20"/>
          <w:szCs w:val="20"/>
          <w:color w:val="auto"/>
        </w:rPr>
      </w:pPr>
    </w:p>
    <w:p>
      <w:pPr>
        <w:ind w:firstLine="656"/>
        <w:spacing w:after="0" w:line="364" w:lineRule="auto"/>
        <w:tabs>
          <w:tab w:leader="none" w:pos="116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an Officer’s Certificate that complies with </w:t>
      </w:r>
      <w:r>
        <w:rPr>
          <w:rFonts w:ascii="Arial" w:cs="Arial" w:eastAsia="Arial" w:hAnsi="Arial"/>
          <w:sz w:val="19"/>
          <w:szCs w:val="19"/>
          <w:b w:val="1"/>
          <w:bCs w:val="1"/>
          <w:color w:val="auto"/>
        </w:rPr>
        <w:t>Section 11.03</w:t>
      </w:r>
      <w:r>
        <w:rPr>
          <w:rFonts w:ascii="Arial" w:cs="Arial" w:eastAsia="Arial" w:hAnsi="Arial"/>
          <w:sz w:val="19"/>
          <w:szCs w:val="19"/>
          <w:color w:val="auto"/>
        </w:rPr>
        <w:t xml:space="preserve"> and states that, in the opinion of the signatory thereto, all conditions precedent and covenants, if any, provided for in this Indenture relating to such action have been satisfied; and</w:t>
      </w:r>
    </w:p>
    <w:p>
      <w:pPr>
        <w:spacing w:after="0" w:line="79" w:lineRule="exact"/>
        <w:rPr>
          <w:rFonts w:ascii="Arial" w:cs="Arial" w:eastAsia="Arial" w:hAnsi="Arial"/>
          <w:sz w:val="19"/>
          <w:szCs w:val="19"/>
          <w:color w:val="auto"/>
        </w:rPr>
      </w:pPr>
    </w:p>
    <w:p>
      <w:pPr>
        <w:ind w:firstLine="656"/>
        <w:spacing w:after="0" w:line="282" w:lineRule="auto"/>
        <w:tabs>
          <w:tab w:leader="none" w:pos="119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an Opinion of Counsel that complies with </w:t>
      </w:r>
      <w:r>
        <w:rPr>
          <w:rFonts w:ascii="Arial" w:cs="Arial" w:eastAsia="Arial" w:hAnsi="Arial"/>
          <w:sz w:val="22"/>
          <w:szCs w:val="22"/>
          <w:b w:val="1"/>
          <w:bCs w:val="1"/>
          <w:color w:val="auto"/>
        </w:rPr>
        <w:t>Section 11.03</w:t>
      </w:r>
      <w:r>
        <w:rPr>
          <w:rFonts w:ascii="Arial" w:cs="Arial" w:eastAsia="Arial" w:hAnsi="Arial"/>
          <w:sz w:val="22"/>
          <w:szCs w:val="22"/>
          <w:color w:val="auto"/>
        </w:rPr>
        <w:t xml:space="preserve"> and states that, in the opinion of such counsel, all such conditions precedent and covenants, if any, have been satisfied.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348" w:right="339" w:bottom="1440" w:gutter="0" w:footer="0" w:header="0"/>
        </w:sectPr>
      </w:pPr>
    </w:p>
    <w:bookmarkStart w:id="90" w:name="page91"/>
    <w:bookmarkEnd w:id="90"/>
    <w:p>
      <w:pPr>
        <w:spacing w:after="0"/>
        <w:tabs>
          <w:tab w:leader="none" w:pos="1420" w:val="left"/>
        </w:tabs>
        <w:rPr>
          <w:sz w:val="20"/>
          <w:szCs w:val="20"/>
          <w:color w:val="auto"/>
        </w:rPr>
      </w:pPr>
      <w:r>
        <w:rPr>
          <w:rFonts w:ascii="Arial" w:cs="Arial" w:eastAsia="Arial" w:hAnsi="Arial"/>
          <w:sz w:val="22"/>
          <w:szCs w:val="22"/>
          <w:b w:val="1"/>
          <w:bCs w:val="1"/>
          <w:color w:val="auto"/>
        </w:rPr>
        <w:t>Section 11.03.</w:t>
      </w:r>
      <w:r>
        <w:rPr>
          <w:sz w:val="20"/>
          <w:szCs w:val="20"/>
          <w:color w:val="auto"/>
        </w:rPr>
        <w:tab/>
      </w:r>
      <w:r>
        <w:rPr>
          <w:rFonts w:ascii="Arial" w:cs="Arial" w:eastAsia="Arial" w:hAnsi="Arial"/>
          <w:sz w:val="21"/>
          <w:szCs w:val="21"/>
          <w:b w:val="1"/>
          <w:bCs w:val="1"/>
          <w:color w:val="auto"/>
        </w:rPr>
        <w:t>STATEMENTS REQUIRED IN OFFICER’S CERTIFICATE AND OPINION OF COUNSEL.</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 xml:space="preserve">Each Officer’s Certificate (other than an Officer’s Certificate pursuant to </w:t>
      </w:r>
      <w:r>
        <w:rPr>
          <w:rFonts w:ascii="Arial" w:cs="Arial" w:eastAsia="Arial" w:hAnsi="Arial"/>
          <w:sz w:val="22"/>
          <w:szCs w:val="22"/>
          <w:b w:val="1"/>
          <w:bCs w:val="1"/>
          <w:color w:val="auto"/>
        </w:rPr>
        <w:t>Section 3.05</w:t>
      </w:r>
      <w:r>
        <w:rPr>
          <w:rFonts w:ascii="Arial" w:cs="Arial" w:eastAsia="Arial" w:hAnsi="Arial"/>
          <w:sz w:val="22"/>
          <w:szCs w:val="22"/>
          <w:color w:val="auto"/>
        </w:rPr>
        <w:t>) or Opinion of Counsel with respect to compliance with a covenant or condition provided for in this Indenture will include:</w:t>
      </w:r>
    </w:p>
    <w:p>
      <w:pPr>
        <w:spacing w:after="0" w:line="114" w:lineRule="exact"/>
        <w:rPr>
          <w:sz w:val="20"/>
          <w:szCs w:val="20"/>
          <w:color w:val="auto"/>
        </w:rPr>
      </w:pPr>
    </w:p>
    <w:p>
      <w:pPr>
        <w:ind w:left="1140" w:hanging="484"/>
        <w:spacing w:after="0"/>
        <w:tabs>
          <w:tab w:leader="none" w:pos="11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 statement that the signatory thereto has read such covenant or condition;</w:t>
      </w:r>
    </w:p>
    <w:p>
      <w:pPr>
        <w:spacing w:after="0" w:line="179" w:lineRule="exact"/>
        <w:rPr>
          <w:rFonts w:ascii="Arial" w:cs="Arial" w:eastAsia="Arial" w:hAnsi="Arial"/>
          <w:sz w:val="22"/>
          <w:szCs w:val="22"/>
          <w:color w:val="auto"/>
        </w:rPr>
      </w:pPr>
    </w:p>
    <w:p>
      <w:pPr>
        <w:ind w:firstLine="656"/>
        <w:spacing w:after="0" w:line="276" w:lineRule="auto"/>
        <w:tabs>
          <w:tab w:leader="none" w:pos="123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therein are based;</w:t>
      </w:r>
    </w:p>
    <w:p>
      <w:pPr>
        <w:spacing w:after="0" w:line="106" w:lineRule="exact"/>
        <w:rPr>
          <w:rFonts w:ascii="Arial" w:cs="Arial" w:eastAsia="Arial" w:hAnsi="Arial"/>
          <w:sz w:val="22"/>
          <w:szCs w:val="22"/>
          <w:color w:val="auto"/>
        </w:rPr>
      </w:pPr>
    </w:p>
    <w:p>
      <w:pPr>
        <w:jc w:val="both"/>
        <w:ind w:firstLine="656"/>
        <w:spacing w:after="0" w:line="259" w:lineRule="auto"/>
        <w:tabs>
          <w:tab w:leader="none" w:pos="119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26" w:lineRule="exact"/>
        <w:rPr>
          <w:rFonts w:ascii="Arial" w:cs="Arial" w:eastAsia="Arial" w:hAnsi="Arial"/>
          <w:sz w:val="22"/>
          <w:szCs w:val="22"/>
          <w:color w:val="auto"/>
        </w:rPr>
      </w:pPr>
    </w:p>
    <w:p>
      <w:pPr>
        <w:ind w:left="1140" w:hanging="484"/>
        <w:spacing w:after="0"/>
        <w:tabs>
          <w:tab w:leader="none" w:pos="114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 statement as to whether, in the opinion of such signatory, such covenant or condition has been satisfied.</w:t>
      </w:r>
    </w:p>
    <w:p>
      <w:pPr>
        <w:spacing w:after="0" w:line="185"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11.04.</w:t>
      </w:r>
      <w:r>
        <w:rPr>
          <w:sz w:val="20"/>
          <w:szCs w:val="20"/>
          <w:color w:val="auto"/>
        </w:rPr>
        <w:tab/>
      </w:r>
      <w:r>
        <w:rPr>
          <w:rFonts w:ascii="Arial" w:cs="Arial" w:eastAsia="Arial" w:hAnsi="Arial"/>
          <w:sz w:val="21"/>
          <w:szCs w:val="21"/>
          <w:b w:val="1"/>
          <w:bCs w:val="1"/>
          <w:color w:val="auto"/>
        </w:rPr>
        <w:t>RULES BY THE TRUSTEE, THE REGISTRAR AND THE PAYING AGENT.</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15"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11.05.</w:t>
      </w:r>
      <w:r>
        <w:rPr>
          <w:sz w:val="20"/>
          <w:szCs w:val="20"/>
          <w:color w:val="auto"/>
        </w:rPr>
        <w:tab/>
      </w:r>
      <w:r>
        <w:rPr>
          <w:rFonts w:ascii="Arial" w:cs="Arial" w:eastAsia="Arial" w:hAnsi="Arial"/>
          <w:sz w:val="21"/>
          <w:szCs w:val="21"/>
          <w:b w:val="1"/>
          <w:bCs w:val="1"/>
          <w:color w:val="auto"/>
        </w:rPr>
        <w:t>NO PERSONAL LIABILITY OF DIRECTORS, OFFICERS, EMPLOYEES AND STOCKHOLDERS.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2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11.06.</w:t>
      </w:r>
      <w:r>
        <w:rPr>
          <w:sz w:val="20"/>
          <w:szCs w:val="20"/>
          <w:color w:val="auto"/>
        </w:rPr>
        <w:tab/>
      </w:r>
      <w:r>
        <w:rPr>
          <w:rFonts w:ascii="Arial" w:cs="Arial" w:eastAsia="Arial" w:hAnsi="Arial"/>
          <w:sz w:val="21"/>
          <w:szCs w:val="21"/>
          <w:b w:val="1"/>
          <w:bCs w:val="1"/>
          <w:color w:val="auto"/>
        </w:rPr>
        <w:t>NO STOCKHOLDER RIGHTS FOR HOLDERS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Holders, as such, will not have any rights as the Company’s stockholders (including, without limitation, voting rights and rights to receive any dividends or other distributions on the Common Stock).</w:t>
      </w:r>
    </w:p>
    <w:p>
      <w:pPr>
        <w:spacing w:after="0" w:line="115"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11.07.</w:t>
      </w:r>
      <w:r>
        <w:rPr>
          <w:sz w:val="20"/>
          <w:szCs w:val="20"/>
          <w:color w:val="auto"/>
        </w:rPr>
        <w:tab/>
      </w:r>
      <w:r>
        <w:rPr>
          <w:rFonts w:ascii="Arial" w:cs="Arial" w:eastAsia="Arial" w:hAnsi="Arial"/>
          <w:sz w:val="21"/>
          <w:szCs w:val="21"/>
          <w:b w:val="1"/>
          <w:bCs w:val="1"/>
          <w:color w:val="auto"/>
        </w:rPr>
        <w:t>GOVERNING LAW; WAIVER OF JURY TRIAL.</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INDENTURE AND THE NOTES, AND ANY CLAIM, CONTROVERSY OR DISPUTE ARISING UNDER OR RELATED TO THIS INDENTURE OR THE NOTES, WILL BE GOVERNED BY AND CONSTRUED IN ACCORDANCE WITH THE LAWS OF THE STATE OF NEW YORK. EACH OF THE COMPANY AND THE TRUSTEE, AND THE HOLDERS BY ACCEPTING THE NOTES, IRREVOCABLY WAIVE, TO THE FULLEST EXTENT PERMITTED BY APPLICABLE LAW, ANY AND ALL RIGHT TO TRIAL BY JURY IN ANY LEGAL PROCEEDING ARISING OUT OF OR RELATING TO THIS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342" w:right="339" w:bottom="1440" w:gutter="0" w:footer="0" w:header="0"/>
        </w:sectPr>
      </w:pPr>
    </w:p>
    <w:bookmarkStart w:id="91" w:name="page92"/>
    <w:bookmarkEnd w:id="91"/>
    <w:p>
      <w:pPr>
        <w:spacing w:after="0"/>
        <w:rPr>
          <w:sz w:val="20"/>
          <w:szCs w:val="20"/>
          <w:color w:val="auto"/>
        </w:rPr>
      </w:pPr>
      <w:r>
        <w:rPr>
          <w:rFonts w:ascii="Arial" w:cs="Arial" w:eastAsia="Arial" w:hAnsi="Arial"/>
          <w:sz w:val="21"/>
          <w:szCs w:val="21"/>
          <w:color w:val="auto"/>
        </w:rPr>
        <w:t>INDENTURE, THE NOTES OR THE TRANSACTIONS CONTEMPLATED BY THIS INDENTURE OR THE NOTES.</w:t>
      </w:r>
    </w:p>
    <w:p>
      <w:pPr>
        <w:spacing w:after="0" w:line="17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11.08.</w:t>
      </w:r>
      <w:r>
        <w:rPr>
          <w:sz w:val="20"/>
          <w:szCs w:val="20"/>
          <w:color w:val="auto"/>
        </w:rPr>
        <w:tab/>
      </w:r>
      <w:r>
        <w:rPr>
          <w:rFonts w:ascii="Arial" w:cs="Arial" w:eastAsia="Arial" w:hAnsi="Arial"/>
          <w:sz w:val="21"/>
          <w:szCs w:val="21"/>
          <w:b w:val="1"/>
          <w:bCs w:val="1"/>
          <w:color w:val="auto"/>
        </w:rPr>
        <w:t>SUBMISSION TO JURISDICTION.</w:t>
      </w:r>
    </w:p>
    <w:p>
      <w:pPr>
        <w:spacing w:after="0" w:line="1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21"/>
          <w:szCs w:val="21"/>
          <w:b w:val="1"/>
          <w:bCs w:val="1"/>
          <w:color w:val="auto"/>
        </w:rPr>
        <w:t>Specified Courts</w:t>
      </w:r>
      <w:r>
        <w:rPr>
          <w:rFonts w:ascii="Arial" w:cs="Arial" w:eastAsia="Arial" w:hAnsi="Arial"/>
          <w:sz w:val="21"/>
          <w:szCs w:val="21"/>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Arial" w:cs="Arial" w:eastAsia="Arial" w:hAnsi="Arial"/>
          <w:sz w:val="21"/>
          <w:szCs w:val="21"/>
          <w:b w:val="1"/>
          <w:bCs w:val="1"/>
          <w:color w:val="auto"/>
        </w:rPr>
        <w:t>Section 11.01</w:t>
      </w:r>
      <w:r>
        <w:rPr>
          <w:rFonts w:ascii="Arial" w:cs="Arial" w:eastAsia="Arial" w:hAnsi="Arial"/>
          <w:sz w:val="21"/>
          <w:szCs w:val="21"/>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25"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11.09.</w:t>
      </w:r>
      <w:r>
        <w:rPr>
          <w:sz w:val="20"/>
          <w:szCs w:val="20"/>
          <w:color w:val="auto"/>
        </w:rPr>
        <w:tab/>
      </w:r>
      <w:r>
        <w:rPr>
          <w:rFonts w:ascii="Arial" w:cs="Arial" w:eastAsia="Arial" w:hAnsi="Arial"/>
          <w:sz w:val="21"/>
          <w:szCs w:val="21"/>
          <w:b w:val="1"/>
          <w:bCs w:val="1"/>
          <w:color w:val="auto"/>
        </w:rPr>
        <w:t>NO ADVERSE INTERPRETATION OF OTHER AGREEMENTS.</w:t>
      </w:r>
    </w:p>
    <w:p>
      <w:pPr>
        <w:spacing w:after="0" w:line="18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25"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11.10.</w:t>
      </w:r>
      <w:r>
        <w:rPr>
          <w:sz w:val="20"/>
          <w:szCs w:val="20"/>
          <w:color w:val="auto"/>
        </w:rPr>
        <w:tab/>
      </w:r>
      <w:r>
        <w:rPr>
          <w:rFonts w:ascii="Arial" w:cs="Arial" w:eastAsia="Arial" w:hAnsi="Arial"/>
          <w:sz w:val="19"/>
          <w:szCs w:val="19"/>
          <w:b w:val="1"/>
          <w:bCs w:val="1"/>
          <w:color w:val="auto"/>
        </w:rPr>
        <w:t>SUCCESSORS.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agreements of the Company in this Indenture and the Notes will bind its successors. All agreements of the Trustee in this Indenture will bind its successors.</w:t>
      </w:r>
    </w:p>
    <w:p>
      <w:pPr>
        <w:spacing w:after="0" w:line="115"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11.11.</w:t>
      </w:r>
      <w:r>
        <w:rPr>
          <w:sz w:val="20"/>
          <w:szCs w:val="20"/>
          <w:color w:val="auto"/>
        </w:rPr>
        <w:tab/>
      </w:r>
      <w:r>
        <w:rPr>
          <w:rFonts w:ascii="Arial" w:cs="Arial" w:eastAsia="Arial" w:hAnsi="Arial"/>
          <w:sz w:val="21"/>
          <w:szCs w:val="21"/>
          <w:b w:val="1"/>
          <w:bCs w:val="1"/>
          <w:color w:val="auto"/>
        </w:rPr>
        <w:t>FORCE MAJEURE.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spacing w:after="0" w:line="132"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11.12.</w:t>
      </w:r>
      <w:r>
        <w:rPr>
          <w:sz w:val="20"/>
          <w:szCs w:val="20"/>
          <w:color w:val="auto"/>
        </w:rPr>
        <w:tab/>
      </w:r>
      <w:r>
        <w:rPr>
          <w:rFonts w:ascii="Arial" w:cs="Arial" w:eastAsia="Arial" w:hAnsi="Arial"/>
          <w:sz w:val="21"/>
          <w:szCs w:val="21"/>
          <w:b w:val="1"/>
          <w:bCs w:val="1"/>
          <w:color w:val="auto"/>
        </w:rPr>
        <w:t>U.S.A. PATRIOT ACT.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348" w:right="339" w:bottom="1440" w:gutter="0" w:footer="0" w:header="0"/>
        </w:sectPr>
      </w:pPr>
    </w:p>
    <w:bookmarkStart w:id="92" w:name="page93"/>
    <w:bookmarkEnd w:id="92"/>
    <w:p>
      <w:pPr>
        <w:spacing w:after="0"/>
        <w:tabs>
          <w:tab w:leader="none" w:pos="1420" w:val="left"/>
        </w:tabs>
        <w:rPr>
          <w:sz w:val="20"/>
          <w:szCs w:val="20"/>
          <w:color w:val="auto"/>
        </w:rPr>
      </w:pPr>
      <w:r>
        <w:rPr>
          <w:rFonts w:ascii="Arial" w:cs="Arial" w:eastAsia="Arial" w:hAnsi="Arial"/>
          <w:sz w:val="22"/>
          <w:szCs w:val="22"/>
          <w:b w:val="1"/>
          <w:bCs w:val="1"/>
          <w:color w:val="auto"/>
        </w:rPr>
        <w:t>Section 11.13.</w:t>
      </w:r>
      <w:r>
        <w:rPr>
          <w:sz w:val="20"/>
          <w:szCs w:val="20"/>
          <w:color w:val="auto"/>
        </w:rPr>
        <w:tab/>
      </w:r>
      <w:r>
        <w:rPr>
          <w:rFonts w:ascii="Arial" w:cs="Arial" w:eastAsia="Arial" w:hAnsi="Arial"/>
          <w:sz w:val="21"/>
          <w:szCs w:val="21"/>
          <w:b w:val="1"/>
          <w:bCs w:val="1"/>
          <w:color w:val="auto"/>
        </w:rPr>
        <w:t>CALCULATIONS.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Except as otherwise provided in this Indenture, the Company will be responsible for making all calculations called for under this Indenture or the Notes, including determinations of the Last Reported Sale Price, Daily VWAP, the Stock Price, the Daily Conversion Value, the Daily Cash Amount, the Daily Share Amount, accrued interest on the Notes and the Conversion Rate. Neither the Trustee, the Paying Agent, the Registrar nor the Conversion Agent will have any liability or responsibility for any calculation under this Indenture or in connection with the Notes, for any information used in connection with such calculation or any determination made in connection with a conversion.</w:t>
      </w:r>
    </w:p>
    <w:p>
      <w:pPr>
        <w:spacing w:after="0" w:line="1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(and neither the Trustee nor any Note Agent will have any responsibility for such calculations). The Trustee will promptly forward a copy of each such schedule to a Holder upon its written request therefor.</w:t>
      </w:r>
    </w:p>
    <w:p>
      <w:pPr>
        <w:spacing w:after="0" w:line="87"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11.14.</w:t>
      </w:r>
      <w:r>
        <w:rPr>
          <w:sz w:val="20"/>
          <w:szCs w:val="20"/>
          <w:color w:val="auto"/>
        </w:rPr>
        <w:tab/>
      </w:r>
      <w:r>
        <w:rPr>
          <w:rFonts w:ascii="Arial" w:cs="Arial" w:eastAsia="Arial" w:hAnsi="Arial"/>
          <w:sz w:val="21"/>
          <w:szCs w:val="21"/>
          <w:b w:val="1"/>
          <w:bCs w:val="1"/>
          <w:color w:val="auto"/>
        </w:rPr>
        <w:t>SEVERABILITY.</w:t>
      </w:r>
    </w:p>
    <w:p>
      <w:pPr>
        <w:spacing w:after="0" w:line="18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4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11.15.</w:t>
      </w:r>
      <w:r>
        <w:rPr>
          <w:sz w:val="20"/>
          <w:szCs w:val="20"/>
          <w:color w:val="auto"/>
        </w:rPr>
        <w:tab/>
      </w:r>
      <w:r>
        <w:rPr>
          <w:rFonts w:ascii="Arial" w:cs="Arial" w:eastAsia="Arial" w:hAnsi="Arial"/>
          <w:sz w:val="21"/>
          <w:szCs w:val="21"/>
          <w:b w:val="1"/>
          <w:bCs w:val="1"/>
          <w:color w:val="auto"/>
        </w:rPr>
        <w:t>COUNTERPARTS.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spacing w:after="0" w:line="107"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11.16.</w:t>
      </w:r>
      <w:r>
        <w:rPr>
          <w:sz w:val="20"/>
          <w:szCs w:val="20"/>
          <w:color w:val="auto"/>
        </w:rPr>
        <w:tab/>
      </w:r>
      <w:r>
        <w:rPr>
          <w:rFonts w:ascii="Arial" w:cs="Arial" w:eastAsia="Arial" w:hAnsi="Arial"/>
          <w:sz w:val="21"/>
          <w:szCs w:val="21"/>
          <w:b w:val="1"/>
          <w:bCs w:val="1"/>
          <w:color w:val="auto"/>
        </w:rPr>
        <w:t>TABLE OF CONTENTS, HEADINGS, ETC.</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25"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11.17.</w:t>
        <w:tab/>
        <w:t>WITHHOLDING TAXES.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Each Holder of a Note agrees, and each beneficial owner of an interest in a Global Note, by its acquisition of such interest, is deemed to agree, that in the event that it is deemed to have received a distribution that is subject to U.S. federal income tax as a result of an adjustment or the non-occurrence of an adjustment to the Conversion Rate, and as a result the Company or other applicable withholding agent pays withholding taxes or backup withholding on behalf of such Holder or beneficial owner, then the Company or such withholding agent, as applicable, may, at its option, withhold from or set off such payments against payments of interest, payments of cash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342" w:right="3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22"/>
          <w:szCs w:val="22"/>
          <w:color w:val="auto"/>
        </w:rPr>
        <w:t>or the delivery of other Conversion Consideration upon the conversion of such Note, payments upon the repurchase, redemption or maturity of such Note, any payments on the Common Stock or sales proceeds received by, or other funds or assets of, such Holder or the beneficial owner of such Note.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The Remainder of This Page Intentionally Left Blank;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348" w:right="339" w:bottom="1440" w:gutter="0" w:footer="0" w:header="0"/>
        </w:sectPr>
      </w:pPr>
    </w:p>
    <w:bookmarkStart w:id="94" w:name="page95"/>
    <w:bookmarkEnd w:id="94"/>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to this Indenture have caused this Indenture to be duly executed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NATIONAL VISION HOLDINGS, INC.</w:t>
      </w:r>
    </w:p>
    <w:p>
      <w:pPr>
        <w:spacing w:after="0" w:line="200" w:lineRule="exact"/>
        <w:rPr>
          <w:sz w:val="20"/>
          <w:szCs w:val="20"/>
          <w:color w:val="auto"/>
        </w:rPr>
      </w:pPr>
    </w:p>
    <w:p>
      <w:pPr>
        <w:spacing w:after="0" w:line="31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2496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Patrick R. Moore</w:t>
      </w:r>
    </w:p>
    <w:p>
      <w:pPr>
        <w:spacing w:after="0" w:line="4" w:lineRule="exact"/>
        <w:rPr>
          <w:sz w:val="20"/>
          <w:szCs w:val="20"/>
          <w:color w:val="auto"/>
        </w:rPr>
      </w:pPr>
    </w:p>
    <w:p>
      <w:pPr>
        <w:ind w:left="4380"/>
        <w:spacing w:after="0"/>
        <w:tabs>
          <w:tab w:leader="none" w:pos="50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and</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U.S. BANK NATIONAL ASSOCIATION, as Trustee</w:t>
      </w:r>
    </w:p>
    <w:p>
      <w:pPr>
        <w:spacing w:after="0" w:line="200" w:lineRule="exact"/>
        <w:rPr>
          <w:sz w:val="20"/>
          <w:szCs w:val="20"/>
          <w:color w:val="auto"/>
        </w:rPr>
      </w:pPr>
    </w:p>
    <w:p>
      <w:pPr>
        <w:spacing w:after="0" w:line="31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Thomas E. Tabor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247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Thomas E. Tabor</w:t>
      </w:r>
    </w:p>
    <w:p>
      <w:pPr>
        <w:spacing w:after="0" w:line="4" w:lineRule="exact"/>
        <w:rPr>
          <w:sz w:val="20"/>
          <w:szCs w:val="20"/>
          <w:color w:val="auto"/>
        </w:rPr>
      </w:pPr>
    </w:p>
    <w:p>
      <w:pPr>
        <w:ind w:left="4380"/>
        <w:spacing w:after="0"/>
        <w:tabs>
          <w:tab w:leader="none" w:pos="50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1220"/>
          </w:cols>
          <w:pgMar w:left="320" w:top="342" w:right="35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A</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NOTE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Global Note Legend, if applicable</w:t>
      </w:r>
      <w:r>
        <w:rPr>
          <w:rFonts w:ascii="Arial" w:cs="Arial" w:eastAsia="Arial" w:hAnsi="Arial"/>
          <w:sz w:val="22"/>
          <w:szCs w:val="22"/>
          <w:color w:val="auto"/>
        </w:rPr>
        <w: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Restricted Note Legend, if applicable</w:t>
      </w:r>
      <w:r>
        <w:rPr>
          <w:rFonts w:ascii="Arial" w:cs="Arial" w:eastAsia="Arial" w:hAnsi="Arial"/>
          <w:sz w:val="22"/>
          <w:szCs w:val="22"/>
          <w:color w:val="auto"/>
        </w:rPr>
        <w: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Non-Affiliate Legend</w:t>
      </w:r>
      <w:r>
        <w:rPr>
          <w:rFonts w:ascii="Arial" w:cs="Arial" w:eastAsia="Arial" w:hAnsi="Arial"/>
          <w:sz w:val="22"/>
          <w:szCs w:val="22"/>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VISION HOLDINGS,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2.50% Convertible Senior Note due 2025</w:t>
      </w:r>
    </w:p>
    <w:p>
      <w:pPr>
        <w:spacing w:after="0" w:line="266" w:lineRule="exact"/>
        <w:rPr>
          <w:sz w:val="20"/>
          <w:szCs w:val="20"/>
          <w:color w:val="auto"/>
        </w:rPr>
      </w:pPr>
    </w:p>
    <w:p>
      <w:pPr>
        <w:spacing w:after="0"/>
        <w:tabs>
          <w:tab w:leader="none" w:pos="1240" w:val="left"/>
          <w:tab w:leader="none" w:pos="5740" w:val="left"/>
          <w:tab w:leader="none" w:pos="7240" w:val="left"/>
        </w:tabs>
        <w:rPr>
          <w:sz w:val="20"/>
          <w:szCs w:val="20"/>
          <w:color w:val="auto"/>
        </w:rPr>
      </w:pPr>
      <w:r>
        <w:rPr>
          <w:rFonts w:ascii="Arial" w:cs="Arial" w:eastAsia="Arial" w:hAnsi="Arial"/>
          <w:sz w:val="22"/>
          <w:szCs w:val="22"/>
          <w:color w:val="auto"/>
        </w:rPr>
        <w:t>CUSIP No.:</w:t>
        <w:tab/>
        <w:t>[___][</w:t>
      </w:r>
      <w:r>
        <w:rPr>
          <w:rFonts w:ascii="Arial" w:cs="Arial" w:eastAsia="Arial" w:hAnsi="Arial"/>
          <w:sz w:val="22"/>
          <w:szCs w:val="22"/>
          <w:i w:val="1"/>
          <w:iCs w:val="1"/>
          <w:color w:val="auto"/>
        </w:rPr>
        <w:t>Insert for a “restricted” CUSIP number</w:t>
      </w:r>
      <w:r>
        <w:rPr>
          <w:rFonts w:ascii="Arial" w:cs="Arial" w:eastAsia="Arial" w:hAnsi="Arial"/>
          <w:sz w:val="22"/>
          <w:szCs w:val="22"/>
          <w:color w:val="auto"/>
        </w:rPr>
        <w:t xml:space="preserve">: </w:t>
      </w:r>
      <w:r>
        <w:rPr>
          <w:rFonts w:ascii="Arial" w:cs="Arial" w:eastAsia="Arial" w:hAnsi="Arial"/>
          <w:sz w:val="17"/>
          <w:szCs w:val="17"/>
          <w:color w:val="auto"/>
        </w:rPr>
        <w:t>*</w:t>
      </w:r>
      <w:r>
        <w:rPr>
          <w:rFonts w:ascii="Arial" w:cs="Arial" w:eastAsia="Arial" w:hAnsi="Arial"/>
          <w:sz w:val="22"/>
          <w:szCs w:val="22"/>
          <w:color w:val="auto"/>
        </w:rPr>
        <w:t>]</w:t>
        <w:tab/>
        <w:t>Certificate No.</w:t>
      </w:r>
      <w:r>
        <w:rPr>
          <w:sz w:val="20"/>
          <w:szCs w:val="20"/>
          <w:color w:val="auto"/>
        </w:rPr>
        <w:tab/>
      </w:r>
      <w:r>
        <w:rPr>
          <w:rFonts w:ascii="Arial" w:cs="Arial" w:eastAsia="Arial" w:hAnsi="Arial"/>
          <w:sz w:val="21"/>
          <w:szCs w:val="21"/>
          <w:color w:val="auto"/>
        </w:rPr>
        <w:t>[___]</w:t>
      </w:r>
    </w:p>
    <w:p>
      <w:pPr>
        <w:spacing w:after="0" w:line="27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National Vision Holdings, Inc., a Delaware corporation, for value received, promises to pay to Cede &amp; Co., or its registered assigns, the principal sum of [ ] dollars ($[ ]) [(as revised by the attached Schedule of Exchanges of Interests in the Global Note)]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on May 15, 2025 and to pay interest thereon, as provided in the Indenture referred to below, until the principal and all accrued and unpaid interest are paid or duly provided for.</w:t>
      </w:r>
    </w:p>
    <w:p>
      <w:pPr>
        <w:sectPr>
          <w:pgSz w:w="11900" w:h="16838" w:orient="portrait"/>
          <w:cols w:equalWidth="0" w:num="1">
            <w:col w:w="11240"/>
          </w:cols>
          <w:pgMar w:left="320" w:top="342" w:right="33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Interest Payment Dates: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May 15 and November 15 of each year, commencing on [</w:t>
      </w:r>
      <w:r>
        <w:rPr>
          <w:rFonts w:ascii="Arial" w:cs="Arial" w:eastAsia="Arial" w:hAnsi="Arial"/>
          <w:sz w:val="19"/>
          <w:szCs w:val="19"/>
          <w:i w:val="1"/>
          <w:iCs w:val="1"/>
          <w:color w:val="auto"/>
        </w:rPr>
        <w:t>date</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2080" w:space="520"/>
            <w:col w:w="8640"/>
          </w:cols>
          <w:pgMar w:left="320" w:top="342"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color w:val="auto"/>
        </w:rPr>
        <w:t>Regular Record Dates: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May 1 and November 1 (whether or not a Business Day).</w:t>
      </w:r>
    </w:p>
    <w:p>
      <w:pPr>
        <w:spacing w:after="0" w:line="200" w:lineRule="exact"/>
        <w:rPr>
          <w:sz w:val="20"/>
          <w:szCs w:val="20"/>
          <w:color w:val="auto"/>
        </w:rPr>
      </w:pPr>
    </w:p>
    <w:p>
      <w:pPr>
        <w:sectPr>
          <w:pgSz w:w="11900" w:h="16838" w:orient="portrait"/>
          <w:cols w:equalWidth="0" w:num="2">
            <w:col w:w="1980" w:space="620"/>
            <w:col w:w="8640"/>
          </w:cols>
          <w:pgMar w:left="320" w:top="342" w:right="339" w:bottom="1440" w:gutter="0" w:footer="0" w:header="0"/>
          <w:type w:val="continuous"/>
        </w:sectPr>
      </w:pPr>
    </w:p>
    <w:p>
      <w:pPr>
        <w:spacing w:after="0" w:line="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provisions of this Note are set forth on the other side of this Note.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The Remainder of This Page Intentionally Left Blank;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w:t>
      </w:r>
    </w:p>
    <w:p>
      <w:pPr>
        <w:spacing w:after="0" w:line="52" w:lineRule="exact"/>
        <w:rPr>
          <w:sz w:val="20"/>
          <w:szCs w:val="20"/>
          <w:color w:val="auto"/>
        </w:rPr>
      </w:pPr>
    </w:p>
    <w:p>
      <w:pPr>
        <w:ind w:left="180" w:hanging="159"/>
        <w:spacing w:after="0"/>
        <w:tabs>
          <w:tab w:leader="none" w:pos="180" w:val="left"/>
        </w:tabs>
        <w:numPr>
          <w:ilvl w:val="0"/>
          <w:numId w:val="129"/>
        </w:numPr>
        <w:rPr>
          <w:rFonts w:ascii="Arial" w:cs="Arial" w:eastAsia="Arial" w:hAnsi="Arial"/>
          <w:sz w:val="28"/>
          <w:szCs w:val="28"/>
          <w:color w:val="auto"/>
          <w:vertAlign w:val="superscript"/>
        </w:rPr>
      </w:pPr>
      <w:r>
        <w:rPr>
          <w:rFonts w:ascii="Arial" w:cs="Arial" w:eastAsia="Arial" w:hAnsi="Arial"/>
          <w:sz w:val="17"/>
          <w:szCs w:val="17"/>
          <w:color w:val="auto"/>
        </w:rPr>
        <w:t>This Note will be deemed to be identified by CUSIP No. [___] from and after such time when the Company delivers, pursuant to Section 2.12 of the</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within-mentioned Indenture, written notice to the Trustee of the deemed removal of the Restricted Note Legend affixed to this Note.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Insert bracketed language for Global Notes only.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A- 1</w:t>
      </w:r>
    </w:p>
    <w:p>
      <w:pPr>
        <w:sectPr>
          <w:pgSz w:w="11900" w:h="16838" w:orient="portrait"/>
          <w:cols w:equalWidth="0" w:num="1">
            <w:col w:w="11240"/>
          </w:cols>
          <w:pgMar w:left="320" w:top="342" w:right="339" w:bottom="1440" w:gutter="0" w:footer="0" w:header="0"/>
          <w:type w:val="continuous"/>
        </w:sectPr>
      </w:pPr>
    </w:p>
    <w:bookmarkStart w:id="96" w:name="page97"/>
    <w:bookmarkEnd w:id="96"/>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National Vision Holdings, Inc. has caused this instrument to be duly executed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40" w:type="dxa"/>
            <w:vAlign w:val="bottom"/>
            <w:gridSpan w:val="3"/>
          </w:tcPr>
          <w:p>
            <w:pPr>
              <w:ind w:left="240"/>
              <w:spacing w:after="0"/>
              <w:rPr>
                <w:sz w:val="20"/>
                <w:szCs w:val="20"/>
                <w:color w:val="auto"/>
              </w:rPr>
            </w:pPr>
            <w:r>
              <w:rPr>
                <w:rFonts w:ascii="Arial" w:cs="Arial" w:eastAsia="Arial" w:hAnsi="Arial"/>
                <w:sz w:val="22"/>
                <w:szCs w:val="22"/>
                <w:color w:val="auto"/>
                <w:w w:val="97"/>
              </w:rPr>
              <w:t>NATIONAL VISION HOLDINGS, INC.</w:t>
            </w:r>
          </w:p>
        </w:tc>
      </w:tr>
      <w:tr>
        <w:trPr>
          <w:trHeight w:val="462"/>
        </w:trPr>
        <w:tc>
          <w:tcPr>
            <w:tcW w:w="1960" w:type="dxa"/>
            <w:vAlign w:val="bottom"/>
            <w:gridSpan w:val="2"/>
          </w:tcPr>
          <w:p>
            <w:pPr>
              <w:spacing w:after="0"/>
              <w:rPr>
                <w:sz w:val="20"/>
                <w:szCs w:val="20"/>
                <w:color w:val="auto"/>
              </w:rPr>
            </w:pPr>
            <w:r>
              <w:rPr>
                <w:rFonts w:ascii="Arial" w:cs="Arial" w:eastAsia="Arial" w:hAnsi="Arial"/>
                <w:sz w:val="22"/>
                <w:szCs w:val="22"/>
                <w:color w:val="auto"/>
              </w:rPr>
              <w:t>Date: May 12, 2020</w:t>
            </w:r>
          </w:p>
        </w:tc>
        <w:tc>
          <w:tcPr>
            <w:tcW w:w="3840" w:type="dxa"/>
            <w:vAlign w:val="bottom"/>
            <w:gridSpan w:val="3"/>
          </w:tcPr>
          <w:p>
            <w:pPr>
              <w:ind w:left="200"/>
              <w:spacing w:after="0"/>
              <w:rPr>
                <w:sz w:val="20"/>
                <w:szCs w:val="20"/>
                <w:color w:val="auto"/>
              </w:rPr>
            </w:pPr>
            <w:r>
              <w:rPr>
                <w:rFonts w:ascii="Arial" w:cs="Arial" w:eastAsia="Arial" w:hAnsi="Arial"/>
                <w:sz w:val="22"/>
                <w:szCs w:val="22"/>
                <w:color w:val="auto"/>
              </w:rPr>
              <w:t>By: /s/ Patrick R. Moore</w:t>
            </w:r>
          </w:p>
        </w:tc>
      </w:tr>
      <w:tr>
        <w:trPr>
          <w:trHeight w:val="269"/>
        </w:trPr>
        <w:tc>
          <w:tcPr>
            <w:tcW w:w="520" w:type="dxa"/>
            <w:vAlign w:val="bottom"/>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3040" w:type="dxa"/>
            <w:vAlign w:val="bottom"/>
            <w:tcBorders>
              <w:top w:val="single" w:sz="8" w:color="auto"/>
            </w:tcBorders>
          </w:tcPr>
          <w:p>
            <w:pPr>
              <w:ind w:left="220"/>
              <w:spacing w:after="0"/>
              <w:rPr>
                <w:sz w:val="20"/>
                <w:szCs w:val="20"/>
                <w:color w:val="auto"/>
              </w:rPr>
            </w:pPr>
            <w:r>
              <w:rPr>
                <w:rFonts w:ascii="Arial" w:cs="Arial" w:eastAsia="Arial" w:hAnsi="Arial"/>
                <w:sz w:val="22"/>
                <w:szCs w:val="22"/>
                <w:color w:val="auto"/>
              </w:rPr>
              <w:t>Name: Patrick R. Moore</w:t>
            </w:r>
          </w:p>
        </w:tc>
        <w:tc>
          <w:tcPr>
            <w:tcW w:w="220" w:type="dxa"/>
            <w:vAlign w:val="bottom"/>
          </w:tcPr>
          <w:p>
            <w:pPr>
              <w:spacing w:after="0"/>
              <w:rPr>
                <w:sz w:val="23"/>
                <w:szCs w:val="23"/>
                <w:color w:val="auto"/>
              </w:rPr>
            </w:pPr>
          </w:p>
        </w:tc>
      </w:tr>
      <w:tr>
        <w:trPr>
          <w:trHeight w:val="257"/>
        </w:trPr>
        <w:tc>
          <w:tcPr>
            <w:tcW w:w="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60" w:type="dxa"/>
            <w:vAlign w:val="bottom"/>
            <w:gridSpan w:val="2"/>
          </w:tcPr>
          <w:p>
            <w:pPr>
              <w:ind w:left="220"/>
              <w:spacing w:after="0"/>
              <w:rPr>
                <w:sz w:val="20"/>
                <w:szCs w:val="20"/>
                <w:color w:val="auto"/>
              </w:rPr>
            </w:pPr>
            <w:r>
              <w:rPr>
                <w:rFonts w:ascii="Arial" w:cs="Arial" w:eastAsia="Arial" w:hAnsi="Arial"/>
                <w:sz w:val="22"/>
                <w:szCs w:val="22"/>
                <w:color w:val="auto"/>
                <w:w w:val="97"/>
              </w:rPr>
              <w:t>Title: Senior Vice President and</w:t>
            </w:r>
          </w:p>
        </w:tc>
      </w:tr>
      <w:tr>
        <w:trPr>
          <w:trHeight w:val="274"/>
        </w:trPr>
        <w:tc>
          <w:tcPr>
            <w:tcW w:w="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60" w:type="dxa"/>
            <w:vAlign w:val="bottom"/>
            <w:gridSpan w:val="2"/>
          </w:tcPr>
          <w:p>
            <w:pPr>
              <w:ind w:left="220"/>
              <w:spacing w:after="0"/>
              <w:rPr>
                <w:sz w:val="20"/>
                <w:szCs w:val="20"/>
                <w:color w:val="auto"/>
              </w:rPr>
            </w:pPr>
            <w:r>
              <w:rPr>
                <w:rFonts w:ascii="Arial" w:cs="Arial" w:eastAsia="Arial" w:hAnsi="Arial"/>
                <w:sz w:val="22"/>
                <w:szCs w:val="22"/>
                <w:color w:val="auto"/>
              </w:rPr>
              <w:t>Chief Financial Officer</w:t>
            </w:r>
          </w:p>
        </w:tc>
      </w:tr>
      <w:tr>
        <w:trPr>
          <w:trHeight w:val="473"/>
        </w:trPr>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gridSpan w:val="2"/>
          </w:tcPr>
          <w:p>
            <w:pPr>
              <w:ind w:left="2920"/>
              <w:spacing w:after="0"/>
              <w:rPr>
                <w:sz w:val="20"/>
                <w:szCs w:val="20"/>
                <w:color w:val="auto"/>
              </w:rPr>
            </w:pPr>
            <w:r>
              <w:rPr>
                <w:rFonts w:ascii="Arial" w:cs="Arial" w:eastAsia="Arial" w:hAnsi="Arial"/>
                <w:sz w:val="22"/>
                <w:szCs w:val="22"/>
                <w:color w:val="auto"/>
                <w:w w:val="93"/>
              </w:rPr>
              <w:t>A-2</w:t>
            </w:r>
          </w:p>
        </w:tc>
      </w:tr>
    </w:tbl>
    <w:p>
      <w:pPr>
        <w:sectPr>
          <w:pgSz w:w="11900" w:h="16838" w:orient="portrait"/>
          <w:cols w:equalWidth="0" w:num="1">
            <w:col w:w="11240"/>
          </w:cols>
          <w:pgMar w:left="320" w:top="342" w:right="339" w:bottom="1440" w:gutter="0" w:footer="0" w:header="0"/>
        </w:sectPr>
      </w:pPr>
    </w:p>
    <w:bookmarkStart w:id="97" w:name="page98"/>
    <w:bookmarkEnd w:id="97"/>
    <w:p>
      <w:pPr>
        <w:jc w:val="center"/>
        <w:ind w:right="-239"/>
        <w:spacing w:after="0"/>
        <w:rPr>
          <w:sz w:val="20"/>
          <w:szCs w:val="20"/>
          <w:color w:val="auto"/>
        </w:rPr>
      </w:pPr>
      <w:r>
        <w:rPr>
          <w:rFonts w:ascii="Arial" w:cs="Arial" w:eastAsia="Arial" w:hAnsi="Arial"/>
          <w:sz w:val="22"/>
          <w:szCs w:val="22"/>
          <w:color w:val="auto"/>
        </w:rPr>
        <w:t>TRUSTEE’S CERTIFICATE OF AUTHENTICATION</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U.S. Bank National Association, as Trustee, certifies that this is one of the Notes referred to in the within-mentioned Indenture.</w:t>
      </w:r>
    </w:p>
    <w:p>
      <w:pPr>
        <w:spacing w:after="0" w:line="295"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Date: May 12, 2020</w:t>
      </w:r>
      <w:r>
        <w:rPr>
          <w:sz w:val="20"/>
          <w:szCs w:val="20"/>
          <w:color w:val="auto"/>
        </w:rPr>
        <w:tab/>
      </w:r>
      <w:r>
        <w:rPr>
          <w:rFonts w:ascii="Arial" w:cs="Arial" w:eastAsia="Arial" w:hAnsi="Arial"/>
          <w:sz w:val="19"/>
          <w:szCs w:val="19"/>
          <w:color w:val="auto"/>
        </w:rPr>
        <w:t>By: /s/ Thomas E. Tabor,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38239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23970" cy="8255"/>
                    </a:xfrm>
                    <a:prstGeom prst="rect">
                      <a:avLst/>
                    </a:prstGeom>
                    <a:noFill/>
                  </pic:spPr>
                </pic:pic>
              </a:graphicData>
            </a:graphic>
          </wp:anchor>
        </w:drawing>
      </w:r>
    </w:p>
    <w:p>
      <w:pPr>
        <w:spacing w:after="0" w:line="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000"/>
          </w:cols>
          <w:pgMar w:left="320" w:top="348" w:right="57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NATIONAL VISION HOLDINGS,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2.50% Convertible Senior Note due 2025</w:t>
      </w:r>
    </w:p>
    <w:p>
      <w:pPr>
        <w:spacing w:after="0" w:line="2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Note is one of a duly authorized issue of notes of National Vision Holdings,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designated as its 2.50% Convertible Senior Notes due 2025 (the “</w:t>
      </w:r>
      <w:r>
        <w:rPr>
          <w:rFonts w:ascii="Arial" w:cs="Arial" w:eastAsia="Arial" w:hAnsi="Arial"/>
          <w:sz w:val="22"/>
          <w:szCs w:val="22"/>
          <w:b w:val="1"/>
          <w:bCs w:val="1"/>
          <w:color w:val="auto"/>
        </w:rPr>
        <w:t>Notes</w:t>
      </w:r>
      <w:r>
        <w:rPr>
          <w:rFonts w:ascii="Arial" w:cs="Arial" w:eastAsia="Arial" w:hAnsi="Arial"/>
          <w:sz w:val="22"/>
          <w:szCs w:val="22"/>
          <w:color w:val="auto"/>
        </w:rPr>
        <w:t>”), all issued or to be issued pursuant to an indenture, dated as of May 12, 2020 (as the same may be amended from time to time, the “</w:t>
      </w:r>
      <w:r>
        <w:rPr>
          <w:rFonts w:ascii="Arial" w:cs="Arial" w:eastAsia="Arial" w:hAnsi="Arial"/>
          <w:sz w:val="22"/>
          <w:szCs w:val="22"/>
          <w:b w:val="1"/>
          <w:bCs w:val="1"/>
          <w:color w:val="auto"/>
        </w:rPr>
        <w:t>Indenture</w:t>
      </w:r>
      <w:r>
        <w:rPr>
          <w:rFonts w:ascii="Arial" w:cs="Arial" w:eastAsia="Arial" w:hAnsi="Arial"/>
          <w:sz w:val="22"/>
          <w:szCs w:val="22"/>
          <w:color w:val="auto"/>
        </w:rPr>
        <w:t>”), between the Company and U.S. Bank National Association, as trustee. Capitalized terms used in this Note without definition have the respective meanings ascribed to them in the Indenture.</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93" w:lineRule="exact"/>
        <w:rPr>
          <w:sz w:val="20"/>
          <w:szCs w:val="20"/>
          <w:color w:val="auto"/>
        </w:rPr>
      </w:pPr>
    </w:p>
    <w:p>
      <w:pPr>
        <w:ind w:firstLine="656"/>
        <w:spacing w:after="0" w:line="235" w:lineRule="auto"/>
        <w:tabs>
          <w:tab w:leader="none" w:pos="1458"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Interest</w:t>
      </w:r>
      <w:r>
        <w:rPr>
          <w:rFonts w:ascii="Arial" w:cs="Arial" w:eastAsia="Arial" w:hAnsi="Arial"/>
          <w:sz w:val="22"/>
          <w:szCs w:val="22"/>
          <w:color w:val="auto"/>
        </w:rPr>
        <w:t>. This Note will accrue interest at a rate and in the manner set forth in Section 2.05 of the Indenture.</w:t>
      </w:r>
      <w:r>
        <w:rPr>
          <w:rFonts w:ascii="Arial" w:cs="Arial" w:eastAsia="Arial" w:hAnsi="Arial"/>
          <w:sz w:val="22"/>
          <w:szCs w:val="22"/>
          <w:b w:val="1"/>
          <w:bCs w:val="1"/>
          <w:color w:val="auto"/>
        </w:rPr>
        <w:t xml:space="preserve"> </w:t>
      </w:r>
      <w:r>
        <w:rPr>
          <w:rFonts w:ascii="Arial" w:cs="Arial" w:eastAsia="Arial" w:hAnsi="Arial"/>
          <w:sz w:val="22"/>
          <w:szCs w:val="22"/>
          <w:color w:val="auto"/>
        </w:rPr>
        <w:t>Stated Interest on this Note will begin to accrue from, and including, [</w:t>
      </w:r>
      <w:r>
        <w:rPr>
          <w:rFonts w:ascii="Arial" w:cs="Arial" w:eastAsia="Arial" w:hAnsi="Arial"/>
          <w:sz w:val="22"/>
          <w:szCs w:val="22"/>
          <w:i w:val="1"/>
          <w:iCs w:val="1"/>
          <w:color w:val="auto"/>
        </w:rPr>
        <w:t>date</w:t>
      </w:r>
      <w:r>
        <w:rPr>
          <w:rFonts w:ascii="Arial" w:cs="Arial" w:eastAsia="Arial" w:hAnsi="Arial"/>
          <w:sz w:val="22"/>
          <w:szCs w:val="22"/>
          <w:color w:val="auto"/>
        </w:rPr>
        <w:t>].</w:t>
      </w:r>
    </w:p>
    <w:p>
      <w:pPr>
        <w:spacing w:after="0" w:line="193" w:lineRule="exact"/>
        <w:rPr>
          <w:rFonts w:ascii="Arial" w:cs="Arial" w:eastAsia="Arial" w:hAnsi="Arial"/>
          <w:sz w:val="22"/>
          <w:szCs w:val="22"/>
          <w:color w:val="auto"/>
        </w:rPr>
      </w:pPr>
    </w:p>
    <w:p>
      <w:pPr>
        <w:ind w:left="1460" w:hanging="804"/>
        <w:spacing w:after="0"/>
        <w:tabs>
          <w:tab w:leader="none" w:pos="1460" w:val="left"/>
        </w:tabs>
        <w:numPr>
          <w:ilvl w:val="0"/>
          <w:numId w:val="130"/>
        </w:numPr>
        <w:rPr>
          <w:rFonts w:ascii="Arial" w:cs="Arial" w:eastAsia="Arial" w:hAnsi="Arial"/>
          <w:sz w:val="21"/>
          <w:szCs w:val="21"/>
          <w:color w:val="auto"/>
        </w:rPr>
      </w:pPr>
      <w:r>
        <w:rPr>
          <w:rFonts w:ascii="Arial" w:cs="Arial" w:eastAsia="Arial" w:hAnsi="Arial"/>
          <w:sz w:val="21"/>
          <w:szCs w:val="21"/>
          <w:b w:val="1"/>
          <w:bCs w:val="1"/>
          <w:color w:val="auto"/>
        </w:rPr>
        <w:t>Maturity</w:t>
      </w:r>
      <w:r>
        <w:rPr>
          <w:rFonts w:ascii="Arial" w:cs="Arial" w:eastAsia="Arial" w:hAnsi="Arial"/>
          <w:sz w:val="21"/>
          <w:szCs w:val="21"/>
          <w:color w:val="auto"/>
        </w:rPr>
        <w:t>. This Note will mature on May 15, 2025, unless earlier repurchased, redeemed or converted.</w:t>
      </w:r>
    </w:p>
    <w:p>
      <w:pPr>
        <w:spacing w:after="0" w:line="231" w:lineRule="exact"/>
        <w:rPr>
          <w:rFonts w:ascii="Arial" w:cs="Arial" w:eastAsia="Arial" w:hAnsi="Arial"/>
          <w:sz w:val="21"/>
          <w:szCs w:val="21"/>
          <w:color w:val="auto"/>
        </w:rPr>
      </w:pPr>
    </w:p>
    <w:p>
      <w:pPr>
        <w:ind w:left="1460" w:hanging="804"/>
        <w:spacing w:after="0"/>
        <w:tabs>
          <w:tab w:leader="none" w:pos="1460" w:val="left"/>
        </w:tabs>
        <w:numPr>
          <w:ilvl w:val="0"/>
          <w:numId w:val="130"/>
        </w:numPr>
        <w:rPr>
          <w:rFonts w:ascii="Arial" w:cs="Arial" w:eastAsia="Arial" w:hAnsi="Arial"/>
          <w:sz w:val="19"/>
          <w:szCs w:val="19"/>
          <w:color w:val="auto"/>
        </w:rPr>
      </w:pPr>
      <w:r>
        <w:rPr>
          <w:rFonts w:ascii="Arial" w:cs="Arial" w:eastAsia="Arial" w:hAnsi="Arial"/>
          <w:sz w:val="19"/>
          <w:szCs w:val="19"/>
          <w:b w:val="1"/>
          <w:bCs w:val="1"/>
          <w:color w:val="auto"/>
        </w:rPr>
        <w:t>Method of Payment</w:t>
      </w:r>
      <w:r>
        <w:rPr>
          <w:rFonts w:ascii="Arial" w:cs="Arial" w:eastAsia="Arial" w:hAnsi="Arial"/>
          <w:sz w:val="19"/>
          <w:szCs w:val="19"/>
          <w:color w:val="auto"/>
        </w:rPr>
        <w:t>. Cash amounts due on this Note will be paid in the manner set forth in Section 2.04 of the</w:t>
      </w:r>
    </w:p>
    <w:p>
      <w:pPr>
        <w:spacing w:after="0" w:line="2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195" w:lineRule="exact"/>
        <w:rPr>
          <w:rFonts w:ascii="Arial" w:cs="Arial" w:eastAsia="Arial" w:hAnsi="Arial"/>
          <w:sz w:val="19"/>
          <w:szCs w:val="19"/>
          <w:color w:val="auto"/>
        </w:rPr>
      </w:pPr>
    </w:p>
    <w:p>
      <w:pPr>
        <w:ind w:left="1460" w:hanging="804"/>
        <w:spacing w:after="0"/>
        <w:tabs>
          <w:tab w:leader="none" w:pos="1460" w:val="left"/>
        </w:tabs>
        <w:numPr>
          <w:ilvl w:val="0"/>
          <w:numId w:val="130"/>
        </w:numPr>
        <w:rPr>
          <w:rFonts w:ascii="Arial" w:cs="Arial" w:eastAsia="Arial" w:hAnsi="Arial"/>
          <w:sz w:val="19"/>
          <w:szCs w:val="19"/>
          <w:color w:val="auto"/>
        </w:rPr>
      </w:pPr>
      <w:r>
        <w:rPr>
          <w:rFonts w:ascii="Arial" w:cs="Arial" w:eastAsia="Arial" w:hAnsi="Arial"/>
          <w:sz w:val="19"/>
          <w:szCs w:val="19"/>
          <w:b w:val="1"/>
          <w:bCs w:val="1"/>
          <w:color w:val="auto"/>
        </w:rPr>
        <w:t>Persons Deemed Owners</w:t>
      </w:r>
      <w:r>
        <w:rPr>
          <w:rFonts w:ascii="Arial" w:cs="Arial" w:eastAsia="Arial" w:hAnsi="Arial"/>
          <w:sz w:val="19"/>
          <w:szCs w:val="19"/>
          <w:color w:val="auto"/>
        </w:rPr>
        <w:t>. The Holder of this Note will be treated as the owner of this Note for all purposes.</w:t>
      </w:r>
    </w:p>
    <w:p>
      <w:pPr>
        <w:spacing w:after="0" w:line="254" w:lineRule="exact"/>
        <w:rPr>
          <w:rFonts w:ascii="Arial" w:cs="Arial" w:eastAsia="Arial" w:hAnsi="Arial"/>
          <w:sz w:val="19"/>
          <w:szCs w:val="19"/>
          <w:color w:val="auto"/>
        </w:rPr>
      </w:pPr>
    </w:p>
    <w:p>
      <w:pPr>
        <w:jc w:val="both"/>
        <w:ind w:firstLine="656"/>
        <w:spacing w:after="0" w:line="271" w:lineRule="auto"/>
        <w:tabs>
          <w:tab w:leader="none" w:pos="1458" w:val="left"/>
        </w:tabs>
        <w:numPr>
          <w:ilvl w:val="0"/>
          <w:numId w:val="130"/>
        </w:numPr>
        <w:rPr>
          <w:rFonts w:ascii="Arial" w:cs="Arial" w:eastAsia="Arial" w:hAnsi="Arial"/>
          <w:sz w:val="19"/>
          <w:szCs w:val="19"/>
          <w:color w:val="auto"/>
        </w:rPr>
      </w:pPr>
      <w:r>
        <w:rPr>
          <w:rFonts w:ascii="Arial" w:cs="Arial" w:eastAsia="Arial" w:hAnsi="Arial"/>
          <w:sz w:val="19"/>
          <w:szCs w:val="19"/>
          <w:b w:val="1"/>
          <w:bCs w:val="1"/>
          <w:color w:val="auto"/>
        </w:rPr>
        <w:t>Denominations; Transfers and Exchanges</w:t>
      </w:r>
      <w:r>
        <w:rPr>
          <w:rFonts w:ascii="Arial" w:cs="Arial" w:eastAsia="Arial" w:hAnsi="Arial"/>
          <w:sz w:val="19"/>
          <w:szCs w:val="19"/>
          <w:color w:val="auto"/>
        </w:rPr>
        <w:t>. All Notes will be in registered form, without coupons, in principal</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equal to any Authorized Denominations. Subject to the terms of the Indenture, the Holder of this Note may transfer or exchange this Note by presenting it to the Registrar and delivering any required documentation or other materials.</w:t>
      </w:r>
    </w:p>
    <w:p>
      <w:pPr>
        <w:spacing w:after="0" w:line="164" w:lineRule="exact"/>
        <w:rPr>
          <w:rFonts w:ascii="Arial" w:cs="Arial" w:eastAsia="Arial" w:hAnsi="Arial"/>
          <w:sz w:val="19"/>
          <w:szCs w:val="19"/>
          <w:color w:val="auto"/>
        </w:rPr>
      </w:pPr>
    </w:p>
    <w:p>
      <w:pPr>
        <w:jc w:val="both"/>
        <w:ind w:firstLine="656"/>
        <w:spacing w:after="0" w:line="220" w:lineRule="auto"/>
        <w:tabs>
          <w:tab w:leader="none" w:pos="1458"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Right of Holders to Require the Company to Repurchase Notes upon a Fundamental Change</w:t>
      </w:r>
      <w:r>
        <w:rPr>
          <w:rFonts w:ascii="Arial" w:cs="Arial" w:eastAsia="Arial" w:hAnsi="Arial"/>
          <w:sz w:val="22"/>
          <w:szCs w:val="22"/>
          <w:color w:val="auto"/>
        </w:rPr>
        <w:t>. If a</w:t>
      </w:r>
      <w:r>
        <w:rPr>
          <w:rFonts w:ascii="Arial" w:cs="Arial" w:eastAsia="Arial" w:hAnsi="Arial"/>
          <w:sz w:val="22"/>
          <w:szCs w:val="22"/>
          <w:b w:val="1"/>
          <w:bCs w:val="1"/>
          <w:color w:val="auto"/>
        </w:rPr>
        <w:t xml:space="preserve"> </w:t>
      </w:r>
      <w:r>
        <w:rPr>
          <w:rFonts w:ascii="Arial" w:cs="Arial" w:eastAsia="Arial" w:hAnsi="Arial"/>
          <w:sz w:val="22"/>
          <w:szCs w:val="22"/>
          <w:color w:val="auto"/>
        </w:rPr>
        <w:t>Fundamental 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spacing w:after="0" w:line="192" w:lineRule="exact"/>
        <w:rPr>
          <w:rFonts w:ascii="Arial" w:cs="Arial" w:eastAsia="Arial" w:hAnsi="Arial"/>
          <w:sz w:val="22"/>
          <w:szCs w:val="22"/>
          <w:color w:val="auto"/>
        </w:rPr>
      </w:pPr>
    </w:p>
    <w:p>
      <w:pPr>
        <w:ind w:firstLine="656"/>
        <w:spacing w:after="0" w:line="235" w:lineRule="auto"/>
        <w:tabs>
          <w:tab w:leader="none" w:pos="1458"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Right of the Company to Redeem the Notes</w:t>
      </w:r>
      <w:r>
        <w:rPr>
          <w:rFonts w:ascii="Arial" w:cs="Arial" w:eastAsia="Arial" w:hAnsi="Arial"/>
          <w:sz w:val="22"/>
          <w:szCs w:val="22"/>
          <w:color w:val="auto"/>
        </w:rPr>
        <w:t>. The Company will have the right to redeem the Notes for cash in</w:t>
      </w:r>
      <w:r>
        <w:rPr>
          <w:rFonts w:ascii="Arial" w:cs="Arial" w:eastAsia="Arial" w:hAnsi="Arial"/>
          <w:sz w:val="22"/>
          <w:szCs w:val="22"/>
          <w:b w:val="1"/>
          <w:bCs w:val="1"/>
          <w:color w:val="auto"/>
        </w:rPr>
        <w:t xml:space="preserve"> </w:t>
      </w:r>
      <w:r>
        <w:rPr>
          <w:rFonts w:ascii="Arial" w:cs="Arial" w:eastAsia="Arial" w:hAnsi="Arial"/>
          <w:sz w:val="22"/>
          <w:szCs w:val="22"/>
          <w:color w:val="auto"/>
        </w:rPr>
        <w:t>the manner, and subject to the terms, set forth in Section 4.03 of the Indenture.</w:t>
      </w:r>
    </w:p>
    <w:p>
      <w:pPr>
        <w:spacing w:after="0" w:line="193" w:lineRule="exact"/>
        <w:rPr>
          <w:rFonts w:ascii="Arial" w:cs="Arial" w:eastAsia="Arial" w:hAnsi="Arial"/>
          <w:sz w:val="22"/>
          <w:szCs w:val="22"/>
          <w:color w:val="auto"/>
        </w:rPr>
      </w:pPr>
    </w:p>
    <w:p>
      <w:pPr>
        <w:ind w:firstLine="656"/>
        <w:spacing w:after="0" w:line="235" w:lineRule="auto"/>
        <w:tabs>
          <w:tab w:leader="none" w:pos="1458"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Conversion</w:t>
      </w:r>
      <w:r>
        <w:rPr>
          <w:rFonts w:ascii="Arial" w:cs="Arial" w:eastAsia="Arial" w:hAnsi="Arial"/>
          <w:sz w:val="22"/>
          <w:szCs w:val="22"/>
          <w:color w:val="auto"/>
        </w:rPr>
        <w:t>. The Holder of this Note may convert this Note into Conversion Consideration in the manner, and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terms, set forth in Article 5 of the Indenture.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342" w:right="339" w:bottom="1440" w:gutter="0" w:footer="0" w:header="0"/>
        </w:sectPr>
      </w:pPr>
    </w:p>
    <w:bookmarkStart w:id="99" w:name="page100"/>
    <w:bookmarkEnd w:id="99"/>
    <w:p>
      <w:pPr>
        <w:ind w:firstLine="656"/>
        <w:spacing w:after="0" w:line="235" w:lineRule="auto"/>
        <w:tabs>
          <w:tab w:leader="none" w:pos="1458"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When the Company May Merge, Etc</w:t>
      </w:r>
      <w:r>
        <w:rPr>
          <w:rFonts w:ascii="Arial" w:cs="Arial" w:eastAsia="Arial" w:hAnsi="Arial"/>
          <w:sz w:val="22"/>
          <w:szCs w:val="22"/>
          <w:color w:val="auto"/>
        </w:rPr>
        <w:t>. Article 6 of the Indenture places limited restrictions on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ability to be a party to a Business Combination Event.</w:t>
      </w:r>
    </w:p>
    <w:p>
      <w:pPr>
        <w:spacing w:after="0" w:line="193" w:lineRule="exact"/>
        <w:rPr>
          <w:rFonts w:ascii="Arial" w:cs="Arial" w:eastAsia="Arial" w:hAnsi="Arial"/>
          <w:sz w:val="22"/>
          <w:szCs w:val="22"/>
          <w:color w:val="auto"/>
        </w:rPr>
      </w:pPr>
    </w:p>
    <w:p>
      <w:pPr>
        <w:jc w:val="both"/>
        <w:ind w:firstLine="656"/>
        <w:spacing w:after="0" w:line="236" w:lineRule="auto"/>
        <w:tabs>
          <w:tab w:leader="none" w:pos="1566" w:val="left"/>
        </w:tabs>
        <w:numPr>
          <w:ilvl w:val="0"/>
          <w:numId w:val="131"/>
        </w:numPr>
        <w:rPr>
          <w:rFonts w:ascii="Arial" w:cs="Arial" w:eastAsia="Arial" w:hAnsi="Arial"/>
          <w:sz w:val="21"/>
          <w:szCs w:val="21"/>
          <w:color w:val="auto"/>
        </w:rPr>
      </w:pPr>
      <w:r>
        <w:rPr>
          <w:rFonts w:ascii="Arial" w:cs="Arial" w:eastAsia="Arial" w:hAnsi="Arial"/>
          <w:sz w:val="21"/>
          <w:szCs w:val="21"/>
          <w:b w:val="1"/>
          <w:bCs w:val="1"/>
          <w:color w:val="auto"/>
        </w:rPr>
        <w:t>Defaults and Remedies</w:t>
      </w:r>
      <w:r>
        <w:rPr>
          <w:rFonts w:ascii="Arial" w:cs="Arial" w:eastAsia="Arial" w:hAnsi="Arial"/>
          <w:sz w:val="21"/>
          <w:szCs w:val="21"/>
          <w:color w:val="auto"/>
        </w:rPr>
        <w:t>. If an Event of Default occurs, then the principal amount of, and all accrued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unpaid interest on, all of the Notes then outstanding may (and, in certain circumstances, will automatically) become due and payable in the manner, and subject to the terms, set forth in Article 7 of the Indenture.</w:t>
      </w:r>
    </w:p>
    <w:p>
      <w:pPr>
        <w:spacing w:after="0" w:line="192" w:lineRule="exact"/>
        <w:rPr>
          <w:rFonts w:ascii="Arial" w:cs="Arial" w:eastAsia="Arial" w:hAnsi="Arial"/>
          <w:sz w:val="21"/>
          <w:szCs w:val="21"/>
          <w:color w:val="auto"/>
        </w:rPr>
      </w:pPr>
    </w:p>
    <w:p>
      <w:pPr>
        <w:jc w:val="both"/>
        <w:ind w:firstLine="656"/>
        <w:spacing w:after="0" w:line="225" w:lineRule="auto"/>
        <w:tabs>
          <w:tab w:leader="none" w:pos="1558"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Amendments, Supplements and Waivers</w:t>
      </w:r>
      <w:r>
        <w:rPr>
          <w:rFonts w:ascii="Arial" w:cs="Arial" w:eastAsia="Arial" w:hAnsi="Arial"/>
          <w:sz w:val="22"/>
          <w:szCs w:val="22"/>
          <w:color w:val="auto"/>
        </w:rPr>
        <w:t>. The Company and the Trustee may amend or supplement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Indenture or the Notes or waive compliance with any provision of the Indenture or the Notes in the manner, and subject to the terms, set forth in Article 8 of the Indenture.</w:t>
      </w:r>
    </w:p>
    <w:p>
      <w:pPr>
        <w:spacing w:after="0" w:line="193" w:lineRule="exact"/>
        <w:rPr>
          <w:rFonts w:ascii="Arial" w:cs="Arial" w:eastAsia="Arial" w:hAnsi="Arial"/>
          <w:sz w:val="22"/>
          <w:szCs w:val="22"/>
          <w:color w:val="auto"/>
        </w:rPr>
      </w:pPr>
    </w:p>
    <w:p>
      <w:pPr>
        <w:jc w:val="both"/>
        <w:ind w:firstLine="656"/>
        <w:spacing w:after="0" w:line="217" w:lineRule="auto"/>
        <w:tabs>
          <w:tab w:leader="none" w:pos="1566"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No Personal Liability of Directors, Officers, Employees and Stockholders</w:t>
      </w:r>
      <w:r>
        <w:rPr>
          <w:rFonts w:ascii="Arial" w:cs="Arial" w:eastAsia="Arial" w:hAnsi="Arial"/>
          <w:sz w:val="22"/>
          <w:szCs w:val="22"/>
          <w:color w:val="auto"/>
        </w:rPr>
        <w:t>. No past, present or future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92" w:lineRule="exact"/>
        <w:rPr>
          <w:rFonts w:ascii="Arial" w:cs="Arial" w:eastAsia="Arial" w:hAnsi="Arial"/>
          <w:sz w:val="22"/>
          <w:szCs w:val="22"/>
          <w:color w:val="auto"/>
        </w:rPr>
      </w:pPr>
    </w:p>
    <w:p>
      <w:pPr>
        <w:jc w:val="both"/>
        <w:ind w:firstLine="656"/>
        <w:spacing w:after="0" w:line="225" w:lineRule="auto"/>
        <w:tabs>
          <w:tab w:leader="none" w:pos="1566"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Authentication</w:t>
      </w:r>
      <w:r>
        <w:rPr>
          <w:rFonts w:ascii="Arial" w:cs="Arial" w:eastAsia="Arial" w:hAnsi="Arial"/>
          <w:sz w:val="22"/>
          <w:szCs w:val="22"/>
          <w:color w:val="auto"/>
        </w:rPr>
        <w:t>. No Note will be valid until it is authenticated by the Trustee. A Note will be deemed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authenticated only when an authorized signatory of the Trustee (or a duly appointed authenticating agent) manually signs the certificate of authentication of such Note.</w:t>
      </w:r>
    </w:p>
    <w:p>
      <w:pPr>
        <w:spacing w:after="0" w:line="193" w:lineRule="exact"/>
        <w:rPr>
          <w:rFonts w:ascii="Arial" w:cs="Arial" w:eastAsia="Arial" w:hAnsi="Arial"/>
          <w:sz w:val="22"/>
          <w:szCs w:val="22"/>
          <w:color w:val="auto"/>
        </w:rPr>
      </w:pPr>
    </w:p>
    <w:p>
      <w:pPr>
        <w:jc w:val="both"/>
        <w:ind w:firstLine="656"/>
        <w:spacing w:after="0" w:line="225" w:lineRule="auto"/>
        <w:tabs>
          <w:tab w:leader="none" w:pos="1566"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Abbreviations</w:t>
      </w:r>
      <w:r>
        <w:rPr>
          <w:rFonts w:ascii="Arial" w:cs="Arial" w:eastAsia="Arial" w:hAnsi="Arial"/>
          <w:sz w:val="22"/>
          <w:szCs w:val="22"/>
          <w:color w:val="auto"/>
        </w:rPr>
        <w:t>. Customary abbreviations may be used in the name of a Holder or its assignee, such as TEN</w:t>
      </w:r>
      <w:r>
        <w:rPr>
          <w:rFonts w:ascii="Arial" w:cs="Arial" w:eastAsia="Arial" w:hAnsi="Arial"/>
          <w:sz w:val="22"/>
          <w:szCs w:val="22"/>
          <w:b w:val="1"/>
          <w:bCs w:val="1"/>
          <w:color w:val="auto"/>
        </w:rPr>
        <w:t xml:space="preserve"> </w:t>
      </w:r>
      <w:r>
        <w:rPr>
          <w:rFonts w:ascii="Arial" w:cs="Arial" w:eastAsia="Arial" w:hAnsi="Arial"/>
          <w:sz w:val="22"/>
          <w:szCs w:val="22"/>
          <w:color w:val="auto"/>
        </w:rPr>
        <w:t>COM (tenants in common), TEN ENT (tenants by the entireties), JT TEN (joint tenants with right of survivorship and not as tenants in common), CUST (custodian), and U/G/M/A (Uniform Gift to Minors Act).</w:t>
      </w:r>
    </w:p>
    <w:p>
      <w:pPr>
        <w:spacing w:after="0" w:line="193" w:lineRule="exact"/>
        <w:rPr>
          <w:rFonts w:ascii="Arial" w:cs="Arial" w:eastAsia="Arial" w:hAnsi="Arial"/>
          <w:sz w:val="22"/>
          <w:szCs w:val="22"/>
          <w:color w:val="auto"/>
        </w:rPr>
      </w:pPr>
    </w:p>
    <w:p>
      <w:pPr>
        <w:jc w:val="both"/>
        <w:ind w:firstLine="656"/>
        <w:spacing w:after="0" w:line="225" w:lineRule="auto"/>
        <w:tabs>
          <w:tab w:leader="none" w:pos="1566"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NOTE, AND ANY CLAIM, CONTROVERSY OR DISPUTE ARISING UNDER OR</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TO THIS NOTE, WILL BE GOVERNED BY AND CONSTRUED IN ACCORDANCE WITH THE LAWS OF THE STATE OF NEW YORK.</w:t>
      </w:r>
    </w:p>
    <w:p>
      <w:pPr>
        <w:spacing w:after="0" w:line="226" w:lineRule="exact"/>
        <w:rPr>
          <w:rFonts w:ascii="Arial" w:cs="Arial" w:eastAsia="Arial" w:hAnsi="Arial"/>
          <w:sz w:val="22"/>
          <w:szCs w:val="22"/>
          <w:color w:val="auto"/>
        </w:rPr>
      </w:pPr>
    </w:p>
    <w:p>
      <w:pPr>
        <w:ind w:left="5400"/>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To request a copy of the Indenture, which the Company will provide to any Holder at no charge, please send a written request to the following address: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National Vision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2435 Commerce Avenue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Building 2200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Duluth, Georgia 30096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Attn: General Counsel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571" w:right="33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22"/>
          <w:szCs w:val="22"/>
          <w:b w:val="1"/>
          <w:bCs w:val="1"/>
          <w:color w:val="auto"/>
        </w:rPr>
        <w:t>SCHEDULE OF EXCHANGES OF INTERESTS IN THE GLOBAL NOTE</w:t>
      </w:r>
      <w:r>
        <w:rPr>
          <w:rFonts w:ascii="Arial" w:cs="Arial" w:eastAsia="Arial" w:hAnsi="Arial"/>
          <w:sz w:val="28"/>
          <w:szCs w:val="28"/>
          <w:color w:val="auto"/>
          <w:vertAlign w:val="superscript"/>
        </w:rPr>
        <w:t>*</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INITIAL PRINCIPAL AMOUNT OF THIS GLOBAL NOTE: $[___]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exchanges, transfers or cancellations of this Global Note have been made: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88"/>
              </w:rPr>
              <w:t>Amount of Increase</w:t>
            </w:r>
          </w:p>
        </w:tc>
        <w:tc>
          <w:tcPr>
            <w:tcW w:w="290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89"/>
              </w:rPr>
              <w:t>Principal Amount of this</w:t>
            </w:r>
          </w:p>
        </w:tc>
        <w:tc>
          <w:tcPr>
            <w:tcW w:w="2680" w:type="dxa"/>
            <w:vAlign w:val="bottom"/>
          </w:tcPr>
          <w:p>
            <w:pPr>
              <w:spacing w:after="0"/>
              <w:rPr>
                <w:sz w:val="21"/>
                <w:szCs w:val="21"/>
                <w:color w:val="auto"/>
              </w:rPr>
            </w:pPr>
          </w:p>
        </w:tc>
      </w:tr>
      <w:tr>
        <w:trPr>
          <w:trHeight w:val="24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2"/>
          </w:tcPr>
          <w:p>
            <w:pPr>
              <w:jc w:val="center"/>
              <w:ind w:right="240"/>
              <w:spacing w:after="0" w:line="243" w:lineRule="exact"/>
              <w:rPr>
                <w:sz w:val="20"/>
                <w:szCs w:val="20"/>
                <w:color w:val="auto"/>
              </w:rPr>
            </w:pPr>
            <w:r>
              <w:rPr>
                <w:rFonts w:ascii="Arial" w:cs="Arial" w:eastAsia="Arial" w:hAnsi="Arial"/>
                <w:sz w:val="22"/>
                <w:szCs w:val="22"/>
                <w:b w:val="1"/>
                <w:bCs w:val="1"/>
                <w:color w:val="auto"/>
                <w:w w:val="88"/>
              </w:rPr>
              <w:t>(Decrease) in Principal</w:t>
            </w:r>
          </w:p>
        </w:tc>
        <w:tc>
          <w:tcPr>
            <w:tcW w:w="2900" w:type="dxa"/>
            <w:vAlign w:val="bottom"/>
            <w:gridSpan w:val="2"/>
          </w:tcPr>
          <w:p>
            <w:pPr>
              <w:jc w:val="center"/>
              <w:ind w:right="220"/>
              <w:spacing w:after="0" w:line="243" w:lineRule="exact"/>
              <w:rPr>
                <w:sz w:val="20"/>
                <w:szCs w:val="20"/>
                <w:color w:val="auto"/>
              </w:rPr>
            </w:pPr>
            <w:r>
              <w:rPr>
                <w:rFonts w:ascii="Arial" w:cs="Arial" w:eastAsia="Arial" w:hAnsi="Arial"/>
                <w:sz w:val="22"/>
                <w:szCs w:val="22"/>
                <w:b w:val="1"/>
                <w:bCs w:val="1"/>
                <w:color w:val="auto"/>
                <w:w w:val="89"/>
              </w:rPr>
              <w:t>Global Note After Such</w:t>
            </w:r>
          </w:p>
        </w:tc>
        <w:tc>
          <w:tcPr>
            <w:tcW w:w="26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Signature of Authorized</w:t>
            </w:r>
          </w:p>
        </w:tc>
      </w:tr>
      <w:tr>
        <w:trPr>
          <w:trHeight w:val="291"/>
        </w:trPr>
        <w:tc>
          <w:tcPr>
            <w:tcW w:w="2720" w:type="dxa"/>
            <w:vAlign w:val="bottom"/>
            <w:gridSpan w:val="2"/>
          </w:tcPr>
          <w:p>
            <w:pPr>
              <w:ind w:left="1040"/>
              <w:spacing w:after="0"/>
              <w:rPr>
                <w:sz w:val="20"/>
                <w:szCs w:val="20"/>
                <w:color w:val="auto"/>
              </w:rPr>
            </w:pPr>
            <w:r>
              <w:rPr>
                <w:rFonts w:ascii="Arial" w:cs="Arial" w:eastAsia="Arial" w:hAnsi="Arial"/>
                <w:sz w:val="22"/>
                <w:szCs w:val="22"/>
                <w:b w:val="1"/>
                <w:bCs w:val="1"/>
                <w:color w:val="auto"/>
              </w:rPr>
              <w:t>Date</w:t>
            </w:r>
          </w:p>
        </w:tc>
        <w:tc>
          <w:tcPr>
            <w:tcW w:w="294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89"/>
              </w:rPr>
              <w:t>Amount of this Global Note</w:t>
            </w:r>
          </w:p>
        </w:tc>
        <w:tc>
          <w:tcPr>
            <w:tcW w:w="290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86"/>
              </w:rPr>
              <w:t>Increase (Decrease)</w:t>
            </w:r>
          </w:p>
        </w:tc>
        <w:tc>
          <w:tcPr>
            <w:tcW w:w="2680" w:type="dxa"/>
            <w:vAlign w:val="bottom"/>
          </w:tcPr>
          <w:p>
            <w:pPr>
              <w:jc w:val="center"/>
              <w:spacing w:after="0"/>
              <w:rPr>
                <w:sz w:val="20"/>
                <w:szCs w:val="20"/>
                <w:color w:val="auto"/>
              </w:rPr>
            </w:pPr>
            <w:r>
              <w:rPr>
                <w:rFonts w:ascii="Arial" w:cs="Arial" w:eastAsia="Arial" w:hAnsi="Arial"/>
                <w:sz w:val="22"/>
                <w:szCs w:val="22"/>
                <w:b w:val="1"/>
                <w:bCs w:val="1"/>
                <w:color w:val="auto"/>
                <w:w w:val="87"/>
              </w:rPr>
              <w:t>Signatory of Trustee</w:t>
            </w:r>
          </w:p>
        </w:tc>
      </w:tr>
      <w:tr>
        <w:trPr>
          <w:trHeight w:val="297"/>
        </w:trPr>
        <w:tc>
          <w:tcPr>
            <w:tcW w:w="250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top w:val="single" w:sz="8" w:color="auto"/>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top w:val="single" w:sz="8" w:color="auto"/>
              <w:bottom w:val="single" w:sz="8" w:color="auto"/>
            </w:tcBorders>
          </w:tcPr>
          <w:p>
            <w:pPr>
              <w:spacing w:after="0"/>
              <w:rPr>
                <w:sz w:val="24"/>
                <w:szCs w:val="24"/>
                <w:color w:val="auto"/>
              </w:rPr>
            </w:pPr>
          </w:p>
        </w:tc>
      </w:tr>
      <w:tr>
        <w:trPr>
          <w:trHeight w:val="291"/>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0"/>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1"/>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0"/>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1"/>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1"/>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0"/>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1"/>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0"/>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1"/>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0"/>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1"/>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0"/>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0"/>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90"/>
        </w:trPr>
        <w:tc>
          <w:tcPr>
            <w:tcW w:w="2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w:t>
      </w:r>
    </w:p>
    <w:p>
      <w:pPr>
        <w:spacing w:after="0" w:line="41" w:lineRule="exact"/>
        <w:rPr>
          <w:sz w:val="20"/>
          <w:szCs w:val="20"/>
          <w:color w:val="auto"/>
        </w:rPr>
      </w:pPr>
    </w:p>
    <w:p>
      <w:pPr>
        <w:ind w:left="120" w:hanging="112"/>
        <w:spacing w:after="0"/>
        <w:tabs>
          <w:tab w:leader="none" w:pos="120" w:val="left"/>
        </w:tabs>
        <w:numPr>
          <w:ilvl w:val="0"/>
          <w:numId w:val="132"/>
        </w:numPr>
        <w:rPr>
          <w:rFonts w:ascii="Arial" w:cs="Arial" w:eastAsia="Arial" w:hAnsi="Arial"/>
          <w:sz w:val="29"/>
          <w:szCs w:val="29"/>
          <w:color w:val="auto"/>
          <w:vertAlign w:val="superscript"/>
        </w:rPr>
      </w:pPr>
      <w:r>
        <w:rPr>
          <w:rFonts w:ascii="Arial" w:cs="Arial" w:eastAsia="Arial" w:hAnsi="Arial"/>
          <w:sz w:val="18"/>
          <w:szCs w:val="18"/>
          <w:color w:val="auto"/>
        </w:rPr>
        <w:t>Insert for Global Notes only.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240"/>
          </w:cols>
          <w:pgMar w:left="320" w:top="337"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22"/>
          <w:szCs w:val="22"/>
          <w:b w:val="1"/>
          <w:bCs w:val="1"/>
          <w:color w:val="auto"/>
        </w:rPr>
        <w:t>CONVERSION NOTICE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NATIONAL VISION HOLDINGS, INC.</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2.50% Convertible Senior Notes due 2025</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Subject to the terms of the Indenture, by executing and delivering this Conversion Notice, the undersigned Holder of the Note identified below directs the Company to convert (check one):</w:t>
      </w:r>
    </w:p>
    <w:p>
      <w:pPr>
        <w:spacing w:after="0" w:line="175"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entire principal amount 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440" w:type="dxa"/>
            <w:vAlign w:val="bottom"/>
          </w:tcPr>
          <w:p>
            <w:pPr>
              <w:spacing w:after="0"/>
              <w:rPr>
                <w:sz w:val="20"/>
                <w:szCs w:val="20"/>
                <w:color w:val="auto"/>
              </w:rPr>
            </w:pPr>
            <w:r>
              <w:rPr>
                <w:rFonts w:ascii="Arial" w:cs="Arial" w:eastAsia="Arial" w:hAnsi="Arial"/>
                <w:sz w:val="22"/>
                <w:szCs w:val="22"/>
                <w:color w:val="auto"/>
              </w:rPr>
              <w:t>o  $</w:t>
            </w:r>
          </w:p>
        </w:tc>
        <w:tc>
          <w:tcPr>
            <w:tcW w:w="1140" w:type="dxa"/>
            <w:vAlign w:val="bottom"/>
            <w:tcBorders>
              <w:bottom w:val="single" w:sz="8" w:color="auto"/>
            </w:tcBorders>
          </w:tcPr>
          <w:p>
            <w:pPr>
              <w:spacing w:after="0"/>
              <w:rPr>
                <w:sz w:val="24"/>
                <w:szCs w:val="24"/>
                <w:color w:val="auto"/>
              </w:rPr>
            </w:pPr>
          </w:p>
        </w:tc>
        <w:tc>
          <w:tcPr>
            <w:tcW w:w="4300" w:type="dxa"/>
            <w:vAlign w:val="bottom"/>
            <w:gridSpan w:val="3"/>
          </w:tcPr>
          <w:p>
            <w:pPr>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 xml:space="preserve"> aggregate principal amount of</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3"/>
        </w:trPr>
        <w:tc>
          <w:tcPr>
            <w:tcW w:w="2980" w:type="dxa"/>
            <w:vAlign w:val="bottom"/>
            <w:gridSpan w:val="3"/>
          </w:tcPr>
          <w:p>
            <w:pPr>
              <w:spacing w:after="0"/>
              <w:rPr>
                <w:sz w:val="20"/>
                <w:szCs w:val="20"/>
                <w:color w:val="auto"/>
              </w:rPr>
            </w:pPr>
            <w:r>
              <w:rPr>
                <w:rFonts w:ascii="Arial" w:cs="Arial" w:eastAsia="Arial" w:hAnsi="Arial"/>
                <w:sz w:val="22"/>
                <w:szCs w:val="22"/>
                <w:color w:val="auto"/>
                <w:w w:val="92"/>
              </w:rPr>
              <w:t>the Note identified by CUSIP No.</w:t>
            </w:r>
          </w:p>
        </w:tc>
        <w:tc>
          <w:tcPr>
            <w:tcW w:w="11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Arial" w:cs="Arial" w:eastAsia="Arial" w:hAnsi="Arial"/>
                <w:sz w:val="22"/>
                <w:szCs w:val="22"/>
                <w:color w:val="auto"/>
                <w:w w:val="92"/>
              </w:rPr>
              <w:t>and Certificate No.</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20"/>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w:t>
      </w:r>
    </w:p>
    <w:p>
      <w:pPr>
        <w:spacing w:after="0" w:line="56"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(Legal Name of Holder)</w:t>
      </w:r>
    </w:p>
    <w:p>
      <w:pPr>
        <w:spacing w:after="0" w:line="200" w:lineRule="exact"/>
        <w:rPr>
          <w:sz w:val="20"/>
          <w:szCs w:val="20"/>
          <w:color w:val="auto"/>
        </w:rPr>
      </w:pPr>
    </w:p>
    <w:p>
      <w:pPr>
        <w:sectPr>
          <w:pgSz w:w="11900" w:h="16838" w:orient="portrait"/>
          <w:cols w:equalWidth="0" w:num="3">
            <w:col w:w="480" w:space="220"/>
            <w:col w:w="1400" w:space="420"/>
            <w:col w:w="8720"/>
          </w:cols>
          <w:pgMar w:left="320" w:top="342" w:right="339" w:bottom="1440" w:gutter="0" w:footer="0" w:header="0"/>
          <w:type w:val="continuous"/>
        </w:sect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___________________________________________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3560" w:space="100"/>
            <w:col w:w="7580"/>
          </w:cols>
          <w:pgMar w:left="320" w:top="342" w:right="339" w:bottom="1440" w:gutter="0" w:footer="0" w:header="0"/>
          <w:type w:val="continuous"/>
        </w:sectPr>
      </w:pPr>
    </w:p>
    <w:p>
      <w:pPr>
        <w:spacing w:after="0" w:line="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Guaranteed:</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_______________________________________________</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Participant in a Recognized Signature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Guarantee Medallion Program</w:t>
      </w:r>
    </w:p>
    <w:p>
      <w:pPr>
        <w:sectPr>
          <w:pgSz w:w="11900" w:h="16838" w:orient="portrait"/>
          <w:cols w:equalWidth="0" w:num="1">
            <w:col w:w="11240"/>
          </w:cols>
          <w:pgMar w:left="320" w:top="342"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ectPr>
          <w:pgSz w:w="11900" w:h="16838" w:orient="portrait"/>
          <w:cols w:equalWidth="0" w:num="2">
            <w:col w:w="3560" w:space="220"/>
            <w:col w:w="7460"/>
          </w:cols>
          <w:pgMar w:left="320" w:top="3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w:t>
      </w:r>
    </w:p>
    <w:p>
      <w:pPr>
        <w:spacing w:after="0" w:line="64" w:lineRule="exact"/>
        <w:rPr>
          <w:sz w:val="20"/>
          <w:szCs w:val="20"/>
          <w:color w:val="auto"/>
        </w:rPr>
      </w:pPr>
    </w:p>
    <w:p>
      <w:pPr>
        <w:ind w:left="120" w:hanging="112"/>
        <w:spacing w:after="0"/>
        <w:tabs>
          <w:tab w:leader="none" w:pos="120" w:val="left"/>
        </w:tabs>
        <w:numPr>
          <w:ilvl w:val="0"/>
          <w:numId w:val="134"/>
        </w:numPr>
        <w:rPr>
          <w:rFonts w:ascii="Arial" w:cs="Arial" w:eastAsia="Arial" w:hAnsi="Arial"/>
          <w:sz w:val="29"/>
          <w:szCs w:val="29"/>
          <w:color w:val="auto"/>
          <w:vertAlign w:val="superscript"/>
        </w:rPr>
      </w:pPr>
      <w:r>
        <w:rPr>
          <w:rFonts w:ascii="Arial" w:cs="Arial" w:eastAsia="Arial" w:hAnsi="Arial"/>
          <w:sz w:val="22"/>
          <w:szCs w:val="22"/>
          <w:color w:val="auto"/>
        </w:rPr>
        <w:t>Must be an Authorized Denomination.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A-7</w:t>
      </w:r>
    </w:p>
    <w:p>
      <w:pPr>
        <w:sectPr>
          <w:pgSz w:w="11900" w:h="16838" w:orient="portrait"/>
          <w:cols w:equalWidth="0" w:num="1">
            <w:col w:w="11240"/>
          </w:cols>
          <w:pgMar w:left="320" w:top="342" w:right="339" w:bottom="1440" w:gutter="0" w:footer="0" w:header="0"/>
          <w:type w:val="continuous"/>
        </w:sectPr>
      </w:pPr>
    </w:p>
    <w:bookmarkStart w:id="102" w:name="page103"/>
    <w:bookmarkEnd w:id="102"/>
    <w:p>
      <w:pPr>
        <w:jc w:val="center"/>
        <w:ind w:right="-19"/>
        <w:spacing w:after="0"/>
        <w:rPr>
          <w:sz w:val="20"/>
          <w:szCs w:val="20"/>
          <w:color w:val="auto"/>
        </w:rPr>
      </w:pPr>
      <w:r>
        <w:rPr>
          <w:rFonts w:ascii="Arial" w:cs="Arial" w:eastAsia="Arial" w:hAnsi="Arial"/>
          <w:sz w:val="22"/>
          <w:szCs w:val="22"/>
          <w:b w:val="1"/>
          <w:bCs w:val="1"/>
          <w:color w:val="auto"/>
        </w:rPr>
        <w:t>FUNDAMENTAL CHANGE REPURCHASE NOTICE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NATIONAL VISION HOLDINGS, INC.</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2.50% Convertible Senior Notes due 2025</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Subject to the terms of the Indenture, by executing and delivering this Fundamental Change Repurchase Notice, the undersigned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Holder of the Note identified below is exercising its Fundamental Change Repurchase Right with respect to (check one):</w:t>
      </w:r>
    </w:p>
    <w:p>
      <w:pPr>
        <w:spacing w:after="0" w:line="213"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entire principal amount 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440" w:type="dxa"/>
            <w:vAlign w:val="bottom"/>
          </w:tcPr>
          <w:p>
            <w:pPr>
              <w:spacing w:after="0"/>
              <w:rPr>
                <w:sz w:val="20"/>
                <w:szCs w:val="20"/>
                <w:color w:val="auto"/>
              </w:rPr>
            </w:pPr>
            <w:r>
              <w:rPr>
                <w:rFonts w:ascii="Arial" w:cs="Arial" w:eastAsia="Arial" w:hAnsi="Arial"/>
                <w:sz w:val="22"/>
                <w:szCs w:val="22"/>
                <w:color w:val="auto"/>
              </w:rPr>
              <w:t>o  $</w:t>
            </w:r>
          </w:p>
        </w:tc>
        <w:tc>
          <w:tcPr>
            <w:tcW w:w="1140" w:type="dxa"/>
            <w:vAlign w:val="bottom"/>
            <w:tcBorders>
              <w:bottom w:val="single" w:sz="8" w:color="auto"/>
            </w:tcBorders>
          </w:tcPr>
          <w:p>
            <w:pPr>
              <w:spacing w:after="0"/>
              <w:rPr>
                <w:sz w:val="24"/>
                <w:szCs w:val="24"/>
                <w:color w:val="auto"/>
              </w:rPr>
            </w:pPr>
          </w:p>
        </w:tc>
        <w:tc>
          <w:tcPr>
            <w:tcW w:w="4300" w:type="dxa"/>
            <w:vAlign w:val="bottom"/>
            <w:gridSpan w:val="3"/>
          </w:tcPr>
          <w:p>
            <w:pPr>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 xml:space="preserve"> aggregate principal amount of</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3"/>
        </w:trPr>
        <w:tc>
          <w:tcPr>
            <w:tcW w:w="2980" w:type="dxa"/>
            <w:vAlign w:val="bottom"/>
            <w:gridSpan w:val="3"/>
          </w:tcPr>
          <w:p>
            <w:pPr>
              <w:spacing w:after="0"/>
              <w:rPr>
                <w:sz w:val="20"/>
                <w:szCs w:val="20"/>
                <w:color w:val="auto"/>
              </w:rPr>
            </w:pPr>
            <w:r>
              <w:rPr>
                <w:rFonts w:ascii="Arial" w:cs="Arial" w:eastAsia="Arial" w:hAnsi="Arial"/>
                <w:sz w:val="22"/>
                <w:szCs w:val="22"/>
                <w:color w:val="auto"/>
                <w:w w:val="92"/>
              </w:rPr>
              <w:t>the Note identified by CUSIP No.</w:t>
            </w:r>
          </w:p>
        </w:tc>
        <w:tc>
          <w:tcPr>
            <w:tcW w:w="11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Arial" w:cs="Arial" w:eastAsia="Arial" w:hAnsi="Arial"/>
                <w:sz w:val="22"/>
                <w:szCs w:val="22"/>
                <w:color w:val="auto"/>
                <w:w w:val="92"/>
              </w:rPr>
              <w:t>and Certificate No.</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20"/>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undersigned acknowledges that this Note, duly endorsed for transfer, must be delivered to the Paying Agent before the Fundamental Change Repurchase Price will be paid.</w:t>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w:t>
      </w:r>
    </w:p>
    <w:p>
      <w:pPr>
        <w:spacing w:after="0" w:line="56"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(Legal Name of Holder)</w:t>
      </w:r>
    </w:p>
    <w:p>
      <w:pPr>
        <w:spacing w:after="0" w:line="200" w:lineRule="exact"/>
        <w:rPr>
          <w:sz w:val="20"/>
          <w:szCs w:val="20"/>
          <w:color w:val="auto"/>
        </w:rPr>
      </w:pPr>
    </w:p>
    <w:p>
      <w:pPr>
        <w:sectPr>
          <w:pgSz w:w="11900" w:h="16838" w:orient="portrait"/>
          <w:cols w:equalWidth="0" w:num="3">
            <w:col w:w="480" w:space="220"/>
            <w:col w:w="1400" w:space="420"/>
            <w:col w:w="8720"/>
          </w:cols>
          <w:pgMar w:left="320" w:top="342" w:right="339" w:bottom="1440" w:gutter="0" w:footer="0" w:header="0"/>
          <w:type w:val="continuous"/>
        </w:sect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___________________________________________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3560" w:space="100"/>
            <w:col w:w="7580"/>
          </w:cols>
          <w:pgMar w:left="320" w:top="342" w:right="339" w:bottom="1440" w:gutter="0" w:footer="0" w:header="0"/>
          <w:type w:val="continuous"/>
        </w:sectPr>
      </w:pPr>
    </w:p>
    <w:p>
      <w:pPr>
        <w:spacing w:after="0" w:line="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Guaranteed:</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_______________________________________________</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Participant in a Recognized Signature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Guarantee Medallion Program</w:t>
      </w:r>
    </w:p>
    <w:p>
      <w:pPr>
        <w:sectPr>
          <w:pgSz w:w="11900" w:h="16838" w:orient="portrait"/>
          <w:cols w:equalWidth="0" w:num="1">
            <w:col w:w="11240"/>
          </w:cols>
          <w:pgMar w:left="320" w:top="342"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ectPr>
          <w:pgSz w:w="11900" w:h="16838" w:orient="portrait"/>
          <w:cols w:equalWidth="0" w:num="2">
            <w:col w:w="3560" w:space="220"/>
            <w:col w:w="7460"/>
          </w:cols>
          <w:pgMar w:left="320" w:top="3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w:t>
      </w:r>
    </w:p>
    <w:p>
      <w:pPr>
        <w:spacing w:after="0" w:line="64" w:lineRule="exact"/>
        <w:rPr>
          <w:sz w:val="20"/>
          <w:szCs w:val="20"/>
          <w:color w:val="auto"/>
        </w:rPr>
      </w:pPr>
    </w:p>
    <w:p>
      <w:pPr>
        <w:ind w:left="120" w:hanging="112"/>
        <w:spacing w:after="0"/>
        <w:tabs>
          <w:tab w:leader="none" w:pos="120" w:val="left"/>
        </w:tabs>
        <w:numPr>
          <w:ilvl w:val="0"/>
          <w:numId w:val="136"/>
        </w:numPr>
        <w:rPr>
          <w:rFonts w:ascii="Arial" w:cs="Arial" w:eastAsia="Arial" w:hAnsi="Arial"/>
          <w:sz w:val="29"/>
          <w:szCs w:val="29"/>
          <w:color w:val="auto"/>
          <w:vertAlign w:val="superscript"/>
        </w:rPr>
      </w:pPr>
      <w:r>
        <w:rPr>
          <w:rFonts w:ascii="Arial" w:cs="Arial" w:eastAsia="Arial" w:hAnsi="Arial"/>
          <w:sz w:val="22"/>
          <w:szCs w:val="22"/>
          <w:color w:val="auto"/>
        </w:rPr>
        <w:t>Must be an Authorized Denomination.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A-8</w:t>
      </w:r>
    </w:p>
    <w:p>
      <w:pPr>
        <w:sectPr>
          <w:pgSz w:w="11900" w:h="16838" w:orient="portrait"/>
          <w:cols w:equalWidth="0" w:num="1">
            <w:col w:w="11240"/>
          </w:cols>
          <w:pgMar w:left="320" w:top="342" w:right="339" w:bottom="1440" w:gutter="0" w:footer="0" w:header="0"/>
          <w:type w:val="continuous"/>
        </w:sectPr>
      </w:pPr>
    </w:p>
    <w:bookmarkStart w:id="103" w:name="page104"/>
    <w:bookmarkEnd w:id="103"/>
    <w:p>
      <w:pPr>
        <w:jc w:val="center"/>
        <w:ind w:right="-1059"/>
        <w:spacing w:after="0"/>
        <w:rPr>
          <w:sz w:val="20"/>
          <w:szCs w:val="20"/>
          <w:color w:val="auto"/>
        </w:rPr>
      </w:pPr>
      <w:r>
        <w:rPr>
          <w:rFonts w:ascii="Arial" w:cs="Arial" w:eastAsia="Arial" w:hAnsi="Arial"/>
          <w:sz w:val="22"/>
          <w:szCs w:val="22"/>
          <w:b w:val="1"/>
          <w:bCs w:val="1"/>
          <w:color w:val="auto"/>
        </w:rPr>
        <w:t>ASSIGNMENT FORM</w:t>
      </w:r>
    </w:p>
    <w:p>
      <w:pPr>
        <w:spacing w:after="0" w:line="266"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NATIONAL VISION HOLDINGS, INC.</w:t>
      </w:r>
    </w:p>
    <w:p>
      <w:pPr>
        <w:spacing w:after="0" w:line="260"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2.50% Convertible Senior Notes due 2025</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Subject to the terms of the Indenture, the undersigned Holder of the within Note assigns to:</w:t>
      </w:r>
    </w:p>
    <w:p>
      <w:pPr>
        <w:sectPr>
          <w:pgSz w:w="11900" w:h="16838" w:orient="portrait"/>
          <w:cols w:equalWidth="0" w:num="1">
            <w:col w:w="10200"/>
          </w:cols>
          <w:pgMar w:left="320" w:top="342" w:right="137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w:t>
      </w:r>
    </w:p>
    <w:p>
      <w:pPr>
        <w:spacing w:after="0" w:line="200" w:lineRule="exact"/>
        <w:rPr>
          <w:sz w:val="20"/>
          <w:szCs w:val="20"/>
          <w:color w:val="auto"/>
        </w:rPr>
      </w:pPr>
    </w:p>
    <w:p>
      <w:pPr>
        <w:sectPr>
          <w:pgSz w:w="11900" w:h="16838" w:orient="portrait"/>
          <w:cols w:equalWidth="0" w:num="2">
            <w:col w:w="1240" w:space="720"/>
            <w:col w:w="8240"/>
          </w:cols>
          <w:pgMar w:left="320" w:top="342" w:right="1379" w:bottom="1440" w:gutter="0" w:footer="0" w:header="0"/>
          <w:type w:val="continuous"/>
        </w:sectPr>
      </w:pPr>
    </w:p>
    <w:p>
      <w:pPr>
        <w:spacing w:after="0" w:line="7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Social security or tax identification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w:t>
      </w:r>
    </w:p>
    <w:p>
      <w:pPr>
        <w:spacing w:after="0" w:line="320" w:lineRule="exact"/>
        <w:rPr>
          <w:sz w:val="20"/>
          <w:szCs w:val="20"/>
          <w:color w:val="auto"/>
        </w:rPr>
      </w:pPr>
    </w:p>
    <w:p>
      <w:pPr>
        <w:sectPr>
          <w:pgSz w:w="11900" w:h="16838" w:orient="portrait"/>
          <w:cols w:equalWidth="0" w:num="2">
            <w:col w:w="1520" w:space="440"/>
            <w:col w:w="8240"/>
          </w:cols>
          <w:pgMar w:left="320" w:top="342" w:right="137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the within Note and all rights thereunder and irrevocably appoints: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as agent to transfer the within Note on the books of the Company. The agent may substitute another to act for him/her.</w:t>
      </w:r>
    </w:p>
    <w:p>
      <w:pPr>
        <w:sectPr>
          <w:pgSz w:w="11900" w:h="16838" w:orient="portrait"/>
          <w:cols w:equalWidth="0" w:num="1">
            <w:col w:w="10200"/>
          </w:cols>
          <w:pgMar w:left="320" w:top="342" w:right="1379" w:bottom="1440" w:gutter="0" w:footer="0" w:header="0"/>
          <w:type w:val="continuous"/>
        </w:sect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_____________</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w:t>
      </w:r>
    </w:p>
    <w:p>
      <w:pPr>
        <w:spacing w:after="0" w:line="56"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(Legal Name of Holder)</w:t>
      </w:r>
    </w:p>
    <w:p>
      <w:pPr>
        <w:spacing w:after="0" w:line="200" w:lineRule="exact"/>
        <w:rPr>
          <w:sz w:val="20"/>
          <w:szCs w:val="20"/>
          <w:color w:val="auto"/>
        </w:rPr>
      </w:pPr>
    </w:p>
    <w:p>
      <w:pPr>
        <w:sectPr>
          <w:pgSz w:w="11900" w:h="16838" w:orient="portrait"/>
          <w:cols w:equalWidth="0" w:num="3">
            <w:col w:w="480" w:space="220"/>
            <w:col w:w="1400" w:space="420"/>
            <w:col w:w="7680"/>
          </w:cols>
          <w:pgMar w:left="320" w:top="342" w:right="1379" w:bottom="1440" w:gutter="0" w:footer="0" w:header="0"/>
          <w:type w:val="continuous"/>
        </w:sect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___________________________________________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3560" w:space="100"/>
            <w:col w:w="6540"/>
          </w:cols>
          <w:pgMar w:left="320" w:top="342" w:right="1379" w:bottom="1440" w:gutter="0" w:footer="0" w:header="0"/>
          <w:type w:val="continuous"/>
        </w:sectPr>
      </w:pPr>
    </w:p>
    <w:p>
      <w:pPr>
        <w:spacing w:after="0" w:line="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Guaranteed:</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________________________________________________</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Participant in a Recognized Signature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Guarantee Medallion Program</w:t>
      </w:r>
    </w:p>
    <w:p>
      <w:pPr>
        <w:sectPr>
          <w:pgSz w:w="11900" w:h="16838" w:orient="portrait"/>
          <w:cols w:equalWidth="0" w:num="1">
            <w:col w:w="10200"/>
          </w:cols>
          <w:pgMar w:left="320" w:top="342" w:right="137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ectPr>
          <w:pgSz w:w="11900" w:h="16838" w:orient="portrait"/>
          <w:cols w:equalWidth="0" w:num="2">
            <w:col w:w="3560" w:space="220"/>
            <w:col w:w="6420"/>
          </w:cols>
          <w:pgMar w:left="320" w:top="342" w:right="1379" w:bottom="1440" w:gutter="0" w:footer="0" w:header="0"/>
          <w:type w:val="continuous"/>
        </w:sectPr>
      </w:pPr>
    </w:p>
    <w:p>
      <w:pPr>
        <w:spacing w:after="0" w:line="25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A-9</w:t>
      </w:r>
    </w:p>
    <w:p>
      <w:pPr>
        <w:sectPr>
          <w:pgSz w:w="11900" w:h="16838" w:orient="portrait"/>
          <w:cols w:equalWidth="0" w:num="1">
            <w:col w:w="10200"/>
          </w:cols>
          <w:pgMar w:left="320" w:top="342" w:right="137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22"/>
          <w:szCs w:val="22"/>
          <w:color w:val="auto"/>
        </w:rPr>
        <w:t>TRANSFEROR ACKNOWLEDGEMENT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If the within Note bears a Restricted Note Legend, the undersigned further certifies that (check one):</w:t>
      </w:r>
    </w:p>
    <w:p>
      <w:pPr>
        <w:spacing w:after="0" w:line="220"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o  Such Transfer is being made to the Company or a Subsidiary of the Company.</w:t>
      </w:r>
    </w:p>
    <w:p>
      <w:pPr>
        <w:spacing w:after="0" w:line="260" w:lineRule="exact"/>
        <w:rPr>
          <w:rFonts w:ascii="Arial" w:cs="Arial" w:eastAsia="Arial" w:hAnsi="Arial"/>
          <w:sz w:val="22"/>
          <w:szCs w:val="22"/>
          <w:color w:val="auto"/>
        </w:rPr>
      </w:pPr>
    </w:p>
    <w:p>
      <w:pPr>
        <w:ind w:left="660" w:hanging="652"/>
        <w:spacing w:after="0" w:line="263" w:lineRule="auto"/>
        <w:tabs>
          <w:tab w:leader="none" w:pos="33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o Such Transfer is being made pursuant to, and in accordance with, a registration statement that is effective under the Securities Act at the time of the Transfer.</w:t>
      </w:r>
    </w:p>
    <w:p>
      <w:pPr>
        <w:spacing w:after="0" w:line="215" w:lineRule="exact"/>
        <w:rPr>
          <w:rFonts w:ascii="Arial" w:cs="Arial" w:eastAsia="Arial" w:hAnsi="Arial"/>
          <w:sz w:val="22"/>
          <w:szCs w:val="22"/>
          <w:color w:val="auto"/>
        </w:rPr>
      </w:pPr>
    </w:p>
    <w:p>
      <w:pPr>
        <w:ind w:left="660" w:hanging="652"/>
        <w:spacing w:after="0" w:line="294" w:lineRule="auto"/>
        <w:tabs>
          <w:tab w:leader="none" w:pos="33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o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 </w:t>
      </w:r>
      <w:r>
        <w:rPr>
          <w:rFonts w:ascii="Arial" w:cs="Arial" w:eastAsia="Arial" w:hAnsi="Arial"/>
          <w:sz w:val="19"/>
          <w:szCs w:val="19"/>
          <w:b w:val="1"/>
          <w:bCs w:val="1"/>
          <w:color w:val="auto"/>
        </w:rPr>
        <w:t>If this item is</w:t>
      </w:r>
      <w:r>
        <w:rPr>
          <w:rFonts w:ascii="Arial" w:cs="Arial" w:eastAsia="Arial" w:hAnsi="Arial"/>
          <w:sz w:val="19"/>
          <w:szCs w:val="19"/>
          <w:color w:val="auto"/>
        </w:rPr>
        <w:t xml:space="preserve"> </w:t>
      </w:r>
      <w:r>
        <w:rPr>
          <w:rFonts w:ascii="Arial" w:cs="Arial" w:eastAsia="Arial" w:hAnsi="Arial"/>
          <w:sz w:val="19"/>
          <w:szCs w:val="19"/>
          <w:b w:val="1"/>
          <w:bCs w:val="1"/>
          <w:color w:val="auto"/>
        </w:rPr>
        <w:t>checked, then the transferee must complete and execute the acknowledgment contained on the next page</w:t>
      </w:r>
      <w:r>
        <w:rPr>
          <w:rFonts w:ascii="Arial" w:cs="Arial" w:eastAsia="Arial" w:hAnsi="Arial"/>
          <w:sz w:val="19"/>
          <w:szCs w:val="19"/>
          <w:color w:val="auto"/>
        </w:rPr>
        <w:t>.</w:t>
      </w:r>
    </w:p>
    <w:p>
      <w:pPr>
        <w:spacing w:after="0" w:line="189" w:lineRule="exact"/>
        <w:rPr>
          <w:rFonts w:ascii="Arial" w:cs="Arial" w:eastAsia="Arial" w:hAnsi="Arial"/>
          <w:sz w:val="19"/>
          <w:szCs w:val="19"/>
          <w:color w:val="auto"/>
        </w:rPr>
      </w:pPr>
    </w:p>
    <w:p>
      <w:pPr>
        <w:ind w:left="660" w:hanging="652"/>
        <w:spacing w:after="0" w:line="343" w:lineRule="auto"/>
        <w:tabs>
          <w:tab w:leader="none" w:pos="33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o Such Transfer is being made pursuant to, and in accordance with, any other available exemption from the registration requirements of the Securities Act (including, if available, the exemption provided by Rule 144 under the Securities Act).</w:t>
      </w:r>
    </w:p>
    <w:p>
      <w:pPr>
        <w:spacing w:after="0" w:line="145"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19"/>
          <w:szCs w:val="19"/>
          <w:color w:val="auto"/>
        </w:rPr>
        <w:t>___________________________</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(Legal Name of Holder)</w:t>
      </w:r>
    </w:p>
    <w:p>
      <w:pPr>
        <w:spacing w:after="0" w:line="200" w:lineRule="exact"/>
        <w:rPr>
          <w:sz w:val="20"/>
          <w:szCs w:val="20"/>
          <w:color w:val="auto"/>
        </w:rPr>
      </w:pP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(Participant in a Recognized Signature</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Guarantee Medallion Program)</w:t>
      </w:r>
    </w:p>
    <w:p>
      <w:pPr>
        <w:spacing w:after="0" w:line="200" w:lineRule="exact"/>
        <w:rPr>
          <w:sz w:val="20"/>
          <w:szCs w:val="20"/>
          <w:color w:val="auto"/>
        </w:rPr>
      </w:pP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Authorized Signatory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240"/>
          </w:cols>
          <w:pgMar w:left="320" w:top="34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color w:val="auto"/>
        </w:rPr>
        <w:t>TRANSFEREE ACKNOWLEDGEMENT</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spacing w:after="0" w:line="19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19"/>
          <w:szCs w:val="19"/>
          <w:color w:val="auto"/>
        </w:rPr>
        <w:t>_____________________________</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(Name of Transferee)</w:t>
      </w:r>
    </w:p>
    <w:p>
      <w:pPr>
        <w:spacing w:after="0" w:line="200" w:lineRule="exact"/>
        <w:rPr>
          <w:sz w:val="20"/>
          <w:szCs w:val="20"/>
          <w:color w:val="auto"/>
        </w:rPr>
      </w:pP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240"/>
          </w:cols>
          <w:pgMar w:left="320" w:top="34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B-1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RESTRICTED NOTE LEGEND</w:t>
      </w:r>
    </w:p>
    <w:p>
      <w:pPr>
        <w:spacing w:after="0" w:line="26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SECURITY AND THE COMMON STOCK, IF ANY, ISSUABLE UPON CONVERSION OF THIS SECURITY HAVE NOT BEEN REGISTERED UNDER THE SECURITIES ACT OF 1933, AS AMENDED (THE “SECURITIES ACT”), AND MAY NOT BE RESOLD OR OTHERWISE TRANSFERRED EXCEPT IN ACCORDANCE WITH THE FOLLOWING SENTENCE. BY ITS ACQUISITION HEREOF OR OF A BENEFICIAL INTEREST HEREIN, THE ACQUIRER:</w:t>
      </w:r>
    </w:p>
    <w:p>
      <w:pPr>
        <w:spacing w:after="0" w:line="175" w:lineRule="exact"/>
        <w:rPr>
          <w:sz w:val="20"/>
          <w:szCs w:val="20"/>
          <w:color w:val="auto"/>
        </w:rPr>
      </w:pPr>
    </w:p>
    <w:p>
      <w:pPr>
        <w:jc w:val="both"/>
        <w:ind w:left="660" w:hanging="652"/>
        <w:spacing w:after="0" w:line="271" w:lineRule="auto"/>
        <w:tabs>
          <w:tab w:leader="none" w:pos="66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207" w:lineRule="exact"/>
        <w:rPr>
          <w:rFonts w:ascii="Arial" w:cs="Arial" w:eastAsia="Arial" w:hAnsi="Arial"/>
          <w:sz w:val="21"/>
          <w:szCs w:val="21"/>
          <w:color w:val="auto"/>
        </w:rPr>
      </w:pPr>
    </w:p>
    <w:p>
      <w:pPr>
        <w:jc w:val="both"/>
        <w:ind w:left="660" w:hanging="652"/>
        <w:spacing w:after="0" w:line="246" w:lineRule="auto"/>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AGREES FOR THE BENEFIT OF NATIONAL VISION HOLDINGS, INC. (THE “COMPANY”) THAT IT WILL NOT RESELL OR OTHERWISE TRANSFER THIS SECURITY AND THE COMMON STOCK, IF ANY, ISSUABLE UPON CONVERSION OF THIS SECURITY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96" w:lineRule="exact"/>
        <w:rPr>
          <w:rFonts w:ascii="Arial" w:cs="Arial" w:eastAsia="Arial" w:hAnsi="Arial"/>
          <w:sz w:val="22"/>
          <w:szCs w:val="22"/>
          <w:color w:val="auto"/>
        </w:rPr>
      </w:pPr>
    </w:p>
    <w:p>
      <w:pPr>
        <w:ind w:left="1300" w:hanging="644"/>
        <w:spacing w:after="0"/>
        <w:tabs>
          <w:tab w:leader="none" w:pos="130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TO THE COMPANY OR ANY SUBSIDIARY THEREOF;</w:t>
      </w:r>
    </w:p>
    <w:p>
      <w:pPr>
        <w:spacing w:after="0" w:line="111"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PURSUANT TO A REGISTRATION STATEMENT WHICH HAS BECOME EFFECTIVE UNDER THE SECURITIES ACT;</w:t>
      </w:r>
    </w:p>
    <w:p>
      <w:pPr>
        <w:spacing w:after="0" w:line="66"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TO A PERSON REASONABLY BELIEVED TO BE A QUALIFIED INSTITUTIONAL BUYER IN COMPLIANCE WITH RULE 144A UNDER THE SECURITIES ACT; OR</w:t>
      </w:r>
    </w:p>
    <w:p>
      <w:pPr>
        <w:spacing w:after="0" w:line="66"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PURSUANT TO AN EXEMPTION FROM REGISTRATION PROVIDED BY RULE 144 UNDER THE SECURITIES ACT; OR ANY OTHER AVAILABLE EXEMPTION FROM THE REGISTRATION REQUIREMENTS OF THE SECURITIES ACT.</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B1-1</w:t>
      </w:r>
    </w:p>
    <w:p>
      <w:pPr>
        <w:sectPr>
          <w:pgSz w:w="11900" w:h="16838" w:orient="portrait"/>
          <w:cols w:equalWidth="0" w:num="1">
            <w:col w:w="11240"/>
          </w:cols>
          <w:pgMar w:left="320" w:top="342" w:right="33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REQUIREMENTS OF THE SECURITIES ACT.</w:t>
      </w:r>
      <w:r>
        <w:rPr>
          <w:rFonts w:ascii="Arial" w:cs="Arial" w:eastAsia="Arial" w:hAnsi="Arial"/>
          <w:sz w:val="28"/>
          <w:szCs w:val="28"/>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firstLine="8"/>
        <w:spacing w:after="0" w:line="227" w:lineRule="auto"/>
        <w:tabs>
          <w:tab w:leader="none" w:pos="94" w:val="left"/>
        </w:tabs>
        <w:numPr>
          <w:ilvl w:val="0"/>
          <w:numId w:val="139"/>
        </w:numPr>
        <w:rPr>
          <w:rFonts w:ascii="Arial" w:cs="Arial" w:eastAsia="Arial" w:hAnsi="Arial"/>
          <w:sz w:val="24"/>
          <w:szCs w:val="24"/>
          <w:color w:val="auto"/>
          <w:vertAlign w:val="superscript"/>
        </w:rPr>
      </w:pPr>
      <w:r>
        <w:rPr>
          <w:rFonts w:ascii="Arial" w:cs="Arial" w:eastAsia="Arial" w:hAnsi="Arial"/>
          <w:sz w:val="17"/>
          <w:szCs w:val="17"/>
          <w:color w:val="auto"/>
        </w:rPr>
        <w:t>This paragraph and the immediately preceding paragraph will be deemed to be removed from the face of this Note at such time when the Company delivers written notice to the Trustee of such deemed removal pursuant to Section 2.12 of the within-mentioned Indenture.</w:t>
      </w:r>
    </w:p>
    <w:p>
      <w:pPr>
        <w:spacing w:after="0" w:line="200" w:lineRule="exact"/>
        <w:rPr>
          <w:sz w:val="20"/>
          <w:szCs w:val="20"/>
          <w:color w:val="auto"/>
        </w:rPr>
      </w:pPr>
    </w:p>
    <w:p>
      <w:pPr>
        <w:spacing w:after="0" w:line="22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B1-2</w:t>
      </w:r>
    </w:p>
    <w:p>
      <w:pPr>
        <w:sectPr>
          <w:pgSz w:w="11900" w:h="16838" w:orient="portrait"/>
          <w:cols w:equalWidth="0" w:num="1">
            <w:col w:w="10700"/>
          </w:cols>
          <w:pgMar w:left="320" w:top="337" w:right="87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B-2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GLOBAL NOTE LEGEND</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22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DTC), ANY TRANSFER, PLEDGE OR OTHER USE HEREOF FOR VALUE OR OTHERWISE BY OR TO ANY PERSON IS WRONGFUL SINCE THE REGISTERED OWNER HEREOF, CEDE &amp; CO., HAS AN INTEREST HEREIN.</w:t>
      </w:r>
    </w:p>
    <w:p>
      <w:pPr>
        <w:spacing w:after="0" w:line="23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B2-1</w:t>
      </w:r>
    </w:p>
    <w:p>
      <w:pPr>
        <w:sectPr>
          <w:pgSz w:w="11900" w:h="16838" w:orient="portrait"/>
          <w:cols w:equalWidth="0" w:num="1">
            <w:col w:w="11240"/>
          </w:cols>
          <w:pgMar w:left="320" w:top="342"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B-3</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NON-AFFILIATE LEGEND</w:t>
      </w: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NO AFFILIATE (AS DEFINED IN RULE 144 UNDER THE SECURITIES ACT OF 1933, AS AMENDED) OF THE COMPANY MAY PURCHASE OR OTHERWISE ACQUIRE THIS NOTE OR ANY BENEFICIAL INTEREST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B3-1</w:t>
      </w:r>
    </w:p>
    <w:p>
      <w:pPr>
        <w:sectPr>
          <w:pgSz w:w="11900" w:h="16838" w:orient="portrait"/>
          <w:cols w:equalWidth="0" w:num="1">
            <w:col w:w="11240"/>
          </w:cols>
          <w:pgMar w:left="320" w:top="342" w:right="339" w:bottom="1440" w:gutter="0" w:footer="0" w:header="0"/>
        </w:sectPr>
      </w:pPr>
    </w:p>
    <w:bookmarkStart w:id="110" w:name="page111"/>
    <w:bookmarkEnd w:id="110"/>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474470" cy="1139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National Vision Holdings, Inc. Announces Proposed Private Offering of $350 Million Aggregate Principal Amount of Convertible Senior Notes due 2025</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Duluth, Ga. (May 7, 2020) </w:t>
      </w:r>
      <w:r>
        <w:rPr>
          <w:rFonts w:ascii="Arial" w:cs="Arial" w:eastAsia="Arial" w:hAnsi="Arial"/>
          <w:sz w:val="17"/>
          <w:szCs w:val="17"/>
          <w:color w:val="auto"/>
        </w:rPr>
        <w:t>- National Vision Holdings, Inc. (NASDAQ: EYE) (the “Company”) today announced that it intends to offer, subject to market</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conditions, $350.0 million aggregate principal amount of Convertible Senior Notes due 2025 (the “Notes”), to be sold only to persons reasonably believed to be qualified institutional buyers pursuant to Rule 144A under the Securities Act of 1933, as amended (the “Securities Act”). The Company also expects to grant to the initial purchasers of the Notes an option to purchase up to an additional $52.5 million aggregate principal amount of the Notes during a 13-day period beginning on, and including, the first date on which the Notes are issued.</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will be the Company’s senior unsecured obligations. The Notes will mature on May 15, 2025, unless earlier converted, redeemed or repurchased.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satisfy its conversion obligation by paying or delivering, at its election, cash, shares of its common stock or a combination of cash and shares of its common stock, as applicable. The maturity date, interest rate, the initial conversion rate and the other terms of Notes will be determined by negotiations between the Company and the initial purchasers of the Notes.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to use the net proceeds of this offering to repay $75.0 million of outstanding term loans and $264.5 million of the outstanding revolving loans under its credit facilities. If the option granted to the initial purchasers to purchase additional Notes is exercised, the Company intends to use the net proceeds from the sale of such additional Notes to repay up to the remaining $29.8 million of the outstanding revolving loans under the credit facilities and any remainder for general corporate purposes.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Notes will be offered and sold only to persons reasonably believed to be qualified institutional buyers pursuant to Rule 144A under the Securities Act. The Notes and any shares of the Company’s common stock issuable upon conversion of the Notes have not been registered under the Securities Act, or any state securities law, and the Notes and such shares may not be offered or sold in the United States or to any U.S. persons absent registration under, or pursuant to an exemption from, or in a transaction not subject to, the Securities Act and applicable state securities laws.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or any shares of the Company’s common stock issuable upon conversion of the Notes, nor shall there be any offer, solicitation or sale of any Notes or any shares of the Company’s common stock issuable upon conversion of the Notes in any jurisdiction in which such offer, solicitation or sale would be unlawful.</w:t>
      </w:r>
    </w:p>
    <w:p>
      <w:pPr>
        <w:sectPr>
          <w:pgSz w:w="11900" w:h="16838" w:orient="portrait"/>
          <w:cols w:equalWidth="0" w:num="1">
            <w:col w:w="11240"/>
          </w:cols>
          <w:pgMar w:left="320" w:top="553"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within the meaning of Section 27A of the Securities Act and Section 21E of the Securities Exchange Act of 1934. These statements include, but are not limited to, statements related to the Company’s current beliefs and expectations regarding the performance of its industry, the Company's strategic direction, market position, prospects and future results. You can identify these forward-looking statements by the use of words such as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The Company undertakes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Additional information about the factors that could cause the Company’s results to differ materially from those described in the forward-looking statements can be found in its filings with the SEC, including its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release and in the Company’s filings with the SEC.</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Kristina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Kristina.gross@nationalvision.com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448-2355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Mann,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448-2448</w:t>
      </w:r>
    </w:p>
    <w:p>
      <w:pPr>
        <w:sectPr>
          <w:pgSz w:w="11900" w:h="16838" w:orient="portrait"/>
          <w:cols w:equalWidth="0" w:num="1">
            <w:col w:w="11240"/>
          </w:cols>
          <w:pgMar w:left="320" w:top="66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74470" cy="1139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National Vision Holdings, Inc. Announces Pricing of Private Offering of $350 Million Aggregate Principal Amount of 2.50% Convertible Senior Notes due 2025</w:t>
      </w:r>
    </w:p>
    <w:p>
      <w:pPr>
        <w:spacing w:after="0" w:line="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Duluth, Ga. (May 7, 2020) </w:t>
      </w:r>
      <w:r>
        <w:rPr>
          <w:rFonts w:ascii="Arial" w:cs="Arial" w:eastAsia="Arial" w:hAnsi="Arial"/>
          <w:sz w:val="18"/>
          <w:szCs w:val="18"/>
          <w:color w:val="auto"/>
        </w:rPr>
        <w:t>- National Vision Holdings, Inc. (NASDAQ: EYE) (the “Company”) today announced the pricing of a private offering of</w:t>
      </w:r>
      <w:r>
        <w:rPr>
          <w:rFonts w:ascii="Arial" w:cs="Arial" w:eastAsia="Arial" w:hAnsi="Arial"/>
          <w:sz w:val="18"/>
          <w:szCs w:val="18"/>
          <w:b w:val="1"/>
          <w:bCs w:val="1"/>
          <w:color w:val="auto"/>
        </w:rPr>
        <w:t xml:space="preserve"> </w:t>
      </w:r>
      <w:r>
        <w:rPr>
          <w:rFonts w:ascii="Arial" w:cs="Arial" w:eastAsia="Arial" w:hAnsi="Arial"/>
          <w:sz w:val="18"/>
          <w:szCs w:val="18"/>
          <w:color w:val="auto"/>
        </w:rPr>
        <w:t>$350.0 million aggregate principal amount of 2.50% Convertible Senior Notes due 2025 (the “Notes”), to be sold only to persons reasonably believed to be qualified institutional buyers pursuant to Rule 144A under the Securities Act of 1933, as amended (the “Securities Act”). The Company has also granted to the initial purchasers of the Notes an option to purchase up to an additional $52.5 million aggregate principal amount of the Notes during a 13-day period beginning on, and including, the first date on which the Notes are issued. The offering is expected to close on May 12, 2020, subject to customary closing conditions.</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Notes will pay interest semi-annually in cash on May 15 and November 15 at a rate of 2.50% per year, commencing on November 15, 2020. The Notes will mature on May 15, 2025, unless earlier converted, redeemed or repurchased. In addition, the Company will have the option to redeem the Notes at any time on or after May 22, 2023 and on or before the 40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scheduled trading day immediately before the maturity date, at a cash redemption price equal to the principal amount of the Notes to be redeemed, plus accrued and unpaid interest, if any, if the last reported sale price per share of the Company’s common stock exceeds 130% of the conversion price on (1) each of at least 20 trading days (whether or not consecutive) during the 30 consecutive trading day period ending on, and including, the trading day immediately before the date the Company sends the related redemption notice; and (2) the trading day immediately before the date the Company sends such notice.</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February 15, 2025, the Notes will be convertible only upon the occurrence of certain events and during certain periods and, thereafter, at any time until the second scheduled trading day immediately before the maturity date of the Notes. The Notes will be convertible based on an initial conversion rate of 32.0783 shares of the Company’s common stock per $1,000 principal amount of the Notes, which is equivalent to an initial conversion price of approximately $31.17 (which represents an approximately 27.5% conversion premium to the last reported sale price of $24.45 per share of the Company’s common stock on the Nasdaq Global Select Market on May 7, 2020). In addition, following certain corporate transactions that occur prior to maturity or following a notice of redemption, the Company will, in certain circumstances, increase the conversion rate for a specified period of time. Upon conversion, the Company will satisfy its conversion obligation by paying or delivering, at its election, cash, shares of its common stock or a combination of cash and shares of its common stock, as applicable.</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that the net proceeds from the offering of Notes will be approximately $339.5 million (or $390.6 million if the initial purchasers of the Notes exercise their option to purchase additional Notes in full), after deducting the initial purchasers’ discount and the estimated offering expenses payable by the Company. The Company expects to use the net proceeds of this offering to repay $75.0 million of outstanding term loans and $264.5 million of the outstanding revolving loans under its credit facilities. If the option granted to the initial purchasers to purchase additional Notes is exercised, the Company intends to use the net proceeds from the sale of such additional Notes to repay up to the remaining $29.8 million of the outstanding revolving loans under the credit facilities and any remainder for general corporate purposes.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Notes will be offered and sold only to persons reasonably believed to be qualified institutional buyers pursuant to Rule 144A under the Securities Act. The Notes and any shares of the Company’s common stock issuable upon conversion of the Notes have not been registered under the Securities Act, or any state securities law, and the Notes and such shares may not be offered or sold in the United States or to any U.S. persons absent registration under, or pursuant to an exemption from, or in a transaction not subject to, the Securities Act and applicable state securities laws.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or any shares of the Company’s common stock issuable upon conversion of the Notes, nor shall there be any offer, solicitation or sale of any Notes or any shares of the Company’s common stock issuable upon conversion of the Notes in any jurisdiction in which such offer, solicitation or sale would be unlawful.</w:t>
      </w:r>
    </w:p>
    <w:p>
      <w:pPr>
        <w:sectPr>
          <w:pgSz w:w="11900" w:h="16838" w:orient="portrait"/>
          <w:cols w:equalWidth="0" w:num="1">
            <w:col w:w="11240"/>
          </w:cols>
          <w:pgMar w:left="320" w:top="553"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within the meaning of Section 27A of the Securities Act and Section 21E of the Securities Exchange Act of 1934. These statements include, but are not limited to, statements related to the Company’s current beliefs and expectations regarding the performance of its industry, the Company's strategic direction, market position, prospects and future results. You can identify these forward-looking statements by the use of words such as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The Company undertakes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Additional information about the factors that could cause the Company’s results to differ materially from those described in the forward-looking statements can be found in its filings with the SEC, including its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release and in the Company’s filings with the SEC.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Kristina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Kristina.gross@nationalvision.com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448-2355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Mann,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448-2448</w:t>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1)"/>
      <w:numFmt w:val="lowerRoman"/>
      <w:start w:val="1"/>
    </w:lvl>
  </w:abstractNum>
  <w:abstractNum w:abstractNumId="2">
    <w:nsid w:val="799D0247"/>
    <w:multiLevelType w:val="hybridMultilevel"/>
    <w:lvl w:ilvl="0">
      <w:lvlJc w:val="left"/>
      <w:lvlText w:val="(%1)"/>
      <w:numFmt w:val="lowerLetter"/>
      <w:start w:val="4"/>
    </w:lvl>
  </w:abstractNum>
  <w:abstractNum w:abstractNumId="3">
    <w:nsid w:val="6B94764"/>
    <w:multiLevelType w:val="hybridMultilevel"/>
    <w:lvl w:ilvl="0">
      <w:lvlJc w:val="left"/>
      <w:lvlText w:val="(%1)"/>
      <w:numFmt w:val="upperLetter"/>
      <w:start w:val="1"/>
    </w:lvl>
  </w:abstractNum>
  <w:abstractNum w:abstractNumId="4">
    <w:nsid w:val="42C296BD"/>
    <w:multiLevelType w:val="hybridMultilevel"/>
    <w:lvl w:ilvl="0">
      <w:lvlJc w:val="left"/>
      <w:lvlText w:val="(%1)"/>
      <w:numFmt w:val="upperLetter"/>
      <w:start w:val="3"/>
    </w:lvl>
  </w:abstractNum>
  <w:abstractNum w:abstractNumId="5">
    <w:nsid w:val="168E121F"/>
    <w:multiLevelType w:val="hybridMultilevel"/>
    <w:lvl w:ilvl="0">
      <w:lvlJc w:val="left"/>
      <w:lvlText w:val="(%1)"/>
      <w:numFmt w:val="upperLetter"/>
      <w:start w:val="2"/>
    </w:lvl>
  </w:abstractNum>
  <w:abstractNum w:abstractNumId="6">
    <w:nsid w:val="1EBA5D23"/>
    <w:multiLevelType w:val="hybridMultilevel"/>
    <w:lvl w:ilvl="0">
      <w:lvlJc w:val="left"/>
      <w:lvlText w:val="(%1)"/>
      <w:numFmt w:val="upperLetter"/>
      <w:start w:val="1"/>
    </w:lvl>
  </w:abstractNum>
  <w:abstractNum w:abstractNumId="7">
    <w:nsid w:val="661E3F1E"/>
    <w:multiLevelType w:val="hybridMultilevel"/>
    <w:lvl w:ilvl="0">
      <w:lvlJc w:val="left"/>
      <w:lvlText w:val="(%1)"/>
      <w:numFmt w:val="upperLetter"/>
      <w:start w:val="1"/>
    </w:lvl>
  </w:abstractNum>
  <w:abstractNum w:abstractNumId="8">
    <w:nsid w:val="5DC79EA8"/>
    <w:multiLevelType w:val="hybridMultilevel"/>
    <w:lvl w:ilvl="0">
      <w:lvlJc w:val="left"/>
      <w:lvlText w:val="(%1)"/>
      <w:numFmt w:val="upperLetter"/>
      <w:start w:val="1"/>
    </w:lvl>
  </w:abstractNum>
  <w:abstractNum w:abstractNumId="9">
    <w:nsid w:val="540A471C"/>
    <w:multiLevelType w:val="hybridMultilevel"/>
    <w:lvl w:ilvl="0">
      <w:lvlJc w:val="left"/>
      <w:lvlText w:val="(%1)"/>
      <w:numFmt w:val="upperLetter"/>
      <w:start w:val="10"/>
    </w:lvl>
  </w:abstractNum>
  <w:abstractNum w:abstractNumId="10">
    <w:nsid w:val="7BD3EE7B"/>
    <w:multiLevelType w:val="hybridMultilevel"/>
    <w:lvl w:ilvl="0">
      <w:lvlJc w:val="left"/>
      <w:lvlText w:val="(%1)"/>
      <w:numFmt w:val="upperLetter"/>
      <w:start w:val="1"/>
    </w:lvl>
    <w:lvl w:ilvl="1">
      <w:lvlJc w:val="left"/>
      <w:lvlText w:val="(%2)"/>
      <w:numFmt w:val="lowerRoman"/>
      <w:start w:val="1"/>
    </w:lvl>
  </w:abstractNum>
  <w:abstractNum w:abstractNumId="11">
    <w:nsid w:val="51D9C564"/>
    <w:multiLevelType w:val="hybridMultilevel"/>
    <w:lvl w:ilvl="0">
      <w:lvlJc w:val="left"/>
      <w:lvlText w:val="(%1)"/>
      <w:numFmt w:val="lowerRoman"/>
      <w:start w:val="3"/>
    </w:lvl>
  </w:abstractNum>
  <w:abstractNum w:abstractNumId="12">
    <w:nsid w:val="613EFDC5"/>
    <w:multiLevelType w:val="hybridMultilevel"/>
    <w:lvl w:ilvl="0">
      <w:lvlJc w:val="left"/>
      <w:lvlText w:val="(%1)"/>
      <w:numFmt w:val="upperLetter"/>
      <w:start w:val="1"/>
    </w:lvl>
  </w:abstractNum>
  <w:abstractNum w:abstractNumId="13">
    <w:nsid w:val="BF72B14"/>
    <w:multiLevelType w:val="hybridMultilevel"/>
    <w:lvl w:ilvl="0">
      <w:lvlJc w:val="left"/>
      <w:lvlText w:val="(%1)"/>
      <w:numFmt w:val="upperLetter"/>
      <w:start w:val="1"/>
    </w:lvl>
  </w:abstractNum>
  <w:abstractNum w:abstractNumId="14">
    <w:nsid w:val="11447B73"/>
    <w:multiLevelType w:val="hybridMultilevel"/>
    <w:lvl w:ilvl="0">
      <w:lvlJc w:val="left"/>
      <w:lvlText w:val="(%1)"/>
      <w:numFmt w:val="lowerLetter"/>
      <w:start w:val="24"/>
    </w:lvl>
  </w:abstractNum>
  <w:abstractNum w:abstractNumId="15">
    <w:nsid w:val="42963E5A"/>
    <w:multiLevelType w:val="hybridMultilevel"/>
    <w:lvl w:ilvl="0">
      <w:lvlJc w:val="left"/>
      <w:lvlText w:val="(%1)"/>
      <w:numFmt w:val="upperLetter"/>
      <w:start w:val="1"/>
    </w:lvl>
  </w:abstractNum>
  <w:abstractNum w:abstractNumId="16">
    <w:nsid w:val="A0382C5"/>
    <w:multiLevelType w:val="hybridMultilevel"/>
    <w:lvl w:ilvl="0">
      <w:lvlJc w:val="left"/>
      <w:lvlText w:val="(%1)"/>
      <w:numFmt w:val="upperLetter"/>
      <w:start w:val="3"/>
    </w:lvl>
  </w:abstractNum>
  <w:abstractNum w:abstractNumId="17">
    <w:nsid w:val="8F2B15E"/>
    <w:multiLevelType w:val="hybridMultilevel"/>
    <w:lvl w:ilvl="0">
      <w:lvlJc w:val="left"/>
      <w:lvlText w:val="(%1)"/>
      <w:numFmt w:val="upperLetter"/>
      <w:start w:val="1"/>
    </w:lvl>
  </w:abstractNum>
  <w:abstractNum w:abstractNumId="18">
    <w:nsid w:val="1A32234B"/>
    <w:multiLevelType w:val="hybridMultilevel"/>
    <w:lvl w:ilvl="0">
      <w:lvlJc w:val="left"/>
      <w:lvlText w:val="(%1)"/>
      <w:numFmt w:val="upperLetter"/>
      <w:start w:val="1"/>
    </w:lvl>
    <w:lvl w:ilvl="1">
      <w:lvlJc w:val="left"/>
      <w:lvlText w:val="(%2)"/>
      <w:numFmt w:val="lowerRoman"/>
      <w:start w:val="1"/>
    </w:lvl>
  </w:abstractNum>
  <w:abstractNum w:abstractNumId="19">
    <w:nsid w:val="3B0FD379"/>
    <w:multiLevelType w:val="hybridMultilevel"/>
    <w:lvl w:ilvl="0">
      <w:lvlJc w:val="left"/>
      <w:lvlText w:val="(%1)"/>
      <w:numFmt w:val="upperLetter"/>
      <w:start w:val="4"/>
    </w:lvl>
    <w:lvl w:ilvl="1">
      <w:lvlJc w:val="left"/>
      <w:lvlText w:val="(%2)"/>
      <w:numFmt w:val="lowerRoman"/>
      <w:start w:val="1"/>
    </w:lvl>
  </w:abstractNum>
  <w:abstractNum w:abstractNumId="20">
    <w:nsid w:val="68EB2F63"/>
    <w:multiLevelType w:val="hybridMultilevel"/>
    <w:lvl w:ilvl="0">
      <w:lvlJc w:val="left"/>
      <w:lvlText w:val="(%1)"/>
      <w:numFmt w:val="upperLetter"/>
      <w:start w:val="1"/>
    </w:lvl>
    <w:lvl w:ilvl="1">
      <w:lvlJc w:val="left"/>
      <w:lvlText w:val="(%2)"/>
      <w:numFmt w:val="lowerRoman"/>
      <w:start w:val="1"/>
    </w:lvl>
  </w:abstractNum>
  <w:abstractNum w:abstractNumId="21">
    <w:nsid w:val="4962813B"/>
    <w:multiLevelType w:val="hybridMultilevel"/>
    <w:lvl w:ilvl="0">
      <w:lvlJc w:val="left"/>
      <w:lvlText w:val="%1"/>
      <w:numFmt w:val="upperLetter"/>
      <w:start w:val="1"/>
    </w:lvl>
    <w:lvl w:ilvl="1">
      <w:lvlJc w:val="left"/>
      <w:lvlText w:val="(%2)"/>
      <w:numFmt w:val="lowerRoman"/>
      <w:start w:val="4"/>
    </w:lvl>
  </w:abstractNum>
  <w:abstractNum w:abstractNumId="22">
    <w:nsid w:val="60B6DF70"/>
    <w:multiLevelType w:val="hybridMultilevel"/>
    <w:lvl w:ilvl="0">
      <w:lvlJc w:val="left"/>
      <w:lvlText w:val="(%1)"/>
      <w:numFmt w:val="upperLetter"/>
      <w:start w:val="2"/>
    </w:lvl>
    <w:lvl w:ilvl="1">
      <w:lvlJc w:val="left"/>
      <w:lvlText w:val="%2"/>
      <w:numFmt w:val="lowerRoman"/>
      <w:start w:val="1"/>
    </w:lvl>
  </w:abstractNum>
  <w:abstractNum w:abstractNumId="23">
    <w:nsid w:val="6A5EE64"/>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24">
    <w:nsid w:val="14330624"/>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lvl w:ilvl="3">
      <w:lvlJc w:val="left"/>
      <w:lvlText w:val="%4"/>
      <w:numFmt w:val="lowerLetter"/>
      <w:start w:val="1"/>
    </w:lvl>
  </w:abstractNum>
  <w:abstractNum w:abstractNumId="25">
    <w:nsid w:val="7FFFCA11"/>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6">
    <w:nsid w:val="1A27709E"/>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lowerLetter"/>
      <w:start w:val="2"/>
    </w:lvl>
  </w:abstractNum>
  <w:abstractNum w:abstractNumId="27">
    <w:nsid w:val="71EA1109"/>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lvl w:ilvl="3">
      <w:lvlJc w:val="left"/>
      <w:lvlText w:val="%4"/>
      <w:numFmt w:val="lowerLetter"/>
      <w:start w:val="1"/>
    </w:lvl>
  </w:abstractNum>
  <w:abstractNum w:abstractNumId="28">
    <w:nsid w:val="100F59DC"/>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9">
    <w:nsid w:val="7FB7E0AA"/>
    <w:multiLevelType w:val="hybridMultilevel"/>
    <w:lvl w:ilvl="0">
      <w:lvlJc w:val="left"/>
      <w:lvlText w:val="(%1)"/>
      <w:numFmt w:val="upperLetter"/>
      <w:start w:val="5"/>
    </w:lvl>
  </w:abstractNum>
  <w:abstractNum w:abstractNumId="30">
    <w:nsid w:val="6EB5BD4"/>
    <w:multiLevelType w:val="hybridMultilevel"/>
    <w:lvl w:ilvl="0">
      <w:lvlJc w:val="left"/>
      <w:lvlText w:val="(%1)"/>
      <w:numFmt w:val="upperLetter"/>
      <w:start w:val="1"/>
    </w:lvl>
    <w:lvl w:ilvl="1">
      <w:lvlJc w:val="left"/>
      <w:lvlText w:val="(%2)"/>
      <w:numFmt w:val="lowerRoman"/>
      <w:start w:val="1"/>
    </w:lvl>
  </w:abstractNum>
  <w:abstractNum w:abstractNumId="31">
    <w:nsid w:val="6F6DD9AC"/>
    <w:multiLevelType w:val="hybridMultilevel"/>
    <w:lvl w:ilvl="0">
      <w:lvlJc w:val="left"/>
      <w:lvlText w:val="(%1)"/>
      <w:numFmt w:val="lowerRoman"/>
      <w:start w:val="2"/>
    </w:lvl>
  </w:abstractNum>
  <w:abstractNum w:abstractNumId="32">
    <w:nsid w:val="94211F2"/>
    <w:multiLevelType w:val="hybridMultilevel"/>
    <w:lvl w:ilvl="0">
      <w:lvlJc w:val="left"/>
      <w:lvlText w:val="(%1)"/>
      <w:numFmt w:val="upperLetter"/>
      <w:start w:val="1"/>
    </w:lvl>
  </w:abstractNum>
  <w:abstractNum w:abstractNumId="33">
    <w:nsid w:val="885E1B"/>
    <w:multiLevelType w:val="hybridMultilevel"/>
    <w:lvl w:ilvl="0">
      <w:lvlJc w:val="left"/>
      <w:lvlText w:val="(%1)"/>
      <w:numFmt w:val="upperLetter"/>
      <w:start w:val="1"/>
    </w:lvl>
  </w:abstractNum>
  <w:abstractNum w:abstractNumId="34">
    <w:nsid w:val="76272110"/>
    <w:multiLevelType w:val="hybridMultilevel"/>
    <w:lvl w:ilvl="0">
      <w:lvlJc w:val="left"/>
      <w:lvlText w:val="(%1)"/>
      <w:numFmt w:val="upperLetter"/>
      <w:start w:val="1"/>
    </w:lvl>
  </w:abstractNum>
  <w:abstractNum w:abstractNumId="35">
    <w:nsid w:val="4C04A8A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36">
    <w:nsid w:val="1716703B"/>
    <w:multiLevelType w:val="hybridMultilevel"/>
    <w:lvl w:ilvl="0">
      <w:lvlJc w:val="left"/>
      <w:lvlText w:val="%1"/>
      <w:numFmt w:val="upperLetter"/>
      <w:start w:val="1"/>
    </w:lvl>
    <w:lvl w:ilvl="1">
      <w:lvlJc w:val="left"/>
      <w:lvlText w:val="(%2)"/>
      <w:numFmt w:val="lowerRoman"/>
      <w:start w:val="2"/>
    </w:lvl>
  </w:abstractNum>
  <w:abstractNum w:abstractNumId="37">
    <w:nsid w:val="14E17E33"/>
    <w:multiLevelType w:val="hybridMultilevel"/>
    <w:lvl w:ilvl="0">
      <w:lvlJc w:val="left"/>
      <w:lvlText w:val="(%1)"/>
      <w:numFmt w:val="upperLetter"/>
      <w:start w:val="2"/>
    </w:lvl>
    <w:lvl w:ilvl="1">
      <w:lvlJc w:val="left"/>
      <w:lvlText w:val="%2"/>
      <w:numFmt w:val="lowerRoman"/>
      <w:start w:val="1"/>
    </w:lvl>
  </w:abstractNum>
  <w:abstractNum w:abstractNumId="38">
    <w:nsid w:val="3222E7CD"/>
    <w:multiLevelType w:val="hybridMultilevel"/>
    <w:lvl w:ilvl="0">
      <w:lvlJc w:val="left"/>
      <w:lvlText w:val="(%1)"/>
      <w:numFmt w:val="upperLetter"/>
      <w:start w:val="3"/>
    </w:lvl>
  </w:abstractNum>
  <w:abstractNum w:abstractNumId="39">
    <w:nsid w:val="74DE0EE3"/>
    <w:multiLevelType w:val="hybridMultilevel"/>
    <w:lvl w:ilvl="0">
      <w:lvlJc w:val="left"/>
      <w:lvlText w:val="(%1)"/>
      <w:numFmt w:val="upperLetter"/>
      <w:start w:val="1"/>
    </w:lvl>
  </w:abstractNum>
  <w:abstractNum w:abstractNumId="40">
    <w:nsid w:val="68EBC550"/>
    <w:multiLevelType w:val="hybridMultilevel"/>
    <w:lvl w:ilvl="0">
      <w:lvlJc w:val="left"/>
      <w:lvlText w:val="(%1)"/>
      <w:numFmt w:val="upperLetter"/>
      <w:start w:val="1"/>
    </w:lvl>
  </w:abstractNum>
  <w:abstractNum w:abstractNumId="41">
    <w:nsid w:val="2DF6D648"/>
    <w:multiLevelType w:val="hybridMultilevel"/>
    <w:lvl w:ilvl="0">
      <w:lvlJc w:val="left"/>
      <w:lvlText w:val="(%1)"/>
      <w:numFmt w:val="upperLetter"/>
      <w:start w:val="4"/>
    </w:lvl>
  </w:abstractNum>
  <w:abstractNum w:abstractNumId="42">
    <w:nsid w:val="46B7D447"/>
    <w:multiLevelType w:val="hybridMultilevel"/>
    <w:lvl w:ilvl="0">
      <w:lvlJc w:val="left"/>
      <w:lvlText w:val="(%1)"/>
      <w:numFmt w:val="lowerRoman"/>
      <w:start w:val="1"/>
    </w:lvl>
  </w:abstractNum>
  <w:abstractNum w:abstractNumId="43">
    <w:nsid w:val="4A2AC315"/>
    <w:multiLevelType w:val="hybridMultilevel"/>
    <w:lvl w:ilvl="0">
      <w:lvlJc w:val="left"/>
      <w:lvlText w:val="(%1)"/>
      <w:numFmt w:val="lowerRoman"/>
      <w:start w:val="6"/>
    </w:lvl>
  </w:abstractNum>
  <w:abstractNum w:abstractNumId="44">
    <w:nsid w:val="39EE015C"/>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45">
    <w:nsid w:val="57FC4FBB"/>
    <w:multiLevelType w:val="hybridMultilevel"/>
    <w:lvl w:ilvl="0">
      <w:lvlJc w:val="left"/>
      <w:lvlText w:val="(%1)"/>
      <w:numFmt w:val="lowerRoman"/>
      <w:start w:val="2"/>
    </w:lvl>
    <w:lvl w:ilvl="1">
      <w:lvlJc w:val="left"/>
      <w:lvlText w:val="(%2)"/>
      <w:numFmt w:val="decimal"/>
      <w:start w:val="1"/>
    </w:lvl>
  </w:abstractNum>
  <w:abstractNum w:abstractNumId="46">
    <w:nsid w:val="CC1016F"/>
    <w:multiLevelType w:val="hybridMultilevel"/>
    <w:lvl w:ilvl="0">
      <w:lvlJc w:val="left"/>
      <w:lvlText w:val="(%1)"/>
      <w:numFmt w:val="decimal"/>
      <w:start w:val="3"/>
    </w:lvl>
  </w:abstractNum>
  <w:abstractNum w:abstractNumId="47">
    <w:nsid w:val="43F18422"/>
    <w:multiLevelType w:val="hybridMultilevel"/>
    <w:lvl w:ilvl="0">
      <w:lvlJc w:val="left"/>
      <w:lvlText w:val="(%1)"/>
      <w:numFmt w:val="lowerRoman"/>
      <w:start w:val="3"/>
    </w:lvl>
    <w:lvl w:ilvl="1">
      <w:lvlJc w:val="left"/>
      <w:lvlText w:val="(%2)"/>
      <w:numFmt w:val="decimal"/>
      <w:start w:val="1"/>
    </w:lvl>
  </w:abstractNum>
  <w:abstractNum w:abstractNumId="48">
    <w:nsid w:val="60EF0119"/>
    <w:multiLevelType w:val="hybridMultilevel"/>
    <w:lvl w:ilvl="0">
      <w:lvlJc w:val="left"/>
      <w:lvlText w:val="%1"/>
      <w:numFmt w:val="lowerRoman"/>
      <w:start w:val="1"/>
    </w:lvl>
    <w:lvl w:ilvl="1">
      <w:lvlJc w:val="left"/>
      <w:lvlText w:val="(%2)"/>
      <w:numFmt w:val="upperLetter"/>
      <w:start w:val="7"/>
    </w:lvl>
  </w:abstractNum>
  <w:abstractNum w:abstractNumId="49">
    <w:nsid w:val="26F324BA"/>
    <w:multiLevelType w:val="hybridMultilevel"/>
    <w:lvl w:ilvl="0">
      <w:lvlJc w:val="left"/>
      <w:lvlText w:val="(%1)"/>
      <w:numFmt w:val="lowerRoman"/>
      <w:start w:val="10"/>
    </w:lvl>
    <w:lvl w:ilvl="1">
      <w:lvlJc w:val="left"/>
      <w:lvlText w:val="%2"/>
      <w:numFmt w:val="upperLetter"/>
      <w:start w:val="1"/>
    </w:lvl>
  </w:abstractNum>
  <w:abstractNum w:abstractNumId="50">
    <w:nsid w:val="7F01579B"/>
    <w:multiLevelType w:val="hybridMultilevel"/>
    <w:lvl w:ilvl="0">
      <w:lvlJc w:val="left"/>
      <w:lvlText w:val="(%1)"/>
      <w:numFmt w:val="upperLetter"/>
      <w:start w:val="8"/>
    </w:lvl>
  </w:abstractNum>
  <w:abstractNum w:abstractNumId="51">
    <w:nsid w:val="49DA307D"/>
    <w:multiLevelType w:val="hybridMultilevel"/>
    <w:lvl w:ilvl="0">
      <w:lvlJc w:val="left"/>
      <w:lvlText w:val="%1"/>
      <w:numFmt w:val="decimal"/>
      <w:start w:val="1"/>
    </w:lvl>
    <w:lvl w:ilvl="1">
      <w:lvlJc w:val="left"/>
      <w:lvlText w:val="(%2)"/>
      <w:numFmt w:val="upperLetter"/>
      <w:start w:val="1"/>
    </w:lvl>
  </w:abstractNum>
  <w:abstractNum w:abstractNumId="52">
    <w:nsid w:val="7055A5F5"/>
    <w:multiLevelType w:val="hybridMultilevel"/>
    <w:lvl w:ilvl="0">
      <w:lvlJc w:val="left"/>
      <w:lvlText w:val="(%1)"/>
      <w:numFmt w:val="decimal"/>
      <w:start w:val="20"/>
    </w:lvl>
    <w:lvl w:ilvl="1">
      <w:lvlJc w:val="left"/>
      <w:lvlText w:val="(%2)"/>
      <w:numFmt w:val="upperLetter"/>
      <w:start w:val="3"/>
    </w:lvl>
  </w:abstractNum>
  <w:abstractNum w:abstractNumId="53">
    <w:nsid w:val="5FB8370B"/>
    <w:multiLevelType w:val="hybridMultilevel"/>
    <w:lvl w:ilvl="0">
      <w:lvlJc w:val="left"/>
      <w:lvlText w:val="(%1)"/>
      <w:numFmt w:val="upperLetter"/>
      <w:start w:val="6"/>
    </w:lvl>
  </w:abstractNum>
  <w:abstractNum w:abstractNumId="54">
    <w:nsid w:val="50801EE1"/>
    <w:multiLevelType w:val="hybridMultilevel"/>
    <w:lvl w:ilvl="0">
      <w:lvlJc w:val="left"/>
      <w:lvlText w:val="(%1)"/>
      <w:numFmt w:val="lowerRoman"/>
      <w:start w:val="1"/>
    </w:lvl>
  </w:abstractNum>
  <w:abstractNum w:abstractNumId="55">
    <w:nsid w:val="488AC1A"/>
    <w:multiLevelType w:val="hybridMultilevel"/>
    <w:lvl w:ilvl="0">
      <w:lvlJc w:val="left"/>
      <w:lvlText w:val="(%1)"/>
      <w:numFmt w:val="upperLetter"/>
      <w:start w:val="7"/>
    </w:lvl>
  </w:abstractNum>
  <w:abstractNum w:abstractNumId="56">
    <w:nsid w:val="5FB8011C"/>
    <w:multiLevelType w:val="hybridMultilevel"/>
    <w:lvl w:ilvl="0">
      <w:lvlJc w:val="left"/>
      <w:lvlText w:val="%1"/>
      <w:numFmt w:val="upperLetter"/>
      <w:start w:val="1"/>
    </w:lvl>
    <w:lvl w:ilvl="1">
      <w:lvlJc w:val="left"/>
      <w:lvlText w:val="(%2)"/>
      <w:numFmt w:val="lowerRoman"/>
      <w:start w:val="1"/>
    </w:lvl>
  </w:abstractNum>
  <w:abstractNum w:abstractNumId="57">
    <w:nsid w:val="6AA78F7F"/>
    <w:multiLevelType w:val="hybridMultilevel"/>
    <w:lvl w:ilvl="0">
      <w:lvlJc w:val="left"/>
      <w:lvlText w:val="(%1)"/>
      <w:numFmt w:val="upperLetter"/>
      <w:start w:val="8"/>
    </w:lvl>
    <w:lvl w:ilvl="1">
      <w:lvlJc w:val="left"/>
      <w:lvlText w:val="%2"/>
      <w:numFmt w:val="lowerRoman"/>
      <w:start w:val="1"/>
    </w:lvl>
  </w:abstractNum>
  <w:abstractNum w:abstractNumId="58">
    <w:nsid w:val="7672BD23"/>
    <w:multiLevelType w:val="hybridMultilevel"/>
    <w:lvl w:ilvl="0">
      <w:lvlJc w:val="left"/>
      <w:lvlText w:val="(%1)"/>
      <w:numFmt w:val="upperLetter"/>
      <w:start w:val="1"/>
    </w:lvl>
    <w:lvl w:ilvl="1">
      <w:lvlJc w:val="left"/>
      <w:lvlText w:val="(%2)"/>
      <w:numFmt w:val="lowerRoman"/>
      <w:start w:val="1"/>
    </w:lvl>
  </w:abstractNum>
  <w:abstractNum w:abstractNumId="59">
    <w:nsid w:val="6FC75AF8"/>
    <w:multiLevelType w:val="hybridMultilevel"/>
    <w:lvl w:ilvl="0">
      <w:lvlJc w:val="left"/>
      <w:lvlText w:val="(%1)"/>
      <w:numFmt w:val="decimal"/>
      <w:start w:val="1"/>
    </w:lvl>
  </w:abstractNum>
  <w:abstractNum w:abstractNumId="60">
    <w:nsid w:val="6A5F7029"/>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abstractNum>
  <w:abstractNum w:abstractNumId="61">
    <w:nsid w:val="7D5E18F8"/>
    <w:multiLevelType w:val="hybridMultilevel"/>
    <w:lvl w:ilvl="0">
      <w:lvlJc w:val="left"/>
      <w:lvlText w:val="(%1)"/>
      <w:numFmt w:val="upperLetter"/>
      <w:start w:val="35"/>
    </w:lvl>
  </w:abstractNum>
  <w:abstractNum w:abstractNumId="62">
    <w:nsid w:val="5F3534A4"/>
    <w:multiLevelType w:val="hybridMultilevel"/>
    <w:lvl w:ilvl="0">
      <w:lvlJc w:val="left"/>
      <w:lvlText w:val="%1"/>
      <w:numFmt w:val="decimal"/>
      <w:start w:val="1"/>
    </w:lvl>
    <w:lvl w:ilvl="1">
      <w:lvlJc w:val="left"/>
      <w:lvlText w:val="(%2)"/>
      <w:numFmt w:val="lowerLetter"/>
      <w:start w:val="2"/>
    </w:lvl>
  </w:abstractNum>
  <w:abstractNum w:abstractNumId="63">
    <w:nsid w:val="73A1821B"/>
    <w:multiLevelType w:val="hybridMultilevel"/>
    <w:lvl w:ilvl="0">
      <w:lvlJc w:val="left"/>
      <w:lvlText w:val="(%1)"/>
      <w:numFmt w:val="decimal"/>
      <w:start w:val="4"/>
    </w:lvl>
    <w:lvl w:ilvl="1">
      <w:lvlJc w:val="left"/>
      <w:lvlText w:val="%2"/>
      <w:numFmt w:val="lowerLetter"/>
      <w:start w:val="1"/>
    </w:lvl>
  </w:abstractNum>
  <w:abstractNum w:abstractNumId="64">
    <w:nsid w:val="7DE67713"/>
    <w:multiLevelType w:val="hybridMultilevel"/>
    <w:lvl w:ilvl="0">
      <w:lvlJc w:val="left"/>
      <w:lvlText w:val="(%1)"/>
      <w:numFmt w:val="lowerRoman"/>
      <w:start w:val="2"/>
    </w:lvl>
    <w:lvl w:ilvl="1">
      <w:lvlJc w:val="left"/>
      <w:lvlText w:val="(%2)"/>
      <w:numFmt w:val="decimal"/>
      <w:start w:val="1"/>
    </w:lvl>
  </w:abstractNum>
  <w:abstractNum w:abstractNumId="65">
    <w:nsid w:val="555C55B5"/>
    <w:multiLevelType w:val="hybridMultilevel"/>
    <w:lvl w:ilvl="0">
      <w:lvlJc w:val="left"/>
      <w:lvlText w:val="(%1)"/>
      <w:numFmt w:val="upperLetter"/>
      <w:start w:val="1"/>
    </w:lvl>
    <w:lvl w:ilvl="1">
      <w:lvlJc w:val="left"/>
      <w:lvlText w:val="(%2)"/>
      <w:numFmt w:val="lowerRoman"/>
      <w:start w:val="1"/>
    </w:lvl>
  </w:abstractNum>
  <w:abstractNum w:abstractNumId="66">
    <w:nsid w:val="3FA62ACA"/>
    <w:multiLevelType w:val="hybridMultilevel"/>
    <w:lvl w:ilvl="0">
      <w:lvlJc w:val="left"/>
      <w:lvlText w:val="(%1)"/>
      <w:numFmt w:val="upperLetter"/>
      <w:start w:val="3"/>
    </w:lvl>
  </w:abstractNum>
  <w:abstractNum w:abstractNumId="67">
    <w:nsid w:val="14FCE74E"/>
    <w:multiLevelType w:val="hybridMultilevel"/>
    <w:lvl w:ilvl="0">
      <w:lvlJc w:val="left"/>
      <w:lvlText w:val="(%1)"/>
      <w:numFmt w:val="upperLetter"/>
      <w:start w:val="6"/>
    </w:lvl>
  </w:abstractNum>
  <w:abstractNum w:abstractNumId="68">
    <w:nsid w:val="6A3DD3E8"/>
    <w:multiLevelType w:val="hybridMultilevel"/>
    <w:lvl w:ilvl="0">
      <w:lvlJc w:val="left"/>
      <w:lvlText w:val="(%1)"/>
      <w:numFmt w:val="upperLetter"/>
      <w:start w:val="1"/>
    </w:lvl>
  </w:abstractNum>
  <w:abstractNum w:abstractNumId="69">
    <w:nsid w:val="71C91298"/>
    <w:multiLevelType w:val="hybridMultilevel"/>
    <w:lvl w:ilvl="0">
      <w:lvlJc w:val="left"/>
      <w:lvlText w:val="(%1)"/>
      <w:numFmt w:val="lowerRoman"/>
      <w:start w:val="1"/>
    </w:lvl>
  </w:abstractNum>
  <w:abstractNum w:abstractNumId="70">
    <w:nsid w:val="9DAF632"/>
    <w:multiLevelType w:val="hybridMultilevel"/>
    <w:lvl w:ilvl="0">
      <w:lvlJc w:val="left"/>
      <w:lvlText w:val="(%1)"/>
      <w:numFmt w:val="lowerRoman"/>
      <w:start w:val="4"/>
    </w:lvl>
  </w:abstractNum>
  <w:abstractNum w:abstractNumId="71">
    <w:nsid w:val="53299938"/>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72">
    <w:nsid w:val="1FBFE8E0"/>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73">
    <w:nsid w:val="5092CA79"/>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74">
    <w:nsid w:val="1D545C4D"/>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75">
    <w:nsid w:val="59ADEA3D"/>
    <w:multiLevelType w:val="hybridMultilevel"/>
    <w:lvl w:ilvl="0">
      <w:lvlJc w:val="left"/>
      <w:lvlText w:val="(%1)"/>
      <w:numFmt w:val="upperLetter"/>
      <w:start w:val="1"/>
    </w:lvl>
  </w:abstractNum>
  <w:abstractNum w:abstractNumId="76">
    <w:nsid w:val="288F1A34"/>
    <w:multiLevelType w:val="hybridMultilevel"/>
    <w:lvl w:ilvl="0">
      <w:lvlJc w:val="left"/>
      <w:lvlText w:val="(%1)"/>
      <w:numFmt w:val="upperLetter"/>
      <w:start w:val="1"/>
    </w:lvl>
    <w:lvl w:ilvl="1">
      <w:lvlJc w:val="left"/>
      <w:lvlText w:val="(%2)"/>
      <w:numFmt w:val="lowerRoman"/>
      <w:start w:val="1"/>
    </w:lvl>
  </w:abstractNum>
  <w:abstractNum w:abstractNumId="77">
    <w:nsid w:val="2A155DBC"/>
    <w:multiLevelType w:val="hybridMultilevel"/>
    <w:lvl w:ilvl="0">
      <w:lvlJc w:val="left"/>
      <w:lvlText w:val="(%1)"/>
      <w:numFmt w:val="lowerRoman"/>
      <w:start w:val="2"/>
    </w:lvl>
  </w:abstractNum>
  <w:abstractNum w:abstractNumId="78">
    <w:nsid w:val="1D9F6E5F"/>
    <w:multiLevelType w:val="hybridMultilevel"/>
    <w:lvl w:ilvl="0">
      <w:lvlJc w:val="left"/>
      <w:lvlText w:val="X"/>
      <w:numFmt w:val="bullet"/>
      <w:start w:val="1"/>
    </w:lvl>
  </w:abstractNum>
  <w:abstractNum w:abstractNumId="79">
    <w:nsid w:val="97E1B4E"/>
    <w:multiLevelType w:val="hybridMultilevel"/>
    <w:lvl w:ilvl="0">
      <w:lvlJc w:val="left"/>
      <w:lvlText w:val="Y"/>
      <w:numFmt w:val="bullet"/>
      <w:start w:val="1"/>
    </w:lvl>
  </w:abstractNum>
  <w:abstractNum w:abstractNumId="80">
    <w:nsid w:val="51088277"/>
    <w:multiLevelType w:val="hybridMultilevel"/>
    <w:lvl w:ilvl="0">
      <w:lvlJc w:val="left"/>
      <w:lvlText w:val="(%1)"/>
      <w:numFmt w:val="lowerRoman"/>
      <w:start w:val="3"/>
    </w:lvl>
    <w:lvl w:ilvl="1">
      <w:lvlJc w:val="left"/>
      <w:lvlText w:val="(%2)"/>
      <w:numFmt w:val="decimal"/>
      <w:start w:val="1"/>
    </w:lvl>
  </w:abstractNum>
  <w:abstractNum w:abstractNumId="81">
    <w:nsid w:val="1CA0C5FA"/>
    <w:multiLevelType w:val="hybridMultilevel"/>
    <w:lvl w:ilvl="0">
      <w:lvlJc w:val="left"/>
      <w:lvlText w:val="(%1)"/>
      <w:numFmt w:val="lowerLetter"/>
      <w:start w:val="21"/>
    </w:lvl>
  </w:abstractNum>
  <w:abstractNum w:abstractNumId="82">
    <w:nsid w:val="53584BCB"/>
    <w:multiLevelType w:val="hybridMultilevel"/>
    <w:lvl w:ilvl="0">
      <w:lvlJc w:val="left"/>
      <w:lvlText w:val="(%1)"/>
      <w:numFmt w:val="lowerLetter"/>
      <w:start w:val="22"/>
    </w:lvl>
  </w:abstractNum>
  <w:abstractNum w:abstractNumId="83">
    <w:nsid w:val="415E286C"/>
    <w:multiLevelType w:val="hybridMultilevel"/>
    <w:lvl w:ilvl="0">
      <w:lvlJc w:val="left"/>
      <w:lvlText w:val="(%1)"/>
      <w:numFmt w:val="decimal"/>
      <w:start w:val="2"/>
    </w:lvl>
  </w:abstractNum>
  <w:abstractNum w:abstractNumId="84">
    <w:nsid w:val="7C58FD05"/>
    <w:multiLevelType w:val="hybridMultilevel"/>
    <w:lvl w:ilvl="0">
      <w:lvlJc w:val="left"/>
      <w:lvlText w:val="(%1)"/>
      <w:numFmt w:val="lowerRoman"/>
      <w:start w:val="4"/>
    </w:lvl>
  </w:abstractNum>
  <w:abstractNum w:abstractNumId="85">
    <w:nsid w:val="23D86AAC"/>
    <w:multiLevelType w:val="hybridMultilevel"/>
    <w:lvl w:ilvl="0">
      <w:lvlJc w:val="left"/>
      <w:lvlText w:val="D"/>
      <w:numFmt w:val="bullet"/>
      <w:start w:val="1"/>
    </w:lvl>
  </w:abstractNum>
  <w:abstractNum w:abstractNumId="86">
    <w:nsid w:val="45E6D486"/>
    <w:multiLevelType w:val="hybridMultilevel"/>
    <w:lvl w:ilvl="0">
      <w:lvlJc w:val="left"/>
      <w:lvlText w:val="(%1)"/>
      <w:numFmt w:val="lowerRoman"/>
      <w:start w:val="5"/>
    </w:lvl>
  </w:abstractNum>
  <w:abstractNum w:abstractNumId="87">
    <w:nsid w:val="5C10FE21"/>
    <w:multiLevelType w:val="hybridMultilevel"/>
    <w:lvl w:ilvl="0">
      <w:lvlJc w:val="left"/>
      <w:lvlText w:val="(%1)"/>
      <w:numFmt w:val="upperLetter"/>
      <w:start w:val="2"/>
    </w:lvl>
    <w:lvl w:ilvl="1">
      <w:lvlJc w:val="left"/>
      <w:lvlText w:val="(%2)"/>
      <w:numFmt w:val="lowerRoman"/>
      <w:start w:val="1"/>
    </w:lvl>
  </w:abstractNum>
  <w:abstractNum w:abstractNumId="88">
    <w:nsid w:val="E7FFA2B"/>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89">
    <w:nsid w:val="3C5991AA"/>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90">
    <w:nsid w:val="4BD8591A"/>
    <w:multiLevelType w:val="hybridMultilevel"/>
    <w:lvl w:ilvl="0">
      <w:lvlJc w:val="left"/>
      <w:lvlText w:val="(%1)"/>
      <w:numFmt w:val="lowerRoman"/>
      <w:start w:val="3"/>
    </w:lvl>
  </w:abstractNum>
  <w:abstractNum w:abstractNumId="91">
    <w:nsid w:val="78DF6A55"/>
    <w:multiLevelType w:val="hybridMultilevel"/>
    <w:lvl w:ilvl="0">
      <w:lvlJc w:val="left"/>
      <w:lvlText w:val="(%1)"/>
      <w:numFmt w:val="upperLetter"/>
      <w:start w:val="4"/>
    </w:lvl>
    <w:lvl w:ilvl="1">
      <w:lvlJc w:val="left"/>
      <w:lvlText w:val="(%2)"/>
      <w:numFmt w:val="lowerRoman"/>
      <w:start w:val="1"/>
    </w:lvl>
  </w:abstractNum>
  <w:abstractNum w:abstractNumId="92">
    <w:nsid w:val="39B7AAA2"/>
    <w:multiLevelType w:val="hybridMultilevel"/>
    <w:lvl w:ilvl="0">
      <w:lvlJc w:val="left"/>
      <w:lvlText w:val="(%1)"/>
      <w:numFmt w:val="upperLetter"/>
      <w:start w:val="5"/>
    </w:lvl>
  </w:abstractNum>
  <w:abstractNum w:abstractNumId="93">
    <w:nsid w:val="2B0D8DBE"/>
    <w:multiLevelType w:val="hybridMultilevel"/>
    <w:lvl w:ilvl="0">
      <w:lvlJc w:val="left"/>
      <w:lvlText w:val="(%1)"/>
      <w:numFmt w:val="upperLetter"/>
      <w:start w:val="1"/>
    </w:lvl>
  </w:abstractNum>
  <w:abstractNum w:abstractNumId="94">
    <w:nsid w:val="6C80EC70"/>
    <w:multiLevelType w:val="hybridMultilevel"/>
    <w:lvl w:ilvl="0">
      <w:lvlJc w:val="left"/>
      <w:lvlText w:val="(%1)"/>
      <w:numFmt w:val="upperLetter"/>
      <w:start w:val="1"/>
    </w:lvl>
  </w:abstractNum>
  <w:abstractNum w:abstractNumId="95">
    <w:nsid w:val="379E21B5"/>
    <w:multiLevelType w:val="hybridMultilevel"/>
    <w:lvl w:ilvl="0">
      <w:lvlJc w:val="left"/>
      <w:lvlText w:val="(%1)"/>
      <w:numFmt w:val="lowerRoman"/>
      <w:start w:val="1"/>
    </w:lvl>
  </w:abstractNum>
  <w:abstractNum w:abstractNumId="96">
    <w:nsid w:val="69E373"/>
    <w:multiLevelType w:val="hybridMultilevel"/>
    <w:lvl w:ilvl="0">
      <w:lvlJc w:val="left"/>
      <w:lvlText w:val="(%1)"/>
      <w:numFmt w:val="lowerRoman"/>
      <w:start w:val="2"/>
    </w:lvl>
  </w:abstractNum>
  <w:abstractNum w:abstractNumId="97">
    <w:nsid w:val="2C27173B"/>
    <w:multiLevelType w:val="hybridMultilevel"/>
    <w:lvl w:ilvl="0">
      <w:lvlJc w:val="left"/>
      <w:lvlText w:val="(%1)"/>
      <w:numFmt w:val="upperLetter"/>
      <w:start w:val="2"/>
    </w:lvl>
  </w:abstractNum>
  <w:abstractNum w:abstractNumId="98">
    <w:nsid w:val="4C9B0904"/>
    <w:multiLevelType w:val="hybridMultilevel"/>
    <w:lvl w:ilvl="0">
      <w:lvlJc w:val="left"/>
      <w:lvlText w:val="(%1)"/>
      <w:numFmt w:val="upperLetter"/>
      <w:start w:val="1"/>
    </w:lvl>
  </w:abstractNum>
  <w:abstractNum w:abstractNumId="99">
    <w:nsid w:val="6AA7B75C"/>
    <w:multiLevelType w:val="hybridMultilevel"/>
    <w:lvl w:ilvl="0">
      <w:lvlJc w:val="left"/>
      <w:lvlText w:val="(%1)"/>
      <w:numFmt w:val="upperLetter"/>
      <w:start w:val="1"/>
    </w:lvl>
    <w:lvl w:ilvl="1">
      <w:lvlJc w:val="left"/>
      <w:lvlText w:val="(%2)"/>
      <w:numFmt w:val="lowerRoman"/>
      <w:start w:val="1"/>
    </w:lvl>
  </w:abstractNum>
  <w:abstractNum w:abstractNumId="100">
    <w:nsid w:val="1DF029D3"/>
    <w:multiLevelType w:val="hybridMultilevel"/>
    <w:lvl w:ilvl="0">
      <w:lvlJc w:val="left"/>
      <w:lvlText w:val="(%1)"/>
      <w:numFmt w:val="decimal"/>
      <w:start w:val="1"/>
    </w:lvl>
  </w:abstractNum>
  <w:abstractNum w:abstractNumId="101">
    <w:nsid w:val="5675FF36"/>
    <w:multiLevelType w:val="hybridMultilevel"/>
    <w:lvl w:ilvl="0">
      <w:lvlJc w:val="left"/>
      <w:lvlText w:val="(%1)"/>
      <w:numFmt w:val="upperLetter"/>
      <w:start w:val="2"/>
    </w:lvl>
  </w:abstractNum>
  <w:abstractNum w:abstractNumId="102">
    <w:nsid w:val="3DD15094"/>
    <w:multiLevelType w:val="hybridMultilevel"/>
    <w:lvl w:ilvl="0">
      <w:lvlJc w:val="left"/>
      <w:lvlText w:val="(%1)"/>
      <w:numFmt w:val="upperLetter"/>
      <w:start w:val="1"/>
    </w:lvl>
    <w:lvl w:ilvl="1">
      <w:lvlJc w:val="left"/>
      <w:lvlText w:val="(%2)"/>
      <w:numFmt w:val="lowerRoman"/>
      <w:start w:val="1"/>
    </w:lvl>
  </w:abstractNum>
  <w:abstractNum w:abstractNumId="103">
    <w:nsid w:val="3DB012B3"/>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04">
    <w:nsid w:val="2708C9AF"/>
    <w:multiLevelType w:val="hybridMultilevel"/>
    <w:lvl w:ilvl="0">
      <w:lvlJc w:val="left"/>
      <w:lvlText w:val="(%1)"/>
      <w:numFmt w:val="lowerRoman"/>
      <w:start w:val="8"/>
    </w:lvl>
    <w:lvl w:ilvl="1">
      <w:lvlJc w:val="left"/>
      <w:lvlText w:val="(%2)"/>
      <w:numFmt w:val="decimal"/>
      <w:start w:val="1"/>
    </w:lvl>
  </w:abstractNum>
  <w:abstractNum w:abstractNumId="105">
    <w:nsid w:val="5B25ACE2"/>
    <w:multiLevelType w:val="hybridMultilevel"/>
    <w:lvl w:ilvl="0">
      <w:lvlJc w:val="left"/>
      <w:lvlText w:val="(%1)"/>
      <w:numFmt w:val="upperLetter"/>
      <w:start w:val="2"/>
    </w:lvl>
  </w:abstractNum>
  <w:abstractNum w:abstractNumId="106">
    <w:nsid w:val="175DFCF0"/>
    <w:multiLevelType w:val="hybridMultilevel"/>
    <w:lvl w:ilvl="0">
      <w:lvlJc w:val="left"/>
      <w:lvlText w:val="%1"/>
      <w:numFmt w:val="lowerRoman"/>
      <w:start w:val="1"/>
    </w:lvl>
    <w:lvl w:ilvl="1">
      <w:lvlJc w:val="left"/>
      <w:lvlText w:val="(%2)"/>
      <w:numFmt w:val="upperLetter"/>
      <w:start w:val="1"/>
    </w:lvl>
  </w:abstractNum>
  <w:abstractNum w:abstractNumId="107">
    <w:nsid w:val="4F97E3E4"/>
    <w:multiLevelType w:val="hybridMultilevel"/>
    <w:lvl w:ilvl="0">
      <w:lvlJc w:val="left"/>
      <w:lvlText w:val="(%1)"/>
      <w:numFmt w:val="lowerRoman"/>
      <w:start w:val="10"/>
    </w:lvl>
    <w:lvl w:ilvl="1">
      <w:lvlJc w:val="left"/>
      <w:lvlText w:val="(%2)"/>
      <w:numFmt w:val="upperLetter"/>
      <w:start w:val="2"/>
    </w:lvl>
  </w:abstractNum>
  <w:abstractNum w:abstractNumId="108">
    <w:nsid w:val="53B0A9E"/>
    <w:multiLevelType w:val="hybridMultilevel"/>
    <w:lvl w:ilvl="0">
      <w:lvlJc w:val="left"/>
      <w:lvlText w:val="(%1)"/>
      <w:numFmt w:val="upperLetter"/>
      <w:start w:val="1"/>
    </w:lvl>
  </w:abstractNum>
  <w:abstractNum w:abstractNumId="109">
    <w:nsid w:val="34FD6B4F"/>
    <w:multiLevelType w:val="hybridMultilevel"/>
    <w:lvl w:ilvl="0">
      <w:lvlJc w:val="left"/>
      <w:lvlText w:val="(%1)"/>
      <w:numFmt w:val="upperLetter"/>
      <w:start w:val="3"/>
    </w:lvl>
  </w:abstractNum>
  <w:abstractNum w:abstractNumId="110">
    <w:nsid w:val="5915FF32"/>
    <w:multiLevelType w:val="hybridMultilevel"/>
    <w:lvl w:ilvl="0">
      <w:lvlJc w:val="left"/>
      <w:lvlText w:val="(%1)"/>
      <w:numFmt w:val="upperLetter"/>
      <w:start w:val="1"/>
    </w:lvl>
  </w:abstractNum>
  <w:abstractNum w:abstractNumId="111">
    <w:nsid w:val="56438D15"/>
    <w:multiLevelType w:val="hybridMultilevel"/>
    <w:lvl w:ilvl="0">
      <w:lvlJc w:val="left"/>
      <w:lvlText w:val="(%1)"/>
      <w:numFmt w:val="upperLetter"/>
      <w:start w:val="1"/>
    </w:lvl>
  </w:abstractNum>
  <w:abstractNum w:abstractNumId="112">
    <w:nsid w:val="519E3149"/>
    <w:multiLevelType w:val="hybridMultilevel"/>
    <w:lvl w:ilvl="0">
      <w:lvlJc w:val="left"/>
      <w:lvlText w:val="(%1)"/>
      <w:numFmt w:val="lowerRoman"/>
      <w:start w:val="4"/>
    </w:lvl>
  </w:abstractNum>
  <w:abstractNum w:abstractNumId="113">
    <w:nsid w:val="2C6E4AFD"/>
    <w:multiLevelType w:val="hybridMultilevel"/>
    <w:lvl w:ilvl="0">
      <w:lvlJc w:val="left"/>
      <w:lvlText w:val="(%1)"/>
      <w:numFmt w:val="upperLetter"/>
      <w:start w:val="1"/>
    </w:lvl>
  </w:abstractNum>
  <w:abstractNum w:abstractNumId="114">
    <w:nsid w:val="17A1B582"/>
    <w:multiLevelType w:val="hybridMultilevel"/>
    <w:lvl w:ilvl="0">
      <w:lvlJc w:val="left"/>
      <w:lvlText w:val="(%1)"/>
      <w:numFmt w:val="upperLetter"/>
      <w:start w:val="1"/>
    </w:lvl>
    <w:lvl w:ilvl="1">
      <w:lvlJc w:val="left"/>
      <w:lvlText w:val="(%2)"/>
      <w:numFmt w:val="lowerRoman"/>
      <w:start w:val="1"/>
    </w:lvl>
  </w:abstractNum>
  <w:abstractNum w:abstractNumId="115">
    <w:nsid w:val="4DF72E4E"/>
    <w:multiLevelType w:val="hybridMultilevel"/>
    <w:lvl w:ilvl="0">
      <w:lvlJc w:val="left"/>
      <w:lvlText w:val="(%1)"/>
      <w:numFmt w:val="upperLetter"/>
      <w:start w:val="2"/>
    </w:lvl>
  </w:abstractNum>
  <w:abstractNum w:abstractNumId="116">
    <w:nsid w:val="5046B5A9"/>
    <w:multiLevelType w:val="hybridMultilevel"/>
    <w:lvl w:ilvl="0">
      <w:lvlJc w:val="left"/>
      <w:lvlText w:val="(%1)"/>
      <w:numFmt w:val="upperLetter"/>
      <w:start w:val="1"/>
    </w:lvl>
  </w:abstractNum>
  <w:abstractNum w:abstractNumId="117">
    <w:nsid w:val="5D888A08"/>
    <w:multiLevelType w:val="hybridMultilevel"/>
    <w:lvl w:ilvl="0">
      <w:lvlJc w:val="left"/>
      <w:lvlText w:val="(%1)"/>
      <w:numFmt w:val="upperLetter"/>
      <w:start w:val="1"/>
    </w:lvl>
  </w:abstractNum>
  <w:abstractNum w:abstractNumId="118">
    <w:nsid w:val="2A082C70"/>
    <w:multiLevelType w:val="hybridMultilevel"/>
    <w:lvl w:ilvl="0">
      <w:lvlJc w:val="left"/>
      <w:lvlText w:val="(%1)"/>
      <w:numFmt w:val="upperLetter"/>
      <w:start w:val="1"/>
    </w:lvl>
    <w:lvl w:ilvl="1">
      <w:lvlJc w:val="left"/>
      <w:lvlText w:val="(%2)"/>
      <w:numFmt w:val="lowerRoman"/>
      <w:start w:val="1"/>
    </w:lvl>
  </w:abstractNum>
  <w:abstractNum w:abstractNumId="119">
    <w:nsid w:val="5EC6AFD4"/>
    <w:multiLevelType w:val="hybridMultilevel"/>
    <w:lvl w:ilvl="0">
      <w:lvlJc w:val="left"/>
      <w:lvlText w:val="(%1)"/>
      <w:numFmt w:val="upperLetter"/>
      <w:start w:val="3"/>
    </w:lvl>
    <w:lvl w:ilvl="1">
      <w:lvlJc w:val="left"/>
      <w:lvlText w:val="(%2)"/>
      <w:numFmt w:val="lowerRoman"/>
      <w:start w:val="1"/>
    </w:lvl>
  </w:abstractNum>
  <w:abstractNum w:abstractNumId="120">
    <w:nsid w:val="19E21BB2"/>
    <w:multiLevelType w:val="hybridMultilevel"/>
    <w:lvl w:ilvl="0">
      <w:lvlJc w:val="left"/>
      <w:lvlText w:val="(%1)"/>
      <w:numFmt w:val="upperLetter"/>
      <w:start w:val="1"/>
    </w:lvl>
  </w:abstractNum>
  <w:abstractNum w:abstractNumId="121">
    <w:nsid w:val="75E0858A"/>
    <w:multiLevelType w:val="hybridMultilevel"/>
    <w:lvl w:ilvl="0">
      <w:lvlJc w:val="left"/>
      <w:lvlText w:val="(%1)"/>
      <w:numFmt w:val="upperLetter"/>
      <w:start w:val="6"/>
    </w:lvl>
  </w:abstractNum>
  <w:abstractNum w:abstractNumId="122">
    <w:nsid w:val="57A61A29"/>
    <w:multiLevelType w:val="hybridMultilevel"/>
    <w:lvl w:ilvl="0">
      <w:lvlJc w:val="left"/>
      <w:lvlText w:val="(%1)"/>
      <w:numFmt w:val="upperLetter"/>
      <w:start w:val="1"/>
    </w:lvl>
  </w:abstractNum>
  <w:abstractNum w:abstractNumId="123">
    <w:nsid w:val="5399C654"/>
    <w:multiLevelType w:val="hybridMultilevel"/>
    <w:lvl w:ilvl="0">
      <w:lvlJc w:val="left"/>
      <w:lvlText w:val="(%1)"/>
      <w:numFmt w:val="upperLetter"/>
      <w:start w:val="3"/>
    </w:lvl>
  </w:abstractNum>
  <w:abstractNum w:abstractNumId="124">
    <w:nsid w:val="20EE1348"/>
    <w:multiLevelType w:val="hybridMultilevel"/>
    <w:lvl w:ilvl="0">
      <w:lvlJc w:val="left"/>
      <w:lvlText w:val="(%1)"/>
      <w:numFmt w:val="upperLetter"/>
      <w:start w:val="1"/>
    </w:lvl>
    <w:lvl w:ilvl="1">
      <w:lvlJc w:val="left"/>
      <w:lvlText w:val="(%2)"/>
      <w:numFmt w:val="lowerRoman"/>
      <w:start w:val="1"/>
    </w:lvl>
  </w:abstractNum>
  <w:abstractNum w:abstractNumId="125">
    <w:nsid w:val="4427069A"/>
    <w:multiLevelType w:val="hybridMultilevel"/>
    <w:lvl w:ilvl="0">
      <w:lvlJc w:val="left"/>
      <w:lvlText w:val="(%1)"/>
      <w:numFmt w:val="upperLetter"/>
      <w:start w:val="3"/>
    </w:lvl>
  </w:abstractNum>
  <w:abstractNum w:abstractNumId="126">
    <w:nsid w:val="B37E80A"/>
    <w:multiLevelType w:val="hybridMultilevel"/>
    <w:lvl w:ilvl="0">
      <w:lvlJc w:val="left"/>
      <w:lvlText w:val="(%1)"/>
      <w:numFmt w:val="upperLetter"/>
      <w:start w:val="1"/>
    </w:lvl>
  </w:abstractNum>
  <w:abstractNum w:abstractNumId="127">
    <w:nsid w:val="2157F6BC"/>
    <w:multiLevelType w:val="hybridMultilevel"/>
    <w:lvl w:ilvl="0">
      <w:lvlJc w:val="left"/>
      <w:lvlText w:val="(%1)"/>
      <w:numFmt w:val="upperLetter"/>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1."/>
      <w:numFmt w:val="decimal"/>
      <w:start w:val="1"/>
    </w:lvl>
  </w:abstractNum>
  <w:abstractNum w:abstractNumId="130">
    <w:nsid w:val="BFFAE18"/>
    <w:multiLevelType w:val="hybridMultilevel"/>
    <w:lvl w:ilvl="0">
      <w:lvlJc w:val="left"/>
      <w:lvlText w:val="%1."/>
      <w:numFmt w:val="decimal"/>
      <w:start w:val="9"/>
    </w:lvl>
    <w:lvl w:ilvl="1">
      <w:lvlJc w:val="left"/>
      <w:lvlText w:val="*"/>
      <w:numFmt w:val="bullet"/>
      <w:start w:val="1"/>
    </w:lvl>
  </w:abstractNum>
  <w:abstractNum w:abstractNumId="131">
    <w:nsid w:val="E3E47A8"/>
    <w:multiLevelType w:val="hybridMultilevel"/>
    <w:lvl w:ilvl="0">
      <w:lvlJc w:val="left"/>
      <w:lvlText w:val="*"/>
      <w:numFmt w:val="bullet"/>
      <w:start w:val="1"/>
    </w:lvl>
  </w:abstractNum>
  <w:abstractNum w:abstractNumId="132">
    <w:nsid w:val="2E48F044"/>
    <w:multiLevelType w:val="hybridMultilevel"/>
    <w:lvl w:ilvl="0">
      <w:lvlJc w:val="left"/>
      <w:lvlText w:val="o"/>
      <w:numFmt w:val="bullet"/>
      <w:start w:val="1"/>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o"/>
      <w:numFmt w:val="bullet"/>
      <w:start w:val="1"/>
    </w:lvl>
  </w:abstractNum>
  <w:abstractNum w:abstractNumId="135">
    <w:nsid w:val="5551B9F3"/>
    <w:multiLevelType w:val="hybridMultilevel"/>
    <w:lvl w:ilvl="0">
      <w:lvlJc w:val="left"/>
      <w:lvlText w:val="*"/>
      <w:numFmt w:val="bullet"/>
      <w:start w:val="1"/>
    </w:lvl>
  </w:abstractNum>
  <w:abstractNum w:abstractNumId="136">
    <w:nsid w:val="24F6AB8E"/>
    <w:multiLevelType w:val="hybridMultilevel"/>
    <w:lvl w:ilvl="0">
      <w:lvlJc w:val="left"/>
      <w:lvlText w:val="%1."/>
      <w:numFmt w:val="decimal"/>
      <w:start w:val="1"/>
    </w:lvl>
  </w:abstractNum>
  <w:abstractNum w:abstractNumId="137">
    <w:nsid w:val="634C574C"/>
    <w:multiLevelType w:val="hybridMultilevel"/>
    <w:lvl w:ilvl="0">
      <w:lvlJc w:val="left"/>
      <w:lvlText w:val="(%1)"/>
      <w:numFmt w:val="decimal"/>
      <w:start w:val="1"/>
    </w:lvl>
    <w:lvl w:ilvl="1">
      <w:lvlJc w:val="left"/>
      <w:lvlText w:val="(%2)"/>
      <w:numFmt w:val="upperLetter"/>
      <w:start w:val="1"/>
    </w:lvl>
  </w:abstractNum>
  <w:abstractNum w:abstractNumId="138">
    <w:nsid w:val="24E99DD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2020-05-12T15:32:27Z</dcterms:created>
  <dcterms:modified xsi:type="dcterms:W3CDTF">2020-05-12T15:32:27Z</dcterms:modified>
</cp:coreProperties>
</file>