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November 29, 2021</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5520" w:type="dxa"/>
            <w:vAlign w:val="bottom"/>
          </w:tcPr>
          <w:p>
            <w:pPr>
              <w:jc w:val="center"/>
              <w:ind w:left="187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520" w:type="dxa"/>
            <w:vAlign w:val="bottom"/>
          </w:tcPr>
          <w:p>
            <w:pPr>
              <w:jc w:val="center"/>
              <w:ind w:right="283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270"/>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3"/>
              </w:rPr>
              <w:t>Duluth,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66"/>
        </w:trPr>
        <w:tc>
          <w:tcPr>
            <w:tcW w:w="5520" w:type="dxa"/>
            <w:vAlign w:val="bottom"/>
          </w:tcPr>
          <w:p>
            <w:pPr>
              <w:jc w:val="center"/>
              <w:ind w:left="189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3"/>
                <w:szCs w:val="23"/>
                <w:color w:val="auto"/>
              </w:rPr>
            </w:pPr>
          </w:p>
        </w:tc>
      </w:tr>
      <w:tr>
        <w:trPr>
          <w:trHeight w:val="206"/>
        </w:trPr>
        <w:tc>
          <w:tcPr>
            <w:tcW w:w="5520" w:type="dxa"/>
            <w:vAlign w:val="bottom"/>
          </w:tcPr>
          <w:p>
            <w:pPr>
              <w:jc w:val="center"/>
              <w:ind w:left="187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29, 2021, National Vision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that its Board of Directors had authorized an increase from $50 million to $100 million in aggregate amount of shares of the Company’s common stock that may be repurchased under the Company’s current share repurchase program. The full text of the press release is furnished as Exhibit 99.1 to this Current Report on Form 8-K and is incorporated herein by reference.</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Repurchases may be made from time to time in the Company’s discretion through one or more open market or privately negotiated transactions, and pursuant to pre-set trading plans meeting the requirements of all applicable securities laws and regulations. Shares may be repurchased under the program through December 30, 2023. The timing and amounts of any such repurchases will depend on a variety of factors, including the market price of the Company’s shares and general market and economic conditions.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November 29, 2021.</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3000" w:type="dxa"/>
            <w:vAlign w:val="bottom"/>
          </w:tcPr>
          <w:p>
            <w:pPr>
              <w:spacing w:after="0"/>
              <w:rPr>
                <w:sz w:val="20"/>
                <w:szCs w:val="20"/>
                <w:color w:val="auto"/>
              </w:rPr>
            </w:pPr>
            <w:r>
              <w:rPr>
                <w:rFonts w:ascii="Arial" w:cs="Arial" w:eastAsia="Arial" w:hAnsi="Arial"/>
                <w:sz w:val="18"/>
                <w:szCs w:val="18"/>
                <w:color w:val="auto"/>
              </w:rPr>
              <w:t>Date: November 29, 2021</w:t>
            </w:r>
          </w:p>
        </w:tc>
        <w:tc>
          <w:tcPr>
            <w:tcW w:w="2460" w:type="dxa"/>
            <w:vAlign w:val="bottom"/>
          </w:tcPr>
          <w:p>
            <w:pPr>
              <w:ind w:left="11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3000" w:type="dxa"/>
            <w:vAlign w:val="bottom"/>
          </w:tcPr>
          <w:p>
            <w:pPr>
              <w:spacing w:after="0"/>
              <w:rPr>
                <w:sz w:val="19"/>
                <w:szCs w:val="19"/>
                <w:color w:val="auto"/>
              </w:rPr>
            </w:pPr>
          </w:p>
        </w:tc>
        <w:tc>
          <w:tcPr>
            <w:tcW w:w="2460" w:type="dxa"/>
            <w:vAlign w:val="bottom"/>
          </w:tcPr>
          <w:p>
            <w:pPr>
              <w:ind w:left="112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3000" w:type="dxa"/>
            <w:vAlign w:val="bottom"/>
          </w:tcPr>
          <w:p>
            <w:pPr>
              <w:spacing w:after="0"/>
              <w:rPr>
                <w:sz w:val="20"/>
                <w:szCs w:val="20"/>
                <w:color w:val="auto"/>
              </w:rPr>
            </w:pPr>
          </w:p>
        </w:tc>
        <w:tc>
          <w:tcPr>
            <w:tcW w:w="2460" w:type="dxa"/>
            <w:vAlign w:val="bottom"/>
          </w:tcPr>
          <w:p>
            <w:pPr>
              <w:ind w:left="112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08685"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86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National Vision Holdings, Inc. Increases Share Repurchase Authorization to $100 Million</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Duluth, Ga., (November 29, 2021) </w:t>
      </w:r>
      <w:r>
        <w:rPr>
          <w:rFonts w:ascii="Arial" w:cs="Arial" w:eastAsia="Arial" w:hAnsi="Arial"/>
          <w:sz w:val="20"/>
          <w:szCs w:val="20"/>
          <w:color w:val="auto"/>
        </w:rPr>
        <w:t>-- National Vision Holdings, Inc. (NASDAQ: EYE) (“National Vision” or the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its Board of Directors has authorized an increase by $50 million to $100 million in the Company’s share repurchase program. Since the original $50 million program was authorized on November 8, 2021, approximately 1.0 million shares have been repurchased for a total consideration of $48.4 million.</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Reade Fahs, chief executive officer, stated, “The share repurchase authorization was initially established with the principal intent of offsetting share dilution related to equity grants. Although that objective remains, we also believe that the current share price offers the Company the ability to purchase shares at an attractive price which will benefit our long-term stockholders. We remain confident in our business model, and our ability to continue to generate strong cash flows and deliver sustainable growth.”</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Board’s authorization permits the Company to make purchases of its Common Stock from time to time in the open market or privately negotiated transactions, and pursuant to pre-set trading plans meeting the requirements of all applicable securities laws and regulations. Shares may be repurchased under the program through December 30, 2023. The timing and amounts of any such repurchases will depend on a variety of factors, including the market price of the Company’s shares and general market and economic conditions. The Company expects to fund the share repurchases using cash on hand.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National Vision Holdings, Inc.</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National Vision Holdings, Inc. is the second largest optical retail company in the United States (by sales) with more than 1,200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 For more information, please visit www.nationalvision.com.</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(the “Securities Act”) and Section 21E of the Securities Exchange Act of 1934. These statements include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w:t>
      </w:r>
    </w:p>
    <w:p>
      <w:pPr>
        <w:sectPr>
          <w:pgSz w:w="11900" w:h="16838" w:orient="portrait"/>
          <w:cols w:equalWidth="0" w:num="1">
            <w:col w:w="11240"/>
          </w:cols>
          <w:pgMar w:left="320" w:top="1399"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9"/>
          <w:szCs w:val="19"/>
          <w:color w:val="auto"/>
        </w:rPr>
        <w:t>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Information about factors that could cause National Vision’s results to differ materially from those described in the forward-looking statements can be found in filings by National Vision with the Securities and Exchange Commission (“SEC”), including our latest Annual Report on Form 10-K, our Quarterly Report on Form 10-Q filed on November 10, 2021,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National Vision Holdings, Inc.</w:t>
      </w:r>
    </w:p>
    <w:p>
      <w:pPr>
        <w:spacing w:after="0" w:line="197" w:lineRule="auto"/>
        <w:rPr>
          <w:sz w:val="20"/>
          <w:szCs w:val="20"/>
          <w:color w:val="auto"/>
        </w:rPr>
      </w:pPr>
      <w:r>
        <w:rPr>
          <w:rFonts w:ascii="Arial" w:cs="Arial" w:eastAsia="Arial" w:hAnsi="Arial"/>
          <w:sz w:val="20"/>
          <w:szCs w:val="20"/>
          <w:color w:val="auto"/>
        </w:rPr>
        <w:t>David Mann, Vice President of Investor Relations</w:t>
      </w:r>
    </w:p>
    <w:p>
      <w:pPr>
        <w:ind w:right="8100" w:firstLine="8"/>
        <w:spacing w:after="0" w:line="250" w:lineRule="auto"/>
        <w:tabs>
          <w:tab w:leader="none" w:pos="478" w:val="left"/>
        </w:tabs>
        <w:numPr>
          <w:ilvl w:val="0"/>
          <w:numId w:val="3"/>
        </w:numPr>
        <w:rPr>
          <w:rFonts w:ascii="Arial" w:cs="Arial" w:eastAsia="Arial" w:hAnsi="Arial"/>
          <w:sz w:val="18"/>
          <w:szCs w:val="18"/>
          <w:color w:val="auto"/>
        </w:rPr>
      </w:pPr>
      <w:r>
        <w:rPr>
          <w:rFonts w:ascii="Arial" w:cs="Arial" w:eastAsia="Arial" w:hAnsi="Arial"/>
          <w:sz w:val="18"/>
          <w:szCs w:val="18"/>
          <w:color w:val="auto"/>
        </w:rPr>
        <w:t>448-2448 Investor.Relations@nationalvision.com</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Racheal Peters, Manager of External Communications</w:t>
      </w:r>
    </w:p>
    <w:p>
      <w:pPr>
        <w:ind w:right="9040" w:firstLine="8"/>
        <w:spacing w:after="0" w:line="250" w:lineRule="auto"/>
        <w:tabs>
          <w:tab w:leader="none" w:pos="478" w:val="left"/>
        </w:tabs>
        <w:numPr>
          <w:ilvl w:val="0"/>
          <w:numId w:val="4"/>
        </w:numPr>
        <w:rPr>
          <w:rFonts w:ascii="Arial" w:cs="Arial" w:eastAsia="Arial" w:hAnsi="Arial"/>
          <w:sz w:val="18"/>
          <w:szCs w:val="18"/>
          <w:color w:val="auto"/>
        </w:rPr>
      </w:pPr>
      <w:r>
        <w:rPr>
          <w:rFonts w:ascii="Arial" w:cs="Arial" w:eastAsia="Arial" w:hAnsi="Arial"/>
          <w:sz w:val="18"/>
          <w:szCs w:val="18"/>
          <w:color w:val="auto"/>
        </w:rPr>
        <w:t>448-2303 Media@nationalvision.com</w:t>
      </w:r>
    </w:p>
    <w:sectPr>
      <w:pgSz w:w="11900" w:h="16838" w:orient="portrait"/>
      <w:cols w:equalWidth="0" w:num="1">
        <w:col w:w="11240"/>
      </w:cols>
      <w:pgMar w:left="320"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470"/>
    </w:lvl>
  </w:abstractNum>
  <w:abstractNum w:abstractNumId="3">
    <w:nsid w:val="625558EC"/>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2021-11-29T15:13:00Z</dcterms:created>
  <dcterms:modified xsi:type="dcterms:W3CDTF">2021-11-29T15:13:00Z</dcterms:modified>
</cp:coreProperties>
</file>