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2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22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National Vision Holdings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63845R107</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2019</w:t>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right="320"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firstLine="216"/>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68"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63845R107</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27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539" w:hanging="212"/>
        <w:spacing w:after="0" w:line="514" w:lineRule="auto"/>
        <w:tabs>
          <w:tab w:leader="none" w:pos="217"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23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164,852</w:t>
      </w:r>
    </w:p>
    <w:p>
      <w:pPr>
        <w:ind w:left="220" w:right="797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18,886</w:t>
      </w:r>
    </w:p>
    <w:p>
      <w:pPr>
        <w:ind w:left="220" w:right="785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6,994,690</w:t>
      </w:r>
    </w:p>
    <w:p>
      <w:pPr>
        <w:ind w:left="220" w:right="759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173,718</w:t>
      </w:r>
    </w:p>
    <w:p>
      <w:pPr>
        <w:ind w:left="220" w:right="3779" w:hanging="212"/>
        <w:spacing w:after="0" w:line="514"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7,168,408</w:t>
      </w:r>
    </w:p>
    <w:p>
      <w:pPr>
        <w:ind w:left="220" w:right="3199" w:hanging="212"/>
        <w:spacing w:after="0" w:line="514"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9.06%</w:t>
      </w:r>
    </w:p>
    <w:p>
      <w:pPr>
        <w:spacing w:after="0" w:line="223" w:lineRule="exact"/>
        <w:rPr>
          <w:sz w:val="20"/>
          <w:szCs w:val="20"/>
          <w:color w:val="auto"/>
        </w:rPr>
      </w:pPr>
    </w:p>
    <w:p>
      <w:pPr>
        <w:ind w:left="220" w:right="753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National Vision Holdings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2435 Commerce Ave.</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Building 2200</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Duluth, Georgia 30096</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63845R107</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879" w:hanging="126"/>
        <w:spacing w:after="0" w:line="514"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7,168,408</w:t>
      </w: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164,852</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18,886</w:t>
      </w:r>
    </w:p>
    <w:p>
      <w:pPr>
        <w:spacing w:after="0" w:line="223" w:lineRule="exact"/>
        <w:rPr>
          <w:rFonts w:ascii="Arial" w:cs="Arial" w:eastAsia="Arial" w:hAnsi="Arial"/>
          <w:sz w:val="17"/>
          <w:szCs w:val="17"/>
          <w:color w:val="auto"/>
        </w:rPr>
      </w:pPr>
    </w:p>
    <w:p>
      <w:pPr>
        <w:ind w:left="220" w:right="626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6,994,690 (iv) shared power to dispose or to direct the disposition of: 173,718</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right="120"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10, 2020</w:t>
      </w: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689"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23"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154,832 shares or 0.19% of the Common Stock outstanding of the Company as a result of its serving as investment manager of collective trust accounts.</w:t>
      </w:r>
    </w:p>
    <w:p>
      <w:pPr>
        <w:spacing w:after="0" w:line="175"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28,906 shares or 0.03% of the Common Stock outstanding of the Company as a result of its serving as investment manager of Australian investment offerings.</w:t>
      </w:r>
    </w:p>
    <w:sectPr>
      <w:pgSz w:w="11900" w:h="16838" w:orient="portrait"/>
      <w:cols w:equalWidth="0" w:num="1">
        <w:col w:w="11200"/>
      </w:cols>
      <w:pgMar w:left="240" w:top="68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2020-02-12T07:06:17Z</dcterms:created>
  <dcterms:modified xsi:type="dcterms:W3CDTF">2020-02-12T07:06:17Z</dcterms:modified>
</cp:coreProperties>
</file>