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63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30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0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03/02/2023</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7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1,531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11,154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70"/>
              <w:spacing w:after="0"/>
              <w:rPr>
                <w:sz w:val="20"/>
                <w:szCs w:val="20"/>
                <w:color w:val="auto"/>
              </w:rPr>
            </w:pPr>
            <w:r>
              <w:rPr>
                <w:rFonts w:ascii="Arial" w:cs="Arial" w:eastAsia="Arial" w:hAnsi="Arial"/>
                <w:sz w:val="17"/>
                <w:szCs w:val="17"/>
                <w:color w:val="0000FF"/>
                <w:w w:val="84"/>
              </w:rPr>
              <w:t>527</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Arial" w:cs="Arial" w:eastAsia="Arial" w:hAnsi="Arial"/>
                <w:sz w:val="17"/>
                <w:szCs w:val="17"/>
                <w:color w:val="0000FF"/>
              </w:rPr>
              <w:t>10,627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2,486</w:t>
            </w:r>
            <w:r>
              <w:rPr>
                <w:rFonts w:ascii="Arial" w:cs="Arial" w:eastAsia="Arial" w:hAnsi="Arial"/>
                <w:sz w:val="21"/>
                <w:szCs w:val="21"/>
                <w:color w:val="008000"/>
                <w:w w:val="87"/>
                <w:vertAlign w:val="superscript"/>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(4)</w:t>
            </w:r>
          </w:p>
        </w:tc>
        <w:tc>
          <w:tcPr>
            <w:tcW w:w="13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13,113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70"/>
              <w:spacing w:after="0"/>
              <w:rPr>
                <w:sz w:val="20"/>
                <w:szCs w:val="20"/>
                <w:color w:val="auto"/>
              </w:rPr>
            </w:pPr>
            <w:r>
              <w:rPr>
                <w:rFonts w:ascii="Arial" w:cs="Arial" w:eastAsia="Arial" w:hAnsi="Arial"/>
                <w:sz w:val="17"/>
                <w:szCs w:val="17"/>
                <w:color w:val="0000FF"/>
                <w:w w:val="84"/>
              </w:rPr>
              <w:t>881</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
              <w:spacing w:after="0"/>
              <w:rPr>
                <w:sz w:val="20"/>
                <w:szCs w:val="20"/>
                <w:color w:val="auto"/>
              </w:rPr>
            </w:pPr>
            <w:r>
              <w:rPr>
                <w:rFonts w:ascii="Arial" w:cs="Arial" w:eastAsia="Arial" w:hAnsi="Arial"/>
                <w:sz w:val="11"/>
                <w:szCs w:val="11"/>
                <w:color w:val="008000"/>
              </w:rPr>
              <w:t>(5)</w:t>
            </w:r>
          </w:p>
        </w:tc>
        <w:tc>
          <w:tcPr>
            <w:tcW w:w="4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Arial" w:cs="Arial" w:eastAsia="Arial" w:hAnsi="Arial"/>
                <w:sz w:val="17"/>
                <w:szCs w:val="17"/>
                <w:color w:val="0000FF"/>
              </w:rPr>
              <w:t>12,232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(6)</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03/02/2023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1,531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6,448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5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1,531 restricted stock units vested and 527 shares of the Company's common stock were withheld to satisfy tax withholding obligations. The closing price on March 2, 2023 of the Company's common stock on NASDAQ was $22.88 per share.</w:t>
      </w:r>
    </w:p>
    <w:p>
      <w:pPr>
        <w:spacing w:after="0" w:line="24"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earned by the reporting person pursuant to certain performance restricted stock units (the "PSUs"), which were granted to the reporting person on February 28, 2020. The PSUs were earned based on the attainment of certain performance metrics, which performance metrics were certified by the Compensation Committee of the Board of Directors of the Company on March 2, 2023.</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restricted stock unit represents a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2,486 PSUs vested and 881 shares of the Company's common stock were withheld to satisfy tax withholding obligations. The closing price on March 2, 2023 of the Company's common stock on NASDAQ was $22.88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2022, the reporting person was granted 4,594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03/06/2023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2023-03-06T16:56:18Z</dcterms:created>
  <dcterms:modified xsi:type="dcterms:W3CDTF">2023-03-06T16:56:18Z</dcterms:modified>
</cp:coreProperties>
</file>