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03/05/2022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319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7,430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0000FF"/>
              </w:rPr>
              <w:t>97</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Arial" w:cs="Arial" w:eastAsia="Arial" w:hAnsi="Arial"/>
                <w:sz w:val="17"/>
                <w:szCs w:val="17"/>
                <w:color w:val="0000FF"/>
              </w:rPr>
              <w:t>7,333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03/05/2022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319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11,106</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3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2022, 319 restricted stock units vested and 97 shares of the Company's common stock were withheld to satisfy tax withholding obligations. The closing price on March 4, 2022 (as March 5, 2022 fell on a weekend) of the Company's common stock on NASDAQ was $38.55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959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03/08/2022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2022-03-08T15:50:03Z</dcterms:created>
  <dcterms:modified xsi:type="dcterms:W3CDTF">2022-03-08T15:50:03Z</dcterms:modified>
</cp:coreProperties>
</file>