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333-228382</w:t>
      </w:r>
    </w:p>
    <w:p>
      <w:pPr>
        <w:spacing w:after="0" w:line="207" w:lineRule="exact"/>
        <w:rPr>
          <w:sz w:val="24"/>
          <w:szCs w:val="24"/>
          <w:color w:val="auto"/>
        </w:rPr>
      </w:pPr>
    </w:p>
    <w:p>
      <w:pPr>
        <w:jc w:val="center"/>
        <w:ind w:right="-6"/>
        <w:spacing w:after="0"/>
        <w:rPr>
          <w:sz w:val="20"/>
          <w:szCs w:val="20"/>
          <w:color w:val="auto"/>
        </w:rPr>
      </w:pPr>
      <w:r>
        <w:rPr>
          <w:rFonts w:ascii="Arial" w:cs="Arial" w:eastAsia="Arial" w:hAnsi="Arial"/>
          <w:sz w:val="18"/>
          <w:szCs w:val="18"/>
          <w:b w:val="1"/>
          <w:bCs w:val="1"/>
          <w:color w:val="auto"/>
        </w:rPr>
        <w:t>CALCULATION OF REGISTRATION FEE</w:t>
      </w:r>
    </w:p>
    <w:p>
      <w:pPr>
        <w:spacing w:after="0" w:line="115" w:lineRule="exact"/>
        <w:rPr>
          <w:sz w:val="24"/>
          <w:szCs w:val="24"/>
          <w:color w:val="auto"/>
        </w:rPr>
      </w:pPr>
    </w:p>
    <w:tbl>
      <w:tblPr>
        <w:tblLayout w:type="fixed"/>
        <w:tblInd w:w="7"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4020" w:type="dxa"/>
            <w:vAlign w:val="bottom"/>
            <w:tcBorders>
              <w:top w:val="single" w:sz="8" w:color="auto"/>
              <w:bottom w:val="single" w:sz="8" w:color="auto"/>
              <w:right w:val="single" w:sz="8" w:color="auto"/>
            </w:tcBorders>
          </w:tcPr>
          <w:p>
            <w:pPr>
              <w:spacing w:after="0"/>
              <w:rPr>
                <w:sz w:val="3"/>
                <w:szCs w:val="3"/>
                <w:color w:val="auto"/>
              </w:rPr>
            </w:pPr>
          </w:p>
        </w:tc>
        <w:tc>
          <w:tcPr>
            <w:tcW w:w="1420" w:type="dxa"/>
            <w:vAlign w:val="bottom"/>
            <w:tcBorders>
              <w:top w:val="single" w:sz="8" w:color="auto"/>
              <w:bottom w:val="single" w:sz="8" w:color="auto"/>
              <w:right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220" w:type="dxa"/>
            <w:vAlign w:val="bottom"/>
            <w:tcBorders>
              <w:top w:val="single" w:sz="8" w:color="auto"/>
              <w:bottom w:val="single" w:sz="8" w:color="auto"/>
              <w:right w:val="single" w:sz="8" w:color="auto"/>
            </w:tcBorders>
          </w:tcPr>
          <w:p>
            <w:pPr>
              <w:spacing w:after="0"/>
              <w:rPr>
                <w:sz w:val="3"/>
                <w:szCs w:val="3"/>
                <w:color w:val="auto"/>
              </w:rPr>
            </w:pPr>
          </w:p>
        </w:tc>
        <w:tc>
          <w:tcPr>
            <w:tcW w:w="1420" w:type="dxa"/>
            <w:vAlign w:val="bottom"/>
            <w:tcBorders>
              <w:top w:val="single" w:sz="8" w:color="auto"/>
              <w:bottom w:val="single" w:sz="8" w:color="auto"/>
              <w:right w:val="single" w:sz="8" w:color="auto"/>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r>
      <w:tr>
        <w:trPr>
          <w:trHeight w:val="119"/>
        </w:trPr>
        <w:tc>
          <w:tcPr>
            <w:tcW w:w="20" w:type="dxa"/>
            <w:vAlign w:val="bottom"/>
          </w:tcPr>
          <w:p>
            <w:pPr>
              <w:spacing w:after="0"/>
              <w:rPr>
                <w:sz w:val="10"/>
                <w:szCs w:val="10"/>
                <w:color w:val="auto"/>
              </w:rPr>
            </w:pPr>
          </w:p>
        </w:tc>
        <w:tc>
          <w:tcPr>
            <w:tcW w:w="402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Borders>
              <w:right w:val="single" w:sz="8" w:color="auto"/>
            </w:tcBorders>
          </w:tcPr>
          <w:p>
            <w:pPr>
              <w:jc w:val="center"/>
              <w:ind w:right="166"/>
              <w:spacing w:after="0" w:line="119" w:lineRule="exact"/>
              <w:rPr>
                <w:sz w:val="20"/>
                <w:szCs w:val="20"/>
                <w:color w:val="auto"/>
              </w:rPr>
            </w:pPr>
            <w:r>
              <w:rPr>
                <w:rFonts w:ascii="Arial" w:cs="Arial" w:eastAsia="Arial" w:hAnsi="Arial"/>
                <w:sz w:val="13"/>
                <w:szCs w:val="13"/>
                <w:b w:val="1"/>
                <w:bCs w:val="1"/>
                <w:color w:val="auto"/>
                <w:w w:val="96"/>
              </w:rPr>
              <w:t>Proposed</w:t>
            </w:r>
          </w:p>
        </w:tc>
        <w:tc>
          <w:tcPr>
            <w:tcW w:w="1420" w:type="dxa"/>
            <w:vAlign w:val="bottom"/>
            <w:tcBorders>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Proposed</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62"/>
        </w:trPr>
        <w:tc>
          <w:tcPr>
            <w:tcW w:w="20" w:type="dxa"/>
            <w:vAlign w:val="bottom"/>
          </w:tcPr>
          <w:p>
            <w:pPr>
              <w:spacing w:after="0"/>
              <w:rPr>
                <w:sz w:val="14"/>
                <w:szCs w:val="14"/>
                <w:color w:val="auto"/>
              </w:rPr>
            </w:pPr>
          </w:p>
        </w:tc>
        <w:tc>
          <w:tcPr>
            <w:tcW w:w="4020" w:type="dxa"/>
            <w:vAlign w:val="bottom"/>
            <w:tcBorders>
              <w:right w:val="single" w:sz="8" w:color="auto"/>
            </w:tcBorders>
          </w:tcPr>
          <w:p>
            <w:pPr>
              <w:spacing w:after="0"/>
              <w:rPr>
                <w:sz w:val="14"/>
                <w:szCs w:val="14"/>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220" w:type="dxa"/>
            <w:vAlign w:val="bottom"/>
            <w:tcBorders>
              <w:right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w w:val="99"/>
              </w:rPr>
              <w:t>Maximum</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220" w:type="dxa"/>
            <w:vAlign w:val="bottom"/>
          </w:tcPr>
          <w:p>
            <w:pPr>
              <w:spacing w:after="0"/>
              <w:rPr>
                <w:sz w:val="14"/>
                <w:szCs w:val="14"/>
                <w:color w:val="auto"/>
              </w:rPr>
            </w:pPr>
          </w:p>
        </w:tc>
        <w:tc>
          <w:tcPr>
            <w:tcW w:w="1040" w:type="dxa"/>
            <w:vAlign w:val="bottom"/>
          </w:tcPr>
          <w:p>
            <w:pPr>
              <w:jc w:val="center"/>
              <w:ind w:right="103"/>
              <w:spacing w:after="0"/>
              <w:rPr>
                <w:sz w:val="20"/>
                <w:szCs w:val="20"/>
                <w:color w:val="auto"/>
              </w:rPr>
            </w:pPr>
            <w:r>
              <w:rPr>
                <w:rFonts w:ascii="Arial" w:cs="Arial" w:eastAsia="Arial" w:hAnsi="Arial"/>
                <w:sz w:val="14"/>
                <w:szCs w:val="14"/>
                <w:b w:val="1"/>
                <w:bCs w:val="1"/>
                <w:color w:val="auto"/>
                <w:w w:val="94"/>
              </w:rPr>
              <w:t>Amount of</w:t>
            </w:r>
          </w:p>
        </w:tc>
      </w:tr>
      <w:tr>
        <w:trPr>
          <w:trHeight w:val="145"/>
        </w:trPr>
        <w:tc>
          <w:tcPr>
            <w:tcW w:w="20" w:type="dxa"/>
            <w:vAlign w:val="bottom"/>
          </w:tcPr>
          <w:p>
            <w:pPr>
              <w:spacing w:after="0"/>
              <w:rPr>
                <w:sz w:val="12"/>
                <w:szCs w:val="12"/>
                <w:color w:val="auto"/>
              </w:rPr>
            </w:pPr>
          </w:p>
        </w:tc>
        <w:tc>
          <w:tcPr>
            <w:tcW w:w="4020" w:type="dxa"/>
            <w:vAlign w:val="bottom"/>
            <w:tcBorders>
              <w:right w:val="single" w:sz="8" w:color="auto"/>
            </w:tcBorders>
          </w:tcPr>
          <w:p>
            <w:pPr>
              <w:jc w:val="center"/>
              <w:ind w:right="22"/>
              <w:spacing w:after="0" w:line="145" w:lineRule="exact"/>
              <w:rPr>
                <w:sz w:val="20"/>
                <w:szCs w:val="20"/>
                <w:color w:val="auto"/>
              </w:rPr>
            </w:pPr>
            <w:r>
              <w:rPr>
                <w:rFonts w:ascii="Arial" w:cs="Arial" w:eastAsia="Arial" w:hAnsi="Arial"/>
                <w:sz w:val="14"/>
                <w:szCs w:val="14"/>
                <w:b w:val="1"/>
                <w:bCs w:val="1"/>
                <w:color w:val="auto"/>
                <w:w w:val="93"/>
              </w:rPr>
              <w:t>Title of Each Class of</w:t>
            </w:r>
          </w:p>
        </w:tc>
        <w:tc>
          <w:tcPr>
            <w:tcW w:w="14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89"/>
              </w:rPr>
              <w:t>to be</w:t>
            </w:r>
          </w:p>
        </w:tc>
        <w:tc>
          <w:tcPr>
            <w:tcW w:w="200" w:type="dxa"/>
            <w:vAlign w:val="bottom"/>
          </w:tcPr>
          <w:p>
            <w:pPr>
              <w:spacing w:after="0"/>
              <w:rPr>
                <w:sz w:val="12"/>
                <w:szCs w:val="12"/>
                <w:color w:val="auto"/>
              </w:rPr>
            </w:pPr>
          </w:p>
        </w:tc>
        <w:tc>
          <w:tcPr>
            <w:tcW w:w="1220" w:type="dxa"/>
            <w:vAlign w:val="bottom"/>
            <w:tcBorders>
              <w:right w:val="single" w:sz="8" w:color="auto"/>
            </w:tcBorders>
          </w:tcPr>
          <w:p>
            <w:pPr>
              <w:jc w:val="center"/>
              <w:ind w:right="146"/>
              <w:spacing w:after="0" w:line="145" w:lineRule="exact"/>
              <w:rPr>
                <w:sz w:val="20"/>
                <w:szCs w:val="20"/>
                <w:color w:val="auto"/>
              </w:rPr>
            </w:pPr>
            <w:r>
              <w:rPr>
                <w:rFonts w:ascii="Arial" w:cs="Arial" w:eastAsia="Arial" w:hAnsi="Arial"/>
                <w:sz w:val="14"/>
                <w:szCs w:val="14"/>
                <w:b w:val="1"/>
                <w:bCs w:val="1"/>
                <w:color w:val="auto"/>
                <w:w w:val="94"/>
              </w:rPr>
              <w:t>Offering Price</w:t>
            </w:r>
          </w:p>
        </w:tc>
        <w:tc>
          <w:tcPr>
            <w:tcW w:w="14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2"/>
              </w:rPr>
              <w:t>Aggregate Offering</w:t>
            </w:r>
          </w:p>
        </w:tc>
        <w:tc>
          <w:tcPr>
            <w:tcW w:w="220" w:type="dxa"/>
            <w:vAlign w:val="bottom"/>
          </w:tcPr>
          <w:p>
            <w:pPr>
              <w:spacing w:after="0"/>
              <w:rPr>
                <w:sz w:val="12"/>
                <w:szCs w:val="12"/>
                <w:color w:val="auto"/>
              </w:rPr>
            </w:pPr>
          </w:p>
        </w:tc>
        <w:tc>
          <w:tcPr>
            <w:tcW w:w="1040" w:type="dxa"/>
            <w:vAlign w:val="bottom"/>
          </w:tcPr>
          <w:p>
            <w:pPr>
              <w:jc w:val="center"/>
              <w:ind w:right="123"/>
              <w:spacing w:after="0" w:line="145" w:lineRule="exact"/>
              <w:rPr>
                <w:sz w:val="20"/>
                <w:szCs w:val="20"/>
                <w:color w:val="auto"/>
              </w:rPr>
            </w:pPr>
            <w:r>
              <w:rPr>
                <w:rFonts w:ascii="Arial" w:cs="Arial" w:eastAsia="Arial" w:hAnsi="Arial"/>
                <w:sz w:val="14"/>
                <w:szCs w:val="14"/>
                <w:b w:val="1"/>
                <w:bCs w:val="1"/>
                <w:color w:val="auto"/>
                <w:w w:val="92"/>
              </w:rPr>
              <w:t>Registration</w:t>
            </w:r>
          </w:p>
        </w:tc>
      </w:tr>
      <w:tr>
        <w:trPr>
          <w:trHeight w:val="202"/>
        </w:trPr>
        <w:tc>
          <w:tcPr>
            <w:tcW w:w="20" w:type="dxa"/>
            <w:vAlign w:val="bottom"/>
          </w:tcPr>
          <w:p>
            <w:pPr>
              <w:spacing w:after="0"/>
              <w:rPr>
                <w:sz w:val="17"/>
                <w:szCs w:val="17"/>
                <w:color w:val="auto"/>
              </w:rPr>
            </w:pPr>
          </w:p>
        </w:tc>
        <w:tc>
          <w:tcPr>
            <w:tcW w:w="4020" w:type="dxa"/>
            <w:vAlign w:val="bottom"/>
            <w:tcBorders>
              <w:bottom w:val="single" w:sz="8" w:color="auto"/>
              <w:right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0"/>
              </w:rPr>
              <w:t>Securities to be Registered</w:t>
            </w:r>
          </w:p>
        </w:tc>
        <w:tc>
          <w:tcPr>
            <w:tcW w:w="142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5"/>
              </w:rPr>
              <w:t>Registered</w:t>
            </w:r>
            <w:r>
              <w:rPr>
                <w:rFonts w:ascii="Arial" w:cs="Arial" w:eastAsia="Arial" w:hAnsi="Arial"/>
                <w:sz w:val="23"/>
                <w:szCs w:val="23"/>
                <w:b w:val="1"/>
                <w:bCs w:val="1"/>
                <w:color w:val="auto"/>
                <w:w w:val="85"/>
                <w:vertAlign w:val="superscript"/>
              </w:rPr>
              <w:t>(1)</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jc w:val="center"/>
              <w:ind w:right="166"/>
              <w:spacing w:after="0" w:line="202" w:lineRule="exact"/>
              <w:rPr>
                <w:sz w:val="20"/>
                <w:szCs w:val="20"/>
                <w:color w:val="auto"/>
              </w:rPr>
            </w:pPr>
            <w:r>
              <w:rPr>
                <w:rFonts w:ascii="Arial" w:cs="Arial" w:eastAsia="Arial" w:hAnsi="Arial"/>
                <w:sz w:val="14"/>
                <w:szCs w:val="14"/>
                <w:b w:val="1"/>
                <w:bCs w:val="1"/>
                <w:color w:val="auto"/>
                <w:w w:val="88"/>
              </w:rPr>
              <w:t>per Share</w:t>
            </w:r>
            <w:r>
              <w:rPr>
                <w:rFonts w:ascii="Arial" w:cs="Arial" w:eastAsia="Arial" w:hAnsi="Arial"/>
                <w:sz w:val="23"/>
                <w:szCs w:val="23"/>
                <w:b w:val="1"/>
                <w:bCs w:val="1"/>
                <w:color w:val="auto"/>
                <w:w w:val="88"/>
                <w:vertAlign w:val="superscript"/>
              </w:rPr>
              <w:t>(1)</w:t>
            </w:r>
          </w:p>
        </w:tc>
        <w:tc>
          <w:tcPr>
            <w:tcW w:w="142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6"/>
              </w:rPr>
              <w:t>Price</w:t>
            </w:r>
            <w:r>
              <w:rPr>
                <w:rFonts w:ascii="Arial" w:cs="Arial" w:eastAsia="Arial" w:hAnsi="Arial"/>
                <w:sz w:val="23"/>
                <w:szCs w:val="23"/>
                <w:b w:val="1"/>
                <w:bCs w:val="1"/>
                <w:color w:val="auto"/>
                <w:w w:val="86"/>
                <w:vertAlign w:val="superscript"/>
              </w:rPr>
              <w:t>(1)</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0"/>
              </w:rPr>
              <w:t>Fee</w:t>
            </w:r>
          </w:p>
        </w:tc>
      </w:tr>
      <w:tr>
        <w:trPr>
          <w:trHeight w:val="230"/>
        </w:trPr>
        <w:tc>
          <w:tcPr>
            <w:tcW w:w="20" w:type="dxa"/>
            <w:vAlign w:val="bottom"/>
            <w:tcBorders>
              <w:bottom w:val="single" w:sz="8" w:color="auto"/>
            </w:tcBorders>
          </w:tcPr>
          <w:p>
            <w:pPr>
              <w:spacing w:after="0"/>
              <w:rPr>
                <w:sz w:val="20"/>
                <w:szCs w:val="20"/>
                <w:color w:val="auto"/>
              </w:rPr>
            </w:pPr>
          </w:p>
        </w:tc>
        <w:tc>
          <w:tcPr>
            <w:tcW w:w="4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$0.01 per share</w:t>
            </w:r>
          </w:p>
        </w:tc>
        <w:tc>
          <w:tcPr>
            <w:tcW w:w="142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18"/>
                <w:szCs w:val="18"/>
                <w:color w:val="auto"/>
              </w:rPr>
              <w:t>12,500,000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8"/>
                <w:szCs w:val="18"/>
                <w:color w:val="auto"/>
              </w:rPr>
              <w:t>41.01</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   512,625,000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62,130.15</w:t>
            </w:r>
          </w:p>
        </w:tc>
      </w:tr>
      <w:tr>
        <w:trPr>
          <w:trHeight w:val="94"/>
        </w:trPr>
        <w:tc>
          <w:tcPr>
            <w:tcW w:w="20" w:type="dxa"/>
            <w:vAlign w:val="bottom"/>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r>
    </w:tbl>
    <w:p>
      <w:pPr>
        <w:spacing w:after="0" w:line="211" w:lineRule="exact"/>
        <w:rPr>
          <w:sz w:val="24"/>
          <w:szCs w:val="24"/>
          <w:color w:val="auto"/>
        </w:rPr>
      </w:pPr>
    </w:p>
    <w:p>
      <w:pPr>
        <w:ind w:left="347" w:hanging="347"/>
        <w:spacing w:after="0" w:line="257" w:lineRule="auto"/>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determining the amount of the registration fee in accordance with Rule 457(c) under the Securities Act of 1933, as amended. The proposed maximum offering price per share and proposed maximum aggregate offering price are based on the average high and low prices of the Registrant’s common stock on November 13, 2018 as reported on the NASDAQ Global Select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266700</wp:posOffset>
            </wp:positionV>
            <wp:extent cx="607187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38" w:right="1159" w:bottom="1440" w:gutter="0" w:footer="0" w:header="0"/>
        </w:sectPr>
      </w:pPr>
    </w:p>
    <w:bookmarkStart w:id="1" w:name="page2"/>
    <w:bookmarkEnd w:id="1"/>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PROSPECTUS SUPPLEMENT</w:t>
      </w:r>
    </w:p>
    <w:p>
      <w:pPr>
        <w:spacing w:after="0" w:line="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(To Prospectus dated November 14, 2018)</w:t>
      </w:r>
    </w:p>
    <w:p>
      <w:pPr>
        <w:spacing w:after="0" w:line="232" w:lineRule="exact"/>
        <w:rPr>
          <w:sz w:val="20"/>
          <w:szCs w:val="20"/>
          <w:color w:val="auto"/>
        </w:rPr>
      </w:pPr>
    </w:p>
    <w:p>
      <w:pPr>
        <w:jc w:val="center"/>
        <w:ind w:right="-6"/>
        <w:spacing w:after="0"/>
        <w:rPr>
          <w:sz w:val="20"/>
          <w:szCs w:val="20"/>
          <w:color w:val="auto"/>
        </w:rPr>
      </w:pPr>
      <w:r>
        <w:rPr>
          <w:rFonts w:ascii="Arial" w:cs="Arial" w:eastAsia="Arial" w:hAnsi="Arial"/>
          <w:sz w:val="29"/>
          <w:szCs w:val="29"/>
          <w:b w:val="1"/>
          <w:bCs w:val="1"/>
          <w:color w:val="auto"/>
        </w:rPr>
        <w:t>12,500,000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194310</wp:posOffset>
            </wp:positionV>
            <wp:extent cx="1620520" cy="1243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052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6"/>
        <w:spacing w:after="0"/>
        <w:rPr>
          <w:sz w:val="20"/>
          <w:szCs w:val="20"/>
          <w:color w:val="auto"/>
        </w:rPr>
      </w:pPr>
      <w:r>
        <w:rPr>
          <w:rFonts w:ascii="Arial" w:cs="Arial" w:eastAsia="Arial" w:hAnsi="Arial"/>
          <w:sz w:val="32"/>
          <w:szCs w:val="32"/>
          <w:b w:val="1"/>
          <w:bCs w:val="1"/>
          <w:color w:val="auto"/>
        </w:rPr>
        <w:t>National Vision Holdings, Inc.</w:t>
      </w:r>
    </w:p>
    <w:p>
      <w:pPr>
        <w:jc w:val="center"/>
        <w:ind w:right="-6"/>
        <w:spacing w:after="0"/>
        <w:rPr>
          <w:sz w:val="20"/>
          <w:szCs w:val="20"/>
          <w:color w:val="auto"/>
        </w:rPr>
      </w:pPr>
      <w:r>
        <w:rPr>
          <w:rFonts w:ascii="Arial" w:cs="Arial" w:eastAsia="Arial" w:hAnsi="Arial"/>
          <w:sz w:val="22"/>
          <w:szCs w:val="22"/>
          <w:b w:val="1"/>
          <w:bCs w:val="1"/>
          <w:color w:val="auto"/>
        </w:rPr>
        <w:t>Common Stock</w:t>
      </w:r>
    </w:p>
    <w:p>
      <w:pPr>
        <w:spacing w:after="0" w:line="249" w:lineRule="exact"/>
        <w:rPr>
          <w:sz w:val="20"/>
          <w:szCs w:val="20"/>
          <w:color w:val="auto"/>
        </w:rPr>
      </w:pPr>
    </w:p>
    <w:p>
      <w:pPr>
        <w:ind w:left="7" w:right="360" w:firstLine="360"/>
        <w:spacing w:after="0" w:line="342" w:lineRule="auto"/>
        <w:rPr>
          <w:sz w:val="20"/>
          <w:szCs w:val="20"/>
          <w:color w:val="auto"/>
        </w:rPr>
      </w:pPr>
      <w:r>
        <w:rPr>
          <w:rFonts w:ascii="Arial" w:cs="Arial" w:eastAsia="Arial" w:hAnsi="Arial"/>
          <w:sz w:val="16"/>
          <w:szCs w:val="16"/>
          <w:color w:val="auto"/>
        </w:rPr>
        <w:t>The selling stockholders named in this prospectus supplement are offering 12,500,000 shares of common stock of National Vision Holdings, Inc. We will not receive any proceeds from the sale of our common stock by the selling stockholders.</w:t>
      </w:r>
    </w:p>
    <w:p>
      <w:pPr>
        <w:spacing w:after="0" w:line="178" w:lineRule="exact"/>
        <w:rPr>
          <w:sz w:val="20"/>
          <w:szCs w:val="20"/>
          <w:color w:val="auto"/>
        </w:rPr>
      </w:pPr>
    </w:p>
    <w:p>
      <w:pPr>
        <w:ind w:left="7" w:right="40" w:firstLine="360"/>
        <w:spacing w:after="0" w:line="277" w:lineRule="auto"/>
        <w:rPr>
          <w:sz w:val="20"/>
          <w:szCs w:val="20"/>
          <w:color w:val="auto"/>
        </w:rPr>
      </w:pPr>
      <w:r>
        <w:rPr>
          <w:rFonts w:ascii="Arial" w:cs="Arial" w:eastAsia="Arial" w:hAnsi="Arial"/>
          <w:sz w:val="18"/>
          <w:szCs w:val="18"/>
          <w:color w:val="auto"/>
        </w:rPr>
        <w:t>Our common stock is listed on the NASDAQ Global Select Market, or NASDAQ, under the symbol “EYE.” On November 13, 2018, the closing sales price of our common stock as reported on the NASDAQ was $41.09 per share.</w:t>
      </w:r>
    </w:p>
    <w:p>
      <w:pPr>
        <w:spacing w:after="0" w:line="224" w:lineRule="exact"/>
        <w:rPr>
          <w:sz w:val="20"/>
          <w:szCs w:val="20"/>
          <w:color w:val="auto"/>
        </w:rPr>
      </w:pPr>
    </w:p>
    <w:p>
      <w:pPr>
        <w:ind w:left="7" w:right="140" w:firstLine="360"/>
        <w:spacing w:after="0" w:line="302" w:lineRule="auto"/>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Investing in our common stock involves risk. See “Risk Factors” beginning on page S-</w:t>
      </w:r>
      <w:hyperlink w:anchor="page15">
        <w:r>
          <w:rPr>
            <w:rFonts w:ascii="Arial" w:cs="Arial" w:eastAsia="Arial" w:hAnsi="Arial"/>
            <w:sz w:val="16"/>
            <w:szCs w:val="16"/>
            <w:b w:val="1"/>
            <w:bCs w:val="1"/>
            <w:i w:val="1"/>
            <w:iCs w:val="1"/>
            <w:u w:val="single" w:color="auto"/>
            <w:color w:val="0000EE"/>
          </w:rPr>
          <w:t>9</w:t>
        </w:r>
        <w:r>
          <w:rPr>
            <w:rFonts w:ascii="Arial" w:cs="Arial" w:eastAsia="Arial" w:hAnsi="Arial"/>
            <w:sz w:val="16"/>
            <w:szCs w:val="16"/>
            <w:b w:val="1"/>
            <w:bCs w:val="1"/>
            <w:i w:val="1"/>
            <w:iCs w:val="1"/>
            <w:u w:val="single" w:color="auto"/>
            <w:color w:val="auto"/>
          </w:rPr>
          <w:t xml:space="preserve"> </w:t>
        </w:r>
      </w:hyperlink>
      <w:r>
        <w:rPr>
          <w:rFonts w:ascii="Arial" w:cs="Arial" w:eastAsia="Arial" w:hAnsi="Arial"/>
          <w:sz w:val="16"/>
          <w:szCs w:val="16"/>
          <w:b w:val="1"/>
          <w:bCs w:val="1"/>
          <w:i w:val="1"/>
          <w:iCs w:val="1"/>
          <w:color w:val="auto"/>
        </w:rPr>
        <w:t>of this prospectus supplement and in the reports we file with the Securities and Exchange Commission, or the SEC, pursuant to the Securities Exchange Act of 1934, as amended, or the Exchange Act, incorporated by reference in this prospectus supplement or the accompanying prospectus, to read about factors you should consider before buying shares of our common stock.</w:t>
      </w:r>
    </w:p>
    <w:p>
      <w:pPr>
        <w:spacing w:after="0" w:line="208" w:lineRule="exact"/>
        <w:rPr>
          <w:sz w:val="20"/>
          <w:szCs w:val="20"/>
          <w:color w:val="auto"/>
        </w:rPr>
      </w:pPr>
    </w:p>
    <w:p>
      <w:pPr>
        <w:jc w:val="both"/>
        <w:ind w:left="7" w:right="320" w:firstLine="360"/>
        <w:spacing w:after="0" w:line="264" w:lineRule="auto"/>
        <w:rPr>
          <w:sz w:val="20"/>
          <w:szCs w:val="20"/>
          <w:color w:val="auto"/>
        </w:rPr>
      </w:pPr>
      <w:r>
        <w:rPr>
          <w:rFonts w:ascii="Arial" w:cs="Arial" w:eastAsia="Arial" w:hAnsi="Arial"/>
          <w:sz w:val="18"/>
          <w:szCs w:val="18"/>
          <w:b w:val="1"/>
          <w:bCs w:val="1"/>
          <w:i w:val="1"/>
          <w:iCs w:val="1"/>
          <w:color w:val="auto"/>
        </w:rPr>
        <w:t>Neither the SEC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38"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152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1"/>
              </w:rPr>
              <w:t>Per Share</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37"/>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506,250,000</w:t>
            </w:r>
          </w:p>
        </w:tc>
        <w:tc>
          <w:tcPr>
            <w:tcW w:w="100" w:type="dxa"/>
            <w:vAlign w:val="bottom"/>
            <w:shd w:val="clear" w:color="auto" w:fill="CCEEFF"/>
          </w:tcPr>
          <w:p>
            <w:pPr>
              <w:spacing w:after="0"/>
              <w:rPr>
                <w:sz w:val="20"/>
                <w:szCs w:val="20"/>
                <w:color w:val="auto"/>
              </w:rPr>
            </w:pPr>
          </w:p>
        </w:tc>
      </w:t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Underwriting discounts and commissions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0.30</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3,750,000</w:t>
            </w:r>
          </w:p>
        </w:tc>
        <w:tc>
          <w:tcPr>
            <w:tcW w:w="100" w:type="dxa"/>
            <w:vAlign w:val="bottom"/>
          </w:tcPr>
          <w:p>
            <w:pPr>
              <w:spacing w:after="0"/>
              <w:rPr>
                <w:sz w:val="20"/>
                <w:szCs w:val="20"/>
                <w:color w:val="auto"/>
              </w:rPr>
            </w:pPr>
          </w:p>
        </w:tc>
      </w:tr>
      <w:tr>
        <w:trPr>
          <w:trHeight w:val="256"/>
        </w:trPr>
        <w:tc>
          <w:tcPr>
            <w:tcW w:w="71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Proceeds, before expenses, to the selling stockholders</w:t>
            </w:r>
            <w:r>
              <w:rPr>
                <w:rFonts w:ascii="Arial" w:cs="Arial" w:eastAsia="Arial" w:hAnsi="Arial"/>
                <w:sz w:val="29"/>
                <w:szCs w:val="29"/>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502,500,000</w:t>
            </w:r>
          </w:p>
        </w:tc>
        <w:tc>
          <w:tcPr>
            <w:tcW w:w="100" w:type="dxa"/>
            <w:vAlign w:val="bottom"/>
            <w:shd w:val="clear" w:color="auto" w:fill="CCEEFF"/>
          </w:tcPr>
          <w:p>
            <w:pPr>
              <w:spacing w:after="0"/>
              <w:rPr>
                <w:sz w:val="22"/>
                <w:szCs w:val="22"/>
                <w:color w:val="auto"/>
              </w:rPr>
            </w:pPr>
          </w:p>
        </w:tc>
      </w:tr>
      <w:tr>
        <w:trPr>
          <w:trHeight w:val="189"/>
        </w:trPr>
        <w:tc>
          <w:tcPr>
            <w:tcW w:w="1520" w:type="dxa"/>
            <w:vAlign w:val="bottom"/>
            <w:tcBorders>
              <w:bottom w:val="single" w:sz="8" w:color="auto"/>
            </w:tcBorders>
          </w:tcPr>
          <w:p>
            <w:pPr>
              <w:spacing w:after="0"/>
              <w:rPr>
                <w:sz w:val="16"/>
                <w:szCs w:val="16"/>
                <w:color w:val="auto"/>
              </w:rPr>
            </w:pPr>
          </w:p>
        </w:tc>
        <w:tc>
          <w:tcPr>
            <w:tcW w:w="5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3" w:lineRule="exact"/>
        <w:rPr>
          <w:sz w:val="20"/>
          <w:szCs w:val="20"/>
          <w:color w:val="auto"/>
        </w:rPr>
      </w:pPr>
    </w:p>
    <w:p>
      <w:pPr>
        <w:ind w:left="347" w:hanging="347"/>
        <w:spacing w:after="0"/>
        <w:tabs>
          <w:tab w:leader="none" w:pos="347"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“Underwriting” for additional information regarding underwriting compensation.</w:t>
      </w:r>
    </w:p>
    <w:p>
      <w:pPr>
        <w:spacing w:after="0" w:line="100" w:lineRule="exact"/>
        <w:rPr>
          <w:sz w:val="20"/>
          <w:szCs w:val="20"/>
          <w:color w:val="auto"/>
        </w:rPr>
      </w:pPr>
    </w:p>
    <w:p>
      <w:pPr>
        <w:ind w:left="367"/>
        <w:spacing w:after="0"/>
        <w:rPr>
          <w:sz w:val="20"/>
          <w:szCs w:val="20"/>
          <w:color w:val="auto"/>
        </w:rPr>
      </w:pPr>
      <w:r>
        <w:rPr>
          <w:rFonts w:ascii="Arial" w:cs="Arial" w:eastAsia="Arial" w:hAnsi="Arial"/>
          <w:sz w:val="17"/>
          <w:szCs w:val="17"/>
          <w:color w:val="auto"/>
        </w:rPr>
        <w:t>The underwriters expect to deliver the shares against payment in New York, New York on or about November 19,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87"/>
        <w:spacing w:after="0"/>
        <w:tabs>
          <w:tab w:leader="none" w:pos="6886" w:val="left"/>
        </w:tabs>
        <w:rPr>
          <w:sz w:val="20"/>
          <w:szCs w:val="20"/>
          <w:color w:val="auto"/>
        </w:rPr>
      </w:pPr>
      <w:r>
        <w:rPr>
          <w:rFonts w:ascii="Arial" w:cs="Arial" w:eastAsia="Arial" w:hAnsi="Arial"/>
          <w:sz w:val="29"/>
          <w:szCs w:val="29"/>
          <w:b w:val="1"/>
          <w:bCs w:val="1"/>
          <w:color w:val="auto"/>
        </w:rPr>
        <w:t>Goldman Sachs &amp; Co. LLC</w:t>
      </w:r>
      <w:r>
        <w:rPr>
          <w:sz w:val="20"/>
          <w:szCs w:val="20"/>
          <w:color w:val="auto"/>
        </w:rPr>
        <w:tab/>
      </w:r>
      <w:r>
        <w:rPr>
          <w:rFonts w:ascii="Arial" w:cs="Arial" w:eastAsia="Arial" w:hAnsi="Arial"/>
          <w:sz w:val="27"/>
          <w:szCs w:val="27"/>
          <w:b w:val="1"/>
          <w:bCs w:val="1"/>
          <w:color w:val="auto"/>
        </w:rPr>
        <w:t>Citigroup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Prospectus Supplement dated November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300355</wp:posOffset>
            </wp:positionV>
            <wp:extent cx="607187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0" w:type="dxa"/>
            <w:vAlign w:val="bottom"/>
            <w:gridSpan w:val="4"/>
          </w:tcPr>
          <w:p>
            <w:pPr>
              <w:jc w:val="center"/>
              <w:ind w:right="204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20" w:type="dxa"/>
            <w:vAlign w:val="bottom"/>
            <w:gridSpan w:val="2"/>
          </w:tcPr>
          <w:p>
            <w:pPr>
              <w:jc w:val="center"/>
              <w:ind w:right="2720"/>
              <w:spacing w:after="0"/>
              <w:rPr>
                <w:sz w:val="20"/>
                <w:szCs w:val="20"/>
                <w:color w:val="auto"/>
              </w:rPr>
            </w:pPr>
            <w:r>
              <w:rPr>
                <w:rFonts w:ascii="Arial" w:cs="Arial" w:eastAsia="Arial" w:hAnsi="Arial"/>
                <w:sz w:val="18"/>
                <w:szCs w:val="18"/>
                <w:b w:val="1"/>
                <w:bCs w:val="1"/>
                <w:color w:val="auto"/>
                <w:w w:val="87"/>
              </w:rPr>
              <w:t>Prospectus Supplement</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6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rPr>
              <w:t>Page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gridSpan w:val="14"/>
            <w:shd w:val="clear" w:color="auto" w:fill="CCEEFF"/>
          </w:tcPr>
          <w:p>
            <w:pPr>
              <w:spacing w:after="0" w:line="189"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About This Prospectus Supplement</w:t>
              </w:r>
            </w:hyperlink>
          </w:p>
        </w:tc>
        <w:tc>
          <w:tcPr>
            <w:tcW w:w="5860" w:type="dxa"/>
            <w:vAlign w:val="bottom"/>
            <w:gridSpan w:val="6"/>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gridSpan w:val="5"/>
            <w:shd w:val="clear" w:color="auto" w:fill="CCEEFF"/>
          </w:tcPr>
          <w:p>
            <w:pPr>
              <w:jc w:val="right"/>
              <w:ind w:right="100"/>
              <w:spacing w:after="0" w:line="189"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S-iii</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380" w:type="dxa"/>
            <w:vAlign w:val="bottom"/>
            <w:gridSpan w:val="20"/>
          </w:tcPr>
          <w:p>
            <w:pPr>
              <w:spacing w:after="0" w:line="189" w:lineRule="exact"/>
              <w:rPr>
                <w:rFonts w:ascii="Arial" w:cs="Arial" w:eastAsia="Arial" w:hAnsi="Arial"/>
                <w:sz w:val="18"/>
                <w:szCs w:val="18"/>
                <w:color w:val="0000EE"/>
              </w:rPr>
            </w:pPr>
            <w:hyperlink w:anchor="page6">
              <w:r>
                <w:rPr>
                  <w:rFonts w:ascii="Arial" w:cs="Arial" w:eastAsia="Arial" w:hAnsi="Arial"/>
                  <w:sz w:val="18"/>
                  <w:szCs w:val="18"/>
                  <w:color w:val="0000EE"/>
                </w:rPr>
                <w:t>Trademarks, Service Marks and Tradenames</w:t>
              </w:r>
            </w:hyperlink>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5"/>
          </w:tcPr>
          <w:p>
            <w:pPr>
              <w:jc w:val="right"/>
              <w:ind w:right="100"/>
              <w:spacing w:after="0" w:line="189"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S-iv</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380" w:type="dxa"/>
            <w:vAlign w:val="bottom"/>
            <w:gridSpan w:val="20"/>
            <w:shd w:val="clear" w:color="auto" w:fill="CCEEFF"/>
          </w:tcPr>
          <w:p>
            <w:pPr>
              <w:spacing w:after="0" w:line="189" w:lineRule="exact"/>
              <w:rPr>
                <w:rFonts w:ascii="Arial" w:cs="Arial" w:eastAsia="Arial" w:hAnsi="Arial"/>
                <w:sz w:val="18"/>
                <w:szCs w:val="18"/>
                <w:color w:val="0000EE"/>
              </w:rPr>
            </w:pPr>
            <w:hyperlink w:anchor="page6">
              <w:r>
                <w:rPr>
                  <w:rFonts w:ascii="Arial" w:cs="Arial" w:eastAsia="Arial" w:hAnsi="Arial"/>
                  <w:sz w:val="18"/>
                  <w:szCs w:val="18"/>
                  <w:color w:val="0000EE"/>
                </w:rPr>
                <w:t>Non-GAAP Financial Measures</w:t>
              </w:r>
            </w:hyperlink>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gridSpan w:val="5"/>
            <w:shd w:val="clear" w:color="auto" w:fill="CCEEFF"/>
          </w:tcPr>
          <w:p>
            <w:pPr>
              <w:jc w:val="right"/>
              <w:ind w:right="100"/>
              <w:spacing w:after="0" w:line="189"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S-iv</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380" w:type="dxa"/>
            <w:vAlign w:val="bottom"/>
            <w:gridSpan w:val="20"/>
          </w:tcPr>
          <w:p>
            <w:pPr>
              <w:spacing w:after="0" w:line="189" w:lineRule="exact"/>
              <w:rPr>
                <w:rFonts w:ascii="Arial" w:cs="Arial" w:eastAsia="Arial" w:hAnsi="Arial"/>
                <w:sz w:val="18"/>
                <w:szCs w:val="18"/>
                <w:color w:val="0000EE"/>
              </w:rPr>
            </w:pPr>
            <w:hyperlink w:anchor="page7">
              <w:r>
                <w:rPr>
                  <w:rFonts w:ascii="Arial" w:cs="Arial" w:eastAsia="Arial" w:hAnsi="Arial"/>
                  <w:sz w:val="18"/>
                  <w:szCs w:val="18"/>
                  <w:color w:val="0000EE"/>
                </w:rPr>
                <w:t>Prospectus Supplement Summary</w:t>
              </w:r>
            </w:hyperlink>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5"/>
          </w:tcPr>
          <w:p>
            <w:pPr>
              <w:jc w:val="right"/>
              <w:ind w:right="100"/>
              <w:spacing w:after="0" w:line="189"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S-1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spacing w:after="0" w:line="189" w:lineRule="exact"/>
              <w:rPr>
                <w:rFonts w:ascii="Arial" w:cs="Arial" w:eastAsia="Arial" w:hAnsi="Arial"/>
                <w:sz w:val="18"/>
                <w:szCs w:val="18"/>
                <w:color w:val="0000EE"/>
                <w:w w:val="85"/>
              </w:rPr>
            </w:pPr>
            <w:hyperlink w:anchor="page15">
              <w:r>
                <w:rPr>
                  <w:rFonts w:ascii="Arial" w:cs="Arial" w:eastAsia="Arial" w:hAnsi="Arial"/>
                  <w:sz w:val="18"/>
                  <w:szCs w:val="18"/>
                  <w:color w:val="0000EE"/>
                  <w:w w:val="85"/>
                </w:rPr>
                <w:t>Risk Factors</w:t>
              </w:r>
            </w:hyperlink>
          </w:p>
        </w:tc>
        <w:tc>
          <w:tcPr>
            <w:tcW w:w="7500" w:type="dxa"/>
            <w:vAlign w:val="bottom"/>
            <w:gridSpan w:val="18"/>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gridSpan w:val="5"/>
            <w:shd w:val="clear" w:color="auto" w:fill="CCEEFF"/>
          </w:tcPr>
          <w:p>
            <w:pPr>
              <w:jc w:val="right"/>
              <w:ind w:right="100"/>
              <w:spacing w:after="0" w:line="189" w:lineRule="exact"/>
              <w:rPr>
                <w:rFonts w:ascii="Arial" w:cs="Arial" w:eastAsia="Arial" w:hAnsi="Arial"/>
                <w:sz w:val="18"/>
                <w:szCs w:val="18"/>
                <w:color w:val="0000EE"/>
                <w:w w:val="99"/>
              </w:rPr>
            </w:pPr>
            <w:hyperlink w:anchor="page15">
              <w:r>
                <w:rPr>
                  <w:rFonts w:ascii="Arial" w:cs="Arial" w:eastAsia="Arial" w:hAnsi="Arial"/>
                  <w:sz w:val="18"/>
                  <w:szCs w:val="18"/>
                  <w:color w:val="0000EE"/>
                  <w:w w:val="99"/>
                </w:rPr>
                <w:t>S-9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380" w:type="dxa"/>
            <w:vAlign w:val="bottom"/>
            <w:gridSpan w:val="20"/>
          </w:tcPr>
          <w:p>
            <w:pPr>
              <w:spacing w:after="0" w:line="189" w:lineRule="exact"/>
              <w:rPr>
                <w:rFonts w:ascii="Arial" w:cs="Arial" w:eastAsia="Arial" w:hAnsi="Arial"/>
                <w:sz w:val="18"/>
                <w:szCs w:val="18"/>
                <w:color w:val="0000EE"/>
              </w:rPr>
            </w:pPr>
            <w:hyperlink w:anchor="page22">
              <w:r>
                <w:rPr>
                  <w:rFonts w:ascii="Arial" w:cs="Arial" w:eastAsia="Arial" w:hAnsi="Arial"/>
                  <w:sz w:val="18"/>
                  <w:szCs w:val="18"/>
                  <w:color w:val="0000EE"/>
                </w:rPr>
                <w:t>Special Note Regarding Forward-Looking Statements</w:t>
              </w:r>
            </w:hyperlink>
          </w:p>
        </w:tc>
        <w:tc>
          <w:tcPr>
            <w:tcW w:w="720" w:type="dxa"/>
            <w:vAlign w:val="bottom"/>
          </w:tcPr>
          <w:p>
            <w:pPr>
              <w:spacing w:after="0"/>
              <w:rPr>
                <w:sz w:val="16"/>
                <w:szCs w:val="16"/>
                <w:color w:val="auto"/>
              </w:rPr>
            </w:pPr>
          </w:p>
        </w:tc>
        <w:tc>
          <w:tcPr>
            <w:tcW w:w="440" w:type="dxa"/>
            <w:vAlign w:val="bottom"/>
            <w:gridSpan w:val="6"/>
          </w:tcPr>
          <w:p>
            <w:pPr>
              <w:jc w:val="right"/>
              <w:ind w:right="100"/>
              <w:spacing w:after="0" w:line="189" w:lineRule="exact"/>
              <w:rPr>
                <w:rFonts w:ascii="Arial" w:cs="Arial" w:eastAsia="Arial" w:hAnsi="Arial"/>
                <w:sz w:val="18"/>
                <w:szCs w:val="18"/>
                <w:color w:val="0000EE"/>
                <w:w w:val="84"/>
              </w:rPr>
            </w:pPr>
            <w:hyperlink w:anchor="page22">
              <w:r>
                <w:rPr>
                  <w:rFonts w:ascii="Arial" w:cs="Arial" w:eastAsia="Arial" w:hAnsi="Arial"/>
                  <w:sz w:val="18"/>
                  <w:szCs w:val="18"/>
                  <w:color w:val="0000EE"/>
                  <w:w w:val="84"/>
                </w:rPr>
                <w:t>S-16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380" w:type="dxa"/>
            <w:vAlign w:val="bottom"/>
            <w:gridSpan w:val="20"/>
            <w:shd w:val="clear" w:color="auto" w:fill="CCEEFF"/>
          </w:tcPr>
          <w:p>
            <w:pPr>
              <w:spacing w:after="0" w:line="189" w:lineRule="exact"/>
              <w:rPr>
                <w:rFonts w:ascii="Arial" w:cs="Arial" w:eastAsia="Arial" w:hAnsi="Arial"/>
                <w:sz w:val="18"/>
                <w:szCs w:val="18"/>
                <w:color w:val="0000EE"/>
              </w:rPr>
            </w:pPr>
            <w:hyperlink w:anchor="page24">
              <w:r>
                <w:rPr>
                  <w:rFonts w:ascii="Arial" w:cs="Arial" w:eastAsia="Arial" w:hAnsi="Arial"/>
                  <w:sz w:val="18"/>
                  <w:szCs w:val="18"/>
                  <w:color w:val="0000EE"/>
                </w:rPr>
                <w:t>Use of Proceeds</w:t>
              </w:r>
            </w:hyperlink>
          </w:p>
        </w:tc>
        <w:tc>
          <w:tcPr>
            <w:tcW w:w="720" w:type="dxa"/>
            <w:vAlign w:val="bottom"/>
            <w:shd w:val="clear" w:color="auto" w:fill="CCEEFF"/>
          </w:tcPr>
          <w:p>
            <w:pPr>
              <w:spacing w:after="0"/>
              <w:rPr>
                <w:sz w:val="16"/>
                <w:szCs w:val="16"/>
                <w:color w:val="auto"/>
              </w:rPr>
            </w:pPr>
          </w:p>
        </w:tc>
        <w:tc>
          <w:tcPr>
            <w:tcW w:w="440" w:type="dxa"/>
            <w:vAlign w:val="bottom"/>
            <w:gridSpan w:val="6"/>
            <w:shd w:val="clear" w:color="auto" w:fill="CCEEFF"/>
          </w:tcPr>
          <w:p>
            <w:pPr>
              <w:jc w:val="right"/>
              <w:ind w:right="100"/>
              <w:spacing w:after="0" w:line="189" w:lineRule="exact"/>
              <w:rPr>
                <w:rFonts w:ascii="Arial" w:cs="Arial" w:eastAsia="Arial" w:hAnsi="Arial"/>
                <w:sz w:val="18"/>
                <w:szCs w:val="18"/>
                <w:color w:val="0000EE"/>
                <w:w w:val="84"/>
              </w:rPr>
            </w:pPr>
            <w:hyperlink w:anchor="page24">
              <w:r>
                <w:rPr>
                  <w:rFonts w:ascii="Arial" w:cs="Arial" w:eastAsia="Arial" w:hAnsi="Arial"/>
                  <w:sz w:val="18"/>
                  <w:szCs w:val="18"/>
                  <w:color w:val="0000EE"/>
                  <w:w w:val="84"/>
                </w:rPr>
                <w:t>S-18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380" w:type="dxa"/>
            <w:vAlign w:val="bottom"/>
            <w:gridSpan w:val="20"/>
          </w:tcPr>
          <w:p>
            <w:pPr>
              <w:spacing w:after="0" w:line="189" w:lineRule="exact"/>
              <w:rPr>
                <w:rFonts w:ascii="Arial" w:cs="Arial" w:eastAsia="Arial" w:hAnsi="Arial"/>
                <w:sz w:val="18"/>
                <w:szCs w:val="18"/>
                <w:color w:val="0000EE"/>
              </w:rPr>
            </w:pPr>
            <w:hyperlink w:anchor="page25">
              <w:r>
                <w:rPr>
                  <w:rFonts w:ascii="Arial" w:cs="Arial" w:eastAsia="Arial" w:hAnsi="Arial"/>
                  <w:sz w:val="18"/>
                  <w:szCs w:val="18"/>
                  <w:color w:val="0000EE"/>
                </w:rPr>
                <w:t>Dividend Policy</w:t>
              </w:r>
            </w:hyperlink>
          </w:p>
        </w:tc>
        <w:tc>
          <w:tcPr>
            <w:tcW w:w="720" w:type="dxa"/>
            <w:vAlign w:val="bottom"/>
          </w:tcPr>
          <w:p>
            <w:pPr>
              <w:spacing w:after="0"/>
              <w:rPr>
                <w:sz w:val="16"/>
                <w:szCs w:val="16"/>
                <w:color w:val="auto"/>
              </w:rPr>
            </w:pPr>
          </w:p>
        </w:tc>
        <w:tc>
          <w:tcPr>
            <w:tcW w:w="440" w:type="dxa"/>
            <w:vAlign w:val="bottom"/>
            <w:gridSpan w:val="6"/>
          </w:tcPr>
          <w:p>
            <w:pPr>
              <w:jc w:val="right"/>
              <w:ind w:right="100"/>
              <w:spacing w:after="0" w:line="189" w:lineRule="exact"/>
              <w:rPr>
                <w:rFonts w:ascii="Arial" w:cs="Arial" w:eastAsia="Arial" w:hAnsi="Arial"/>
                <w:sz w:val="18"/>
                <w:szCs w:val="18"/>
                <w:color w:val="0000EE"/>
                <w:w w:val="84"/>
              </w:rPr>
            </w:pPr>
            <w:hyperlink w:anchor="page25">
              <w:r>
                <w:rPr>
                  <w:rFonts w:ascii="Arial" w:cs="Arial" w:eastAsia="Arial" w:hAnsi="Arial"/>
                  <w:sz w:val="18"/>
                  <w:szCs w:val="18"/>
                  <w:color w:val="0000EE"/>
                  <w:w w:val="84"/>
                </w:rPr>
                <w:t>S-19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20" w:type="dxa"/>
            <w:vAlign w:val="bottom"/>
            <w:gridSpan w:val="17"/>
            <w:shd w:val="clear" w:color="auto" w:fill="CCEEFF"/>
          </w:tcPr>
          <w:p>
            <w:pPr>
              <w:spacing w:after="0" w:line="189"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Certain Relationships and Related Party Transactions</w:t>
              </w:r>
            </w:hyperlink>
          </w:p>
        </w:tc>
        <w:tc>
          <w:tcPr>
            <w:tcW w:w="4560" w:type="dxa"/>
            <w:vAlign w:val="bottom"/>
            <w:gridSpan w:val="3"/>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gridSpan w:val="6"/>
            <w:shd w:val="clear" w:color="auto" w:fill="CCEEFF"/>
          </w:tcPr>
          <w:p>
            <w:pPr>
              <w:jc w:val="right"/>
              <w:ind w:right="100"/>
              <w:spacing w:after="0" w:line="189" w:lineRule="exact"/>
              <w:rPr>
                <w:rFonts w:ascii="Arial" w:cs="Arial" w:eastAsia="Arial" w:hAnsi="Arial"/>
                <w:sz w:val="18"/>
                <w:szCs w:val="18"/>
                <w:color w:val="0000EE"/>
                <w:w w:val="84"/>
              </w:rPr>
            </w:pPr>
            <w:hyperlink w:anchor="page26">
              <w:r>
                <w:rPr>
                  <w:rFonts w:ascii="Arial" w:cs="Arial" w:eastAsia="Arial" w:hAnsi="Arial"/>
                  <w:sz w:val="18"/>
                  <w:szCs w:val="18"/>
                  <w:color w:val="0000EE"/>
                  <w:w w:val="84"/>
                </w:rPr>
                <w:t>S-20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20" w:type="dxa"/>
            <w:vAlign w:val="bottom"/>
            <w:gridSpan w:val="17"/>
          </w:tcPr>
          <w:p>
            <w:pPr>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Selling Stockholders</w:t>
              </w:r>
            </w:hyperlink>
          </w:p>
        </w:tc>
        <w:tc>
          <w:tcPr>
            <w:tcW w:w="4560" w:type="dxa"/>
            <w:vAlign w:val="bottom"/>
            <w:gridSpan w:val="3"/>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gridSpan w:val="6"/>
          </w:tcPr>
          <w:p>
            <w:pPr>
              <w:jc w:val="right"/>
              <w:ind w:right="100"/>
              <w:spacing w:after="0" w:line="189" w:lineRule="exact"/>
              <w:rPr>
                <w:rFonts w:ascii="Arial" w:cs="Arial" w:eastAsia="Arial" w:hAnsi="Arial"/>
                <w:sz w:val="18"/>
                <w:szCs w:val="18"/>
                <w:color w:val="0000EE"/>
                <w:w w:val="84"/>
              </w:rPr>
            </w:pPr>
            <w:hyperlink w:anchor="page29">
              <w:r>
                <w:rPr>
                  <w:rFonts w:ascii="Arial" w:cs="Arial" w:eastAsia="Arial" w:hAnsi="Arial"/>
                  <w:sz w:val="18"/>
                  <w:szCs w:val="18"/>
                  <w:color w:val="0000EE"/>
                  <w:w w:val="84"/>
                </w:rPr>
                <w:t>S-23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80" w:type="dxa"/>
            <w:vAlign w:val="bottom"/>
            <w:gridSpan w:val="19"/>
            <w:shd w:val="clear" w:color="auto" w:fill="CCEEFF"/>
          </w:tcPr>
          <w:p>
            <w:pPr>
              <w:spacing w:after="0" w:line="189"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Material United States Federal Income and Estate Tax Consequences to Non-U.S. Holders</w:t>
              </w:r>
            </w:hyperlink>
          </w:p>
        </w:tc>
        <w:tc>
          <w:tcPr>
            <w:tcW w:w="19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gridSpan w:val="6"/>
            <w:shd w:val="clear" w:color="auto" w:fill="CCEEFF"/>
          </w:tcPr>
          <w:p>
            <w:pPr>
              <w:jc w:val="right"/>
              <w:ind w:right="100"/>
              <w:spacing w:after="0" w:line="189" w:lineRule="exact"/>
              <w:rPr>
                <w:rFonts w:ascii="Arial" w:cs="Arial" w:eastAsia="Arial" w:hAnsi="Arial"/>
                <w:sz w:val="18"/>
                <w:szCs w:val="18"/>
                <w:color w:val="0000EE"/>
                <w:w w:val="84"/>
              </w:rPr>
            </w:pPr>
            <w:hyperlink w:anchor="page30">
              <w:r>
                <w:rPr>
                  <w:rFonts w:ascii="Arial" w:cs="Arial" w:eastAsia="Arial" w:hAnsi="Arial"/>
                  <w:sz w:val="18"/>
                  <w:szCs w:val="18"/>
                  <w:color w:val="0000EE"/>
                  <w:w w:val="84"/>
                </w:rPr>
                <w:t>S-24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20" w:type="dxa"/>
            <w:vAlign w:val="bottom"/>
            <w:tcBorders>
              <w:top w:val="single" w:sz="8" w:color="0000EE"/>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80" w:type="dxa"/>
            <w:vAlign w:val="bottom"/>
            <w:gridSpan w:val="19"/>
          </w:tcPr>
          <w:p>
            <w:pPr>
              <w:spacing w:after="0" w:line="189" w:lineRule="exact"/>
              <w:rPr>
                <w:rFonts w:ascii="Arial" w:cs="Arial" w:eastAsia="Arial" w:hAnsi="Arial"/>
                <w:sz w:val="18"/>
                <w:szCs w:val="18"/>
                <w:color w:val="0000EE"/>
              </w:rPr>
            </w:pPr>
            <w:hyperlink w:anchor="page33">
              <w:r>
                <w:rPr>
                  <w:rFonts w:ascii="Arial" w:cs="Arial" w:eastAsia="Arial" w:hAnsi="Arial"/>
                  <w:sz w:val="18"/>
                  <w:szCs w:val="18"/>
                  <w:color w:val="0000EE"/>
                </w:rPr>
                <w:t>Underwriting</w:t>
              </w:r>
            </w:hyperlink>
          </w:p>
        </w:tc>
        <w:tc>
          <w:tcPr>
            <w:tcW w:w="1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gridSpan w:val="6"/>
          </w:tcPr>
          <w:p>
            <w:pPr>
              <w:jc w:val="right"/>
              <w:ind w:right="100"/>
              <w:spacing w:after="0" w:line="189" w:lineRule="exact"/>
              <w:rPr>
                <w:rFonts w:ascii="Arial" w:cs="Arial" w:eastAsia="Arial" w:hAnsi="Arial"/>
                <w:sz w:val="18"/>
                <w:szCs w:val="18"/>
                <w:color w:val="0000EE"/>
                <w:w w:val="84"/>
              </w:rPr>
            </w:pPr>
            <w:hyperlink w:anchor="page33">
              <w:r>
                <w:rPr>
                  <w:rFonts w:ascii="Arial" w:cs="Arial" w:eastAsia="Arial" w:hAnsi="Arial"/>
                  <w:sz w:val="18"/>
                  <w:szCs w:val="18"/>
                  <w:color w:val="0000EE"/>
                  <w:w w:val="84"/>
                </w:rPr>
                <w:t>S-27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4"/>
            <w:shd w:val="clear" w:color="auto" w:fill="CCEEFF"/>
          </w:tcPr>
          <w:p>
            <w:pPr>
              <w:spacing w:after="0" w:line="189"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Legal Matters</w:t>
              </w:r>
            </w:hyperlink>
          </w:p>
        </w:tc>
        <w:tc>
          <w:tcPr>
            <w:tcW w:w="7400" w:type="dxa"/>
            <w:vAlign w:val="bottom"/>
            <w:gridSpan w:val="16"/>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gridSpan w:val="6"/>
            <w:shd w:val="clear" w:color="auto" w:fill="CCEEFF"/>
          </w:tcPr>
          <w:p>
            <w:pPr>
              <w:jc w:val="right"/>
              <w:ind w:right="100"/>
              <w:spacing w:after="0" w:line="189" w:lineRule="exact"/>
              <w:rPr>
                <w:rFonts w:ascii="Arial" w:cs="Arial" w:eastAsia="Arial" w:hAnsi="Arial"/>
                <w:sz w:val="18"/>
                <w:szCs w:val="18"/>
                <w:color w:val="0000EE"/>
                <w:w w:val="84"/>
              </w:rPr>
            </w:pPr>
            <w:hyperlink w:anchor="page39">
              <w:r>
                <w:rPr>
                  <w:rFonts w:ascii="Arial" w:cs="Arial" w:eastAsia="Arial" w:hAnsi="Arial"/>
                  <w:sz w:val="18"/>
                  <w:szCs w:val="18"/>
                  <w:color w:val="0000EE"/>
                  <w:w w:val="84"/>
                </w:rPr>
                <w:t>S-33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4"/>
          </w:tcPr>
          <w:p>
            <w:pPr>
              <w:spacing w:after="0" w:line="189" w:lineRule="exact"/>
              <w:rPr>
                <w:rFonts w:ascii="Arial" w:cs="Arial" w:eastAsia="Arial" w:hAnsi="Arial"/>
                <w:sz w:val="18"/>
                <w:szCs w:val="18"/>
                <w:color w:val="0000EE"/>
              </w:rPr>
            </w:pPr>
            <w:hyperlink w:anchor="page39">
              <w:r>
                <w:rPr>
                  <w:rFonts w:ascii="Arial" w:cs="Arial" w:eastAsia="Arial" w:hAnsi="Arial"/>
                  <w:sz w:val="18"/>
                  <w:szCs w:val="18"/>
                  <w:color w:val="0000EE"/>
                </w:rPr>
                <w:t>Experts</w:t>
              </w:r>
            </w:hyperlink>
          </w:p>
        </w:tc>
        <w:tc>
          <w:tcPr>
            <w:tcW w:w="7400" w:type="dxa"/>
            <w:vAlign w:val="bottom"/>
            <w:gridSpan w:val="16"/>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gridSpan w:val="6"/>
          </w:tcPr>
          <w:p>
            <w:pPr>
              <w:jc w:val="right"/>
              <w:ind w:right="100"/>
              <w:spacing w:after="0" w:line="189" w:lineRule="exact"/>
              <w:rPr>
                <w:rFonts w:ascii="Arial" w:cs="Arial" w:eastAsia="Arial" w:hAnsi="Arial"/>
                <w:sz w:val="18"/>
                <w:szCs w:val="18"/>
                <w:color w:val="0000EE"/>
                <w:w w:val="84"/>
              </w:rPr>
            </w:pPr>
            <w:hyperlink w:anchor="page39">
              <w:r>
                <w:rPr>
                  <w:rFonts w:ascii="Arial" w:cs="Arial" w:eastAsia="Arial" w:hAnsi="Arial"/>
                  <w:sz w:val="18"/>
                  <w:szCs w:val="18"/>
                  <w:color w:val="0000EE"/>
                  <w:w w:val="84"/>
                </w:rPr>
                <w:t>S-33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15"/>
            <w:shd w:val="clear" w:color="auto" w:fill="CCEEFF"/>
          </w:tcPr>
          <w:p>
            <w:pPr>
              <w:spacing w:after="0" w:line="189"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Where You Can Find More Information</w:t>
              </w:r>
            </w:hyperlink>
          </w:p>
        </w:tc>
        <w:tc>
          <w:tcPr>
            <w:tcW w:w="5540" w:type="dxa"/>
            <w:vAlign w:val="bottom"/>
            <w:gridSpan w:val="5"/>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gridSpan w:val="6"/>
            <w:shd w:val="clear" w:color="auto" w:fill="CCEEFF"/>
          </w:tcPr>
          <w:p>
            <w:pPr>
              <w:jc w:val="right"/>
              <w:ind w:right="100"/>
              <w:spacing w:after="0" w:line="189" w:lineRule="exact"/>
              <w:rPr>
                <w:rFonts w:ascii="Arial" w:cs="Arial" w:eastAsia="Arial" w:hAnsi="Arial"/>
                <w:sz w:val="18"/>
                <w:szCs w:val="18"/>
                <w:color w:val="0000EE"/>
                <w:w w:val="84"/>
              </w:rPr>
            </w:pPr>
            <w:hyperlink w:anchor="page39">
              <w:r>
                <w:rPr>
                  <w:rFonts w:ascii="Arial" w:cs="Arial" w:eastAsia="Arial" w:hAnsi="Arial"/>
                  <w:sz w:val="18"/>
                  <w:szCs w:val="18"/>
                  <w:color w:val="0000EE"/>
                  <w:w w:val="84"/>
                </w:rPr>
                <w:t>S-33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15"/>
          </w:tcPr>
          <w:p>
            <w:pPr>
              <w:spacing w:after="0" w:line="189" w:lineRule="exact"/>
              <w:rPr>
                <w:rFonts w:ascii="Arial" w:cs="Arial" w:eastAsia="Arial" w:hAnsi="Arial"/>
                <w:sz w:val="18"/>
                <w:szCs w:val="18"/>
                <w:color w:val="0000EE"/>
              </w:rPr>
            </w:pPr>
            <w:hyperlink w:anchor="page39">
              <w:r>
                <w:rPr>
                  <w:rFonts w:ascii="Arial" w:cs="Arial" w:eastAsia="Arial" w:hAnsi="Arial"/>
                  <w:sz w:val="18"/>
                  <w:szCs w:val="18"/>
                  <w:color w:val="0000EE"/>
                </w:rPr>
                <w:t>Incorporation by Reference</w:t>
              </w:r>
            </w:hyperlink>
          </w:p>
        </w:tc>
        <w:tc>
          <w:tcPr>
            <w:tcW w:w="5540" w:type="dxa"/>
            <w:vAlign w:val="bottom"/>
            <w:gridSpan w:val="5"/>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gridSpan w:val="6"/>
          </w:tcPr>
          <w:p>
            <w:pPr>
              <w:jc w:val="right"/>
              <w:ind w:right="100"/>
              <w:spacing w:after="0" w:line="189" w:lineRule="exact"/>
              <w:rPr>
                <w:rFonts w:ascii="Arial" w:cs="Arial" w:eastAsia="Arial" w:hAnsi="Arial"/>
                <w:sz w:val="18"/>
                <w:szCs w:val="18"/>
                <w:color w:val="0000EE"/>
                <w:w w:val="84"/>
              </w:rPr>
            </w:pPr>
            <w:hyperlink w:anchor="page39">
              <w:r>
                <w:rPr>
                  <w:rFonts w:ascii="Arial" w:cs="Arial" w:eastAsia="Arial" w:hAnsi="Arial"/>
                  <w:sz w:val="18"/>
                  <w:szCs w:val="18"/>
                  <w:color w:val="0000EE"/>
                  <w:w w:val="84"/>
                </w:rPr>
                <w:t>S-33</w:t>
              </w:r>
            </w:hyperlink>
          </w:p>
        </w:tc>
        <w:tc>
          <w:tcPr>
            <w:tcW w:w="0" w:type="dxa"/>
            <w:vAlign w:val="bottom"/>
          </w:tcPr>
          <w:p>
            <w:pPr>
              <w:spacing w:after="0"/>
              <w:rPr>
                <w:sz w:val="1"/>
                <w:szCs w:val="1"/>
                <w:color w:val="auto"/>
              </w:rPr>
            </w:pPr>
          </w:p>
        </w:tc>
      </w:tr>
      <w:tr>
        <w:trPr>
          <w:trHeight w:val="466"/>
        </w:trPr>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20" w:type="dxa"/>
            <w:vAlign w:val="bottom"/>
            <w:gridSpan w:val="2"/>
          </w:tcPr>
          <w:p>
            <w:pPr>
              <w:jc w:val="center"/>
              <w:ind w:right="2720"/>
              <w:spacing w:after="0"/>
              <w:rPr>
                <w:sz w:val="20"/>
                <w:szCs w:val="20"/>
                <w:color w:val="auto"/>
              </w:rPr>
            </w:pPr>
            <w:r>
              <w:rPr>
                <w:rFonts w:ascii="Arial" w:cs="Arial" w:eastAsia="Arial" w:hAnsi="Arial"/>
                <w:sz w:val="18"/>
                <w:szCs w:val="18"/>
                <w:b w:val="1"/>
                <w:bCs w:val="1"/>
                <w:color w:val="auto"/>
                <w:w w:val="85"/>
              </w:rPr>
              <w:t>Prospectus</w:t>
            </w:r>
          </w:p>
        </w:tc>
        <w:tc>
          <w:tcPr>
            <w:tcW w:w="7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620" w:type="dxa"/>
            <w:vAlign w:val="bottom"/>
            <w:gridSpan w:val="8"/>
            <w:shd w:val="clear" w:color="auto" w:fill="CCEEFF"/>
          </w:tcPr>
          <w:p>
            <w:pPr>
              <w:spacing w:after="0" w:line="189"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About This Prospectus</w:t>
              </w:r>
            </w:hyperlink>
          </w:p>
        </w:tc>
        <w:tc>
          <w:tcPr>
            <w:tcW w:w="6760" w:type="dxa"/>
            <w:vAlign w:val="bottom"/>
            <w:gridSpan w:val="12"/>
            <w:shd w:val="clear" w:color="auto" w:fill="CCEEFF"/>
          </w:tcPr>
          <w:p>
            <w:pPr>
              <w:spacing w:after="0"/>
              <w:rPr>
                <w:sz w:val="16"/>
                <w:szCs w:val="16"/>
                <w:color w:val="auto"/>
              </w:rPr>
            </w:pPr>
          </w:p>
        </w:tc>
        <w:tc>
          <w:tcPr>
            <w:tcW w:w="1060" w:type="dxa"/>
            <w:vAlign w:val="bottom"/>
            <w:gridSpan w:val="6"/>
            <w:shd w:val="clear" w:color="auto" w:fill="CCEEFF"/>
          </w:tcPr>
          <w:p>
            <w:pPr>
              <w:jc w:val="right"/>
              <w:spacing w:after="0" w:line="189" w:lineRule="exact"/>
              <w:rPr>
                <w:rFonts w:ascii="Arial" w:cs="Arial" w:eastAsia="Arial" w:hAnsi="Arial"/>
                <w:sz w:val="18"/>
                <w:szCs w:val="18"/>
                <w:color w:val="0000EE"/>
              </w:rPr>
            </w:pPr>
            <w:hyperlink w:anchor="page43">
              <w:r>
                <w:rPr>
                  <w:rFonts w:ascii="Arial" w:cs="Arial" w:eastAsia="Arial" w:hAnsi="Arial"/>
                  <w:sz w:val="18"/>
                  <w:szCs w:val="18"/>
                  <w:color w:val="0000EE"/>
                </w:rPr>
                <w:t>1</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380" w:type="dxa"/>
            <w:vAlign w:val="bottom"/>
            <w:gridSpan w:val="20"/>
          </w:tcPr>
          <w:p>
            <w:pPr>
              <w:spacing w:after="0" w:line="189" w:lineRule="exact"/>
              <w:rPr>
                <w:rFonts w:ascii="Arial" w:cs="Arial" w:eastAsia="Arial" w:hAnsi="Arial"/>
                <w:sz w:val="18"/>
                <w:szCs w:val="18"/>
                <w:color w:val="0000EE"/>
              </w:rPr>
            </w:pPr>
            <w:hyperlink w:anchor="page45">
              <w:r>
                <w:rPr>
                  <w:rFonts w:ascii="Arial" w:cs="Arial" w:eastAsia="Arial" w:hAnsi="Arial"/>
                  <w:sz w:val="18"/>
                  <w:szCs w:val="18"/>
                  <w:color w:val="0000EE"/>
                </w:rPr>
                <w:t>National Vision Holdings, Inc.</w:t>
              </w:r>
            </w:hyperlink>
          </w:p>
        </w:tc>
        <w:tc>
          <w:tcPr>
            <w:tcW w:w="1060" w:type="dxa"/>
            <w:vAlign w:val="bottom"/>
            <w:gridSpan w:val="6"/>
          </w:tcPr>
          <w:p>
            <w:pPr>
              <w:jc w:val="right"/>
              <w:spacing w:after="0" w:line="189" w:lineRule="exact"/>
              <w:rPr>
                <w:rFonts w:ascii="Arial" w:cs="Arial" w:eastAsia="Arial" w:hAnsi="Arial"/>
                <w:sz w:val="18"/>
                <w:szCs w:val="18"/>
                <w:color w:val="0000EE"/>
              </w:rPr>
            </w:pPr>
            <w:hyperlink w:anchor="page45">
              <w:r>
                <w:rPr>
                  <w:rFonts w:ascii="Arial" w:cs="Arial" w:eastAsia="Arial" w:hAnsi="Arial"/>
                  <w:sz w:val="18"/>
                  <w:szCs w:val="18"/>
                  <w:color w:val="0000EE"/>
                </w:rPr>
                <w:t>3</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spacing w:after="0" w:line="189" w:lineRule="exact"/>
              <w:rPr>
                <w:rFonts w:ascii="Arial" w:cs="Arial" w:eastAsia="Arial" w:hAnsi="Arial"/>
                <w:sz w:val="18"/>
                <w:szCs w:val="18"/>
                <w:color w:val="0000EE"/>
                <w:w w:val="85"/>
              </w:rPr>
            </w:pPr>
            <w:hyperlink w:anchor="page46">
              <w:r>
                <w:rPr>
                  <w:rFonts w:ascii="Arial" w:cs="Arial" w:eastAsia="Arial" w:hAnsi="Arial"/>
                  <w:sz w:val="18"/>
                  <w:szCs w:val="18"/>
                  <w:color w:val="0000EE"/>
                  <w:w w:val="85"/>
                </w:rPr>
                <w:t>Risk Factors</w:t>
              </w:r>
            </w:hyperlink>
          </w:p>
        </w:tc>
        <w:tc>
          <w:tcPr>
            <w:tcW w:w="7500" w:type="dxa"/>
            <w:vAlign w:val="bottom"/>
            <w:gridSpan w:val="18"/>
            <w:shd w:val="clear" w:color="auto" w:fill="CCEEFF"/>
          </w:tcPr>
          <w:p>
            <w:pPr>
              <w:spacing w:after="0"/>
              <w:rPr>
                <w:sz w:val="16"/>
                <w:szCs w:val="16"/>
                <w:color w:val="auto"/>
              </w:rPr>
            </w:pPr>
          </w:p>
        </w:tc>
        <w:tc>
          <w:tcPr>
            <w:tcW w:w="1060" w:type="dxa"/>
            <w:vAlign w:val="bottom"/>
            <w:gridSpan w:val="6"/>
            <w:shd w:val="clear" w:color="auto" w:fill="CCEEFF"/>
          </w:tcPr>
          <w:p>
            <w:pPr>
              <w:jc w:val="right"/>
              <w:spacing w:after="0" w:line="189" w:lineRule="exact"/>
              <w:rPr>
                <w:rFonts w:ascii="Arial" w:cs="Arial" w:eastAsia="Arial" w:hAnsi="Arial"/>
                <w:sz w:val="18"/>
                <w:szCs w:val="18"/>
                <w:color w:val="0000EE"/>
              </w:rPr>
            </w:pPr>
            <w:hyperlink w:anchor="page46">
              <w:r>
                <w:rPr>
                  <w:rFonts w:ascii="Arial" w:cs="Arial" w:eastAsia="Arial" w:hAnsi="Arial"/>
                  <w:sz w:val="18"/>
                  <w:szCs w:val="18"/>
                  <w:color w:val="0000EE"/>
                </w:rPr>
                <w:t>4</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380" w:type="dxa"/>
            <w:vAlign w:val="bottom"/>
            <w:gridSpan w:val="20"/>
          </w:tcPr>
          <w:p>
            <w:pPr>
              <w:spacing w:after="0" w:line="189" w:lineRule="exact"/>
              <w:rPr>
                <w:rFonts w:ascii="Arial" w:cs="Arial" w:eastAsia="Arial" w:hAnsi="Arial"/>
                <w:sz w:val="18"/>
                <w:szCs w:val="18"/>
                <w:color w:val="0000EE"/>
              </w:rPr>
            </w:pPr>
            <w:hyperlink w:anchor="page47">
              <w:r>
                <w:rPr>
                  <w:rFonts w:ascii="Arial" w:cs="Arial" w:eastAsia="Arial" w:hAnsi="Arial"/>
                  <w:sz w:val="18"/>
                  <w:szCs w:val="18"/>
                  <w:color w:val="0000EE"/>
                </w:rPr>
                <w:t>Special Note Regarding Forward-Looking Statements</w:t>
              </w:r>
            </w:hyperlink>
          </w:p>
        </w:tc>
        <w:tc>
          <w:tcPr>
            <w:tcW w:w="1060" w:type="dxa"/>
            <w:vAlign w:val="bottom"/>
            <w:gridSpan w:val="6"/>
          </w:tcPr>
          <w:p>
            <w:pPr>
              <w:jc w:val="right"/>
              <w:spacing w:after="0" w:line="189" w:lineRule="exact"/>
              <w:rPr>
                <w:rFonts w:ascii="Arial" w:cs="Arial" w:eastAsia="Arial" w:hAnsi="Arial"/>
                <w:sz w:val="18"/>
                <w:szCs w:val="18"/>
                <w:color w:val="0000EE"/>
              </w:rPr>
            </w:pPr>
            <w:hyperlink w:anchor="page47">
              <w:r>
                <w:rPr>
                  <w:rFonts w:ascii="Arial" w:cs="Arial" w:eastAsia="Arial" w:hAnsi="Arial"/>
                  <w:sz w:val="18"/>
                  <w:szCs w:val="18"/>
                  <w:color w:val="0000EE"/>
                </w:rPr>
                <w:t>5</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380" w:type="dxa"/>
            <w:vAlign w:val="bottom"/>
            <w:gridSpan w:val="20"/>
            <w:shd w:val="clear" w:color="auto" w:fill="CCEEFF"/>
          </w:tcPr>
          <w:p>
            <w:pPr>
              <w:spacing w:after="0" w:line="189" w:lineRule="exact"/>
              <w:rPr>
                <w:rFonts w:ascii="Arial" w:cs="Arial" w:eastAsia="Arial" w:hAnsi="Arial"/>
                <w:sz w:val="18"/>
                <w:szCs w:val="18"/>
                <w:color w:val="0000EE"/>
              </w:rPr>
            </w:pPr>
            <w:hyperlink w:anchor="page49">
              <w:r>
                <w:rPr>
                  <w:rFonts w:ascii="Arial" w:cs="Arial" w:eastAsia="Arial" w:hAnsi="Arial"/>
                  <w:sz w:val="18"/>
                  <w:szCs w:val="18"/>
                  <w:color w:val="0000EE"/>
                </w:rPr>
                <w:t>Use of Proceeds</w:t>
              </w:r>
            </w:hyperlink>
          </w:p>
        </w:tc>
        <w:tc>
          <w:tcPr>
            <w:tcW w:w="1060" w:type="dxa"/>
            <w:vAlign w:val="bottom"/>
            <w:gridSpan w:val="6"/>
            <w:shd w:val="clear" w:color="auto" w:fill="CCEEFF"/>
          </w:tcPr>
          <w:p>
            <w:pPr>
              <w:jc w:val="right"/>
              <w:spacing w:after="0" w:line="189" w:lineRule="exact"/>
              <w:rPr>
                <w:rFonts w:ascii="Arial" w:cs="Arial" w:eastAsia="Arial" w:hAnsi="Arial"/>
                <w:sz w:val="18"/>
                <w:szCs w:val="18"/>
                <w:color w:val="0000EE"/>
              </w:rPr>
            </w:pPr>
            <w:hyperlink w:anchor="page49">
              <w:r>
                <w:rPr>
                  <w:rFonts w:ascii="Arial" w:cs="Arial" w:eastAsia="Arial" w:hAnsi="Arial"/>
                  <w:sz w:val="18"/>
                  <w:szCs w:val="18"/>
                  <w:color w:val="0000EE"/>
                </w:rPr>
                <w:t>7</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380" w:type="dxa"/>
            <w:vAlign w:val="bottom"/>
            <w:gridSpan w:val="20"/>
          </w:tcPr>
          <w:p>
            <w:pPr>
              <w:spacing w:after="0" w:line="189"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Capital Stock</w:t>
              </w:r>
            </w:hyperlink>
          </w:p>
        </w:tc>
        <w:tc>
          <w:tcPr>
            <w:tcW w:w="1060" w:type="dxa"/>
            <w:vAlign w:val="bottom"/>
            <w:gridSpan w:val="6"/>
          </w:tcPr>
          <w:p>
            <w:pPr>
              <w:jc w:val="right"/>
              <w:spacing w:after="0" w:line="189" w:lineRule="exact"/>
              <w:rPr>
                <w:rFonts w:ascii="Arial" w:cs="Arial" w:eastAsia="Arial" w:hAnsi="Arial"/>
                <w:sz w:val="18"/>
                <w:szCs w:val="18"/>
                <w:color w:val="0000EE"/>
              </w:rPr>
            </w:pPr>
            <w:hyperlink w:anchor="page50">
              <w:r>
                <w:rPr>
                  <w:rFonts w:ascii="Arial" w:cs="Arial" w:eastAsia="Arial" w:hAnsi="Arial"/>
                  <w:sz w:val="18"/>
                  <w:szCs w:val="18"/>
                  <w:color w:val="0000EE"/>
                </w:rPr>
                <w:t>8</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80" w:type="dxa"/>
            <w:vAlign w:val="bottom"/>
            <w:gridSpan w:val="20"/>
            <w:shd w:val="clear" w:color="auto" w:fill="CCEEFF"/>
          </w:tcPr>
          <w:p>
            <w:pPr>
              <w:spacing w:after="0" w:line="189" w:lineRule="exact"/>
              <w:rPr>
                <w:rFonts w:ascii="Arial" w:cs="Arial" w:eastAsia="Arial" w:hAnsi="Arial"/>
                <w:sz w:val="18"/>
                <w:szCs w:val="18"/>
                <w:color w:val="0000EE"/>
              </w:rPr>
            </w:pPr>
            <w:hyperlink w:anchor="page57">
              <w:r>
                <w:rPr>
                  <w:rFonts w:ascii="Arial" w:cs="Arial" w:eastAsia="Arial" w:hAnsi="Arial"/>
                  <w:sz w:val="18"/>
                  <w:szCs w:val="18"/>
                  <w:color w:val="0000EE"/>
                </w:rPr>
                <w:t>Selling Stockholders</w:t>
              </w:r>
            </w:hyperlink>
          </w:p>
        </w:tc>
        <w:tc>
          <w:tcPr>
            <w:tcW w:w="1060" w:type="dxa"/>
            <w:vAlign w:val="bottom"/>
            <w:gridSpan w:val="6"/>
            <w:shd w:val="clear" w:color="auto" w:fill="CCEEFF"/>
          </w:tcPr>
          <w:p>
            <w:pPr>
              <w:jc w:val="right"/>
              <w:spacing w:after="0" w:line="189" w:lineRule="exact"/>
              <w:rPr>
                <w:rFonts w:ascii="Arial" w:cs="Arial" w:eastAsia="Arial" w:hAnsi="Arial"/>
                <w:sz w:val="18"/>
                <w:szCs w:val="18"/>
                <w:color w:val="0000EE"/>
              </w:rPr>
            </w:pPr>
            <w:hyperlink w:anchor="page57">
              <w:r>
                <w:rPr>
                  <w:rFonts w:ascii="Arial" w:cs="Arial" w:eastAsia="Arial" w:hAnsi="Arial"/>
                  <w:sz w:val="18"/>
                  <w:szCs w:val="18"/>
                  <w:color w:val="0000EE"/>
                </w:rPr>
                <w:t>15</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1460" w:type="dxa"/>
            <w:vAlign w:val="bottom"/>
            <w:tcBorders>
              <w:top w:val="single" w:sz="8" w:color="0000EE"/>
            </w:tcBorders>
            <w:gridSpan w:val="7"/>
          </w:tcPr>
          <w:p>
            <w:pPr>
              <w:spacing w:after="0" w:line="189" w:lineRule="exact"/>
              <w:rPr>
                <w:rFonts w:ascii="Arial" w:cs="Arial" w:eastAsia="Arial" w:hAnsi="Arial"/>
                <w:sz w:val="18"/>
                <w:szCs w:val="18"/>
                <w:color w:val="0000EE"/>
                <w:w w:val="95"/>
              </w:rPr>
            </w:pPr>
            <w:hyperlink w:anchor="page58">
              <w:r>
                <w:rPr>
                  <w:rFonts w:ascii="Arial" w:cs="Arial" w:eastAsia="Arial" w:hAnsi="Arial"/>
                  <w:sz w:val="18"/>
                  <w:szCs w:val="18"/>
                  <w:color w:val="0000EE"/>
                  <w:w w:val="95"/>
                </w:rPr>
                <w:t>Plan of Distribution</w:t>
              </w:r>
            </w:hyperlink>
          </w:p>
        </w:tc>
        <w:tc>
          <w:tcPr>
            <w:tcW w:w="6920" w:type="dxa"/>
            <w:vAlign w:val="bottom"/>
            <w:tcBorders>
              <w:top w:val="single" w:sz="8" w:color="CCEEFF"/>
            </w:tcBorders>
            <w:gridSpan w:val="13"/>
          </w:tcPr>
          <w:p>
            <w:pPr>
              <w:spacing w:after="0"/>
              <w:rPr>
                <w:sz w:val="16"/>
                <w:szCs w:val="16"/>
                <w:color w:val="auto"/>
              </w:rPr>
            </w:pPr>
          </w:p>
        </w:tc>
        <w:tc>
          <w:tcPr>
            <w:tcW w:w="880" w:type="dxa"/>
            <w:vAlign w:val="bottom"/>
            <w:tcBorders>
              <w:top w:val="single" w:sz="8" w:color="CCEEFF"/>
            </w:tcBorders>
            <w:gridSpan w:val="4"/>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16</w:t>
              </w:r>
            </w:hyperlink>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980" w:type="dxa"/>
            <w:vAlign w:val="bottom"/>
            <w:tcBorders>
              <w:bottom w:val="single" w:sz="8" w:color="0000EE"/>
            </w:tcBorders>
            <w:gridSpan w:val="4"/>
            <w:shd w:val="clear" w:color="auto" w:fill="CCEEFF"/>
          </w:tcPr>
          <w:p>
            <w:pPr>
              <w:spacing w:after="0" w:line="189" w:lineRule="exact"/>
              <w:rPr>
                <w:rFonts w:ascii="Arial" w:cs="Arial" w:eastAsia="Arial" w:hAnsi="Arial"/>
                <w:sz w:val="18"/>
                <w:szCs w:val="18"/>
                <w:color w:val="0000EE"/>
                <w:w w:val="87"/>
              </w:rPr>
            </w:pPr>
            <w:hyperlink w:anchor="page61">
              <w:r>
                <w:rPr>
                  <w:rFonts w:ascii="Arial" w:cs="Arial" w:eastAsia="Arial" w:hAnsi="Arial"/>
                  <w:sz w:val="18"/>
                  <w:szCs w:val="18"/>
                  <w:color w:val="0000EE"/>
                  <w:w w:val="87"/>
                </w:rPr>
                <w:t>Legal Matters</w:t>
              </w:r>
            </w:hyperlink>
          </w:p>
        </w:tc>
        <w:tc>
          <w:tcPr>
            <w:tcW w:w="7400" w:type="dxa"/>
            <w:vAlign w:val="bottom"/>
            <w:tcBorders>
              <w:bottom w:val="single" w:sz="8" w:color="CCEEFF"/>
            </w:tcBorders>
            <w:gridSpan w:val="16"/>
            <w:shd w:val="clear" w:color="auto" w:fill="CCEEFF"/>
          </w:tcPr>
          <w:p>
            <w:pPr>
              <w:spacing w:after="0"/>
              <w:rPr>
                <w:sz w:val="19"/>
                <w:szCs w:val="19"/>
                <w:color w:val="auto"/>
              </w:rPr>
            </w:pPr>
          </w:p>
        </w:tc>
        <w:tc>
          <w:tcPr>
            <w:tcW w:w="880" w:type="dxa"/>
            <w:vAlign w:val="bottom"/>
            <w:tcBorders>
              <w:bottom w:val="single" w:sz="8" w:color="CCEEFF"/>
            </w:tcBorders>
            <w:gridSpan w:val="4"/>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19</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380" w:type="dxa"/>
            <w:vAlign w:val="bottom"/>
            <w:gridSpan w:val="20"/>
          </w:tcPr>
          <w:p>
            <w:pPr>
              <w:spacing w:after="0" w:line="189" w:lineRule="exact"/>
              <w:rPr>
                <w:rFonts w:ascii="Arial" w:cs="Arial" w:eastAsia="Arial" w:hAnsi="Arial"/>
                <w:sz w:val="18"/>
                <w:szCs w:val="18"/>
                <w:color w:val="0000EE"/>
              </w:rPr>
            </w:pPr>
            <w:hyperlink w:anchor="page61">
              <w:r>
                <w:rPr>
                  <w:rFonts w:ascii="Arial" w:cs="Arial" w:eastAsia="Arial" w:hAnsi="Arial"/>
                  <w:sz w:val="18"/>
                  <w:szCs w:val="18"/>
                  <w:color w:val="0000EE"/>
                </w:rPr>
                <w:t>Experts</w:t>
              </w:r>
            </w:hyperlink>
          </w:p>
        </w:tc>
        <w:tc>
          <w:tcPr>
            <w:tcW w:w="1060" w:type="dxa"/>
            <w:vAlign w:val="bottom"/>
            <w:gridSpan w:val="6"/>
          </w:tcPr>
          <w:p>
            <w:pPr>
              <w:jc w:val="right"/>
              <w:spacing w:after="0" w:line="189" w:lineRule="exact"/>
              <w:rPr>
                <w:rFonts w:ascii="Arial" w:cs="Arial" w:eastAsia="Arial" w:hAnsi="Arial"/>
                <w:sz w:val="18"/>
                <w:szCs w:val="18"/>
                <w:color w:val="0000EE"/>
              </w:rPr>
            </w:pPr>
            <w:hyperlink w:anchor="page61">
              <w:r>
                <w:rPr>
                  <w:rFonts w:ascii="Arial" w:cs="Arial" w:eastAsia="Arial" w:hAnsi="Arial"/>
                  <w:sz w:val="18"/>
                  <w:szCs w:val="18"/>
                  <w:color w:val="0000EE"/>
                </w:rPr>
                <w:t>19</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2840" w:type="dxa"/>
            <w:vAlign w:val="bottom"/>
            <w:tcBorders>
              <w:bottom w:val="single" w:sz="8" w:color="0000EE"/>
            </w:tcBorders>
            <w:gridSpan w:val="15"/>
            <w:shd w:val="clear" w:color="auto" w:fill="CCEEFF"/>
          </w:tcPr>
          <w:p>
            <w:pPr>
              <w:spacing w:after="0" w:line="189" w:lineRule="exact"/>
              <w:rPr>
                <w:rFonts w:ascii="Arial" w:cs="Arial" w:eastAsia="Arial" w:hAnsi="Arial"/>
                <w:sz w:val="18"/>
                <w:szCs w:val="18"/>
                <w:color w:val="0000EE"/>
                <w:w w:val="91"/>
              </w:rPr>
            </w:pPr>
            <w:hyperlink w:anchor="page61">
              <w:r>
                <w:rPr>
                  <w:rFonts w:ascii="Arial" w:cs="Arial" w:eastAsia="Arial" w:hAnsi="Arial"/>
                  <w:sz w:val="18"/>
                  <w:szCs w:val="18"/>
                  <w:color w:val="0000EE"/>
                  <w:w w:val="91"/>
                </w:rPr>
                <w:t>Where You Can Find More Information</w:t>
              </w:r>
            </w:hyperlink>
          </w:p>
        </w:tc>
        <w:tc>
          <w:tcPr>
            <w:tcW w:w="5540" w:type="dxa"/>
            <w:vAlign w:val="bottom"/>
            <w:tcBorders>
              <w:bottom w:val="single" w:sz="8" w:color="CCEEFF"/>
            </w:tcBorders>
            <w:gridSpan w:val="5"/>
            <w:shd w:val="clear" w:color="auto" w:fill="CCEEFF"/>
          </w:tcPr>
          <w:p>
            <w:pPr>
              <w:spacing w:after="0"/>
              <w:rPr>
                <w:sz w:val="19"/>
                <w:szCs w:val="19"/>
                <w:color w:val="auto"/>
              </w:rPr>
            </w:pPr>
          </w:p>
        </w:tc>
        <w:tc>
          <w:tcPr>
            <w:tcW w:w="880" w:type="dxa"/>
            <w:vAlign w:val="bottom"/>
            <w:tcBorders>
              <w:bottom w:val="single" w:sz="8" w:color="CCEEFF"/>
            </w:tcBorders>
            <w:gridSpan w:val="4"/>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19</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0000EE"/>
            </w:tcBorders>
          </w:tcPr>
          <w:p>
            <w:pPr>
              <w:spacing w:after="0"/>
              <w:rPr>
                <w:sz w:val="16"/>
                <w:szCs w:val="16"/>
                <w:color w:val="auto"/>
              </w:rPr>
            </w:pPr>
          </w:p>
        </w:tc>
        <w:tc>
          <w:tcPr>
            <w:tcW w:w="1960" w:type="dxa"/>
            <w:vAlign w:val="bottom"/>
            <w:tcBorders>
              <w:bottom w:val="single" w:sz="8" w:color="0000EE"/>
            </w:tcBorders>
            <w:gridSpan w:val="9"/>
          </w:tcPr>
          <w:p>
            <w:pPr>
              <w:spacing w:after="0" w:line="189"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Incorporation by Reference</w:t>
              </w:r>
            </w:hyperlink>
          </w:p>
        </w:tc>
        <w:tc>
          <w:tcPr>
            <w:tcW w:w="6420" w:type="dxa"/>
            <w:vAlign w:val="bottom"/>
            <w:gridSpan w:val="11"/>
          </w:tcPr>
          <w:p>
            <w:pPr>
              <w:spacing w:after="0"/>
              <w:rPr>
                <w:sz w:val="16"/>
                <w:szCs w:val="16"/>
                <w:color w:val="auto"/>
              </w:rPr>
            </w:pPr>
          </w:p>
        </w:tc>
        <w:tc>
          <w:tcPr>
            <w:tcW w:w="880" w:type="dxa"/>
            <w:vAlign w:val="bottom"/>
            <w:gridSpan w:val="4"/>
          </w:tcPr>
          <w:p>
            <w:pPr>
              <w:spacing w:after="0"/>
              <w:rPr>
                <w:sz w:val="16"/>
                <w:szCs w:val="16"/>
                <w:color w:val="auto"/>
              </w:rPr>
            </w:pPr>
          </w:p>
        </w:tc>
        <w:tc>
          <w:tcPr>
            <w:tcW w:w="180" w:type="dxa"/>
            <w:vAlign w:val="bottom"/>
            <w:tcBorders>
              <w:bottom w:val="single" w:sz="8" w:color="0000EE"/>
            </w:tcBorders>
            <w:gridSpan w:val="2"/>
          </w:tcPr>
          <w:p>
            <w:pPr>
              <w:jc w:val="right"/>
              <w:spacing w:after="0" w:line="189"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19</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60" w:firstLine="360"/>
        <w:spacing w:after="0" w:line="269" w:lineRule="auto"/>
        <w:rPr>
          <w:sz w:val="20"/>
          <w:szCs w:val="20"/>
          <w:color w:val="auto"/>
        </w:rPr>
      </w:pPr>
      <w:r>
        <w:rPr>
          <w:rFonts w:ascii="Arial" w:cs="Arial" w:eastAsia="Arial" w:hAnsi="Arial"/>
          <w:sz w:val="17"/>
          <w:szCs w:val="17"/>
          <w:b w:val="1"/>
          <w:bCs w:val="1"/>
          <w:color w:val="auto"/>
        </w:rPr>
        <w:t>You should rely only on the information contained, or incorporated by reference, in this prospectus supplement and the accompanying prospectus or in any free writing prospectus that we authorize to be delivered to you. We, the selling stockholders and the underwriters have not authorized anyone to provide any information or to make any representations other than those contained, or incorporated by reference, in this prospectus supplement and the accompanying prospectus or in any free writing prospectus we have prepared. We, the selling stockholders and the underwriters take no responsibility for, and can provide no assurance as to the reliability of, any other information that others may provide you. The selling stockholders and the underwriters are offering to sell, and seeking offers to buy, these securities only in jurisdictions where offers and sales are permitted. You should assume that the information contained, or incorporated by reference, in this prospectus supplement and the accompanying prospectus or any free writing prospectus prepared by us or on our behalf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results of operations and prospects may have changed since that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b w:val="1"/>
          <w:bCs w:val="1"/>
          <w:color w:val="auto"/>
        </w:rPr>
        <w:t>For investors outside the United States: The selling stockholders and the underwriters are offering to sell, and seeking offers to buy, shares of our common stock only in jurisdictions where offers and sales are permitted. None of us, the selling stockholders or the underwriters have done anything that would permit this offering or possession or distribution of this prospectus supplement and the accompanying prospectus in any jurisdiction where action for that purpose is required, other than in the United States. Persons outside the United States who come into possession of this prospectus supplement and the accompanying prospectus must inform themselves about, and observe any restrictions relating to, the offering of the shares of common stock and the distribution of this prospectus supplement and the accompanying prospectus outside the United States.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12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This document has two parts, a prospectus supplement and an accompanying prospectus dated November 14, 2018. This prospectus supplement and the accompanying prospectus are part of a registration statement that we filed with the SEC, utilizing the SEC’s “shelf” registration process. The prospectus supplement, which describes certain matters relating to us and the specific terms of this offering of shares of our common stock, adds to and updates information contained in the accompanying prospectus and the documents incorporated by reference herein. Generally, when we refer to this document, we are referring to both parts of this document combined. Both this prospectus supplement and the accompanying prospectus include important information about us, our common stock and other information you should know before investing in our common stock. To the extent the information contained in this prospectus supplement differs or varies from the information contained in the accompanying prospectus, you should rely on the information contained in this prospectus supplement. If the information contained in this prospectus supplement differs or varies from the information contained in a document we have incorporated by reference, you should rely on the information in the more recent document.</w:t>
      </w:r>
    </w:p>
    <w:p>
      <w:pPr>
        <w:spacing w:after="0" w:line="75" w:lineRule="exact"/>
        <w:rPr>
          <w:sz w:val="20"/>
          <w:szCs w:val="20"/>
          <w:color w:val="auto"/>
        </w:rPr>
      </w:pPr>
    </w:p>
    <w:p>
      <w:pPr>
        <w:jc w:val="both"/>
        <w:ind w:right="280" w:firstLine="360"/>
        <w:spacing w:after="0" w:line="264" w:lineRule="auto"/>
        <w:rPr>
          <w:sz w:val="20"/>
          <w:szCs w:val="20"/>
          <w:color w:val="auto"/>
        </w:rPr>
      </w:pPr>
      <w:r>
        <w:rPr>
          <w:rFonts w:ascii="Arial" w:cs="Arial" w:eastAsia="Arial" w:hAnsi="Arial"/>
          <w:sz w:val="18"/>
          <w:szCs w:val="18"/>
          <w:color w:val="auto"/>
        </w:rPr>
        <w:t>Before you invest in our common stock, you should read the registration statement of which this document forms a part and this document, including the documents incorporated by reference herein that are described under the heading “Incorporation by Reference.”</w:t>
      </w:r>
    </w:p>
    <w:p>
      <w:pPr>
        <w:spacing w:after="0" w:line="73" w:lineRule="exact"/>
        <w:rPr>
          <w:sz w:val="20"/>
          <w:szCs w:val="20"/>
          <w:color w:val="auto"/>
        </w:rPr>
      </w:pPr>
    </w:p>
    <w:p>
      <w:pPr>
        <w:ind w:right="60" w:firstLine="360"/>
        <w:spacing w:after="0" w:line="272" w:lineRule="auto"/>
        <w:rPr>
          <w:sz w:val="20"/>
          <w:szCs w:val="20"/>
          <w:color w:val="auto"/>
        </w:rPr>
      </w:pPr>
      <w:r>
        <w:rPr>
          <w:rFonts w:ascii="Arial" w:cs="Arial" w:eastAsia="Arial" w:hAnsi="Arial"/>
          <w:sz w:val="17"/>
          <w:szCs w:val="17"/>
          <w:color w:val="auto"/>
        </w:rPr>
        <w:t>The distribution of this prospectus supplement and the accompanying prospectus and the offering of the common stock in certain jurisdictions may be restricted by law. Neither the selling stockholders nor the underwriters are making an offer of the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70"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You should not consider any information in this prospectus supplement or the accompanying prospectus to be investment, legal or tax advice. You should consult your own counsel, accountant and other advisors for legal, tax, business, financial and related advice regarding the purchase of the common stock. None of us, the selling stockholders or the underwriters are making any representation to you regarding the legality of an investment in the common stock by you under applicable investment or similar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120015</wp:posOffset>
            </wp:positionV>
            <wp:extent cx="1157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30"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In this prospectus supplement, unless the context otherwise requires, all references herein to “National Vision Holdings, Inc.,” “National Vision,” the “Company,” “we,” “our” or “us” refer to National Vision Holdings, Inc., a Delaware corporation, and its consolidated subsidiaries. National Vision Holdings, Inc. conducts substantially all of its activities through its direct, wholly-owned subsidiary, National Vision, Inc., a Georgia corporation, which we refer to herein as “NVI,” and NVI’s subsidiaries. References to the “selling stockholders” refer to the selling stockholders listed in the table under the caption “Selling Stockholders” in this prospectus supplement.</w:t>
      </w:r>
    </w:p>
    <w:p>
      <w:pPr>
        <w:spacing w:after="0" w:line="85"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We operate on a retail fiscal calendar pursuant to which our fiscal year consists of 52 or 53 weeks, ending on the Saturday closest to December 31. Unless otherwise indicated or the context otherwise requires, all references to years and quarters relate to fiscal periods rather than calendar periods. References to “fiscal year 2015,” “fiscal year 2016” and “fiscal year 2017” relate to our fiscal year ended January 2, 2016, our fiscal year ended December 31, 2016 and our fiscal year ended December 30, 2017, respectively.</w:t>
      </w:r>
    </w:p>
    <w:p>
      <w:pPr>
        <w:spacing w:after="0" w:line="80"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Amounts in this prospectus supplement and the audited consolidated financial statements incorporated by reference in this prospectus supplement are presented in U.S. dollars rounded to the nearest thousand, unless otherwise noted. Certain amounts presented in tables are subject to rounding adjustments and, as a result, the totals in such tables may not sum. The accounting policies set out in the audited consolidated financial statements incorporated by reference in this prospectus supplement have been consistently applied to all periods presented.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121"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We own a number of registered and common law trademarks and pending applications for trademark registrations in the United States, primarily through our subsidiaries. Solely for convenience, the trademarks, service marks and tradenames referred to in this prospectus supplement and the accompanying prospectus (or in documents we have incorporated by reference) are presented without the ®, SM and ™ symbols, but such references are not intended to indicate, in any way, that we will not assert, to the fullest extent under applicable law, our rights or the rights of the applicable licensors to these trademarks, service marks and tradenames. All trademarks, service marks and tradenames appearing in this prospectus supplement and the accompanying prospectus (or in documents we have incorporated by reference) are the property of their respective owners.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This prospectus supplement contains, or incorporates by reference, “non-GAAP financial measures” that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“EBITDA,” “Adjusted EBITDA” and “Adjusted Net Income.”</w:t>
      </w:r>
    </w:p>
    <w:p>
      <w:pPr>
        <w:spacing w:after="0" w:line="63"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color w:val="auto"/>
        </w:rPr>
        <w:t>EBITDA, Adjusted EBITDA and Adjusted Net Income have been presented in this prospectus supplement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Management uses EBITDA, Adjusted EBITDA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65" w:lineRule="exact"/>
        <w:rPr>
          <w:sz w:val="20"/>
          <w:szCs w:val="20"/>
          <w:color w:val="auto"/>
        </w:rPr>
      </w:pPr>
    </w:p>
    <w:p>
      <w:pPr>
        <w:ind w:right="40" w:firstLine="360"/>
        <w:spacing w:after="0" w:line="288" w:lineRule="auto"/>
        <w:rPr>
          <w:sz w:val="20"/>
          <w:szCs w:val="20"/>
          <w:color w:val="auto"/>
        </w:rPr>
      </w:pPr>
      <w:r>
        <w:rPr>
          <w:rFonts w:ascii="Arial" w:cs="Arial" w:eastAsia="Arial" w:hAnsi="Arial"/>
          <w:sz w:val="16"/>
          <w:szCs w:val="16"/>
          <w:color w:val="auto"/>
        </w:rPr>
        <w:t>EBITDA, Adjusted EBITDA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“Prospectus Supplement Summary―Summary Historical Consolidated Financial and Other Data.”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650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92825" cy="6650355"/>
                    </a:xfrm>
                    <a:prstGeom prst="rect">
                      <a:avLst/>
                    </a:prstGeom>
                    <a:noFill/>
                  </pic:spPr>
                </pic:pic>
              </a:graphicData>
            </a:graphic>
          </wp:anchor>
        </w:drawing>
      </w: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PROSPECTUS SUPPLEMENT SUMMARY</w:t>
      </w:r>
    </w:p>
    <w:p>
      <w:pPr>
        <w:spacing w:after="0" w:line="121" w:lineRule="exact"/>
        <w:rPr>
          <w:sz w:val="20"/>
          <w:szCs w:val="20"/>
          <w:color w:val="auto"/>
        </w:rPr>
      </w:pPr>
    </w:p>
    <w:p>
      <w:pPr>
        <w:ind w:left="100" w:firstLine="360"/>
        <w:spacing w:after="0" w:line="269" w:lineRule="auto"/>
        <w:rPr>
          <w:sz w:val="20"/>
          <w:szCs w:val="20"/>
          <w:color w:val="auto"/>
        </w:rPr>
      </w:pPr>
      <w:r>
        <w:rPr>
          <w:rFonts w:ascii="Arial" w:cs="Arial" w:eastAsia="Arial" w:hAnsi="Arial"/>
          <w:sz w:val="17"/>
          <w:szCs w:val="17"/>
          <w:i w:val="1"/>
          <w:iCs w:val="1"/>
          <w:color w:val="auto"/>
        </w:rPr>
        <w:t>This summary highlights selected information contained or incorporated by reference in this prospectus supplement and the accompanying prospectus. This summary is not complete and does not contain all of the information that you should consider before making your investment decision. Before you decide to invest in shares of our common stock, you should carefully read this entire prospectus supplement, the accompanying prospectus and the information incorporated by reference herein and therein, including any free writing prospectus prepared by us or on our behalf, including the sections entitled “Special Note Regarding Forward-Looking Statements” and “Risk Factors” included in this prospectus supplement and the accompanying prospectus, the sections entitled “Risk Factors” and “Management’s Discussion and Analysis of Financial Condition and Results of Operations” and the audited consolidated financial statements and related notes thereto in our Annual Report, and the section entitled “Management’s Discussion and Analysis of Financial Condition and Results of Operations” and the unaudited condensed consolidated financial statements and related notes thereto in our Quarterly Reports on Form 10-Q for the quarters ended March 31, 2018, June 30, 2018 and September 29, 2018, or our Quarterly Reports, each of which is incorporated by reference in this prospectus supplement and the accompanying prospectus.</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100" w:right="40" w:firstLine="360"/>
        <w:spacing w:after="0" w:line="272"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reach our customers through a diverse portfolio of 1,067 retail stores across five brands and 20 consumer websites as of September 29, 2018.</w:t>
      </w:r>
    </w:p>
    <w:p>
      <w:pPr>
        <w:spacing w:after="0" w:line="70" w:lineRule="exact"/>
        <w:rPr>
          <w:sz w:val="20"/>
          <w:szCs w:val="20"/>
          <w:color w:val="auto"/>
        </w:rPr>
      </w:pPr>
    </w:p>
    <w:p>
      <w:pPr>
        <w:ind w:left="100" w:right="200" w:firstLine="360"/>
        <w:spacing w:after="0" w:line="286" w:lineRule="auto"/>
        <w:rPr>
          <w:sz w:val="20"/>
          <w:szCs w:val="20"/>
          <w:color w:val="auto"/>
        </w:rPr>
      </w:pPr>
      <w:r>
        <w:rPr>
          <w:rFonts w:ascii="Arial" w:cs="Arial" w:eastAsia="Arial" w:hAnsi="Arial"/>
          <w:sz w:val="17"/>
          <w:szCs w:val="17"/>
          <w:color w:val="auto"/>
        </w:rPr>
        <w:t>Our history of profitable growth is founded on a commitment to a relatively simple business model: providing exceptional value and convenience to customers, enabled by our low-cost operating platform. Our disciplined approach to new store openings, combined with our attractive store economics, has led to strong returns on investment.</w:t>
      </w:r>
    </w:p>
    <w:p>
      <w:pPr>
        <w:spacing w:after="0" w:line="57" w:lineRule="exact"/>
        <w:rPr>
          <w:sz w:val="20"/>
          <w:szCs w:val="20"/>
          <w:color w:val="auto"/>
        </w:rPr>
      </w:pPr>
    </w:p>
    <w:p>
      <w:pPr>
        <w:ind w:left="100" w:right="80" w:firstLine="360"/>
        <w:spacing w:after="0" w:line="269" w:lineRule="auto"/>
        <w:rPr>
          <w:sz w:val="20"/>
          <w:szCs w:val="20"/>
          <w:color w:val="auto"/>
        </w:rPr>
      </w:pPr>
      <w:r>
        <w:rPr>
          <w:rFonts w:ascii="Arial" w:cs="Arial" w:eastAsia="Arial" w:hAnsi="Arial"/>
          <w:sz w:val="17"/>
          <w:szCs w:val="17"/>
          <w:color w:val="auto"/>
        </w:rPr>
        <w:t>We have two reportable segments: our owned &amp; host segment and our legacy segment. Our owned &amp; host segment includes our two owned brands, America’s Best and Eyeglass World, and our Vista Optical locations in Fred Meyer, Inc. stores. Within this segment, we also provide low-cost vision care products and services to American military service members by operating Vista Optical locations on military bases across the country. Our legacy segment consists of our 28-year strategic relationship with Wal-Mart Stores, Inc., or Walmart, to operate Vision Centers in select Walmart stores. In addition, our wholly-owned subsidiary, FirstSight Vision Services Inc., or FirstSight, which is licensed as a single-service health plan under California law, issues individual vision care benefit plans in connection with our America’s Best operations in California and provides, or arranges for the provision of, optometric services at certain optometric offices next to Walmart and Sam’s Club stores in California. We support our brands through our ever-evolving omni-channel offerings and we also have an established standalone e-commerce business. Our e-commerce platform serves our proprietary e-commerce websites and the e-commerce websites of third parties, including Walmart, Sam’s Club and Giant Eagle.</w:t>
      </w:r>
    </w:p>
    <w:p>
      <w:pPr>
        <w:spacing w:after="0" w:line="75" w:lineRule="exact"/>
        <w:rPr>
          <w:sz w:val="20"/>
          <w:szCs w:val="20"/>
          <w:color w:val="auto"/>
        </w:rPr>
      </w:pPr>
    </w:p>
    <w:p>
      <w:pPr>
        <w:ind w:left="100" w:right="40" w:firstLine="360"/>
        <w:spacing w:after="0" w:line="279" w:lineRule="auto"/>
        <w:rPr>
          <w:sz w:val="20"/>
          <w:szCs w:val="20"/>
          <w:color w:val="auto"/>
        </w:rPr>
      </w:pPr>
      <w:r>
        <w:rPr>
          <w:rFonts w:ascii="Arial" w:cs="Arial" w:eastAsia="Arial" w:hAnsi="Arial"/>
          <w:sz w:val="17"/>
          <w:szCs w:val="17"/>
          <w:color w:val="auto"/>
        </w:rPr>
        <w:t>Through its predecessors, NVI commenced operations in 1990. In 2005, private equity funds managed by Berkshire Partners LLC, or Berkshire, acquired both NVI and Consolidated Vision Group, Inc., which operated America’s Best stores, and merged these entities, with NVI surviving. In 2009, NVI acquired the Eyeglass World store chain. In 2011, after a multi-year partnership, NVI acquired Arlington Contact Lens Service, Inc., or AC Lens, to bolster its e-commerce platform.</w:t>
      </w:r>
    </w:p>
    <w:p>
      <w:pPr>
        <w:spacing w:after="0" w:line="63" w:lineRule="exact"/>
        <w:rPr>
          <w:sz w:val="20"/>
          <w:szCs w:val="20"/>
          <w:color w:val="auto"/>
        </w:rPr>
      </w:pPr>
    </w:p>
    <w:p>
      <w:pPr>
        <w:ind w:left="100" w:right="160" w:firstLine="360"/>
        <w:spacing w:after="0" w:line="264" w:lineRule="auto"/>
        <w:rPr>
          <w:sz w:val="20"/>
          <w:szCs w:val="20"/>
          <w:color w:val="auto"/>
        </w:rPr>
      </w:pPr>
      <w:r>
        <w:rPr>
          <w:rFonts w:ascii="Arial" w:cs="Arial" w:eastAsia="Arial" w:hAnsi="Arial"/>
          <w:sz w:val="18"/>
          <w:szCs w:val="18"/>
          <w:color w:val="auto"/>
        </w:rPr>
        <w:t>In March 2014, NVI was acquired by affiliates of Kohlberg Kravis Roberts &amp; Co. L.P., or KKR Sponsor. National Vision Holdings, Inc. was incorporated in Delaware on February 14, 2014 under the name “Nautilus Parent, Inc.” and NVI became our wholly-owned subsidiary in connection with the acquisition of the Company</w:t>
      </w: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1230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92825" cy="1230630"/>
                    </a:xfrm>
                    <a:prstGeom prst="rect">
                      <a:avLst/>
                    </a:prstGeom>
                    <a:noFill/>
                  </pic:spPr>
                </pic:pic>
              </a:graphicData>
            </a:graphic>
          </wp:anchor>
        </w:drawing>
      </w:r>
    </w:p>
    <w:p>
      <w:pPr>
        <w:spacing w:after="0" w:line="138" w:lineRule="exact"/>
        <w:rPr>
          <w:sz w:val="20"/>
          <w:szCs w:val="20"/>
          <w:color w:val="auto"/>
        </w:rPr>
      </w:pPr>
    </w:p>
    <w:p>
      <w:pPr>
        <w:ind w:left="100"/>
        <w:spacing w:after="0" w:line="264" w:lineRule="auto"/>
        <w:rPr>
          <w:sz w:val="20"/>
          <w:szCs w:val="20"/>
          <w:color w:val="auto"/>
        </w:rPr>
      </w:pPr>
      <w:r>
        <w:rPr>
          <w:rFonts w:ascii="Arial" w:cs="Arial" w:eastAsia="Arial" w:hAnsi="Arial"/>
          <w:sz w:val="18"/>
          <w:szCs w:val="18"/>
          <w:color w:val="auto"/>
        </w:rPr>
        <w:t>by affiliates of KKR Sponsor in March 2014, or the KKR Acquisition. We changed our name to “National Vision Holdings, Inc.” in June 2017. Our common stock began trading on NASDAQ under the symbol “EYE” on October 26, 2017 and we consummated our initial public offering of our common stock, or the IPO, on October 30, 2017.</w:t>
      </w:r>
    </w:p>
    <w:p>
      <w:pPr>
        <w:spacing w:after="0" w:line="73" w:lineRule="exact"/>
        <w:rPr>
          <w:sz w:val="20"/>
          <w:szCs w:val="20"/>
          <w:color w:val="auto"/>
        </w:rPr>
      </w:pPr>
    </w:p>
    <w:p>
      <w:pPr>
        <w:ind w:left="100" w:right="20" w:firstLine="360"/>
        <w:spacing w:after="0" w:line="302" w:lineRule="auto"/>
        <w:rPr>
          <w:sz w:val="20"/>
          <w:szCs w:val="20"/>
          <w:color w:val="auto"/>
        </w:rPr>
      </w:pPr>
      <w:r>
        <w:rPr>
          <w:rFonts w:ascii="Arial" w:cs="Arial" w:eastAsia="Arial" w:hAnsi="Arial"/>
          <w:sz w:val="16"/>
          <w:szCs w:val="16"/>
          <w:color w:val="auto"/>
        </w:rPr>
        <w:t xml:space="preserve">Our principal executive offices are located at 2435 Commerce Avenue, Bldg. 2200, Duluth, Georgia 30096. The telephone number of our principal executive offices is (770) 822-3600. We maintain a website at </w:t>
      </w:r>
      <w:r>
        <w:rPr>
          <w:rFonts w:ascii="Arial" w:cs="Arial" w:eastAsia="Arial" w:hAnsi="Arial"/>
          <w:sz w:val="16"/>
          <w:szCs w:val="16"/>
          <w:i w:val="1"/>
          <w:iCs w:val="1"/>
          <w:color w:val="auto"/>
        </w:rPr>
        <w:t>www.nationalvision.com</w:t>
      </w:r>
      <w:r>
        <w:rPr>
          <w:rFonts w:ascii="Arial" w:cs="Arial" w:eastAsia="Arial" w:hAnsi="Arial"/>
          <w:sz w:val="16"/>
          <w:szCs w:val="16"/>
          <w:color w:val="auto"/>
        </w:rPr>
        <w:t>. The information contained on, or that can be accessed through, our corporate website or other company websites referenced elsewhere in this prospectus supplement neither constitutes part of this prospectus supplement nor is incorporated by reference herein.</w:t>
      </w:r>
    </w:p>
    <w:p>
      <w:pPr>
        <w:spacing w:after="0" w:line="200" w:lineRule="exact"/>
        <w:rPr>
          <w:sz w:val="20"/>
          <w:szCs w:val="20"/>
          <w:color w:val="auto"/>
        </w:rPr>
      </w:pPr>
    </w:p>
    <w:p>
      <w:pPr>
        <w:spacing w:after="0" w:line="2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20"/>
          </w:cols>
          <w:pgMar w:left="1180" w:top="279" w:right="129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5817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92825" cy="6581775"/>
                    </a:xfrm>
                    <a:prstGeom prst="rect">
                      <a:avLst/>
                    </a:prstGeom>
                    <a:noFill/>
                  </pic:spPr>
                </pic:pic>
              </a:graphicData>
            </a:graphic>
          </wp:anchor>
        </w:drawing>
      </w: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9460"/>
          </w:cols>
          <w:pgMar w:left="1180" w:top="279" w:right="1259" w:bottom="1440" w:gutter="0" w:footer="0" w:header="0"/>
        </w:sectPr>
      </w:pPr>
    </w:p>
    <w:p>
      <w:pPr>
        <w:spacing w:after="0" w:line="13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12,500,000 shares.</w:t>
      </w:r>
    </w:p>
    <w:p>
      <w:pPr>
        <w:spacing w:after="0" w:line="151" w:lineRule="exact"/>
        <w:rPr>
          <w:sz w:val="20"/>
          <w:szCs w:val="20"/>
          <w:color w:val="auto"/>
        </w:rPr>
      </w:pPr>
    </w:p>
    <w:p>
      <w:pPr>
        <w:sectPr>
          <w:pgSz w:w="11900" w:h="16838" w:orient="portrait"/>
          <w:cols w:equalWidth="0" w:num="2">
            <w:col w:w="3740" w:space="680"/>
            <w:col w:w="5040"/>
          </w:cols>
          <w:pgMar w:left="1180" w:top="279" w:right="125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Common stock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77,164,296 shares (as of October 31, 2018).</w:t>
      </w:r>
    </w:p>
    <w:p>
      <w:pPr>
        <w:spacing w:after="0" w:line="140" w:lineRule="exact"/>
        <w:rPr>
          <w:sz w:val="20"/>
          <w:szCs w:val="20"/>
          <w:color w:val="auto"/>
        </w:rPr>
      </w:pPr>
    </w:p>
    <w:p>
      <w:pPr>
        <w:sectPr>
          <w:pgSz w:w="11900" w:h="16838" w:orient="portrait"/>
          <w:cols w:equalWidth="0" w:num="2">
            <w:col w:w="3700" w:space="720"/>
            <w:col w:w="5040"/>
          </w:cols>
          <w:pgMar w:left="1180" w:top="279" w:right="1259" w:bottom="1440" w:gutter="0" w:footer="0" w:header="0"/>
          <w:type w:val="continuous"/>
        </w:sectPr>
      </w:pPr>
    </w:p>
    <w:p>
      <w:pPr>
        <w:ind w:left="1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7"/>
          <w:szCs w:val="17"/>
          <w:color w:val="auto"/>
        </w:rPr>
        <w:t>We will not receive any proceeds from the sale of shares being sold in this offering. The selling stockholders will receive all of the net proceeds and bear all commissions and discounts, if any, from the sale of our common stock pursuant to this prospectus supplement. See “Use of Proceeds” and “Selling Stockholders.”</w:t>
      </w:r>
    </w:p>
    <w:p>
      <w:pPr>
        <w:spacing w:after="0" w:line="64" w:lineRule="exact"/>
        <w:rPr>
          <w:sz w:val="20"/>
          <w:szCs w:val="20"/>
          <w:color w:val="auto"/>
        </w:rPr>
      </w:pPr>
    </w:p>
    <w:p>
      <w:pPr>
        <w:sectPr>
          <w:pgSz w:w="11900" w:h="16838" w:orient="portrait"/>
          <w:cols w:equalWidth="0" w:num="2">
            <w:col w:w="3700" w:space="720"/>
            <w:col w:w="5040"/>
          </w:cols>
          <w:pgMar w:left="1180" w:top="279" w:right="1259" w:bottom="1440" w:gutter="0" w:footer="0" w:header="0"/>
          <w:type w:val="continuous"/>
        </w:sectPr>
      </w:pPr>
    </w:p>
    <w:p>
      <w:pPr>
        <w:ind w:left="1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120"/>
        <w:spacing w:after="0" w:line="302" w:lineRule="auto"/>
        <w:rPr>
          <w:sz w:val="20"/>
          <w:szCs w:val="20"/>
          <w:color w:val="auto"/>
        </w:rPr>
      </w:pPr>
      <w:r>
        <w:rPr>
          <w:rFonts w:ascii="Arial" w:cs="Arial" w:eastAsia="Arial" w:hAnsi="Arial"/>
          <w:sz w:val="16"/>
          <w:szCs w:val="16"/>
          <w:color w:val="auto"/>
        </w:rPr>
        <w:t>You should carefully read and consider the information set forth under “Risk Factors” herein, in the accompanying prospectus and in the documents incorporated by reference herein, including our Annual Report, before deciding to invest in our common stock.</w:t>
      </w:r>
    </w:p>
    <w:p>
      <w:pPr>
        <w:spacing w:after="0" w:line="46" w:lineRule="exact"/>
        <w:rPr>
          <w:sz w:val="20"/>
          <w:szCs w:val="20"/>
          <w:color w:val="auto"/>
        </w:rPr>
      </w:pPr>
    </w:p>
    <w:p>
      <w:pPr>
        <w:sectPr>
          <w:pgSz w:w="11900" w:h="16838" w:orient="portrait"/>
          <w:cols w:equalWidth="0" w:num="2">
            <w:col w:w="3700" w:space="720"/>
            <w:col w:w="5040"/>
          </w:cols>
          <w:pgMar w:left="1180" w:top="279" w:right="1259" w:bottom="1440" w:gutter="0" w:footer="0" w:header="0"/>
          <w:type w:val="continuous"/>
        </w:sectPr>
      </w:pPr>
    </w:p>
    <w:p>
      <w:pPr>
        <w:ind w:left="100"/>
        <w:spacing w:after="0"/>
        <w:rPr>
          <w:sz w:val="20"/>
          <w:szCs w:val="20"/>
          <w:color w:val="auto"/>
        </w:rPr>
      </w:pPr>
      <w:r>
        <w:rPr>
          <w:rFonts w:ascii="Arial" w:cs="Arial" w:eastAsia="Arial" w:hAnsi="Arial"/>
          <w:sz w:val="17"/>
          <w:szCs w:val="17"/>
          <w:color w:val="auto"/>
        </w:rPr>
        <w:t>Dividend policy</w:t>
      </w:r>
    </w:p>
    <w:p>
      <w:pPr>
        <w:spacing w:after="0" w:line="20" w:lineRule="exact"/>
        <w:rPr>
          <w:sz w:val="20"/>
          <w:szCs w:val="20"/>
          <w:color w:val="auto"/>
        </w:rPr>
      </w:pPr>
      <w:r>
        <w:rPr>
          <w:sz w:val="20"/>
          <w:szCs w:val="20"/>
          <w:color w:val="auto"/>
        </w:rPr>
        <w:br w:type="column"/>
      </w:r>
    </w:p>
    <w:p>
      <w:pPr>
        <w:ind w:right="40"/>
        <w:spacing w:after="0" w:line="273" w:lineRule="auto"/>
        <w:rPr>
          <w:sz w:val="20"/>
          <w:szCs w:val="20"/>
          <w:color w:val="auto"/>
        </w:rPr>
      </w:pPr>
      <w:r>
        <w:rPr>
          <w:rFonts w:ascii="Arial" w:cs="Arial" w:eastAsia="Arial" w:hAnsi="Arial"/>
          <w:sz w:val="17"/>
          <w:szCs w:val="17"/>
          <w:color w:val="auto"/>
        </w:rPr>
        <w:t>We do not currently anticipate paying any dividends on our common stock and currently expect to retain all future earnings for use in the operation and expansion of our business. Any decision to declare and pay dividends in the future will be made at the sole discretion of our board of directors, or Board of Directors, and will depend on various factors. See “Dividend Policy.”</w:t>
      </w:r>
    </w:p>
    <w:p>
      <w:pPr>
        <w:spacing w:after="0" w:line="70" w:lineRule="exact"/>
        <w:rPr>
          <w:sz w:val="20"/>
          <w:szCs w:val="20"/>
          <w:color w:val="auto"/>
        </w:rPr>
      </w:pPr>
    </w:p>
    <w:p>
      <w:pPr>
        <w:sectPr>
          <w:pgSz w:w="11900" w:h="16838" w:orient="portrait"/>
          <w:cols w:equalWidth="0" w:num="2">
            <w:col w:w="3700" w:space="720"/>
            <w:col w:w="5040"/>
          </w:cols>
          <w:pgMar w:left="1180" w:top="279" w:right="1259" w:bottom="1440" w:gutter="0" w:footer="0" w:header="0"/>
          <w:type w:val="continuous"/>
        </w:sectPr>
      </w:pPr>
    </w:p>
    <w:p>
      <w:pPr>
        <w:ind w:left="100"/>
        <w:spacing w:after="0"/>
        <w:rPr>
          <w:sz w:val="20"/>
          <w:szCs w:val="20"/>
          <w:color w:val="auto"/>
        </w:rPr>
      </w:pPr>
      <w:r>
        <w:rPr>
          <w:rFonts w:ascii="Arial" w:cs="Arial" w:eastAsia="Arial" w:hAnsi="Arial"/>
          <w:sz w:val="17"/>
          <w:szCs w:val="17"/>
          <w:color w:val="auto"/>
        </w:rPr>
        <w:t>NASDAQ ticker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“EYE”</w:t>
      </w:r>
    </w:p>
    <w:p>
      <w:pPr>
        <w:spacing w:after="0" w:line="117" w:lineRule="exact"/>
        <w:rPr>
          <w:sz w:val="20"/>
          <w:szCs w:val="20"/>
          <w:color w:val="auto"/>
        </w:rPr>
      </w:pPr>
    </w:p>
    <w:p>
      <w:pPr>
        <w:sectPr>
          <w:pgSz w:w="11900" w:h="16838" w:orient="portrait"/>
          <w:cols w:equalWidth="0" w:num="2">
            <w:col w:w="3700" w:space="720"/>
            <w:col w:w="5040"/>
          </w:cols>
          <w:pgMar w:left="1180" w:top="279" w:right="1259" w:bottom="1440" w:gutter="0" w:footer="0" w:header="0"/>
          <w:type w:val="continuous"/>
        </w:sectPr>
      </w:pPr>
    </w:p>
    <w:p>
      <w:pPr>
        <w:ind w:left="100" w:right="160" w:firstLine="360"/>
        <w:spacing w:after="0" w:line="342" w:lineRule="auto"/>
        <w:rPr>
          <w:sz w:val="20"/>
          <w:szCs w:val="20"/>
          <w:color w:val="auto"/>
        </w:rPr>
      </w:pPr>
      <w:r>
        <w:rPr>
          <w:rFonts w:ascii="Arial" w:cs="Arial" w:eastAsia="Arial" w:hAnsi="Arial"/>
          <w:sz w:val="16"/>
          <w:szCs w:val="16"/>
          <w:color w:val="auto"/>
        </w:rPr>
        <w:t>The number of shares of our common stock to be outstanding after this offering is based on 77,164,296 shares of our common stock outstanding as of October 31, 2018, including 11,431 shares of restricted stock outstanding, and does not reflect:</w:t>
      </w:r>
    </w:p>
    <w:p>
      <w:pPr>
        <w:spacing w:after="0" w:line="16" w:lineRule="exact"/>
        <w:rPr>
          <w:sz w:val="20"/>
          <w:szCs w:val="20"/>
          <w:color w:val="auto"/>
        </w:rPr>
      </w:pPr>
    </w:p>
    <w:p>
      <w:pPr>
        <w:ind w:left="800" w:hanging="342"/>
        <w:spacing w:after="0" w:line="270" w:lineRule="auto"/>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7,719,415 shares of common stock issuable upon the exercise of options outstanding as of October 31, 2018, (1) of which 2,599,489 were then vested and exercisable and (2) of which 1,418,159 were time-based options and 1,181,330 were performance-based options. The performance-based options (other than 217,390 performance-based options held by Jeff McAllister, which have different vesting terms and 43,478 of which have vested) have not previously vested and are eligible to vest only upon affiliates of KKR Sponsor achieving certain internal rate of return threshold and multiples of invested capital. We expect that certain performance-based options will vest upon the consummation of this offering. See “Executive Compensation—Narrative to Summary Compensation Table and 2017 Grants of Plan-Based Awards— Equity Awards” in our Annual Report, which is incorporated herein by reference, for additional details around vesting terms;</w:t>
      </w:r>
    </w:p>
    <w:p>
      <w:pPr>
        <w:spacing w:after="0" w:line="73" w:lineRule="exact"/>
        <w:rPr>
          <w:rFonts w:ascii="Arial" w:cs="Arial" w:eastAsia="Arial" w:hAnsi="Arial"/>
          <w:sz w:val="17"/>
          <w:szCs w:val="17"/>
          <w:color w:val="auto"/>
        </w:rPr>
      </w:pPr>
    </w:p>
    <w:p>
      <w:pPr>
        <w:ind w:left="800" w:hanging="342"/>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101,754 restricted stock units outstanding as of October 31, 2018;</w:t>
      </w:r>
    </w:p>
    <w:p>
      <w:pPr>
        <w:spacing w:after="0" w:line="117" w:lineRule="exact"/>
        <w:rPr>
          <w:rFonts w:ascii="Arial" w:cs="Arial" w:eastAsia="Arial" w:hAnsi="Arial"/>
          <w:sz w:val="18"/>
          <w:szCs w:val="18"/>
          <w:color w:val="auto"/>
        </w:rPr>
      </w:pPr>
    </w:p>
    <w:p>
      <w:pPr>
        <w:ind w:left="800" w:right="160" w:hanging="342"/>
        <w:spacing w:after="0" w:line="27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4,203,599 shares of common stock available for issuance under our 2014 Stock Incentive Plan and our 2017 Omnibus Incentive Plan; and</w:t>
      </w:r>
    </w:p>
    <w:p>
      <w:pPr>
        <w:spacing w:after="0" w:line="62" w:lineRule="exact"/>
        <w:rPr>
          <w:rFonts w:ascii="Arial" w:cs="Arial" w:eastAsia="Arial" w:hAnsi="Arial"/>
          <w:sz w:val="18"/>
          <w:szCs w:val="18"/>
          <w:color w:val="auto"/>
        </w:rPr>
      </w:pPr>
    </w:p>
    <w:p>
      <w:pPr>
        <w:ind w:left="800" w:hanging="342"/>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850,000 shares of common stock available for issuance under our 2018 Associate Stock Purchase Plan; and</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exercises of vested options by the management selling stockholders in connection with this offering.</w:t>
      </w:r>
    </w:p>
    <w:p>
      <w:pPr>
        <w:spacing w:after="0" w:line="117" w:lineRule="exact"/>
        <w:rPr>
          <w:sz w:val="20"/>
          <w:szCs w:val="20"/>
          <w:color w:val="auto"/>
        </w:rPr>
      </w:pPr>
    </w:p>
    <w:p>
      <w:pPr>
        <w:ind w:left="100" w:right="140" w:firstLine="360"/>
        <w:spacing w:after="0" w:line="259" w:lineRule="auto"/>
        <w:rPr>
          <w:sz w:val="20"/>
          <w:szCs w:val="20"/>
          <w:color w:val="auto"/>
        </w:rPr>
      </w:pPr>
      <w:r>
        <w:rPr>
          <w:rFonts w:ascii="Arial" w:cs="Arial" w:eastAsia="Arial" w:hAnsi="Arial"/>
          <w:sz w:val="18"/>
          <w:szCs w:val="18"/>
          <w:color w:val="auto"/>
        </w:rPr>
        <w:t>As noted above, we expect that certain performance-based options will vest upon the consummation of this offering. In connection with this vesting event, we expect to incur between $5 million to $7.5 million of stock-based compensation expense. In connection with this offering, we also expect an accrual of between $1.5 million to $2.5 million during the fourth quarter of 2018, relating to an incentive plan for non-executive employees.</w:t>
      </w: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473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92825" cy="7473950"/>
                    </a:xfrm>
                    <a:prstGeom prst="rect">
                      <a:avLst/>
                    </a:prstGeom>
                    <a:noFill/>
                  </pic:spPr>
                </pic:pic>
              </a:graphicData>
            </a:graphic>
          </wp:anchor>
        </w:drawing>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121" w:lineRule="exact"/>
        <w:rPr>
          <w:sz w:val="20"/>
          <w:szCs w:val="20"/>
          <w:color w:val="auto"/>
        </w:rPr>
      </w:pPr>
    </w:p>
    <w:p>
      <w:pPr>
        <w:ind w:left="100" w:right="140" w:firstLine="360"/>
        <w:spacing w:after="0" w:line="285" w:lineRule="auto"/>
        <w:rPr>
          <w:sz w:val="20"/>
          <w:szCs w:val="20"/>
          <w:color w:val="auto"/>
        </w:rPr>
      </w:pPr>
      <w:r>
        <w:rPr>
          <w:rFonts w:ascii="Arial" w:cs="Arial" w:eastAsia="Arial" w:hAnsi="Arial"/>
          <w:sz w:val="16"/>
          <w:szCs w:val="16"/>
          <w:color w:val="auto"/>
        </w:rPr>
        <w:t>Set forth below is our summary historical consolidated financial and other data as of the dates and for the periods indicated. The summary historical financial data as of December 31, 2016 and December 30, 2017 and for the years ended January 2, 2016, December 31, 2016 and December 30, 2017 has been derived from our audited consolidated financial statements and related notes thereto incorporated by reference in this prospectus supplement, and the summary historical financial data as of January 2, 2016 has been derived from our audited consolidated financial statements and related notes thereto not included or incorporated by reference in this prospectus supplement. The summary historical financial data as of September 29, 2018 and for the nine months ended September 30, 2017 and September 29, 2018 has been derived from our unaudited condensed consolidated financial statements and related notes thereto incorporated by reference in this prospectus supplement, and the summary historical financial data as of September 30, 2017 has been derived from our unaudited condensed consolidated financial statements and related notes thereto not included or incorporated by reference in this prospectus supplement. The unaudited condensed consolidated financial statements were prepared on a basis consistent with the audited consolidated financial statements and, in the opinion of management, reflect all adjustments, consisting only of normal and recurring adjustments, necessary for a fair statement of the financial information. The results for any interim period are not necessarily indicative of the results that may be expected for the full year. The results of operations for any period are not necessarily indicative of the results to be expected for any future period. Share and per share data in the table below has been retroactively adjusted to give effect to the 1.96627-for-one reverse stock split, effected on October 24, 2017.</w:t>
      </w:r>
    </w:p>
    <w:p>
      <w:pPr>
        <w:spacing w:after="0" w:line="70" w:lineRule="exact"/>
        <w:rPr>
          <w:sz w:val="20"/>
          <w:szCs w:val="20"/>
          <w:color w:val="auto"/>
        </w:rPr>
      </w:pPr>
    </w:p>
    <w:p>
      <w:pPr>
        <w:ind w:left="100" w:right="160" w:firstLine="360"/>
        <w:spacing w:after="0" w:line="255" w:lineRule="auto"/>
        <w:rPr>
          <w:sz w:val="20"/>
          <w:szCs w:val="20"/>
          <w:color w:val="auto"/>
        </w:rPr>
      </w:pPr>
      <w:r>
        <w:rPr>
          <w:rFonts w:ascii="Arial" w:cs="Arial" w:eastAsia="Arial" w:hAnsi="Arial"/>
          <w:sz w:val="18"/>
          <w:szCs w:val="18"/>
          <w:color w:val="auto"/>
        </w:rPr>
        <w:t>The summary historical consolidated financial and other data should be read in conjunction with, and are qualified by reference to, the section entitled “Selected Financial Data” and “Management’s Discussion and Analysis of Financial Condition and Results of Operations” and our audited consolidated financial statements and related notes thereto in the Annual Report and “Management’s Discussion and Analysis of Financial Condition and Results of Operations” and our unaudited condensed consolidated financial statements and related notes thereto in the Quarterly Reports, each of which is incorporated by reference in this prospectus supplement.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Year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Year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Year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4"/>
                <w:szCs w:val="14"/>
                <w:color w:val="auto"/>
              </w:rPr>
            </w:pPr>
          </w:p>
        </w:tc>
        <w:tc>
          <w:tcPr>
            <w:tcW w:w="11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Nine Months</w:t>
            </w:r>
          </w:p>
        </w:tc>
        <w:tc>
          <w:tcPr>
            <w:tcW w:w="100" w:type="dxa"/>
            <w:vAlign w:val="bottom"/>
          </w:tcPr>
          <w:p>
            <w:pPr>
              <w:spacing w:after="0"/>
              <w:rPr>
                <w:sz w:val="14"/>
                <w:szCs w:val="14"/>
                <w:color w:val="auto"/>
              </w:rPr>
            </w:pPr>
          </w:p>
        </w:tc>
        <w:tc>
          <w:tcPr>
            <w:tcW w:w="11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5"/>
              </w:rPr>
              <w:t>Nine Months</w:t>
            </w:r>
          </w:p>
        </w:tc>
      </w:tr>
      <w:tr>
        <w:trPr>
          <w:trHeight w:val="162"/>
        </w:trPr>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December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December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11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Ended</w:t>
            </w:r>
          </w:p>
        </w:tc>
      </w:tr>
      <w:tr>
        <w:trPr>
          <w:trHeight w:val="162"/>
        </w:trPr>
        <w:tc>
          <w:tcPr>
            <w:tcW w:w="1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January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b w:val="1"/>
                <w:bCs w:val="1"/>
                <w:color w:val="auto"/>
              </w:rPr>
              <w:t>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2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September 29,</w:t>
            </w:r>
          </w:p>
        </w:tc>
      </w:tr>
      <w:tr>
        <w:trPr>
          <w:trHeight w:val="171"/>
        </w:trPr>
        <w:tc>
          <w:tcPr>
            <w:tcW w:w="100" w:type="dxa"/>
            <w:vAlign w:val="bottom"/>
          </w:tcPr>
          <w:p>
            <w:pPr>
              <w:spacing w:after="0"/>
              <w:rPr>
                <w:sz w:val="14"/>
                <w:szCs w:val="14"/>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per share amounts and store data)</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1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4"/>
          </w:tcPr>
          <w:p>
            <w:pPr>
              <w:jc w:val="center"/>
              <w:ind w:right="280"/>
              <w:spacing w:after="0"/>
              <w:rPr>
                <w:sz w:val="20"/>
                <w:szCs w:val="20"/>
                <w:color w:val="auto"/>
              </w:rPr>
            </w:pPr>
            <w:r>
              <w:rPr>
                <w:rFonts w:ascii="Arial" w:cs="Arial" w:eastAsia="Arial" w:hAnsi="Arial"/>
                <w:sz w:val="14"/>
                <w:szCs w:val="14"/>
                <w:color w:val="auto"/>
                <w:w w:val="95"/>
              </w:rPr>
              <w:t>(Unaudited)</w:t>
            </w:r>
          </w:p>
        </w:tc>
        <w:tc>
          <w:tcPr>
            <w:tcW w:w="100" w:type="dxa"/>
            <w:vAlign w:val="bottom"/>
          </w:tcPr>
          <w:p>
            <w:pPr>
              <w:spacing w:after="0"/>
              <w:rPr>
                <w:sz w:val="17"/>
                <w:szCs w:val="17"/>
                <w:color w:val="auto"/>
              </w:rPr>
            </w:pPr>
          </w:p>
        </w:tc>
        <w:tc>
          <w:tcPr>
            <w:tcW w:w="1120" w:type="dxa"/>
            <w:vAlign w:val="bottom"/>
            <w:gridSpan w:val="4"/>
          </w:tcPr>
          <w:p>
            <w:pPr>
              <w:jc w:val="center"/>
              <w:ind w:right="300"/>
              <w:spacing w:after="0"/>
              <w:rPr>
                <w:sz w:val="20"/>
                <w:szCs w:val="20"/>
                <w:color w:val="auto"/>
              </w:rPr>
            </w:pPr>
            <w:r>
              <w:rPr>
                <w:rFonts w:ascii="Arial" w:cs="Arial" w:eastAsia="Arial" w:hAnsi="Arial"/>
                <w:sz w:val="14"/>
                <w:szCs w:val="14"/>
                <w:color w:val="auto"/>
                <w:w w:val="95"/>
              </w:rPr>
              <w:t>(Unaudited)</w:t>
            </w:r>
          </w:p>
        </w:tc>
      </w:tr>
      <w:tr>
        <w:trPr>
          <w:trHeight w:val="243"/>
        </w:trPr>
        <w:tc>
          <w:tcPr>
            <w:tcW w:w="10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revenue</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1,062,528</w:t>
            </w:r>
          </w:p>
        </w:tc>
        <w:tc>
          <w:tcPr>
            <w:tcW w:w="16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1,196,195</w:t>
            </w:r>
          </w:p>
        </w:tc>
        <w:tc>
          <w:tcPr>
            <w:tcW w:w="14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1,375,308</w:t>
            </w:r>
          </w:p>
        </w:tc>
        <w:tc>
          <w:tcPr>
            <w:tcW w:w="14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1,053,489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1,180,932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100" w:type="dxa"/>
            <w:vAlign w:val="bottom"/>
          </w:tcPr>
          <w:p>
            <w:pPr>
              <w:spacing w:after="0"/>
              <w:rPr>
                <w:sz w:val="22"/>
                <w:szCs w:val="2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Costs applicable to revenue</w:t>
            </w: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491,100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544,781</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636,966</w:t>
            </w: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484,573</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540,101</w:t>
            </w:r>
          </w:p>
        </w:tc>
        <w:tc>
          <w:tcPr>
            <w:tcW w:w="8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7"/>
        </w:trPr>
        <w:tc>
          <w:tcPr>
            <w:tcW w:w="3980" w:type="dxa"/>
            <w:vAlign w:val="bottom"/>
            <w:gridSpan w:val="2"/>
          </w:tcPr>
          <w:p>
            <w:pPr>
              <w:ind w:left="10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526,751</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585,030</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671,106</w:t>
            </w: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498,862</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576,610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10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66,384</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67,236</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70,054</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64,221</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36,741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39,092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55,536</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40,965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28,144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9"/>
        </w:trPr>
        <w:tc>
          <w:tcPr>
            <w:tcW w:w="10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2,702</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3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Earnings before income taxes</w:t>
            </w:r>
          </w:p>
        </w:tc>
        <w:tc>
          <w:tcPr>
            <w:tcW w:w="160" w:type="dxa"/>
            <w:vAlign w:val="bottom"/>
            <w:tcBorders>
              <w:top w:val="single" w:sz="8" w:color="CCEEFF"/>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5,385</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27,292</w:t>
            </w:r>
          </w:p>
        </w:tc>
        <w:tc>
          <w:tcPr>
            <w:tcW w:w="14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7,173</w:t>
            </w:r>
          </w:p>
        </w:tc>
        <w:tc>
          <w:tcPr>
            <w:tcW w:w="140" w:type="dxa"/>
            <w:vAlign w:val="bottom"/>
            <w:tcBorders>
              <w:top w:val="single" w:sz="8" w:color="CCEEFF"/>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26,387</w:t>
            </w:r>
          </w:p>
        </w:tc>
        <w:tc>
          <w:tcPr>
            <w:tcW w:w="14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36,077</w:t>
            </w:r>
          </w:p>
        </w:tc>
        <w:tc>
          <w:tcPr>
            <w:tcW w:w="80" w:type="dxa"/>
            <w:vAlign w:val="bottom"/>
            <w:tcBorders>
              <w:top w:val="single" w:sz="8" w:color="CCEEFF"/>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10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12,534</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(38,647)</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9,267</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(7,863)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100" w:type="dxa"/>
            <w:vAlign w:val="bottom"/>
          </w:tcPr>
          <w:p>
            <w:pPr>
              <w:spacing w:after="0"/>
              <w:rPr>
                <w:sz w:val="19"/>
                <w:szCs w:val="19"/>
                <w:color w:val="auto"/>
              </w:rPr>
            </w:pPr>
          </w:p>
        </w:tc>
        <w:tc>
          <w:tcPr>
            <w:tcW w:w="3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3,617</w:t>
            </w:r>
          </w:p>
        </w:tc>
        <w:tc>
          <w:tcPr>
            <w:tcW w:w="16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14,758</w:t>
            </w: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45,820</w:t>
            </w: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17,120</w:t>
            </w: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43,940</w:t>
            </w:r>
          </w:p>
        </w:tc>
        <w:tc>
          <w:tcPr>
            <w:tcW w:w="80" w:type="dxa"/>
            <w:vAlign w:val="bottom"/>
            <w:tcBorders>
              <w:top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8"/>
        </w:trPr>
        <w:tc>
          <w:tcPr>
            <w:tcW w:w="1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100" w:type="dxa"/>
            <w:vAlign w:val="bottom"/>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0.26</w:t>
            </w:r>
          </w:p>
        </w:tc>
        <w:tc>
          <w:tcPr>
            <w:tcW w:w="14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0.77</w:t>
            </w:r>
          </w:p>
        </w:tc>
        <w:tc>
          <w:tcPr>
            <w:tcW w:w="14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0.30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9"/>
        </w:trPr>
        <w:tc>
          <w:tcPr>
            <w:tcW w:w="100" w:type="dxa"/>
            <w:vAlign w:val="bottom"/>
          </w:tcPr>
          <w:p>
            <w:pPr>
              <w:spacing w:after="0"/>
              <w:rPr>
                <w:sz w:val="21"/>
                <w:szCs w:val="21"/>
                <w:color w:val="auto"/>
              </w:rPr>
            </w:pP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4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9"/>
        </w:trPr>
        <w:tc>
          <w:tcPr>
            <w:tcW w:w="100" w:type="dxa"/>
            <w:vAlign w:val="bottom"/>
          </w:tcPr>
          <w:p>
            <w:pPr>
              <w:spacing w:after="0"/>
              <w:rPr>
                <w:sz w:val="21"/>
                <w:szCs w:val="21"/>
                <w:color w:val="auto"/>
              </w:rPr>
            </w:pP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56,185</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59,895</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56,363</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75,361</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100" w:type="dxa"/>
            <w:vAlign w:val="bottom"/>
          </w:tcPr>
          <w:p>
            <w:pPr>
              <w:spacing w:after="0"/>
              <w:rPr>
                <w:sz w:val="20"/>
                <w:szCs w:val="20"/>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55,962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57,001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62,035</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58,281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78,571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100" w:type="dxa"/>
            <w:vAlign w:val="bottom"/>
          </w:tcPr>
          <w:p>
            <w:pPr>
              <w:spacing w:after="0"/>
              <w:rPr>
                <w:sz w:val="22"/>
                <w:szCs w:val="2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Statement of Cash Flow Data:</w:t>
            </w: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0"/>
        </w:trPr>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83,131</w:t>
            </w:r>
          </w:p>
        </w:tc>
        <w:tc>
          <w:tcPr>
            <w:tcW w:w="16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97,588</w:t>
            </w:r>
          </w:p>
        </w:tc>
        <w:tc>
          <w:tcPr>
            <w:tcW w:w="14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90,252</w:t>
            </w:r>
          </w:p>
        </w:tc>
        <w:tc>
          <w:tcPr>
            <w:tcW w:w="14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96,251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115,952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100" w:type="dxa"/>
            <w:vAlign w:val="bottom"/>
          </w:tcPr>
          <w:p>
            <w:pPr>
              <w:spacing w:after="0"/>
              <w:rPr>
                <w:sz w:val="22"/>
                <w:szCs w:val="22"/>
                <w:color w:val="auto"/>
              </w:rPr>
            </w:pPr>
          </w:p>
        </w:tc>
        <w:tc>
          <w:tcPr>
            <w:tcW w:w="38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cash used for investing activities</w:t>
            </w:r>
            <w:r>
              <w:rPr>
                <w:rFonts w:ascii="Arial" w:cs="Arial" w:eastAsia="Arial" w:hAnsi="Arial"/>
                <w:sz w:val="29"/>
                <w:szCs w:val="29"/>
                <w:color w:val="auto"/>
                <w:vertAlign w:val="superscript"/>
              </w:rPr>
              <w:t>(1)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(80,051)</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(90,972)</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(94,584)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(68,510)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(78,677)</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0"/>
        </w:trPr>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5"/>
              </w:rPr>
              <w:t>Net cash (used for) provided by financing activities</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(4,317)</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(6,574)</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3,838</w:t>
            </w:r>
          </w:p>
        </w:tc>
        <w:tc>
          <w:tcPr>
            <w:tcW w:w="14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(4,827)</w:t>
            </w: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80"/>
        </w:trPr>
        <w:tc>
          <w:tcPr>
            <w:tcW w:w="1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429"/>
        </w:trPr>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S-4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6"/>
        </w:trPr>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
        </w:trPr>
        <w:tc>
          <w:tcPr>
            <w:tcW w:w="100" w:type="dxa"/>
            <w:vAlign w:val="bottom"/>
            <w:shd w:val="clear" w:color="auto" w:fill="000000"/>
          </w:tcPr>
          <w:p>
            <w:pPr>
              <w:spacing w:after="0"/>
              <w:rPr>
                <w:sz w:val="5"/>
                <w:szCs w:val="5"/>
                <w:color w:val="auto"/>
              </w:rPr>
            </w:pPr>
          </w:p>
        </w:tc>
        <w:tc>
          <w:tcPr>
            <w:tcW w:w="38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1900" w:h="16838" w:orient="portrait"/>
          <w:cols w:equalWidth="0" w:num="1">
            <w:col w:w="9600"/>
          </w:cols>
          <w:pgMar w:left="1180" w:top="279" w:right="111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147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92825" cy="7147560"/>
                    </a:xfrm>
                    <a:prstGeom prst="rect">
                      <a:avLst/>
                    </a:prstGeom>
                    <a:noFill/>
                  </pic:spPr>
                </pic:pic>
              </a:graphicData>
            </a:graphic>
          </wp:anchor>
        </w:drawing>
      </w:r>
    </w:p>
    <w:p>
      <w:pPr>
        <w:spacing w:after="0" w:line="21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1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Nine Months</w:t>
            </w:r>
          </w:p>
        </w:tc>
        <w:tc>
          <w:tcPr>
            <w:tcW w:w="10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Nine Months</w:t>
            </w:r>
          </w:p>
        </w:tc>
      </w:tr>
      <w:tr>
        <w:trPr>
          <w:trHeight w:val="162"/>
        </w:trPr>
        <w:tc>
          <w:tcPr>
            <w:tcW w:w="1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December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Ended</w:t>
            </w:r>
          </w:p>
        </w:tc>
      </w:tr>
      <w:tr>
        <w:trPr>
          <w:trHeight w:val="162"/>
        </w:trPr>
        <w:tc>
          <w:tcPr>
            <w:tcW w:w="1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January 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57"/>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37"/>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0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September 29,</w:t>
            </w:r>
          </w:p>
        </w:tc>
      </w:tr>
      <w:tr>
        <w:trPr>
          <w:trHeight w:val="171"/>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 except per share amounts and store data)</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r>
      <w:tr>
        <w:trPr>
          <w:trHeight w:val="196"/>
        </w:trPr>
        <w:tc>
          <w:tcPr>
            <w:tcW w:w="14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(Unaudited)</w:t>
            </w:r>
          </w:p>
        </w:tc>
        <w:tc>
          <w:tcPr>
            <w:tcW w:w="10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(Unaudited)</w:t>
            </w:r>
          </w:p>
        </w:tc>
      </w:tr>
      <w:tr>
        <w:trPr>
          <w:trHeight w:val="243"/>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5,595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4,945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4,208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27,621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48,881</w:t>
            </w:r>
          </w:p>
        </w:tc>
        <w:tc>
          <w:tcPr>
            <w:tcW w:w="80" w:type="dxa"/>
            <w:vAlign w:val="bottom"/>
          </w:tcPr>
          <w:p>
            <w:pPr>
              <w:spacing w:after="0"/>
              <w:rPr>
                <w:sz w:val="20"/>
                <w:szCs w:val="20"/>
                <w:color w:val="auto"/>
              </w:rPr>
            </w:pPr>
          </w:p>
        </w:tc>
      </w:tr>
      <w:tr>
        <w:trPr>
          <w:trHeight w:val="25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1,475,595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1,531,117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1,583,791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1,588,862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1,660,694</w:t>
            </w:r>
          </w:p>
        </w:tc>
        <w:tc>
          <w:tcPr>
            <w:tcW w:w="80" w:type="dxa"/>
            <w:vAlign w:val="bottom"/>
            <w:shd w:val="clear" w:color="auto" w:fill="CCEEFF"/>
          </w:tcPr>
          <w:p>
            <w:pPr>
              <w:spacing w:after="0"/>
              <w:rPr>
                <w:sz w:val="22"/>
                <w:szCs w:val="22"/>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747,825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745,625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569,238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922,379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574,795</w:t>
            </w:r>
          </w:p>
        </w:tc>
        <w:tc>
          <w:tcPr>
            <w:tcW w:w="80" w:type="dxa"/>
            <w:vAlign w:val="bottom"/>
          </w:tcPr>
          <w:p>
            <w:pPr>
              <w:spacing w:after="0"/>
              <w:rPr>
                <w:sz w:val="20"/>
                <w:szCs w:val="20"/>
                <w:color w:val="auto"/>
              </w:rPr>
            </w:pPr>
          </w:p>
        </w:tc>
      </w:tr>
      <w:tr>
        <w:trPr>
          <w:trHeight w:val="25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386,230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401,887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659,588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254,588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758,171</w:t>
            </w:r>
          </w:p>
        </w:tc>
        <w:tc>
          <w:tcPr>
            <w:tcW w:w="80" w:type="dxa"/>
            <w:vAlign w:val="bottom"/>
            <w:shd w:val="clear" w:color="auto" w:fill="CCEEFF"/>
          </w:tcPr>
          <w:p>
            <w:pPr>
              <w:spacing w:after="0"/>
              <w:rPr>
                <w:sz w:val="22"/>
                <w:szCs w:val="22"/>
                <w:color w:val="auto"/>
              </w:rPr>
            </w:pPr>
          </w:p>
        </w:tc>
      </w:tr>
      <w:tr>
        <w:trPr>
          <w:trHeight w:val="234"/>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Other Financial Data (unaudited):</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2"/>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stores open at period end</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80" w:type="dxa"/>
            <w:vAlign w:val="bottom"/>
            <w:shd w:val="clear" w:color="auto" w:fill="CCEEFF"/>
          </w:tcPr>
          <w:p>
            <w:pPr>
              <w:spacing w:after="0"/>
              <w:rPr>
                <w:sz w:val="21"/>
                <w:szCs w:val="21"/>
                <w:color w:val="auto"/>
              </w:rPr>
            </w:pPr>
          </w:p>
        </w:tc>
      </w:tr>
      <w:tr>
        <w:trPr>
          <w:trHeight w:val="243"/>
        </w:trPr>
        <w:tc>
          <w:tcPr>
            <w:tcW w:w="3880" w:type="dxa"/>
            <w:vAlign w:val="bottom"/>
            <w:gridSpan w:val="2"/>
          </w:tcPr>
          <w:p>
            <w:pPr>
              <w:spacing w:after="0" w:line="243" w:lineRule="exact"/>
              <w:rPr>
                <w:sz w:val="20"/>
                <w:szCs w:val="20"/>
                <w:color w:val="auto"/>
              </w:rPr>
            </w:pPr>
            <w:r>
              <w:rPr>
                <w:rFonts w:ascii="Arial" w:cs="Arial" w:eastAsia="Arial" w:hAnsi="Arial"/>
                <w:sz w:val="17"/>
                <w:szCs w:val="17"/>
                <w:color w:val="auto"/>
              </w:rPr>
              <w:t>Adjusted EBITDA</w:t>
            </w:r>
            <w:r>
              <w:rPr>
                <w:rFonts w:ascii="Arial" w:cs="Arial" w:eastAsia="Arial" w:hAnsi="Arial"/>
                <w:sz w:val="28"/>
                <w:szCs w:val="28"/>
                <w:color w:val="auto"/>
                <w:vertAlign w:val="superscript"/>
              </w:rPr>
              <w:t>(2)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112,585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137,774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159,721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134,686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146,722</w:t>
            </w:r>
          </w:p>
        </w:tc>
        <w:tc>
          <w:tcPr>
            <w:tcW w:w="80" w:type="dxa"/>
            <w:vAlign w:val="bottom"/>
          </w:tcPr>
          <w:p>
            <w:pPr>
              <w:spacing w:after="0"/>
              <w:rPr>
                <w:sz w:val="21"/>
                <w:szCs w:val="21"/>
                <w:color w:val="auto"/>
              </w:rPr>
            </w:pPr>
          </w:p>
        </w:tc>
      </w:tr>
      <w:tr>
        <w:trPr>
          <w:trHeight w:val="243"/>
        </w:trPr>
        <w:tc>
          <w:tcPr>
            <w:tcW w:w="388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Adjusted Net Income</w:t>
            </w:r>
            <w:r>
              <w:rPr>
                <w:rFonts w:ascii="Arial" w:cs="Arial" w:eastAsia="Arial" w:hAnsi="Arial"/>
                <w:sz w:val="28"/>
                <w:szCs w:val="28"/>
                <w:color w:val="auto"/>
                <w:vertAlign w:val="superscript"/>
              </w:rPr>
              <w:t>(2)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26,184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33,183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33,081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52,210</w:t>
            </w:r>
          </w:p>
        </w:tc>
        <w:tc>
          <w:tcPr>
            <w:tcW w:w="80" w:type="dxa"/>
            <w:vAlign w:val="bottom"/>
            <w:shd w:val="clear" w:color="auto" w:fill="CCEEFF"/>
          </w:tcPr>
          <w:p>
            <w:pPr>
              <w:spacing w:after="0"/>
              <w:rPr>
                <w:sz w:val="21"/>
                <w:szCs w:val="21"/>
                <w:color w:val="auto"/>
              </w:rPr>
            </w:pPr>
          </w:p>
        </w:tc>
      </w:tr>
      <w:tr>
        <w:trPr>
          <w:trHeight w:val="176"/>
        </w:trPr>
        <w:tc>
          <w:tcPr>
            <w:tcW w:w="1420" w:type="dxa"/>
            <w:vAlign w:val="bottom"/>
            <w:tcBorders>
              <w:bottom w:val="single" w:sz="8" w:color="auto"/>
            </w:tcBorders>
          </w:tcPr>
          <w:p>
            <w:pPr>
              <w:spacing w:after="0"/>
              <w:rPr>
                <w:sz w:val="15"/>
                <w:szCs w:val="15"/>
                <w:color w:val="auto"/>
              </w:rPr>
            </w:pPr>
          </w:p>
        </w:tc>
        <w:tc>
          <w:tcPr>
            <w:tcW w:w="2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103" w:lineRule="exact"/>
        <w:rPr>
          <w:sz w:val="20"/>
          <w:szCs w:val="20"/>
          <w:color w:val="auto"/>
        </w:rPr>
      </w:pPr>
    </w:p>
    <w:p>
      <w:pPr>
        <w:ind w:left="460" w:right="40" w:hanging="353"/>
        <w:spacing w:after="0" w:line="270"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 November 2016, the FASB issued ASU No. 2016-18, Restricted Cash, which requires that a statement of cash flows explain the change during the period in the total of cash, cash equivalents, and amounts generally described as restricted cash or restricted cash equivalents. This new guidance is effective in fiscal years, including interim periods, beginning after December 15, 2017 and should be applied using a retrospective transition method to each period presented. We adopted this new guidance during the first quarter of 2018, which resulted in an immaterial decrease in net cash used for investing activities of $692,000, $243,000 and $238,000 for the fiscal years 2016 and 2017 and the nine months ended September 30, 2017, respectively. The adoption of this new guidance did not have a material effect on our financial condition or results of operations.</w:t>
      </w:r>
    </w:p>
    <w:p>
      <w:pPr>
        <w:spacing w:after="0" w:line="71" w:lineRule="exact"/>
        <w:rPr>
          <w:rFonts w:ascii="Arial" w:cs="Arial" w:eastAsia="Arial" w:hAnsi="Arial"/>
          <w:sz w:val="13"/>
          <w:szCs w:val="13"/>
          <w:color w:val="auto"/>
        </w:rPr>
      </w:pPr>
    </w:p>
    <w:p>
      <w:pPr>
        <w:ind w:left="460" w:right="20" w:hanging="353"/>
        <w:spacing w:after="0" w:line="267"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define EBITDA as net income, plus interest expense, income tax (benefit) provision and depreciation and amortization. We define Adjusted EBITDA as EBITDA, further adjusted to exclude stock compensation expense, costs associated with debt refinancing, asset impairment, non-cash inventory write-offs, management fees, new store pre-opening expenses, non-cash rent, litigation settlements, secondary offering expenses, long-term incentive plan expenses and other expenses. We describe these adjustments reconciling net income to EBITDA and Adjusted EBITDA in the tables below. We define Adjusted Net Income as net income, plus stock compensation expense, costs associated with debt refinancing, asset impairment, non-cash inventory write-offs, management fees, new store pre-opening expenses, non-cash rent, litigation settlement, secondary offering expenses, long-term incentive plan expenses, amortization of acquisition intangibles and deferred financing costs, other expenses, tax legislation adjustments, tax benefit of stock option exercises, less the tax effect of these adjustments. We describe these adjustments reconciling net income to Adjusted Net Income in the tables below.</w:t>
      </w:r>
    </w:p>
    <w:p>
      <w:pPr>
        <w:spacing w:after="0" w:line="65" w:lineRule="exact"/>
        <w:rPr>
          <w:sz w:val="20"/>
          <w:szCs w:val="20"/>
          <w:color w:val="auto"/>
        </w:rPr>
      </w:pPr>
    </w:p>
    <w:p>
      <w:pPr>
        <w:ind w:left="100" w:firstLine="360"/>
        <w:spacing w:after="0" w:line="287" w:lineRule="auto"/>
        <w:rPr>
          <w:sz w:val="20"/>
          <w:szCs w:val="20"/>
          <w:color w:val="auto"/>
        </w:rPr>
      </w:pPr>
      <w:r>
        <w:rPr>
          <w:rFonts w:ascii="Arial" w:cs="Arial" w:eastAsia="Arial" w:hAnsi="Arial"/>
          <w:sz w:val="16"/>
          <w:szCs w:val="16"/>
          <w:color w:val="auto"/>
        </w:rPr>
        <w:t>EBITDA, Adjusted EBITDA and Adjusted Net Income have been presented in this prospectus supplement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We also use EBITDA, Adjusted EBITDA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65" w:lineRule="exact"/>
        <w:rPr>
          <w:sz w:val="20"/>
          <w:szCs w:val="20"/>
          <w:color w:val="auto"/>
        </w:rPr>
      </w:pPr>
    </w:p>
    <w:p>
      <w:pPr>
        <w:ind w:left="100" w:right="40" w:firstLine="360"/>
        <w:spacing w:after="0" w:line="287" w:lineRule="auto"/>
        <w:rPr>
          <w:sz w:val="20"/>
          <w:szCs w:val="20"/>
          <w:color w:val="auto"/>
        </w:rPr>
      </w:pPr>
      <w:r>
        <w:rPr>
          <w:rFonts w:ascii="Arial" w:cs="Arial" w:eastAsia="Arial" w:hAnsi="Arial"/>
          <w:sz w:val="16"/>
          <w:szCs w:val="16"/>
          <w:color w:val="auto"/>
        </w:rPr>
        <w:t>EBITDA, Adjusted EBITDA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Our presentation of EBITDA, Adjusted EBITDA and Adjusted Net Income should not be construed to imply that our future results will be unaffected by unusual or non-recurring items. In evaluating EBITDA, Adjusted EBITDA and Adjusted Net Income, you should be aware that in the future we may incur expenses that are the same as or similar to some of the adjustments in this presentation. Our presentation of EBITDA, Adjusted EBITDA and Adjusted Net Income should not be construed to imply that our future results will be unaffected by any such adjustments. Management compensates for these limitations by primarily relying on our GAAP results in addition to using EBITDA, Adjusted EBITDA and Adjusted Net Income supplementally.</w:t>
      </w: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882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92825" cy="6882130"/>
                    </a:xfrm>
                    <a:prstGeom prst="rect">
                      <a:avLst/>
                    </a:prstGeom>
                    <a:noFill/>
                  </pic:spPr>
                </pic:pic>
              </a:graphicData>
            </a:graphic>
          </wp:anchor>
        </w:drawing>
      </w:r>
    </w:p>
    <w:p>
      <w:pPr>
        <w:spacing w:after="0" w:line="246" w:lineRule="exact"/>
        <w:rPr>
          <w:sz w:val="20"/>
          <w:szCs w:val="20"/>
          <w:color w:val="auto"/>
        </w:rPr>
      </w:pPr>
    </w:p>
    <w:p>
      <w:pPr>
        <w:ind w:left="100" w:right="440" w:firstLine="360"/>
        <w:spacing w:after="0" w:line="277" w:lineRule="auto"/>
        <w:rPr>
          <w:sz w:val="20"/>
          <w:szCs w:val="20"/>
          <w:color w:val="auto"/>
        </w:rPr>
      </w:pPr>
      <w:r>
        <w:rPr>
          <w:rFonts w:ascii="Arial" w:cs="Arial" w:eastAsia="Arial" w:hAnsi="Arial"/>
          <w:sz w:val="18"/>
          <w:szCs w:val="18"/>
          <w:color w:val="auto"/>
        </w:rPr>
        <w:t>The presentations of these measures have limitations as analytical tools and should not be considered in isolation, or as a substitute for analysis of our results as reported under GAAP. Some of these limitations are:</w:t>
      </w:r>
    </w:p>
    <w:p>
      <w:pPr>
        <w:spacing w:after="0" w:line="62" w:lineRule="exact"/>
        <w:rPr>
          <w:sz w:val="20"/>
          <w:szCs w:val="20"/>
          <w:color w:val="auto"/>
        </w:rPr>
      </w:pPr>
    </w:p>
    <w:p>
      <w:pPr>
        <w:ind w:left="800" w:hanging="342"/>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117" w:lineRule="exact"/>
        <w:rPr>
          <w:rFonts w:ascii="Arial" w:cs="Arial" w:eastAsia="Arial" w:hAnsi="Arial"/>
          <w:sz w:val="18"/>
          <w:szCs w:val="18"/>
          <w:color w:val="auto"/>
        </w:rPr>
      </w:pPr>
    </w:p>
    <w:p>
      <w:pPr>
        <w:ind w:left="800" w:right="620" w:hanging="342"/>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EBITDA and Adjusted EBITDA do not reflect the interest expense, or the cash requirements necessary to service interest or principal payments, on our debt;</w:t>
      </w:r>
    </w:p>
    <w:p>
      <w:pPr>
        <w:spacing w:after="0" w:line="62" w:lineRule="exact"/>
        <w:rPr>
          <w:rFonts w:ascii="Arial" w:cs="Arial" w:eastAsia="Arial" w:hAnsi="Arial"/>
          <w:sz w:val="18"/>
          <w:szCs w:val="18"/>
          <w:color w:val="auto"/>
        </w:rPr>
      </w:pPr>
    </w:p>
    <w:p>
      <w:pPr>
        <w:ind w:left="800" w:right="660" w:hanging="342"/>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EBITDA and Adjusted EBITDA do not reflect period to period changes in taxes, income tax expense or the cash necessary to pay income taxes;</w:t>
      </w:r>
    </w:p>
    <w:p>
      <w:pPr>
        <w:spacing w:after="0" w:line="62" w:lineRule="exact"/>
        <w:rPr>
          <w:rFonts w:ascii="Arial" w:cs="Arial" w:eastAsia="Arial" w:hAnsi="Arial"/>
          <w:sz w:val="18"/>
          <w:szCs w:val="18"/>
          <w:color w:val="auto"/>
        </w:rPr>
      </w:pPr>
    </w:p>
    <w:p>
      <w:pPr>
        <w:ind w:left="800" w:right="480" w:hanging="342"/>
        <w:spacing w:after="0" w:line="264"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they do not reflect the impact of earnings or charges resulting from matters we consider not to be indicative of our ongoing operations, including costs related to new store openings, which are incurred on a non-recurring basis with respect to any particular store when opened;</w:t>
      </w:r>
    </w:p>
    <w:p>
      <w:pPr>
        <w:spacing w:after="0" w:line="73" w:lineRule="exact"/>
        <w:rPr>
          <w:rFonts w:ascii="Arial" w:cs="Arial" w:eastAsia="Arial" w:hAnsi="Arial"/>
          <w:sz w:val="18"/>
          <w:szCs w:val="18"/>
          <w:color w:val="auto"/>
        </w:rPr>
      </w:pPr>
    </w:p>
    <w:p>
      <w:pPr>
        <w:ind w:left="800" w:right="520" w:hanging="342"/>
        <w:spacing w:after="0" w:line="264"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spacing w:after="0" w:line="73" w:lineRule="exact"/>
        <w:rPr>
          <w:rFonts w:ascii="Arial" w:cs="Arial" w:eastAsia="Arial" w:hAnsi="Arial"/>
          <w:sz w:val="18"/>
          <w:szCs w:val="18"/>
          <w:color w:val="auto"/>
        </w:rPr>
      </w:pPr>
    </w:p>
    <w:p>
      <w:pPr>
        <w:ind w:left="800" w:right="680" w:hanging="342"/>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companies in our industry may calculate these measures differently than we do, limiting their usefulness as comparative measures.</w:t>
      </w:r>
    </w:p>
    <w:p>
      <w:pPr>
        <w:spacing w:after="0" w:line="62" w:lineRule="exact"/>
        <w:rPr>
          <w:sz w:val="20"/>
          <w:szCs w:val="20"/>
          <w:color w:val="auto"/>
        </w:rPr>
      </w:pPr>
    </w:p>
    <w:p>
      <w:pPr>
        <w:ind w:left="100" w:right="280" w:firstLine="360"/>
        <w:spacing w:after="0" w:line="277" w:lineRule="auto"/>
        <w:rPr>
          <w:sz w:val="20"/>
          <w:szCs w:val="20"/>
          <w:color w:val="auto"/>
        </w:rPr>
      </w:pPr>
      <w:r>
        <w:rPr>
          <w:rFonts w:ascii="Arial" w:cs="Arial" w:eastAsia="Arial" w:hAnsi="Arial"/>
          <w:sz w:val="18"/>
          <w:szCs w:val="18"/>
          <w:color w:val="auto"/>
        </w:rPr>
        <w:t>Because of these limitations, EBITDA, Adjusted EBITDA and Adjusted Net Income should not be considered as measures of discretionary cash available to invest in business growth or to reduce indebtedness.</w:t>
      </w:r>
    </w:p>
    <w:p>
      <w:pPr>
        <w:spacing w:after="0" w:line="62" w:lineRule="exact"/>
        <w:rPr>
          <w:sz w:val="20"/>
          <w:szCs w:val="20"/>
          <w:color w:val="auto"/>
        </w:rPr>
      </w:pPr>
    </w:p>
    <w:p>
      <w:pPr>
        <w:ind w:left="100" w:right="500" w:firstLine="360"/>
        <w:spacing w:after="0" w:line="277" w:lineRule="auto"/>
        <w:rPr>
          <w:sz w:val="20"/>
          <w:szCs w:val="20"/>
          <w:color w:val="auto"/>
        </w:rPr>
      </w:pPr>
      <w:r>
        <w:rPr>
          <w:rFonts w:ascii="Arial" w:cs="Arial" w:eastAsia="Arial" w:hAnsi="Arial"/>
          <w:sz w:val="18"/>
          <w:szCs w:val="18"/>
          <w:color w:val="auto"/>
        </w:rPr>
        <w:t>The following tables reconcile our net income to EBITDA, Adjusted EBITDA and Adjusted Net Income for the periods presented: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Year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4"/>
                <w:szCs w:val="14"/>
                <w:color w:val="auto"/>
              </w:rPr>
            </w:pPr>
          </w:p>
        </w:tc>
        <w:tc>
          <w:tcPr>
            <w:tcW w:w="12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Nine Months</w:t>
            </w:r>
          </w:p>
        </w:tc>
      </w:tr>
      <w:tr>
        <w:trPr>
          <w:trHeight w:val="162"/>
        </w:trPr>
        <w:tc>
          <w:tcPr>
            <w:tcW w:w="1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January</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4"/>
                <w:szCs w:val="14"/>
                <w:color w:val="auto"/>
              </w:rPr>
            </w:pPr>
          </w:p>
        </w:tc>
        <w:tc>
          <w:tcPr>
            <w:tcW w:w="12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Ended</w:t>
            </w:r>
          </w:p>
        </w:tc>
      </w:tr>
      <w:tr>
        <w:trPr>
          <w:trHeight w:val="162"/>
        </w:trPr>
        <w:tc>
          <w:tcPr>
            <w:tcW w:w="1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234"/>
              <w:spacing w:after="0"/>
              <w:rPr>
                <w:sz w:val="20"/>
                <w:szCs w:val="20"/>
                <w:color w:val="auto"/>
              </w:rPr>
            </w:pPr>
            <w:r>
              <w:rPr>
                <w:rFonts w:ascii="Arial" w:cs="Arial" w:eastAsia="Arial" w:hAnsi="Arial"/>
                <w:sz w:val="14"/>
                <w:szCs w:val="14"/>
                <w:b w:val="1"/>
                <w:bCs w:val="1"/>
                <w:color w:val="auto"/>
              </w:rPr>
              <w:t>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December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2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September 29,</w:t>
            </w:r>
          </w:p>
        </w:tc>
      </w:tr>
      <w:tr>
        <w:trPr>
          <w:trHeight w:val="178"/>
        </w:trPr>
        <w:tc>
          <w:tcPr>
            <w:tcW w:w="100" w:type="dxa"/>
            <w:vAlign w:val="bottom"/>
          </w:tcPr>
          <w:p>
            <w:pPr>
              <w:spacing w:after="0"/>
              <w:rPr>
                <w:sz w:val="15"/>
                <w:szCs w:val="15"/>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3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14,758</w:t>
            </w:r>
          </w:p>
        </w:tc>
        <w:tc>
          <w:tcPr>
            <w:tcW w:w="34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45,820</w:t>
            </w:r>
          </w:p>
        </w:tc>
        <w:tc>
          <w:tcPr>
            <w:tcW w:w="16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17,120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43,940</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0"/>
        </w:trPr>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36,741</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39,092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55,536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40,965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28,144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6"/>
        </w:trPr>
        <w:tc>
          <w:tcPr>
            <w:tcW w:w="100" w:type="dxa"/>
            <w:vAlign w:val="bottom"/>
          </w:tcPr>
          <w:p>
            <w:pPr>
              <w:spacing w:after="0"/>
              <w:rPr>
                <w:sz w:val="22"/>
                <w:szCs w:val="22"/>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12,534</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(38,647)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(7,863)</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7"/>
        </w:trPr>
        <w:tc>
          <w:tcPr>
            <w:tcW w:w="3640" w:type="dxa"/>
            <w:vAlign w:val="bottom"/>
            <w:gridSpan w:val="2"/>
          </w:tcPr>
          <w:p>
            <w:pPr>
              <w:ind w:left="1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44,069</w:t>
            </w: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51,993</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61,115</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44,404</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54,080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86,195</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118,377</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123,824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111,756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118,301</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(a)</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6,635</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4,293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5,152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3,140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13,749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Debt issuance costs</w:t>
            </w:r>
            <w:r>
              <w:rPr>
                <w:rFonts w:ascii="Arial" w:cs="Arial" w:eastAsia="Arial" w:hAnsi="Arial"/>
                <w:sz w:val="28"/>
                <w:szCs w:val="28"/>
                <w:color w:val="auto"/>
                <w:vertAlign w:val="superscript"/>
              </w:rPr>
              <w:t>(b)</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tcPr>
          <w:p>
            <w:pPr>
              <w:spacing w:after="0" w:line="243" w:lineRule="exact"/>
              <w:rPr>
                <w:sz w:val="20"/>
                <w:szCs w:val="20"/>
                <w:color w:val="auto"/>
              </w:rPr>
            </w:pPr>
            <w:r>
              <w:rPr>
                <w:rFonts w:ascii="Arial" w:cs="Arial" w:eastAsia="Arial" w:hAnsi="Arial"/>
                <w:sz w:val="17"/>
                <w:szCs w:val="17"/>
                <w:color w:val="auto"/>
              </w:rPr>
              <w:t>Asset impairment</w:t>
            </w:r>
            <w:r>
              <w:rPr>
                <w:rFonts w:ascii="Arial" w:cs="Arial" w:eastAsia="Arial" w:hAnsi="Arial"/>
                <w:sz w:val="28"/>
                <w:szCs w:val="28"/>
                <w:color w:val="auto"/>
                <w:vertAlign w:val="superscript"/>
              </w:rPr>
              <w:t>(c)</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7,716</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7,132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4,117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Non-cash inventory write-offs</w:t>
            </w:r>
            <w:r>
              <w:rPr>
                <w:rFonts w:ascii="Arial" w:cs="Arial" w:eastAsia="Arial" w:hAnsi="Arial"/>
                <w:sz w:val="28"/>
                <w:szCs w:val="28"/>
                <w:color w:val="auto"/>
                <w:vertAlign w:val="superscript"/>
              </w:rPr>
              <w:t>(d)</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tcPr>
          <w:p>
            <w:pPr>
              <w:spacing w:after="0" w:line="243" w:lineRule="exact"/>
              <w:rPr>
                <w:sz w:val="20"/>
                <w:szCs w:val="20"/>
                <w:color w:val="auto"/>
              </w:rPr>
            </w:pPr>
            <w:r>
              <w:rPr>
                <w:rFonts w:ascii="Arial" w:cs="Arial" w:eastAsia="Arial" w:hAnsi="Arial"/>
                <w:sz w:val="17"/>
                <w:szCs w:val="17"/>
                <w:color w:val="auto"/>
              </w:rPr>
              <w:t>Management fees</w:t>
            </w:r>
            <w:r>
              <w:rPr>
                <w:rFonts w:ascii="Arial" w:cs="Arial" w:eastAsia="Arial" w:hAnsi="Arial"/>
                <w:sz w:val="28"/>
                <w:szCs w:val="28"/>
                <w:color w:val="auto"/>
                <w:vertAlign w:val="superscript"/>
              </w:rPr>
              <w:t>(e)</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1,649</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1,126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5,263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845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New store pre-opening expenses</w:t>
            </w:r>
            <w:r>
              <w:rPr>
                <w:rFonts w:ascii="Arial" w:cs="Arial" w:eastAsia="Arial" w:hAnsi="Arial"/>
                <w:sz w:val="28"/>
                <w:szCs w:val="28"/>
                <w:color w:val="auto"/>
                <w:vertAlign w:val="superscript"/>
              </w:rPr>
              <w:t>(f)</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tcPr>
          <w:p>
            <w:pPr>
              <w:spacing w:after="0" w:line="243" w:lineRule="exact"/>
              <w:rPr>
                <w:sz w:val="20"/>
                <w:szCs w:val="20"/>
                <w:color w:val="auto"/>
              </w:rPr>
            </w:pPr>
            <w:r>
              <w:rPr>
                <w:rFonts w:ascii="Arial" w:cs="Arial" w:eastAsia="Arial" w:hAnsi="Arial"/>
                <w:sz w:val="17"/>
                <w:szCs w:val="17"/>
                <w:color w:val="auto"/>
              </w:rPr>
              <w:t>Non-cash rent</w:t>
            </w:r>
            <w:r>
              <w:rPr>
                <w:rFonts w:ascii="Arial" w:cs="Arial" w:eastAsia="Arial" w:hAnsi="Arial"/>
                <w:sz w:val="28"/>
                <w:szCs w:val="28"/>
                <w:color w:val="auto"/>
                <w:vertAlign w:val="superscript"/>
              </w:rPr>
              <w:t>(g)</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1,233</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1,343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1,035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Litigation settlement</w:t>
            </w:r>
            <w:r>
              <w:rPr>
                <w:rFonts w:ascii="Arial" w:cs="Arial" w:eastAsia="Arial" w:hAnsi="Arial"/>
                <w:sz w:val="28"/>
                <w:szCs w:val="28"/>
                <w:color w:val="auto"/>
                <w:vertAlign w:val="superscript"/>
              </w:rPr>
              <w:t>(h)</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tcPr>
          <w:p>
            <w:pPr>
              <w:spacing w:after="0" w:line="243" w:lineRule="exact"/>
              <w:rPr>
                <w:sz w:val="20"/>
                <w:szCs w:val="20"/>
                <w:color w:val="auto"/>
              </w:rPr>
            </w:pPr>
            <w:r>
              <w:rPr>
                <w:rFonts w:ascii="Arial" w:cs="Arial" w:eastAsia="Arial" w:hAnsi="Arial"/>
                <w:sz w:val="17"/>
                <w:szCs w:val="17"/>
                <w:color w:val="auto"/>
              </w:rPr>
              <w:t>Secondary offering expenses</w:t>
            </w:r>
            <w:r>
              <w:rPr>
                <w:rFonts w:ascii="Arial" w:cs="Arial" w:eastAsia="Arial" w:hAnsi="Arial"/>
                <w:sz w:val="28"/>
                <w:szCs w:val="28"/>
                <w:color w:val="auto"/>
                <w:vertAlign w:val="superscript"/>
              </w:rPr>
              <w:t>(i)</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35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Long-term incentive plan</w:t>
            </w:r>
            <w:r>
              <w:rPr>
                <w:rFonts w:ascii="Arial" w:cs="Arial" w:eastAsia="Arial" w:hAnsi="Arial"/>
                <w:sz w:val="28"/>
                <w:szCs w:val="28"/>
                <w:color w:val="auto"/>
                <w:vertAlign w:val="superscript"/>
              </w:rPr>
              <w:t>(j)</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7"/>
        </w:trPr>
        <w:tc>
          <w:tcPr>
            <w:tcW w:w="3640" w:type="dxa"/>
            <w:vAlign w:val="bottom"/>
            <w:gridSpan w:val="2"/>
          </w:tcPr>
          <w:p>
            <w:pPr>
              <w:ind w:left="100"/>
              <w:spacing w:after="0" w:line="230" w:lineRule="exact"/>
              <w:rPr>
                <w:sz w:val="20"/>
                <w:szCs w:val="20"/>
                <w:color w:val="auto"/>
              </w:rPr>
            </w:pPr>
            <w:r>
              <w:rPr>
                <w:rFonts w:ascii="Arial" w:cs="Arial" w:eastAsia="Arial" w:hAnsi="Arial"/>
                <w:sz w:val="16"/>
                <w:szCs w:val="16"/>
                <w:color w:val="auto"/>
              </w:rPr>
              <w:t>Other</w:t>
            </w:r>
            <w:r>
              <w:rPr>
                <w:rFonts w:ascii="Arial" w:cs="Arial" w:eastAsia="Arial" w:hAnsi="Arial"/>
                <w:sz w:val="26"/>
                <w:szCs w:val="26"/>
                <w:color w:val="auto"/>
                <w:vertAlign w:val="superscript"/>
              </w:rPr>
              <w:t>(k)</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4,644</w:t>
            </w: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3,520</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3,924</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3,041</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7"/>
        </w:trPr>
        <w:tc>
          <w:tcPr>
            <w:tcW w:w="100" w:type="dxa"/>
            <w:vAlign w:val="bottom"/>
          </w:tcPr>
          <w:p>
            <w:pPr>
              <w:spacing w:after="0"/>
              <w:rPr>
                <w:sz w:val="24"/>
                <w:szCs w:val="24"/>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112,585</w:t>
            </w:r>
          </w:p>
        </w:tc>
        <w:tc>
          <w:tcPr>
            <w:tcW w:w="3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137,774</w:t>
            </w:r>
          </w:p>
        </w:tc>
        <w:tc>
          <w:tcPr>
            <w:tcW w:w="34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159,721</w:t>
            </w:r>
          </w:p>
        </w:tc>
        <w:tc>
          <w:tcPr>
            <w:tcW w:w="160" w:type="dxa"/>
            <w:vAlign w:val="bottom"/>
            <w:shd w:val="clear" w:color="auto" w:fill="CCEEFF"/>
          </w:tcPr>
          <w:p>
            <w:pPr>
              <w:spacing w:after="0"/>
              <w:rPr>
                <w:sz w:val="24"/>
                <w:szCs w:val="24"/>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134,686</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146,722</w:t>
            </w:r>
          </w:p>
        </w:tc>
        <w:tc>
          <w:tcPr>
            <w:tcW w:w="8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7"/>
        </w:trPr>
        <w:tc>
          <w:tcPr>
            <w:tcW w:w="100" w:type="dxa"/>
            <w:vAlign w:val="bottom"/>
            <w:tcBorders>
              <w:bottom w:val="single" w:sz="8" w:color="auto"/>
            </w:tcBorders>
          </w:tcPr>
          <w:p>
            <w:pPr>
              <w:spacing w:after="0"/>
              <w:rPr>
                <w:sz w:val="23"/>
                <w:szCs w:val="23"/>
                <w:color w:val="auto"/>
              </w:rPr>
            </w:pPr>
          </w:p>
        </w:tc>
        <w:tc>
          <w:tcPr>
            <w:tcW w:w="3540" w:type="dxa"/>
            <w:vAlign w:val="bottom"/>
            <w:tcBorders>
              <w:top w:val="single" w:sz="8" w:color="CCEEFF"/>
              <w:bottom w:val="single" w:sz="8" w:color="auto"/>
            </w:tcBorders>
          </w:tcPr>
          <w:p>
            <w:pPr>
              <w:spacing w:after="0"/>
              <w:rPr>
                <w:sz w:val="23"/>
                <w:szCs w:val="23"/>
                <w:color w:val="auto"/>
              </w:rPr>
            </w:pPr>
          </w:p>
        </w:tc>
        <w:tc>
          <w:tcPr>
            <w:tcW w:w="160" w:type="dxa"/>
            <w:vAlign w:val="bottom"/>
            <w:tcBorders>
              <w:top w:val="single" w:sz="8" w:color="CCEEFF"/>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auto"/>
            </w:tcBorders>
          </w:tcPr>
          <w:p>
            <w:pPr>
              <w:spacing w:after="0"/>
              <w:rPr>
                <w:sz w:val="23"/>
                <w:szCs w:val="23"/>
                <w:color w:val="auto"/>
              </w:rPr>
            </w:pPr>
          </w:p>
        </w:tc>
        <w:tc>
          <w:tcPr>
            <w:tcW w:w="64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40" w:type="dxa"/>
            <w:vAlign w:val="bottom"/>
            <w:tcBorders>
              <w:top w:val="single" w:sz="8" w:color="CCEEFF"/>
              <w:bottom w:val="single" w:sz="8" w:color="auto"/>
            </w:tcBorders>
          </w:tcPr>
          <w:p>
            <w:pPr>
              <w:spacing w:after="0"/>
              <w:rPr>
                <w:sz w:val="23"/>
                <w:szCs w:val="23"/>
                <w:color w:val="auto"/>
              </w:rPr>
            </w:pPr>
          </w:p>
        </w:tc>
        <w:tc>
          <w:tcPr>
            <w:tcW w:w="40" w:type="dxa"/>
            <w:vAlign w:val="bottom"/>
            <w:tcBorders>
              <w:top w:val="single" w:sz="8" w:color="auto"/>
              <w:bottom w:val="single" w:sz="8" w:color="auto"/>
            </w:tcBorders>
          </w:tcPr>
          <w:p>
            <w:pPr>
              <w:spacing w:after="0"/>
              <w:rPr>
                <w:sz w:val="23"/>
                <w:szCs w:val="23"/>
                <w:color w:val="auto"/>
              </w:rPr>
            </w:pPr>
          </w:p>
        </w:tc>
        <w:tc>
          <w:tcPr>
            <w:tcW w:w="200" w:type="dxa"/>
            <w:vAlign w:val="bottom"/>
            <w:tcBorders>
              <w:top w:val="single" w:sz="8" w:color="auto"/>
              <w:bottom w:val="single" w:sz="8" w:color="auto"/>
            </w:tcBorders>
          </w:tcPr>
          <w:p>
            <w:pPr>
              <w:spacing w:after="0"/>
              <w:rPr>
                <w:sz w:val="23"/>
                <w:szCs w:val="23"/>
                <w:color w:val="auto"/>
              </w:rPr>
            </w:pPr>
          </w:p>
        </w:tc>
        <w:tc>
          <w:tcPr>
            <w:tcW w:w="74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40" w:type="dxa"/>
            <w:vAlign w:val="bottom"/>
            <w:tcBorders>
              <w:top w:val="single" w:sz="8" w:color="CCEEFF"/>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780" w:type="dxa"/>
            <w:vAlign w:val="bottom"/>
            <w:tcBorders>
              <w:top w:val="single" w:sz="8" w:color="auto"/>
              <w:bottom w:val="single" w:sz="8" w:color="auto"/>
            </w:tcBorders>
          </w:tcPr>
          <w:p>
            <w:pPr>
              <w:spacing w:after="0"/>
              <w:rPr>
                <w:sz w:val="23"/>
                <w:szCs w:val="23"/>
                <w:color w:val="auto"/>
              </w:rPr>
            </w:pPr>
          </w:p>
        </w:tc>
        <w:tc>
          <w:tcPr>
            <w:tcW w:w="160" w:type="dxa"/>
            <w:vAlign w:val="bottom"/>
            <w:tcBorders>
              <w:top w:val="single" w:sz="8" w:color="CCEEFF"/>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60" w:type="dxa"/>
            <w:vAlign w:val="bottom"/>
            <w:tcBorders>
              <w:top w:val="single" w:sz="8" w:color="CCEEFF"/>
              <w:bottom w:val="single" w:sz="8" w:color="auto"/>
            </w:tcBorders>
          </w:tcPr>
          <w:p>
            <w:pPr>
              <w:spacing w:after="0"/>
              <w:rPr>
                <w:sz w:val="23"/>
                <w:szCs w:val="23"/>
                <w:color w:val="auto"/>
              </w:rPr>
            </w:pPr>
          </w:p>
        </w:tc>
        <w:tc>
          <w:tcPr>
            <w:tcW w:w="2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spacing w:after="0"/>
              <w:rPr>
                <w:sz w:val="23"/>
                <w:szCs w:val="23"/>
                <w:color w:val="auto"/>
              </w:rPr>
            </w:pPr>
          </w:p>
        </w:tc>
        <w:tc>
          <w:tcPr>
            <w:tcW w:w="80" w:type="dxa"/>
            <w:vAlign w:val="bottom"/>
            <w:tcBorders>
              <w:top w:val="single" w:sz="8" w:color="CCEEFF"/>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r>
      <w:tr>
        <w:trPr>
          <w:trHeight w:val="429"/>
        </w:trPr>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color w:val="auto"/>
                <w:w w:val="92"/>
              </w:rPr>
              <w:t>S-6</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6"/>
        </w:trPr>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8"/>
        </w:trPr>
        <w:tc>
          <w:tcPr>
            <w:tcW w:w="100" w:type="dxa"/>
            <w:vAlign w:val="bottom"/>
            <w:shd w:val="clear" w:color="auto" w:fill="000000"/>
          </w:tcPr>
          <w:p>
            <w:pPr>
              <w:spacing w:after="0"/>
              <w:rPr>
                <w:sz w:val="5"/>
                <w:szCs w:val="5"/>
                <w:color w:val="auto"/>
              </w:rPr>
            </w:pPr>
          </w:p>
        </w:tc>
        <w:tc>
          <w:tcPr>
            <w:tcW w:w="35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tcPr>
          <w:p>
            <w:pPr>
              <w:spacing w:after="0"/>
              <w:rPr>
                <w:sz w:val="5"/>
                <w:szCs w:val="5"/>
                <w:color w:val="auto"/>
              </w:rPr>
            </w:pPr>
          </w:p>
        </w:tc>
      </w:tr>
    </w:tbl>
    <w:p>
      <w:pPr>
        <w:sectPr>
          <w:pgSz w:w="11900" w:h="16838" w:orient="portrait"/>
          <w:cols w:equalWidth="0" w:num="1">
            <w:col w:w="9600"/>
          </w:cols>
          <w:pgMar w:left="1180" w:top="279" w:right="111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859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92825" cy="7859395"/>
                    </a:xfrm>
                    <a:prstGeom prst="rect">
                      <a:avLst/>
                    </a:prstGeom>
                    <a:noFill/>
                  </pic:spPr>
                </pic:pic>
              </a:graphicData>
            </a:graphic>
          </wp:anchor>
        </w:drawing>
      </w:r>
    </w:p>
    <w:p>
      <w:pPr>
        <w:spacing w:after="0" w:line="21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Year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Year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Year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January</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234"/>
              <w:spacing w:after="0"/>
              <w:rPr>
                <w:sz w:val="20"/>
                <w:szCs w:val="20"/>
                <w:color w:val="auto"/>
              </w:rPr>
            </w:pPr>
            <w:r>
              <w:rPr>
                <w:rFonts w:ascii="Arial" w:cs="Arial" w:eastAsia="Arial" w:hAnsi="Arial"/>
                <w:sz w:val="14"/>
                <w:szCs w:val="14"/>
                <w:b w:val="1"/>
                <w:bCs w:val="1"/>
                <w:color w:val="auto"/>
              </w:rPr>
              <w:t>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December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September 29,</w:t>
            </w:r>
          </w:p>
        </w:tc>
        <w:tc>
          <w:tcPr>
            <w:tcW w:w="0" w:type="dxa"/>
            <w:vAlign w:val="bottom"/>
          </w:tcPr>
          <w:p>
            <w:pPr>
              <w:spacing w:after="0"/>
              <w:rPr>
                <w:sz w:val="1"/>
                <w:szCs w:val="1"/>
                <w:color w:val="auto"/>
              </w:rPr>
            </w:pPr>
          </w:p>
        </w:tc>
      </w:tr>
      <w:tr>
        <w:trPr>
          <w:trHeight w:val="171"/>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14,758</w:t>
            </w:r>
          </w:p>
        </w:tc>
        <w:tc>
          <w:tcPr>
            <w:tcW w:w="1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45,820</w:t>
            </w:r>
          </w:p>
        </w:tc>
        <w:tc>
          <w:tcPr>
            <w:tcW w:w="160" w:type="dxa"/>
            <w:vAlign w:val="bottom"/>
            <w:shd w:val="clear" w:color="auto" w:fill="CCEEFF"/>
          </w:tcPr>
          <w:p>
            <w:pPr>
              <w:spacing w:after="0"/>
              <w:rPr>
                <w:sz w:val="21"/>
                <w:szCs w:val="21"/>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17,120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tcPr>
          <w:p>
            <w:pPr>
              <w:spacing w:after="0" w:line="243"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(a)</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6,635</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4,293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5,152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3,140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13,749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Debt issuance costs</w:t>
            </w:r>
            <w:r>
              <w:rPr>
                <w:rFonts w:ascii="Arial" w:cs="Arial" w:eastAsia="Arial" w:hAnsi="Arial"/>
                <w:sz w:val="28"/>
                <w:szCs w:val="28"/>
                <w:color w:val="auto"/>
                <w:vertAlign w:val="superscript"/>
              </w:rPr>
              <w:t>(b)</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tcPr>
          <w:p>
            <w:pPr>
              <w:spacing w:after="0" w:line="243" w:lineRule="exact"/>
              <w:rPr>
                <w:sz w:val="20"/>
                <w:szCs w:val="20"/>
                <w:color w:val="auto"/>
              </w:rPr>
            </w:pPr>
            <w:r>
              <w:rPr>
                <w:rFonts w:ascii="Arial" w:cs="Arial" w:eastAsia="Arial" w:hAnsi="Arial"/>
                <w:sz w:val="17"/>
                <w:szCs w:val="17"/>
                <w:color w:val="auto"/>
              </w:rPr>
              <w:t>Asset impairment</w:t>
            </w:r>
            <w:r>
              <w:rPr>
                <w:rFonts w:ascii="Arial" w:cs="Arial" w:eastAsia="Arial" w:hAnsi="Arial"/>
                <w:sz w:val="28"/>
                <w:szCs w:val="28"/>
                <w:color w:val="auto"/>
                <w:vertAlign w:val="superscript"/>
              </w:rPr>
              <w:t>(c)</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7,716</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7,132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4,117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Non-cash inventory write-offs</w:t>
            </w:r>
            <w:r>
              <w:rPr>
                <w:rFonts w:ascii="Arial" w:cs="Arial" w:eastAsia="Arial" w:hAnsi="Arial"/>
                <w:sz w:val="28"/>
                <w:szCs w:val="28"/>
                <w:color w:val="auto"/>
                <w:vertAlign w:val="superscript"/>
              </w:rPr>
              <w:t>(d)</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tcPr>
          <w:p>
            <w:pPr>
              <w:spacing w:after="0" w:line="243" w:lineRule="exact"/>
              <w:rPr>
                <w:sz w:val="20"/>
                <w:szCs w:val="20"/>
                <w:color w:val="auto"/>
              </w:rPr>
            </w:pPr>
            <w:r>
              <w:rPr>
                <w:rFonts w:ascii="Arial" w:cs="Arial" w:eastAsia="Arial" w:hAnsi="Arial"/>
                <w:sz w:val="17"/>
                <w:szCs w:val="17"/>
                <w:color w:val="auto"/>
              </w:rPr>
              <w:t>Management fees</w:t>
            </w:r>
            <w:r>
              <w:rPr>
                <w:rFonts w:ascii="Arial" w:cs="Arial" w:eastAsia="Arial" w:hAnsi="Arial"/>
                <w:sz w:val="28"/>
                <w:szCs w:val="28"/>
                <w:color w:val="auto"/>
                <w:vertAlign w:val="superscript"/>
              </w:rPr>
              <w:t>(e)</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1,649</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1,126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5,263</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845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New store pre-opening expenses</w:t>
            </w:r>
            <w:r>
              <w:rPr>
                <w:rFonts w:ascii="Arial" w:cs="Arial" w:eastAsia="Arial" w:hAnsi="Arial"/>
                <w:sz w:val="28"/>
                <w:szCs w:val="28"/>
                <w:color w:val="auto"/>
                <w:vertAlign w:val="superscript"/>
              </w:rPr>
              <w:t>(f)</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tcPr>
          <w:p>
            <w:pPr>
              <w:spacing w:after="0" w:line="243" w:lineRule="exact"/>
              <w:rPr>
                <w:sz w:val="20"/>
                <w:szCs w:val="20"/>
                <w:color w:val="auto"/>
              </w:rPr>
            </w:pPr>
            <w:r>
              <w:rPr>
                <w:rFonts w:ascii="Arial" w:cs="Arial" w:eastAsia="Arial" w:hAnsi="Arial"/>
                <w:sz w:val="17"/>
                <w:szCs w:val="17"/>
                <w:color w:val="auto"/>
              </w:rPr>
              <w:t>Non-cash rent</w:t>
            </w:r>
            <w:r>
              <w:rPr>
                <w:rFonts w:ascii="Arial" w:cs="Arial" w:eastAsia="Arial" w:hAnsi="Arial"/>
                <w:sz w:val="28"/>
                <w:szCs w:val="28"/>
                <w:color w:val="auto"/>
                <w:vertAlign w:val="superscript"/>
              </w:rPr>
              <w:t>(g)</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1,233</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1,343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1,035</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Litigation settlement</w:t>
            </w:r>
            <w:r>
              <w:rPr>
                <w:rFonts w:ascii="Arial" w:cs="Arial" w:eastAsia="Arial" w:hAnsi="Arial"/>
                <w:sz w:val="28"/>
                <w:szCs w:val="28"/>
                <w:color w:val="auto"/>
                <w:vertAlign w:val="superscript"/>
              </w:rPr>
              <w:t>(h)</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tcPr>
          <w:p>
            <w:pPr>
              <w:spacing w:after="0" w:line="243" w:lineRule="exact"/>
              <w:rPr>
                <w:sz w:val="20"/>
                <w:szCs w:val="20"/>
                <w:color w:val="auto"/>
              </w:rPr>
            </w:pPr>
            <w:r>
              <w:rPr>
                <w:rFonts w:ascii="Arial" w:cs="Arial" w:eastAsia="Arial" w:hAnsi="Arial"/>
                <w:sz w:val="17"/>
                <w:szCs w:val="17"/>
                <w:color w:val="auto"/>
              </w:rPr>
              <w:t>Secondary offering expenses</w:t>
            </w:r>
            <w:r>
              <w:rPr>
                <w:rFonts w:ascii="Arial" w:cs="Arial" w:eastAsia="Arial" w:hAnsi="Arial"/>
                <w:sz w:val="28"/>
                <w:szCs w:val="28"/>
                <w:color w:val="auto"/>
                <w:vertAlign w:val="superscript"/>
              </w:rPr>
              <w:t>(i)</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Long-term incentive plan</w:t>
            </w:r>
            <w:r>
              <w:rPr>
                <w:rFonts w:ascii="Arial" w:cs="Arial" w:eastAsia="Arial" w:hAnsi="Arial"/>
                <w:sz w:val="28"/>
                <w:szCs w:val="28"/>
                <w:color w:val="auto"/>
                <w:vertAlign w:val="superscript"/>
              </w:rPr>
              <w:t>(j)</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tcPr>
          <w:p>
            <w:pPr>
              <w:spacing w:after="0" w:line="243" w:lineRule="exact"/>
              <w:rPr>
                <w:sz w:val="20"/>
                <w:szCs w:val="20"/>
                <w:color w:val="auto"/>
              </w:rPr>
            </w:pPr>
            <w:r>
              <w:rPr>
                <w:rFonts w:ascii="Arial" w:cs="Arial" w:eastAsia="Arial" w:hAnsi="Arial"/>
                <w:sz w:val="17"/>
                <w:szCs w:val="17"/>
                <w:color w:val="auto"/>
              </w:rPr>
              <w:t>Other</w:t>
            </w:r>
            <w:r>
              <w:rPr>
                <w:rFonts w:ascii="Arial" w:cs="Arial" w:eastAsia="Arial" w:hAnsi="Arial"/>
                <w:sz w:val="28"/>
                <w:szCs w:val="28"/>
                <w:color w:val="auto"/>
                <w:vertAlign w:val="superscript"/>
              </w:rPr>
              <w:t>(k)</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4,644</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3,520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3,924</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3,041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Amortization of acquisition intangibles and</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520" w:type="dxa"/>
            <w:vAlign w:val="bottom"/>
            <w:gridSpan w:val="2"/>
            <w:shd w:val="clear" w:color="auto" w:fill="CCEEFF"/>
          </w:tcPr>
          <w:p>
            <w:pPr>
              <w:ind w:left="160"/>
              <w:spacing w:after="0" w:line="253" w:lineRule="exact"/>
              <w:rPr>
                <w:sz w:val="20"/>
                <w:szCs w:val="20"/>
                <w:color w:val="auto"/>
              </w:rPr>
            </w:pPr>
            <w:r>
              <w:rPr>
                <w:rFonts w:ascii="Arial" w:cs="Arial" w:eastAsia="Arial" w:hAnsi="Arial"/>
                <w:sz w:val="18"/>
                <w:szCs w:val="18"/>
                <w:color w:val="auto"/>
              </w:rPr>
              <w:t>deferred financing costs</w:t>
            </w:r>
            <w:r>
              <w:rPr>
                <w:rFonts w:ascii="Arial" w:cs="Arial" w:eastAsia="Arial" w:hAnsi="Arial"/>
                <w:sz w:val="29"/>
                <w:szCs w:val="29"/>
                <w:color w:val="auto"/>
                <w:vertAlign w:val="superscript"/>
              </w:rPr>
              <w:t>(l)</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11,311</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8,628</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tcPr>
          <w:p>
            <w:pPr>
              <w:spacing w:after="0" w:line="243" w:lineRule="exact"/>
              <w:rPr>
                <w:sz w:val="20"/>
                <w:szCs w:val="20"/>
                <w:color w:val="auto"/>
              </w:rPr>
            </w:pPr>
            <w:r>
              <w:rPr>
                <w:rFonts w:ascii="Arial" w:cs="Arial" w:eastAsia="Arial" w:hAnsi="Arial"/>
                <w:sz w:val="17"/>
                <w:szCs w:val="17"/>
                <w:color w:val="auto"/>
              </w:rPr>
              <w:t>Tax legislation adjustments</w:t>
            </w:r>
            <w:r>
              <w:rPr>
                <w:rFonts w:ascii="Arial" w:cs="Arial" w:eastAsia="Arial" w:hAnsi="Arial"/>
                <w:sz w:val="28"/>
                <w:szCs w:val="28"/>
                <w:color w:val="auto"/>
                <w:vertAlign w:val="superscript"/>
              </w:rPr>
              <w:t>(m)</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(42,965)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Tax benefit of stock option exercise</w:t>
            </w:r>
            <w:r>
              <w:rPr>
                <w:rFonts w:ascii="Arial" w:cs="Arial" w:eastAsia="Arial" w:hAnsi="Arial"/>
                <w:sz w:val="28"/>
                <w:szCs w:val="28"/>
                <w:color w:val="auto"/>
                <w:vertAlign w:val="superscript"/>
              </w:rPr>
              <w:t>(n)</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(17,964)</w:t>
            </w:r>
          </w:p>
        </w:tc>
        <w:tc>
          <w:tcPr>
            <w:tcW w:w="0" w:type="dxa"/>
            <w:vAlign w:val="bottom"/>
          </w:tcPr>
          <w:p>
            <w:pPr>
              <w:spacing w:after="0"/>
              <w:rPr>
                <w:sz w:val="1"/>
                <w:szCs w:val="1"/>
                <w:color w:val="auto"/>
              </w:rPr>
            </w:pPr>
          </w:p>
        </w:tc>
      </w:tr>
      <w:tr>
        <w:trPr>
          <w:trHeight w:val="237"/>
        </w:trPr>
        <w:tc>
          <w:tcPr>
            <w:tcW w:w="3540" w:type="dxa"/>
            <w:vAlign w:val="bottom"/>
            <w:gridSpan w:val="3"/>
          </w:tcPr>
          <w:p>
            <w:pPr>
              <w:spacing w:after="0" w:line="230" w:lineRule="exact"/>
              <w:rPr>
                <w:sz w:val="20"/>
                <w:szCs w:val="20"/>
                <w:color w:val="auto"/>
              </w:rPr>
            </w:pPr>
            <w:r>
              <w:rPr>
                <w:rFonts w:ascii="Arial" w:cs="Arial" w:eastAsia="Arial" w:hAnsi="Arial"/>
                <w:sz w:val="16"/>
                <w:szCs w:val="16"/>
                <w:color w:val="auto"/>
              </w:rPr>
              <w:t>Tax effect of total adjustments</w:t>
            </w:r>
            <w:r>
              <w:rPr>
                <w:rFonts w:ascii="Arial" w:cs="Arial" w:eastAsia="Arial" w:hAnsi="Arial"/>
                <w:sz w:val="26"/>
                <w:szCs w:val="26"/>
                <w:color w:val="auto"/>
                <w:vertAlign w:val="superscript"/>
              </w:rPr>
              <w:t>(o)</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(15,044)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(12,283)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(20,152)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(12,623)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(9,027)</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26,184</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33,183</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33,081</w:t>
            </w: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36,055</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52,210</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60" w:hanging="353"/>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w:t>
      </w:r>
    </w:p>
    <w:p>
      <w:pPr>
        <w:spacing w:after="0" w:line="109" w:lineRule="exact"/>
        <w:rPr>
          <w:rFonts w:ascii="Arial" w:cs="Arial" w:eastAsia="Arial" w:hAnsi="Arial"/>
          <w:sz w:val="14"/>
          <w:szCs w:val="14"/>
          <w:color w:val="auto"/>
        </w:rPr>
      </w:pPr>
    </w:p>
    <w:p>
      <w:pPr>
        <w:ind w:left="460" w:right="60" w:hanging="353"/>
        <w:spacing w:after="0" w:line="286" w:lineRule="auto"/>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$2.6 million of fees associated with the borrowing of $150.0 million in additional principal under our first lien credit agreement during the second fiscal quarter of 2015, $2.7 million of fees associated with the borrowing of $175.0 million in additional principal under our first lien credit agreement in the first quarter of 2017 and $1.8 million of fees associated with the refinancing of our first lien credit agreement in the fourth quarter of 2017.</w:t>
      </w:r>
    </w:p>
    <w:p>
      <w:pPr>
        <w:spacing w:after="0" w:line="59" w:lineRule="exact"/>
        <w:rPr>
          <w:rFonts w:ascii="Arial" w:cs="Arial" w:eastAsia="Arial" w:hAnsi="Arial"/>
          <w:sz w:val="13"/>
          <w:szCs w:val="13"/>
          <w:color w:val="auto"/>
        </w:rPr>
      </w:pPr>
    </w:p>
    <w:p>
      <w:pPr>
        <w:ind w:left="460" w:right="40" w:hanging="353"/>
        <w:spacing w:after="0" w:line="257"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Non-cash charges related to impairment of long-lived assets, primarily goodwill in our Vista Optical in Fred Meyer brand and our AC Lens business during fiscal years 2015 and 2016. Reflects write-off of a cost basis investment, and write-off of capitalized software and property and equipment for the fiscal year 2017.</w:t>
      </w:r>
    </w:p>
    <w:p>
      <w:pPr>
        <w:spacing w:after="0" w:line="77" w:lineRule="exact"/>
        <w:rPr>
          <w:rFonts w:ascii="Arial" w:cs="Arial" w:eastAsia="Arial" w:hAnsi="Arial"/>
          <w:sz w:val="14"/>
          <w:szCs w:val="14"/>
          <w:color w:val="auto"/>
        </w:rPr>
      </w:pPr>
    </w:p>
    <w:p>
      <w:pPr>
        <w:ind w:left="460" w:hanging="353"/>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lenses that could not be sold and required disposal.</w:t>
      </w:r>
    </w:p>
    <w:p>
      <w:pPr>
        <w:spacing w:after="0" w:line="109" w:lineRule="exact"/>
        <w:rPr>
          <w:rFonts w:ascii="Arial" w:cs="Arial" w:eastAsia="Arial" w:hAnsi="Arial"/>
          <w:sz w:val="14"/>
          <w:szCs w:val="14"/>
          <w:color w:val="auto"/>
        </w:rPr>
      </w:pPr>
    </w:p>
    <w:p>
      <w:pPr>
        <w:ind w:left="460" w:right="160" w:hanging="353"/>
        <w:spacing w:after="0" w:line="257"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management fees paid to KKR Sponsor and Berkshire in accordance with our monitoring agreement with them. The monitoring agreement was terminated automatically in accordance with its terms upon the consummation of the IPO and we paid termination fees of approximately $3.6 million and $0.8 million to KKR Sponsor and Berkshire, respectively.</w:t>
      </w:r>
    </w:p>
    <w:p>
      <w:pPr>
        <w:spacing w:after="0" w:line="77" w:lineRule="exact"/>
        <w:rPr>
          <w:rFonts w:ascii="Arial" w:cs="Arial" w:eastAsia="Arial" w:hAnsi="Arial"/>
          <w:sz w:val="14"/>
          <w:szCs w:val="14"/>
          <w:color w:val="auto"/>
        </w:rPr>
      </w:pPr>
    </w:p>
    <w:p>
      <w:pPr>
        <w:ind w:left="460" w:right="40" w:hanging="353"/>
        <w:spacing w:after="0" w:line="249"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existing credit agreement.</w:t>
      </w:r>
    </w:p>
    <w:p>
      <w:pPr>
        <w:spacing w:after="0" w:line="83" w:lineRule="exact"/>
        <w:rPr>
          <w:rFonts w:ascii="Arial" w:cs="Arial" w:eastAsia="Arial" w:hAnsi="Arial"/>
          <w:sz w:val="14"/>
          <w:szCs w:val="14"/>
          <w:color w:val="auto"/>
        </w:rPr>
      </w:pPr>
    </w:p>
    <w:p>
      <w:pPr>
        <w:ind w:left="460" w:hanging="353"/>
        <w:spacing w:after="0" w:line="252"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Consists of the non-cash portion of rent expense, which reflects the extent to which our straight-line rent expense recognized under GAAP exceeds or is less than our cash rent payments. The adjustment can vary depending on the average age of our lease portfolio, which has been impacted by our significant growth in recent years. For newer leases, our rent expense recognized typically exceeds our cash rent payments, while for more mature leases, rent expense recognized under GAAP is typically less than our cash rent payments.</w:t>
      </w:r>
    </w:p>
    <w:p>
      <w:pPr>
        <w:spacing w:after="0" w:line="80" w:lineRule="exact"/>
        <w:rPr>
          <w:rFonts w:ascii="Arial" w:cs="Arial" w:eastAsia="Arial" w:hAnsi="Arial"/>
          <w:sz w:val="14"/>
          <w:szCs w:val="14"/>
          <w:color w:val="auto"/>
        </w:rPr>
      </w:pPr>
    </w:p>
    <w:p>
      <w:pPr>
        <w:ind w:left="460" w:right="140" w:hanging="353"/>
        <w:spacing w:after="0" w:line="257"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Amounts accrued related to settlement of litigation. See “Legal Proceedings” and Note 12 in our audited consolidated financial statements, each in our Annual Report, and “Legal Proceedings” and Note 7 in our unaudited condensed consolidated financial statements, each in our Quarterly Reports, each of which is incorporated by reference in this prospectus supplement, for further details.</w:t>
      </w:r>
    </w:p>
    <w:p>
      <w:pPr>
        <w:spacing w:after="0" w:line="77" w:lineRule="exact"/>
        <w:rPr>
          <w:rFonts w:ascii="Arial" w:cs="Arial" w:eastAsia="Arial" w:hAnsi="Arial"/>
          <w:sz w:val="14"/>
          <w:szCs w:val="14"/>
          <w:color w:val="auto"/>
        </w:rPr>
      </w:pPr>
    </w:p>
    <w:p>
      <w:pPr>
        <w:ind w:left="460" w:hanging="353"/>
        <w:spacing w:after="0"/>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Expenses related to secondary public offerings of our common stock during the nine months ended September 29, 2018.</w:t>
      </w:r>
    </w:p>
    <w:p>
      <w:pPr>
        <w:spacing w:after="0" w:line="109" w:lineRule="exact"/>
        <w:rPr>
          <w:rFonts w:ascii="Arial" w:cs="Arial" w:eastAsia="Arial" w:hAnsi="Arial"/>
          <w:sz w:val="14"/>
          <w:szCs w:val="14"/>
          <w:color w:val="auto"/>
        </w:rPr>
      </w:pPr>
    </w:p>
    <w:p>
      <w:pPr>
        <w:ind w:left="460" w:right="180" w:hanging="353"/>
        <w:spacing w:after="0" w:line="257"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Cash expenses pursuant to a long-term incentive plan for non-executive employees who were not participants in the management equity plan for the nine months ended September 29, 2018. This plan was effective in 2014 following the KKR Acquisition, and this payout was triggered as a result of the secondary offering of common stock by KKR and other selling shareholders completed in the third quarter of 2018.</w:t>
      </w:r>
    </w:p>
    <w:p>
      <w:pPr>
        <w:spacing w:after="0" w:line="77" w:lineRule="exact"/>
        <w:rPr>
          <w:rFonts w:ascii="Arial" w:cs="Arial" w:eastAsia="Arial" w:hAnsi="Arial"/>
          <w:sz w:val="14"/>
          <w:szCs w:val="14"/>
          <w:color w:val="auto"/>
        </w:rPr>
      </w:pPr>
    </w:p>
    <w:p>
      <w:pPr>
        <w:ind w:left="460" w:hanging="353"/>
        <w:spacing w:after="0" w:line="270" w:lineRule="auto"/>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Other adjustments include amounts that management believes are not representative of our operating performance (amounts in brackets represent reductions in Adjusted EBITDA and Adjusted Net Income), including our share of losses on equity method investments of $0.9 million, $1.4 million, $1.0 million, $0.7 million and $1.0 million for fiscal years 2015, 2016 and 2017 and the nine months ended September 30, 2017 and September 29, 2018, respectively; the amortization impact of the KKR Acquisition-related adjustments (e.g., fair value of leasehold interests) of $(1.3) million, $(0.7) million, $(0.3) million, $(0.2) million and $0.3 million for fiscal years 2015, 2016 and 2017 and the nine months ended September 30, 2017 and September 29, 2018, respectively; expenses related to preparation for being an SEC registrant that were not directly attributable to the IPO and therefore not charged to equity of</w:t>
      </w: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2808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92825" cy="2808605"/>
                    </a:xfrm>
                    <a:prstGeom prst="rect">
                      <a:avLst/>
                    </a:prstGeom>
                    <a:noFill/>
                  </pic:spPr>
                </pic:pic>
              </a:graphicData>
            </a:graphic>
          </wp:anchor>
        </w:drawing>
      </w:r>
    </w:p>
    <w:p>
      <w:pPr>
        <w:spacing w:after="0" w:line="255" w:lineRule="exact"/>
        <w:rPr>
          <w:sz w:val="20"/>
          <w:szCs w:val="20"/>
          <w:color w:val="auto"/>
        </w:rPr>
      </w:pPr>
    </w:p>
    <w:p>
      <w:pPr>
        <w:ind w:left="460" w:right="40"/>
        <w:spacing w:after="0" w:line="267" w:lineRule="auto"/>
        <w:rPr>
          <w:sz w:val="20"/>
          <w:szCs w:val="20"/>
          <w:color w:val="auto"/>
        </w:rPr>
      </w:pPr>
      <w:r>
        <w:rPr>
          <w:rFonts w:ascii="Arial" w:cs="Arial" w:eastAsia="Arial" w:hAnsi="Arial"/>
          <w:sz w:val="13"/>
          <w:szCs w:val="13"/>
          <w:color w:val="auto"/>
        </w:rPr>
        <w:t>$0.5 million, $2.0 million, $1.8 million and $1.8 million for fiscal years 2015, 2016 and 2017 and the nine months ended September 30, 2017, respectively; differences between the timing of expense versus cash payments related to contributions to charitable organizations of $3.0 million, $(1.0) million, $(1.0) million, $(0.8) million and $(0.8) million for fiscal years 2015, 2016 and 2017 and the nine months ended September 30, 2017 and September 29, 2018, respectively; costs of severance and relocation of $0.5 million, $1.1 million, $1.4 million, $1.0 million and $0.9 million for fiscal years 2015, 2016 and 2017 and the nine months ended September 30, 2017 and September 29, 2018, respectively; excess payroll taxes related to stock option exercises of $1.2 million for the nine months ended September 29, 2018; non-cash write-down of property and equipment of $0.2 million, $0.2 million and $0.4 million for fiscal years 2015, 2016 and 2017, respectively; and other expenses and adjustments totaling $0.8 million, $0.6 million, $0.6 million, $0.5 million and $0.5 million for fiscal years 2015, 2016 and 2017 and the nine months ended September 30, 2017 and September 29, 2018, respectively.</w:t>
      </w:r>
    </w:p>
    <w:p>
      <w:pPr>
        <w:spacing w:after="0" w:line="74" w:lineRule="exact"/>
        <w:rPr>
          <w:sz w:val="20"/>
          <w:szCs w:val="20"/>
          <w:color w:val="auto"/>
        </w:rPr>
      </w:pPr>
    </w:p>
    <w:p>
      <w:pPr>
        <w:ind w:left="460" w:hanging="353"/>
        <w:spacing w:after="0" w:line="267" w:lineRule="auto"/>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Amortization of acquisition intangibles related to the increase in the carrying values of definite-lived intangible assets resulting from the application of purchase accounting to the KKR Acquisition of $7.4 million for each of fiscal years 2015, 2016 and 2017 and $5.6 million for each of the nine months ended September 30, 2017 and September 29, 2018. Amortization of deferred financing costs is primarily associated with the March 2014 term loan borrowings in connection with the KKR Acquisition and, to a lesser extent, amortization of debt discounts associated with the May 2015 and February 2017 incremental first lien term loans and the November 2017 first lien refinancing, aggregating to $3.8 million, $3.9 million and $7.1 million for fiscal years 2015, 2016 and 2017, respectively, and $3.1 million and $1.3 million for the nine months ended September 30, 2017 and September 29, 2018, respectively. The $7.1 million amortization of deferred financing costs in 2017 includes $3.3 million of the write-off of debt discounts associated with the repayment of all outstanding $125 million of second lien term loans in November 2017.</w:t>
      </w:r>
    </w:p>
    <w:p>
      <w:pPr>
        <w:spacing w:after="0" w:line="74" w:lineRule="exact"/>
        <w:rPr>
          <w:rFonts w:ascii="Arial" w:cs="Arial" w:eastAsia="Arial" w:hAnsi="Arial"/>
          <w:sz w:val="13"/>
          <w:szCs w:val="13"/>
          <w:color w:val="auto"/>
        </w:rPr>
      </w:pPr>
    </w:p>
    <w:p>
      <w:pPr>
        <w:ind w:left="460" w:right="260" w:hanging="353"/>
        <w:spacing w:after="0" w:line="257"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adjustment represents re-measuring and reassessing the net realizability of our deferred tax assets and liabilities during fiscal year 2017. See Note 6 “Income Taxes” in our audited consolidated financial statements incorporated by reference in this prospectus supplement for additional information regarding the 2017 Tax Cuts and Jobs Act.</w:t>
      </w:r>
    </w:p>
    <w:p>
      <w:pPr>
        <w:spacing w:after="0" w:line="77" w:lineRule="exact"/>
        <w:rPr>
          <w:rFonts w:ascii="Arial" w:cs="Arial" w:eastAsia="Arial" w:hAnsi="Arial"/>
          <w:sz w:val="14"/>
          <w:szCs w:val="14"/>
          <w:color w:val="auto"/>
        </w:rPr>
      </w:pPr>
    </w:p>
    <w:p>
      <w:pPr>
        <w:ind w:left="460" w:right="340" w:hanging="353"/>
        <w:spacing w:after="0" w:line="312" w:lineRule="auto"/>
        <w:tabs>
          <w:tab w:leader="none" w:pos="460" w:val="left"/>
        </w:tabs>
        <w:numPr>
          <w:ilvl w:val="0"/>
          <w:numId w:val="7"/>
        </w:numPr>
        <w:rPr>
          <w:rFonts w:ascii="Arial" w:cs="Arial" w:eastAsia="Arial" w:hAnsi="Arial"/>
          <w:sz w:val="13"/>
          <w:szCs w:val="13"/>
          <w:color w:val="auto"/>
        </w:rPr>
      </w:pPr>
      <w:r>
        <w:rPr>
          <w:rFonts w:ascii="Arial" w:cs="Arial" w:eastAsia="Arial" w:hAnsi="Arial"/>
          <w:sz w:val="13"/>
          <w:szCs w:val="13"/>
          <w:color w:val="auto"/>
        </w:rPr>
        <w:t>Tax benefit associated with accounting guidance adopted at the beginning of fiscal year 2017 (Accounting Standards Update 2016-09, Compensation - Stock Compensation), requiring excess tax benefits to be recorded in earnings as discrete items in the reporting period in which they occur.</w:t>
      </w:r>
    </w:p>
    <w:p>
      <w:pPr>
        <w:spacing w:after="0" w:line="43" w:lineRule="exact"/>
        <w:rPr>
          <w:rFonts w:ascii="Arial" w:cs="Arial" w:eastAsia="Arial" w:hAnsi="Arial"/>
          <w:sz w:val="13"/>
          <w:szCs w:val="13"/>
          <w:color w:val="auto"/>
        </w:rPr>
      </w:pPr>
    </w:p>
    <w:p>
      <w:pPr>
        <w:ind w:left="460" w:hanging="353"/>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the tax effect of the total adjustments at our combined statutory federal and state income tax rate.</w:t>
      </w: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i w:val="1"/>
          <w:iCs w:val="1"/>
          <w:color w:val="auto"/>
        </w:rPr>
        <w:t>An investment in our common stock involves risk. You should carefully consider the risks and uncertainties described below, together with all of the other information included or incorporated by reference in this prospectus supplement and the accompanying prospectus, including the risks and uncertainties discussed under “Prospectus Supplement Summary—Summary Historical Consolidated Financial and Other Data” contained elsewhere in this prospectus supplement, “Risk Factors,” “Management’s Discussion and Analysis of Financial Condition and Results of Operations” and our audited consolidated financial statements and related notes thereto in our Annual Report and “Management’s Discussion and Analysis of Financial Condition and Results of Operations” and our unaudited condensed consolidated financial statements and related notes thereto in our Quarterly Reports, each of which is incorporated by reference in this prospectus supplement and the accompanying prospectus, before investing in our common stock. Any of the following risks could materially and adversely affect our business, financial condition, or results of operations. The selected risks described below or incorporated by reference in this prospectus supplement and the accompanying prospectus, however, are not the only risks facing us. Additional risks and uncertainties not currently known to us or those we currently view to be immaterial may also materially and adversely affect our business, financial condition, or results of operations. In such a case, the trading price of our common stock could decline and you may lose all or part of your investment.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spacing w:after="0" w:line="357" w:lineRule="auto"/>
        <w:rPr>
          <w:sz w:val="20"/>
          <w:szCs w:val="20"/>
          <w:color w:val="auto"/>
        </w:rPr>
      </w:pPr>
      <w:r>
        <w:rPr>
          <w:rFonts w:ascii="Arial" w:cs="Arial" w:eastAsia="Arial" w:hAnsi="Arial"/>
          <w:sz w:val="15"/>
          <w:szCs w:val="15"/>
          <w:b w:val="1"/>
          <w:bCs w:val="1"/>
          <w:i w:val="1"/>
          <w:iCs w:val="1"/>
          <w:color w:val="auto"/>
        </w:rPr>
        <w:t>Our stock price may be volatile or may decline regardless of our operating performance, and you may not be able to resell shares of our common stock at or above the price you paid or at all, and you could lose all or part of your investment as a result.</w:t>
      </w:r>
    </w:p>
    <w:p>
      <w:pPr>
        <w:ind w:right="60" w:firstLine="360"/>
        <w:spacing w:after="0" w:line="302" w:lineRule="auto"/>
        <w:rPr>
          <w:sz w:val="20"/>
          <w:szCs w:val="20"/>
          <w:color w:val="auto"/>
        </w:rPr>
      </w:pPr>
      <w:r>
        <w:rPr>
          <w:rFonts w:ascii="Arial" w:cs="Arial" w:eastAsia="Arial" w:hAnsi="Arial"/>
          <w:sz w:val="16"/>
          <w:szCs w:val="16"/>
          <w:color w:val="auto"/>
        </w:rPr>
        <w:t>We completed our IPO in October 2017. Since our IPO, the price of our common stock, as reported on NASDAQ, has ranged from a low of $27.19 on October 26, 2017 to a high of $46.63 on September 7, 2018. The trading price of our common stock may be volatile and may be adversely affected due to a number of factors, most of which we cannot control, including those listed under “Risk Factors” in our Annual Report, which is incorporated by reference in this prospectus supplement, and the following:</w:t>
      </w:r>
    </w:p>
    <w:p>
      <w:pPr>
        <w:spacing w:after="0" w:line="46" w:lineRule="exact"/>
        <w:rPr>
          <w:sz w:val="20"/>
          <w:szCs w:val="20"/>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117" w:lineRule="exact"/>
        <w:rPr>
          <w:rFonts w:ascii="Arial" w:cs="Arial" w:eastAsia="Arial" w:hAnsi="Arial"/>
          <w:sz w:val="18"/>
          <w:szCs w:val="18"/>
          <w:color w:val="auto"/>
        </w:rPr>
      </w:pPr>
    </w:p>
    <w:p>
      <w:pPr>
        <w:ind w:left="700" w:right="1040" w:hanging="356"/>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market valuations of, or earnings and other announcements by, companies in our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optical retail companies;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17" w:lineRule="exact"/>
        <w:rPr>
          <w:rFonts w:ascii="Arial" w:cs="Arial" w:eastAsia="Arial" w:hAnsi="Arial"/>
          <w:sz w:val="18"/>
          <w:szCs w:val="18"/>
          <w:color w:val="auto"/>
        </w:rPr>
      </w:pPr>
    </w:p>
    <w:p>
      <w:pPr>
        <w:ind w:left="700" w:right="220" w:hanging="356"/>
        <w:spacing w:after="0" w:line="264"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by us, our competitors, our suppliers or our host and legacy organizations of significant contracts, price reductions, new products or technologies, acquisitions, joint marketing relationships, joint ventures, other strategic relationships or capital commitments;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preference of our customers;</w:t>
      </w:r>
    </w:p>
    <w:p>
      <w:pPr>
        <w:spacing w:after="0" w:line="117" w:lineRule="exact"/>
        <w:rPr>
          <w:rFonts w:ascii="Arial" w:cs="Arial" w:eastAsia="Arial" w:hAnsi="Arial"/>
          <w:sz w:val="18"/>
          <w:szCs w:val="18"/>
          <w:color w:val="auto"/>
        </w:rPr>
      </w:pPr>
    </w:p>
    <w:p>
      <w:pPr>
        <w:ind w:left="700" w:right="140" w:hanging="356"/>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 and, in particular, in the consumer spending environment;</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w:t>
      </w:r>
    </w:p>
    <w:p>
      <w:pPr>
        <w:spacing w:after="0" w:line="117" w:lineRule="exact"/>
        <w:rPr>
          <w:rFonts w:ascii="Arial" w:cs="Arial" w:eastAsia="Arial" w:hAnsi="Arial"/>
          <w:sz w:val="18"/>
          <w:szCs w:val="18"/>
          <w:color w:val="auto"/>
        </w:rPr>
      </w:pPr>
    </w:p>
    <w:p>
      <w:pPr>
        <w:ind w:left="700" w:right="440" w:hanging="356"/>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investor perceptions of or the investment opportunity associated with our common stock relative to other investment alternatives;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120" w:hanging="356"/>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guidance, if any, that we provide to the public, any changes in this guidance or our failure to meet this guidance;</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stock;</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17" w:lineRule="exact"/>
        <w:rPr>
          <w:rFonts w:ascii="Arial" w:cs="Arial" w:eastAsia="Arial" w:hAnsi="Arial"/>
          <w:sz w:val="18"/>
          <w:szCs w:val="18"/>
          <w:color w:val="auto"/>
        </w:rPr>
      </w:pPr>
    </w:p>
    <w:p>
      <w:pPr>
        <w:ind w:left="700" w:right="240" w:hanging="356"/>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informational technology system failures and disruptions, natural disasters, war, acts of terrorism or responses to these events.</w:t>
      </w:r>
    </w:p>
    <w:p>
      <w:pPr>
        <w:spacing w:after="0" w:line="62" w:lineRule="exact"/>
        <w:rPr>
          <w:sz w:val="20"/>
          <w:szCs w:val="20"/>
          <w:color w:val="auto"/>
        </w:rPr>
      </w:pPr>
    </w:p>
    <w:p>
      <w:pPr>
        <w:jc w:val="both"/>
        <w:ind w:right="100" w:firstLine="360"/>
        <w:spacing w:after="0" w:line="259" w:lineRule="auto"/>
        <w:rPr>
          <w:sz w:val="20"/>
          <w:szCs w:val="20"/>
          <w:color w:val="auto"/>
        </w:rPr>
      </w:pPr>
      <w:r>
        <w:rPr>
          <w:rFonts w:ascii="Arial" w:cs="Arial" w:eastAsia="Arial" w:hAnsi="Arial"/>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79"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18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61" w:lineRule="exact"/>
        <w:rPr>
          <w:sz w:val="20"/>
          <w:szCs w:val="20"/>
          <w:color w:val="auto"/>
        </w:rPr>
      </w:pPr>
    </w:p>
    <w:p>
      <w:pPr>
        <w:ind w:right="220" w:firstLine="360"/>
        <w:spacing w:after="0" w:line="293" w:lineRule="auto"/>
        <w:rPr>
          <w:sz w:val="20"/>
          <w:szCs w:val="20"/>
          <w:color w:val="auto"/>
        </w:rPr>
      </w:pPr>
      <w:r>
        <w:rPr>
          <w:rFonts w:ascii="Arial" w:cs="Arial" w:eastAsia="Arial" w:hAnsi="Arial"/>
          <w:sz w:val="16"/>
          <w:szCs w:val="16"/>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See “Dividend Policy.”</w:t>
      </w:r>
    </w:p>
    <w:p>
      <w:pPr>
        <w:spacing w:after="0" w:line="57"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As a result, you may not receive any return on an investment in our common stock unless you sell our common stock for a price greater than your purchase price.</w:t>
      </w:r>
    </w:p>
    <w:p>
      <w:pPr>
        <w:spacing w:after="0" w:line="17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We are a holding company with no operations of our own and, as such, we depend on our subsidiaries for cash to fund all of our operations and expenses, including future dividend payments, if any.</w:t>
      </w:r>
    </w:p>
    <w:p>
      <w:pPr>
        <w:spacing w:after="0" w:line="61"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w:t>
      </w:r>
    </w:p>
    <w:p>
      <w:pPr>
        <w:spacing w:after="0" w:line="15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our stock or our sector, our stock price and trading volume could decline.</w:t>
      </w:r>
    </w:p>
    <w:p>
      <w:pPr>
        <w:spacing w:after="0" w:line="61"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We do not control these analysts. Furthermore, if one or more of the analysts who do cover us downgrade our stock or our industry, or change their views regarding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Maintaining the requirements of being a public company may strain our resources, divert management’s attention and affect our ability to attract and retain qualified board members.</w:t>
      </w:r>
    </w:p>
    <w:p>
      <w:pPr>
        <w:spacing w:after="0" w:line="75" w:lineRule="exact"/>
        <w:rPr>
          <w:sz w:val="20"/>
          <w:szCs w:val="20"/>
          <w:color w:val="auto"/>
        </w:rPr>
      </w:pPr>
    </w:p>
    <w:p>
      <w:pPr>
        <w:ind w:right="20" w:firstLine="360"/>
        <w:spacing w:after="0" w:line="286" w:lineRule="auto"/>
        <w:rPr>
          <w:sz w:val="20"/>
          <w:szCs w:val="20"/>
          <w:color w:val="auto"/>
        </w:rPr>
      </w:pPr>
      <w:r>
        <w:rPr>
          <w:rFonts w:ascii="Arial" w:cs="Arial" w:eastAsia="Arial" w:hAnsi="Arial"/>
          <w:sz w:val="16"/>
          <w:szCs w:val="16"/>
          <w:color w:val="auto"/>
        </w:rPr>
        <w:t>As a public company, we incur significant legal, accounting, insurance and other expenses that we did not incur as a private company, including costs associated with public company governance and reporting requirements. We also have incurred and will continue to incur costs associated with our compliance with the Sarbanes-Oxley Act of 2002, or the Sarbanes-Oxley Act, and the Dodd-Frank Wall Street Reform and Consumer Protection Act, or the Dodd-Frank Act, as well as rules and regulations implemented by the SEC, and costs in connection with continued listing on NASDAQ. Our efforts to comply with these rules and regulations have significantly increased our legal and financial compliance costs, including costs associated with the hiring of additional personnel, and have made some activities more difficult, time-consuming or costly. Our management devote a substantial amount of time to ensure that we comply with all of these requirements, diverting the attention of management away from revenue-producing activities. The expenses incurred by public companies generally for reporting and corporate governance purposes have been increasing.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155"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b w:val="1"/>
          <w:bCs w:val="1"/>
          <w:i w:val="1"/>
          <w:iCs w:val="1"/>
          <w:color w:val="auto"/>
        </w:rPr>
        <w:t>Failure to comply with requirements to design, implement and maintain effective internal controls could have a material adverse effect on our business and stock price, and any failure to maintain financial controls could result in our financial statements becoming unreliable. We currently have material weaknesses in our internal control over financial reporting.</w:t>
      </w:r>
    </w:p>
    <w:p>
      <w:pPr>
        <w:spacing w:after="0" w:line="54"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As a public company, we have significant requirements for enhanced financial reporting and internal controls. We have made, and will continue to make, changes to our internal controls and procedures for financial reporting and accounting systems to meet our reporting obligations as a public company.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measures we take may not be sufficient to satisfy our obligations as a public company and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404(a) of the Sarbanes-Oxley Act, or Section 404, to furnish a report by management on, among other things, the effectiveness of our internal control over financial reporting in the annual report for the fiscal year ending December 29, 2018.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Our independent registered public accounting firm will be required to issue an attestation report on the effectiveness of our internal controls in the annual report for the fiscal year ending December 29, 2018.</w:t>
      </w:r>
    </w:p>
    <w:p>
      <w:pPr>
        <w:spacing w:after="0" w:line="70"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In connection with the implementation of the necessary procedures and practices related to internal control over financial reporting, we have identified and may identify additional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w:t>
      </w:r>
    </w:p>
    <w:p>
      <w:pPr>
        <w:spacing w:after="0" w:line="80" w:lineRule="exact"/>
        <w:rPr>
          <w:sz w:val="20"/>
          <w:szCs w:val="20"/>
          <w:color w:val="auto"/>
        </w:rPr>
      </w:pPr>
    </w:p>
    <w:p>
      <w:pPr>
        <w:ind w:right="440" w:firstLine="360"/>
        <w:spacing w:after="0" w:line="259" w:lineRule="auto"/>
        <w:rPr>
          <w:sz w:val="20"/>
          <w:szCs w:val="20"/>
          <w:color w:val="auto"/>
        </w:rPr>
      </w:pPr>
      <w:r>
        <w:rPr>
          <w:rFonts w:ascii="Arial" w:cs="Arial" w:eastAsia="Arial" w:hAnsi="Arial"/>
          <w:sz w:val="18"/>
          <w:szCs w:val="18"/>
          <w:color w:val="auto"/>
        </w:rPr>
        <w:t>As disclosed in the final prospectus for our IPO, management concluded that we have material weaknesses in our internal control over financial reporting. A material weakness is a deficiency, or a combination of deficiencies, in internal control over financial reporting, such that there is a reasonable possibility that a material misstatement of the company’s annual or interim consolidated financial statements will not be prevented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detected on a timely basis. We identified a deficiency in the design of controls related to the timely detection of damaged, expired or expiring contact lens inventory for purposes of recording inventory at net realizable value. We also identified a material weakness related to a deficiency in the design of entity level controls to identify and assess changes in our business environment that could significantly impact the system of internal control over financial reporting. As a result of these material weaknesses, we wrote off $2.3 million of inventory related to the expired or expiring contact lens inventory in fiscal year 2017. As a result of the material weakness in our entity level controls, we overstated net sales of services and plans in our legacy segment and consolidated net sales of services and plans and understated net product sales in our legacy segment and consolidated net product sales by $7.2 million and $7.6 million for fiscal years 2016 and 2015, respectively. We have designed and are implementing controls to remediate these material weaknesses. These remediation measures may be time consuming, costly, and may place significant demands on our financial and operational resources. Our efforts to remediate these material weaknesses may not be effective. If our efforts to remediate these material weaknesses are not successful, the remediated material weaknesses may reoccur or related material weaknesses could occur in the future.</w:t>
      </w:r>
    </w:p>
    <w:p>
      <w:pPr>
        <w:spacing w:after="0" w:line="72"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Our testing, or the subsequent testing by our independent registered public accounting firm, may reveal deficiencies in our internal controls over financial reporting that are deemed to be material weaknesses in addition to the material weaknesses described above. The material weaknesses described above or any newly-identified material weaknesses could result in a material misstatement of our annual or quarterly consolidated financial statements or disclosures that may not be prevented or detected.</w:t>
      </w:r>
    </w:p>
    <w:p>
      <w:pPr>
        <w:spacing w:after="0" w:line="46"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173"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61" w:lineRule="exact"/>
        <w:rPr>
          <w:sz w:val="20"/>
          <w:szCs w:val="20"/>
          <w:color w:val="auto"/>
        </w:rPr>
      </w:pPr>
    </w:p>
    <w:p>
      <w:pPr>
        <w:jc w:val="both"/>
        <w:ind w:right="80" w:firstLine="360"/>
        <w:spacing w:after="0" w:line="259" w:lineRule="auto"/>
        <w:rPr>
          <w:sz w:val="20"/>
          <w:szCs w:val="20"/>
          <w:color w:val="auto"/>
        </w:rPr>
      </w:pPr>
      <w:r>
        <w:rPr>
          <w:rFonts w:ascii="Arial" w:cs="Arial" w:eastAsia="Arial" w:hAnsi="Arial"/>
          <w:sz w:val="18"/>
          <w:szCs w:val="18"/>
          <w:color w:val="auto"/>
        </w:rPr>
        <w:t>After this offering, the sale of shares of our common stock in the public market, or the perception that such sales could occur, including sales by our existing stockholders,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79" w:lineRule="exact"/>
        <w:rPr>
          <w:sz w:val="20"/>
          <w:szCs w:val="20"/>
          <w:color w:val="auto"/>
        </w:rPr>
      </w:pPr>
    </w:p>
    <w:p>
      <w:pPr>
        <w:ind w:right="60" w:firstLine="360"/>
        <w:spacing w:after="0" w:line="269" w:lineRule="auto"/>
        <w:rPr>
          <w:sz w:val="20"/>
          <w:szCs w:val="20"/>
          <w:color w:val="auto"/>
        </w:rPr>
      </w:pPr>
      <w:r>
        <w:rPr>
          <w:rFonts w:ascii="Arial" w:cs="Arial" w:eastAsia="Arial" w:hAnsi="Arial"/>
          <w:sz w:val="17"/>
          <w:szCs w:val="17"/>
          <w:color w:val="auto"/>
        </w:rPr>
        <w:t>Upon the consummation of this offering, of our outstanding shares, the 48,584,852 shares sold in the IPO, in the secondary offering of our common stock in March 2018, in the secondary offering of our common stock in July 2018 (for which the overallotment option closed in early August), and any shares sold in this offering, will be freely tradable without restriction or further registration under the Securities Act of 1933, as amended, or the Securities Act. Additionally, in connection with this offering, our Board of Directors will, pursuant to the management stockholder’s agreements and director stockholder’s agreements, elect to waive the transfer restrictions with respect to the number of shares of our common stock that management stockholders and director stockholders not participating in this offering would have been eligible to sell in this offering if they had exercised their piggyback registration rights, and will also elect to waive the transfer restrictions with respect to a portion of the shares underlying the performance-based options that will vest upon the consummation of this offering. Certain of these shares, are held by non-executive officers and non-directors and, as such, may be sold during the 30-day lock-up period after this offering, subject to compliance with our securities trading policy and applicable securities laws.</w:t>
      </w:r>
    </w:p>
    <w:p>
      <w:pPr>
        <w:spacing w:after="0" w:line="75"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The shares of common stock held by affiliates of KKR Sponsor and our directors and executive officers after this offering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w:t>
      </w:r>
    </w:p>
    <w:p>
      <w:pPr>
        <w:spacing w:after="0" w:line="79" w:lineRule="exact"/>
        <w:rPr>
          <w:sz w:val="20"/>
          <w:szCs w:val="20"/>
          <w:color w:val="auto"/>
        </w:rPr>
      </w:pPr>
    </w:p>
    <w:p>
      <w:pPr>
        <w:ind w:right="660" w:firstLine="360"/>
        <w:spacing w:after="0" w:line="277" w:lineRule="auto"/>
        <w:rPr>
          <w:sz w:val="20"/>
          <w:szCs w:val="20"/>
          <w:color w:val="auto"/>
        </w:rPr>
      </w:pPr>
      <w:r>
        <w:rPr>
          <w:rFonts w:ascii="Arial" w:cs="Arial" w:eastAsia="Arial" w:hAnsi="Arial"/>
          <w:sz w:val="18"/>
          <w:szCs w:val="18"/>
          <w:color w:val="auto"/>
        </w:rPr>
        <w:t>In connection with this offering, we, our directors and executive officers and the selling stockholders will sign lock-up agreements with the underwriters that will, subject to certain exceptions, restrict the disposition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or hedging with respect to, the shares of our common stock or securities convertible into or exchangeable for shares of common stock, each held by them for 30 days following the date of this prospectus supplement and the accompanying prospectus, except with the prior written consent of the underwriters. See “Underwriting” for a description of these lock-up agreements.</w:t>
      </w:r>
    </w:p>
    <w:p>
      <w:pPr>
        <w:spacing w:after="0" w:line="39"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We expect that KKR Sponsor and certain of its affiliates will be considered an affiliate upon the expiration of the lock-up period based on their expected share ownership, as well as their board nomination rights. Certain other of our stockholders may also be considered affiliates at that time.</w:t>
      </w:r>
    </w:p>
    <w:p>
      <w:pPr>
        <w:spacing w:after="0" w:line="73" w:lineRule="exact"/>
        <w:rPr>
          <w:sz w:val="20"/>
          <w:szCs w:val="20"/>
          <w:color w:val="auto"/>
        </w:rPr>
      </w:pPr>
    </w:p>
    <w:p>
      <w:pPr>
        <w:ind w:right="220" w:firstLine="360"/>
        <w:spacing w:after="0" w:line="293" w:lineRule="auto"/>
        <w:rPr>
          <w:sz w:val="20"/>
          <w:szCs w:val="20"/>
          <w:color w:val="auto"/>
        </w:rPr>
      </w:pPr>
      <w:r>
        <w:rPr>
          <w:rFonts w:ascii="Arial" w:cs="Arial" w:eastAsia="Arial" w:hAnsi="Arial"/>
          <w:sz w:val="16"/>
          <w:szCs w:val="16"/>
          <w:color w:val="auto"/>
        </w:rPr>
        <w:t>In addition, pursuant to a registration rights agreement, each of KKR Sponsor and Berkshire has the right, subject to certain conditions, to require us to register the sale of their shares of our common stock under the Securities Act. By exercising its registration rights and selling a large number of shares, KKR Sponsor or Berkshire could cause the prevailing market price of our common stock to decline. Certain of our other stockholders have “piggyback” registration rights with respect to future registered offerings of our common stock. Registration of any of these outstanding shares of common stock would result in such shares becoming freely tradable without compliance with Rule 144 upon effectiveness of the registration statement.</w:t>
      </w:r>
    </w:p>
    <w:p>
      <w:pPr>
        <w:spacing w:after="0" w:line="57"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14,585,568 shares of our common stock subject to our outstanding options or subject to issuance under our 2013 Equity Incentive Plan, our 2014 Stock Incentive Plan and our 2017 Omnibus Incentive Plan have been registered with a registration statement on Form S-8 and will be available for sale in the open market, subject to limitations in the management stockholder’s agreements. As of October 31, 2018, there were stock options outstanding to purchase a total of 7,719,415 shares of our common stock and 101,754 shares of our common stock subject to restricted stock units. In addition, as of October 31, 2018, 4,203,599 shares of our common stock were reserved for future issuance under our incentive plans. In addition, our Board of Directors and stockholders have approved the adoption of our 2018 Associate Stock Purchase Plan, and we have reserved a total of 850,000 shares of our common stock for issuance thereunder. We have filed a registration statement on Form S-8 to register such shares and any shares purchased under our 2018 Associate Stock Purchase Plan will be available for sale in the open market, unless such shares are subject to Rule 144 limitations applicable to affiliates.</w:t>
      </w:r>
    </w:p>
    <w:p>
      <w:pPr>
        <w:spacing w:after="0" w:line="70"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As restrictions on resale end, or if the existing stockholders exercise their registration rights, the market price of our shares of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79" w:lineRule="exact"/>
        <w:rPr>
          <w:sz w:val="20"/>
          <w:szCs w:val="20"/>
          <w:color w:val="auto"/>
        </w:rPr>
      </w:pPr>
    </w:p>
    <w:p>
      <w:pPr>
        <w:ind w:right="280" w:firstLine="360"/>
        <w:spacing w:after="0" w:line="259" w:lineRule="auto"/>
        <w:rPr>
          <w:sz w:val="20"/>
          <w:szCs w:val="20"/>
          <w:color w:val="auto"/>
        </w:rPr>
      </w:pPr>
      <w:r>
        <w:rPr>
          <w:rFonts w:ascii="Arial" w:cs="Arial" w:eastAsia="Arial" w:hAnsi="Arial"/>
          <w:sz w:val="18"/>
          <w:szCs w:val="18"/>
          <w:color w:val="auto"/>
        </w:rPr>
        <w:t>In the future, we may also issue our securities in connection with investments or acquisitions. The number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KKR Sponsor has the ability to exert significant influence over us and its interests may conflict with ours or yours in the future.</w:t>
      </w:r>
    </w:p>
    <w:p>
      <w:pPr>
        <w:spacing w:after="0" w:line="138" w:lineRule="exact"/>
        <w:rPr>
          <w:sz w:val="20"/>
          <w:szCs w:val="20"/>
          <w:color w:val="auto"/>
        </w:rPr>
      </w:pPr>
    </w:p>
    <w:p>
      <w:pPr>
        <w:ind w:right="40" w:firstLine="360"/>
        <w:spacing w:after="0" w:line="253" w:lineRule="auto"/>
        <w:rPr>
          <w:sz w:val="20"/>
          <w:szCs w:val="20"/>
          <w:color w:val="auto"/>
        </w:rPr>
      </w:pPr>
      <w:r>
        <w:rPr>
          <w:rFonts w:ascii="Arial" w:cs="Arial" w:eastAsia="Arial" w:hAnsi="Arial"/>
          <w:sz w:val="18"/>
          <w:szCs w:val="18"/>
          <w:color w:val="auto"/>
        </w:rPr>
        <w:t>Immediately following this offering, KKR Sponsor will beneficially own 11.9% of our common stock. As a result, KKR Sponsor will have the ability to exert significant influence on our policies and operations, including the appointment of management, future issuances of our common stock or other securities, payment of dividends, if any, on our common stock, the incurrence or modification of indebtedness by us, amendment of our amended and restated certificate of incorporation and amended and restated bylaws and the entering into of extraordinary transactions, and their interests may not in all cases be aligned with your interests. In addition, KKR Sponsor and its affiliates may have an interest in pursuing acquisitions, divestitures and other transactions that, in their judgment, could enhance their investment, even though such transactions might involve risks to you. For example, KKR Sponsor could use its influence to have us pursue acquisitions that increase our indebtedness or sales of revenue-generating assets.</w:t>
      </w:r>
    </w:p>
    <w:p>
      <w:pPr>
        <w:spacing w:after="0" w:line="89"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KKR Sponsor and its affiliates are in the business of making investments in companies and may from time to time acquire and hold interests in businesses that compete directly or indirectly with us. Our amended and restated certificate of incorporation provides that neither KKR Sponsor nor any of its affiliates or any director who is not employed by us (including any non-employee director who serves as one of our officers in both his director and officer capacities) or his or her affiliates have any duty to refrain from engaging, directly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indirectly, in the same business activities or similar business activities or lines of business in which we operate. KKR Sponsor and its affiliates also may pursue acquisition opportunities that may be complementary to our business and, as a result, those acquisition opportunities may not be available to us.</w:t>
      </w:r>
    </w:p>
    <w:p>
      <w:pPr>
        <w:spacing w:after="0" w:line="73"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In addition, KKR Sponsor and its affiliates will be able to significantly influence the outcome of all matters requiring stockholder approval, including the election of our Board of Directors and potential acquisitions of our company. This concentration of voting power could deprive you of an opportunity to receive a premium for your shares of common stock as part of a sale of our company and ultimately might affect the market price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117"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provisions provide for, among other things:</w:t>
      </w:r>
    </w:p>
    <w:p>
      <w:pPr>
        <w:spacing w:after="0" w:line="117" w:lineRule="exact"/>
        <w:rPr>
          <w:sz w:val="20"/>
          <w:szCs w:val="20"/>
          <w:color w:val="auto"/>
        </w:rPr>
      </w:pPr>
    </w:p>
    <w:p>
      <w:pPr>
        <w:ind w:left="700" w:right="340" w:hanging="35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classified board of directors, as a result of which our Board of Directors is divided into three classes, with each class serving for staggered three-year terms;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117" w:lineRule="exact"/>
        <w:rPr>
          <w:rFonts w:ascii="Arial" w:cs="Arial" w:eastAsia="Arial" w:hAnsi="Arial"/>
          <w:sz w:val="18"/>
          <w:szCs w:val="18"/>
          <w:color w:val="auto"/>
        </w:rPr>
      </w:pPr>
    </w:p>
    <w:p>
      <w:pPr>
        <w:ind w:left="700" w:right="300" w:hanging="35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23" w:lineRule="exact"/>
        <w:rPr>
          <w:rFonts w:ascii="Arial" w:cs="Arial" w:eastAsia="Arial" w:hAnsi="Arial"/>
          <w:sz w:val="18"/>
          <w:szCs w:val="18"/>
          <w:color w:val="auto"/>
        </w:rPr>
      </w:pPr>
    </w:p>
    <w:p>
      <w:pPr>
        <w:ind w:left="700" w:right="40" w:hanging="356"/>
        <w:spacing w:after="0" w:line="239"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removal of directors only for cause and only upon the affirmative vote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shares of common stock entitled to vote generally in the election of directors; and</w:t>
      </w:r>
    </w:p>
    <w:p>
      <w:pPr>
        <w:spacing w:after="0" w:line="2" w:lineRule="exact"/>
        <w:rPr>
          <w:rFonts w:ascii="Arial" w:cs="Arial" w:eastAsia="Arial" w:hAnsi="Arial"/>
          <w:sz w:val="18"/>
          <w:szCs w:val="18"/>
          <w:color w:val="auto"/>
        </w:rPr>
      </w:pPr>
    </w:p>
    <w:p>
      <w:pPr>
        <w:ind w:left="700" w:right="60" w:hanging="356"/>
        <w:spacing w:after="0" w:line="239"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shares of common stock entitled to vote generally in the election of directors.</w:t>
      </w:r>
    </w:p>
    <w:p>
      <w:pPr>
        <w:spacing w:after="0" w:line="96"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 in the accompanying prospectus.</w:t>
      </w:r>
    </w:p>
    <w:p>
      <w:pPr>
        <w:spacing w:after="0" w:line="168"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Our Board of Directors is authorized to issue and designate shares of our preferred stock in additional series without stockholder approval.</w:t>
      </w:r>
    </w:p>
    <w:p>
      <w:pPr>
        <w:spacing w:after="0" w:line="75"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Our amended and restated certificate of incorporation authorizes our Board of Directors, without the approval of our stockholders, to issue 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51"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8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w:t>
      </w:r>
    </w:p>
    <w:p>
      <w:pPr>
        <w:spacing w:after="0" w:line="80"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color w:val="auto"/>
        </w:rPr>
        <w:t>Certain matters we discuss in this prospectus supplement and the accompanying prospectus and in the documents we incorporate by reference herein or therein may constitute forward-looking statements. You can identify forward-looking statements because they contain words such as “believes,” “expects,” “may,” “will,” “should,” “seeks,” “intends,” “plans,” “estimates,” or “anticipates,” or similar expressions which concern our strategy, plans, projections or intentions. These forward-looking statements relate to matters such as our industry, growth strategy, goals and expectations concerning our market position, future operations, margins, profitability, capital expenditures, liquidity and capital resources and other financial and operating information. By their nature, forward-looking statements: speak only as of the date they are made; are not statements of historical fact or guarantees of future performance; and are subject to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65"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There are a number of risks, uncertainties, and other important factors, many of which are beyond our control, that could cause our actual results to differ materially from the forward-looking statements contained or incorporated by reference in this prospectus supplement and the accompanying prospectus. Such risks, uncertainties, and other important factors include, among others, the risks, uncertainties and factors set forth under “Risk Factors” in this prospectus supplement and “Risk Factors” in our Annual Report, which is incorporated herein by reference, and the following:</w:t>
      </w:r>
    </w:p>
    <w:p>
      <w:pPr>
        <w:spacing w:after="0" w:line="64" w:lineRule="exact"/>
        <w:rPr>
          <w:sz w:val="20"/>
          <w:szCs w:val="20"/>
          <w:color w:val="auto"/>
        </w:rPr>
      </w:pPr>
    </w:p>
    <w:p>
      <w:pPr>
        <w:ind w:left="700" w:hanging="356"/>
        <w:spacing w:after="0"/>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open and operate new stores in a timely and cost-effective manner, and to successfully enter new markets;</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grow;</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117" w:lineRule="exact"/>
        <w:rPr>
          <w:rFonts w:ascii="Arial" w:cs="Arial" w:eastAsia="Arial" w:hAnsi="Arial"/>
          <w:sz w:val="18"/>
          <w:szCs w:val="18"/>
          <w:color w:val="auto"/>
        </w:rPr>
      </w:pPr>
    </w:p>
    <w:p>
      <w:pPr>
        <w:ind w:left="700" w:right="320" w:hanging="356"/>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managed vision care companies, vision insurance providers and other third-party payors;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our current operating relationships with our host and legacy partners;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loss of, or disruption in the operations of, one or more of our distribution centers and/or optical laboratories;</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compete in the highly competitive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a limited number of suppliers;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and our vendors’ ability to safeguard personal information and payment card data;</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failure, inadequacy, interruption, security failure or breach of our information technology systems;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spending affecting consumer purchases;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growth strategy straining our existing resources and causing the performance of our existing stores to suffer;</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retain our existing senior management team and attract qualified new personnel;</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impact of wage rate increases, inflation, cost increases and increases in raw material prices and energy prices;</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implement our marketing, advertising and promotional efforts;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leasing substantial amounts of space;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liability, product recall or personal injury issues;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compliance with managed vision care laws and regulations;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reliance on third-party reimbursement for a portion of our revenues;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manage our inventory balances and inventory shrinkage;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 fluctuations in our operating results and inventory levels;</w:t>
      </w:r>
    </w:p>
    <w:p>
      <w:pPr>
        <w:spacing w:after="0" w:line="117" w:lineRule="exact"/>
        <w:rPr>
          <w:rFonts w:ascii="Arial" w:cs="Arial" w:eastAsia="Arial" w:hAnsi="Arial"/>
          <w:sz w:val="18"/>
          <w:szCs w:val="18"/>
          <w:color w:val="auto"/>
        </w:rPr>
      </w:pPr>
    </w:p>
    <w:p>
      <w:pPr>
        <w:ind w:left="700" w:right="40" w:hanging="356"/>
        <w:spacing w:after="0" w:line="264"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of losses arising from our investments in technological innovators in the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to comply with, or changes in, laws, regulations, enforcement activities and other requirements;</w:t>
      </w:r>
    </w:p>
    <w:p>
      <w:pPr>
        <w:spacing w:after="0" w:line="117" w:lineRule="exact"/>
        <w:rPr>
          <w:rFonts w:ascii="Arial" w:cs="Arial" w:eastAsia="Arial" w:hAnsi="Arial"/>
          <w:sz w:val="18"/>
          <w:szCs w:val="18"/>
          <w:color w:val="auto"/>
        </w:rPr>
      </w:pPr>
    </w:p>
    <w:p>
      <w:pPr>
        <w:ind w:left="700" w:right="320" w:hanging="356"/>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any adverse litigation judgments or settlements resulting from legal proceedings relating to our business operations;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leverage;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in our credit agreement that limits our flexibility in operating our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generate sufficient cash flow to satisfy our significant debt service obligations;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our subsidiaries to fund all of our operations and expenses;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associated with maintaining the requirements of being a public company;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failure to comply with requirements to design, implement and maintain effective internal controls.</w:t>
      </w:r>
    </w:p>
    <w:p>
      <w:pPr>
        <w:spacing w:after="0" w:line="117" w:lineRule="exact"/>
        <w:rPr>
          <w:sz w:val="20"/>
          <w:szCs w:val="20"/>
          <w:color w:val="auto"/>
        </w:rPr>
      </w:pPr>
    </w:p>
    <w:p>
      <w:pPr>
        <w:ind w:right="160" w:firstLine="360"/>
        <w:spacing w:after="0" w:line="273" w:lineRule="auto"/>
        <w:rPr>
          <w:sz w:val="20"/>
          <w:szCs w:val="20"/>
          <w:color w:val="auto"/>
        </w:rPr>
      </w:pPr>
      <w:r>
        <w:rPr>
          <w:rFonts w:ascii="Arial" w:cs="Arial" w:eastAsia="Arial" w:hAnsi="Arial"/>
          <w:sz w:val="17"/>
          <w:szCs w:val="17"/>
          <w:color w:val="auto"/>
        </w:rPr>
        <w:t>There may be other factors that could cause our actual results to differ materially from the forward-looking statements, including factors disclosed under “Risk Factors” in this prospectus supplement and under “Risk Factors” and “Management’s Discussion and Analysis of Financial Condition and Results of Operations” in our Annual Report and “Management’s Discussion and Analysis of Financial Condition and Results of Operations” in our Quarterly Reports, which are incorporated herein by reference. You should evaluate all forward-looking statements made, or incorporated by reference, in this prospectus supplement and the accompanying prospectus in the context of these risks and uncertainties.</w:t>
      </w:r>
    </w:p>
    <w:p>
      <w:pPr>
        <w:spacing w:after="0" w:line="70"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All forward-looking statements in this prospectus supplement and the accompanying prospectus or in the documents incorporated by reference herein or therein apply only as of the date made and are expressly qualified in their entirety by the cautionary statements included in this prospectus supplement and the accompanying prospectus or in the documents incorporated by reference herein or therein. We undertake no obligation to publicly update or revise any forward-looking statements to reflect subsequent events or circumstances.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selling stockholders will receive all of the net proceeds from the sale of shares of our common stock offered pursuant to this prospectus supplement. We will not receive any proceeds from the sale of shares being sold in this offering. The selling stockholders will bear the underwriting commissions and discounts, if any, attributable to their sale of our common stock, and we will bear the remaining expenses. See “Selling Stockholders.”</w:t>
      </w:r>
    </w:p>
    <w:p>
      <w:pPr>
        <w:spacing w:after="0" w:line="1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300"/>
          </w:cols>
          <w:pgMar w:left="1180" w:top="279" w:right="141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We do not currently anticipate paying any dividends on our common stock and currently expect to retain all future earnings for use in the operation and expansion of our business. The declaration, amount and payment of any future dividends on our common stock will be at the sole discretion of our Board of Directors, which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If we elect to pay such dividends in the future, we may reduce or discontinue entirely the payment of such dividends at any time.</w:t>
      </w:r>
    </w:p>
    <w:p>
      <w:pPr>
        <w:spacing w:after="0" w:line="7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Because a significant portion of our operations is through our subsidiaries, our ability to pay dividends depends in part on our receipt of cash dividends from our operating subsidiaries, which may further restrict our ability to pay dividends as a result of the laws of their jurisdiction of organization, agreements of our subsidiaries or covenants under any existing and future outstanding indebtedness we or our subsidiaries incur. In addition, our ability to pay dividends is limited by covenants in our credit agreement. See “Management’s Discussion and Analysis of Financial Condition and Results of Operations—Liquidity and Capital Resources— Debt” in our Annual Report, which is incorporated by reference in this prospectus supplement, for a description of the restrictions on our ability to pay dividends.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Persons Transaction Policy</w:t>
      </w:r>
    </w:p>
    <w:p>
      <w:pPr>
        <w:spacing w:after="0" w:line="121" w:lineRule="exact"/>
        <w:rPr>
          <w:sz w:val="20"/>
          <w:szCs w:val="20"/>
          <w:color w:val="auto"/>
        </w:rPr>
      </w:pPr>
    </w:p>
    <w:p>
      <w:pPr>
        <w:ind w:right="40" w:firstLine="360"/>
        <w:spacing w:after="0" w:line="253" w:lineRule="auto"/>
        <w:rPr>
          <w:sz w:val="20"/>
          <w:szCs w:val="20"/>
          <w:color w:val="auto"/>
        </w:rPr>
      </w:pPr>
      <w:r>
        <w:rPr>
          <w:rFonts w:ascii="Arial" w:cs="Arial" w:eastAsia="Arial" w:hAnsi="Arial"/>
          <w:sz w:val="18"/>
          <w:szCs w:val="18"/>
          <w:color w:val="auto"/>
        </w:rPr>
        <w:t>In connection with our IPO, our Board of Directors adopted a written related person transaction policy that sets forth the policies and procedures for the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It is our policy that no related person transaction will be executed without the approval or ratification of the disinterested members of our Board of Directors or a committee of our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Related Person Transactions</w:t>
      </w:r>
    </w:p>
    <w:p>
      <w:pPr>
        <w:spacing w:after="0" w:line="121"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b w:val="1"/>
          <w:bCs w:val="1"/>
          <w:i w:val="1"/>
          <w:iCs w:val="1"/>
          <w:color w:val="auto"/>
        </w:rPr>
        <w:t xml:space="preserve">Stockholders Agreement. </w:t>
      </w:r>
      <w:r>
        <w:rPr>
          <w:rFonts w:ascii="Arial" w:cs="Arial" w:eastAsia="Arial" w:hAnsi="Arial"/>
          <w:sz w:val="16"/>
          <w:szCs w:val="16"/>
          <w:color w:val="auto"/>
        </w:rPr>
        <w:t>In connection with our IPO, we entered into a stockholders agreement with the KKR Sponsor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Berkshire. This agreement grants the KKR Sponsor and Berkshire the right to nominate to our board of directors a number of designees equal to: (A) in the case of private equity funds managed by Berkshire, one director so long as such funds and its affiliates collectively beneficially own at least 5% of the outstanding shares of our common stock and (B) in the case of affiliates of KKR Sponsor, (i) at least a majority of the total number of directors comprising our board of directors at such time as long as affiliates of KKR Sponsor beneficially own at least 50% of the outstanding shares of our common stock; (ii) at least 40% of the total number of directors comprising our board of directors at such time as long as affiliates of KKR Sponsor beneficially own at least 40% but less than 50% of the outstanding shares of our common stock; (iii) at least 30% of the total number of directors comprising our board of directors at such time as long as affiliates of KKR Sponsor beneficially own at least 30% but less than 40% of the outstanding shares of our common stock; (iv) at least 20% of the total number of directors comprising our board of directors at such time as long as affiliates of KKR Sponsor beneficially own at least 20% but less 30% of the outstanding shares of our common stock; and (v) at least 10% of the total number of directors comprising our board of directors at such time as long as affiliates of KKR Sponsor beneficially own at least 5% but less than 20% of the outstanding shares of our common stock. For purposes of calculating the number of directors that affiliates of KKR Sponsor are entitled to nominate pursuant to the formula outlined above, any fractional amounts would be rounded up to the nearest whole number and the calculation would be made on a pro forma basis, taking into account any increase in the size of our board of directors (e.g., one and one quarter (11⁄4) directors shall equate to two directors). In addition, in the event a vacancy on the board of directors is created by the death, disability, retirement or resignation of a Sponsor director designee, private equity funds managed by Berkshire or affiliates of KKR Sponsor, as applicable, who designated such director shall, to the fullest extent permitted by law, have the right to have the vacancy filled by a new Sponsor director-designee.</w:t>
      </w:r>
    </w:p>
    <w:p>
      <w:pPr>
        <w:spacing w:after="0" w:line="62"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In addition, the stockholders agreement grants to affiliates of KKR Sponsor special governance rights, for as long as affiliates of KKR Sponsor maintain ownership of at least 25% of our outstanding common stock, including rights of approval over certain corporate and other transactions such as mergers or other transactions involving a change in control and certain rights regarding the appointment of our chief executive officer.</w:t>
      </w:r>
    </w:p>
    <w:p>
      <w:pPr>
        <w:spacing w:after="0" w:line="79"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After the completion of this offering, we expect that affiliates of KKR Sponsor and affiliates of Berkshire will hold 11.9% and 2.8%, respectively, of the total outstanding shares of our common stock following this offering.</w:t>
      </w:r>
    </w:p>
    <w:p>
      <w:pPr>
        <w:spacing w:after="0" w:line="62" w:lineRule="exact"/>
        <w:rPr>
          <w:sz w:val="20"/>
          <w:szCs w:val="20"/>
          <w:color w:val="auto"/>
        </w:rPr>
      </w:pPr>
    </w:p>
    <w:p>
      <w:pPr>
        <w:ind w:right="100" w:firstLine="360"/>
        <w:spacing w:after="0" w:line="254" w:lineRule="auto"/>
        <w:rPr>
          <w:sz w:val="20"/>
          <w:szCs w:val="20"/>
          <w:color w:val="auto"/>
        </w:rPr>
      </w:pPr>
      <w:r>
        <w:rPr>
          <w:rFonts w:ascii="Arial" w:cs="Arial" w:eastAsia="Arial" w:hAnsi="Arial"/>
          <w:sz w:val="18"/>
          <w:szCs w:val="18"/>
          <w:b w:val="1"/>
          <w:bCs w:val="1"/>
          <w:i w:val="1"/>
          <w:iCs w:val="1"/>
          <w:color w:val="auto"/>
        </w:rPr>
        <w:t xml:space="preserve">Registration Rights Agreement. </w:t>
      </w:r>
      <w:r>
        <w:rPr>
          <w:rFonts w:ascii="Arial" w:cs="Arial" w:eastAsia="Arial" w:hAnsi="Arial"/>
          <w:sz w:val="18"/>
          <w:szCs w:val="18"/>
          <w:color w:val="auto"/>
        </w:rPr>
        <w:t>In connection with the KKR Acquisition, we entered into a registration rights agreement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KKR Sponsor and Berkshire and with other persons who may become party thereto. Subject to certain conditions, the registration rights agreement provides certain affiliates of KKR Sponsor with an unlimited number of “demand” registrations, and provides certain affiliates of Berkshire with two “demand” registrations following an initial public offering. Under the registration rights agreement, all holders of registrable securities party thereto are provided with customary “piggyback” registration rights following an initial public offering, with certain exceptions. The registration rights agreement also provides that we will pay certain expenses of these holders relating to such registrations and indemnify them against certain liabilities which may arise under the Securities Act.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20" w:firstLine="360"/>
        <w:spacing w:after="0" w:line="276" w:lineRule="auto"/>
        <w:rPr>
          <w:sz w:val="20"/>
          <w:szCs w:val="20"/>
          <w:color w:val="auto"/>
        </w:rPr>
      </w:pPr>
      <w:r>
        <w:rPr>
          <w:rFonts w:ascii="Arial" w:cs="Arial" w:eastAsia="Arial" w:hAnsi="Arial"/>
          <w:sz w:val="17"/>
          <w:szCs w:val="17"/>
          <w:b w:val="1"/>
          <w:bCs w:val="1"/>
          <w:i w:val="1"/>
          <w:iCs w:val="1"/>
          <w:color w:val="auto"/>
        </w:rPr>
        <w:t xml:space="preserve">Monitoring Agreement. </w:t>
      </w:r>
      <w:r>
        <w:rPr>
          <w:rFonts w:ascii="Arial" w:cs="Arial" w:eastAsia="Arial" w:hAnsi="Arial"/>
          <w:sz w:val="17"/>
          <w:szCs w:val="17"/>
          <w:color w:val="auto"/>
        </w:rPr>
        <w:t>In connection with the KKR Acquisition, NVI entered into a monitoring agreement (the “Monitoring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with KKR Sponsor and Berkshire pursuant to which the KKR Sponsor and Berkshire provide management and advisory services to NVI and receive fees and reimbursements of related out-of-pocket expenses. The Monitoring Agreement was terminated automatically in accordance with its terms upon the consummation of the IPO and we paid termination fees of approximately $3.6 million and $0.8 million to KKR Sponsor and Berkshire, respectively.</w:t>
      </w:r>
    </w:p>
    <w:p>
      <w:pPr>
        <w:spacing w:after="0" w:line="64"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We also recorded the following expenses related to management and/or advisory fees: we paid management and/or advisory fees of $0.7 million to KKR Sponsor and $0.2 million to Berkshire in fiscal year 2017 prior to the termination of the Monitoring Agreement in October 2017, $0.8 million to KKR Sponsor and $0.2 million to Berkshire in fiscal year 2016, $3.5 million to KKR Sponsor and $0.2 million to Berkshire in fiscal year 2015.</w:t>
      </w:r>
    </w:p>
    <w:p>
      <w:pPr>
        <w:spacing w:after="0" w:line="79"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Fees paid to KKR Sponsor and Berkshire included retainer fees and certain other project-oriented initiatives and are presented in selling, general and administrative expenses in our consolidated statements of operations and comprehensive income (loss), with the exception of $2.1 million in fees paid to KKR Sponsor and its affiliates for expenses related to new debt issued during the second quarter of fiscal year 2015 and $2.3 million in fees paid to KKR Sponsor and its affiliates for expenses related to debt issuance costs in fiscal year 2017, which are recorded in debt issuance costs in our consolidated statements of operating and comprehensive income (loss).</w:t>
      </w:r>
    </w:p>
    <w:p>
      <w:pPr>
        <w:spacing w:after="0" w:line="85" w:lineRule="exact"/>
        <w:rPr>
          <w:sz w:val="20"/>
          <w:szCs w:val="20"/>
          <w:color w:val="auto"/>
        </w:rPr>
      </w:pPr>
    </w:p>
    <w:p>
      <w:pPr>
        <w:ind w:right="260" w:firstLine="360"/>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Agreement with KKR Sponsor and Berkshire. </w:t>
      </w:r>
      <w:r>
        <w:rPr>
          <w:rFonts w:ascii="Arial" w:cs="Arial" w:eastAsia="Arial" w:hAnsi="Arial"/>
          <w:sz w:val="18"/>
          <w:szCs w:val="18"/>
          <w:color w:val="auto"/>
        </w:rPr>
        <w:t>In connection with the KKR Acquisition, we and certain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subsidiaries entered into an indemnification agreement (the “Indemnification Agreement”) with each of KKR Sponsor and Berkshire, whereby the parties agreed to customary exculpation and indemnification provisions in favor of KKR Sponsor and Berkshire in connection with certain transactions, including in connection with the services provided under the Monitoring Agreement.</w:t>
      </w:r>
    </w:p>
    <w:p>
      <w:pPr>
        <w:spacing w:after="0" w:line="80" w:lineRule="exact"/>
        <w:rPr>
          <w:sz w:val="20"/>
          <w:szCs w:val="20"/>
          <w:color w:val="auto"/>
        </w:rPr>
      </w:pPr>
    </w:p>
    <w:p>
      <w:pPr>
        <w:ind w:right="140" w:firstLine="360"/>
        <w:spacing w:after="0" w:line="276" w:lineRule="auto"/>
        <w:rPr>
          <w:sz w:val="20"/>
          <w:szCs w:val="20"/>
          <w:color w:val="auto"/>
        </w:rPr>
      </w:pPr>
      <w:r>
        <w:rPr>
          <w:rFonts w:ascii="Arial" w:cs="Arial" w:eastAsia="Arial" w:hAnsi="Arial"/>
          <w:sz w:val="17"/>
          <w:szCs w:val="17"/>
          <w:b w:val="1"/>
          <w:bCs w:val="1"/>
          <w:i w:val="1"/>
          <w:iCs w:val="1"/>
          <w:color w:val="auto"/>
        </w:rPr>
        <w:t xml:space="preserve">Relationship with KKR Capital Markets. </w:t>
      </w:r>
      <w:r>
        <w:rPr>
          <w:rFonts w:ascii="Arial" w:cs="Arial" w:eastAsia="Arial" w:hAnsi="Arial"/>
          <w:sz w:val="17"/>
          <w:szCs w:val="17"/>
          <w:color w:val="auto"/>
        </w:rPr>
        <w:t>KKR Capital Markets LLC (“KCM”), an affiliate of KKR Sponsor, acted as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arranger and bookrunner for various financing transactions under our first lien and second lien credit agreements, and received underwriter and transaction fees totaling approximately $2.6 million in fiscal year 2017 and $2.0 million in fiscal year 2015. KCM acted as a lead arranger with respect to the joinder and amendment agreement, dated as of October 9, 2018, relating to the first lien credit agreement, and received $1.2 million in fees in connection therewith.</w:t>
      </w:r>
    </w:p>
    <w:p>
      <w:pPr>
        <w:spacing w:after="0" w:line="64"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KCM acted as an underwriter in our IPO and received underwriting discounts and commissions of $4.8 million. KCM also acted as an underwriter in connection with the secondary offering of our common stock in March 2018 and the secondary offering of our common stock in July 2018 (for which the overallotment option closed in early August), and received fees of approximately $3.0 million and $4.0 million, respectively.</w:t>
      </w:r>
    </w:p>
    <w:p>
      <w:pPr>
        <w:spacing w:after="0" w:line="79"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KKR Corporate Lending LLC, an affiliate of KCM, was a participating lender under our revolving credit facility until October 2017 and, in connection therewith, received fees of approximately $0.9 million.</w:t>
      </w:r>
    </w:p>
    <w:p>
      <w:pPr>
        <w:spacing w:after="0" w:line="6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b w:val="1"/>
          <w:bCs w:val="1"/>
          <w:i w:val="1"/>
          <w:iCs w:val="1"/>
          <w:color w:val="auto"/>
        </w:rPr>
        <w:t xml:space="preserve">Relationship with KKR Credit. </w:t>
      </w:r>
      <w:r>
        <w:rPr>
          <w:rFonts w:ascii="Arial" w:cs="Arial" w:eastAsia="Arial" w:hAnsi="Arial"/>
          <w:sz w:val="18"/>
          <w:szCs w:val="18"/>
          <w:color w:val="auto"/>
        </w:rPr>
        <w:t>Investment funds or accounts managed or advised by the global credit business of KKR &amp; 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(collectively “KKR Credit”) have been participating lenders under our first lien and second lien credit agreements since 2014, and as of December 30, 2017, had received aggregate principal payments of approximately $15.4 million and interest or other associated payments relating to their holdings of debt of approximately $2.4 million. As of December 30, 2017, investment funds or accounts managed or advised by KKR Credit held a portion of our outstanding principal balance of our first lien term loans. As of March 31, 2018, investments funds or accounts managed or advised by KKR Credit no longer held our term loans and have received no principal or interest payments.</w:t>
      </w:r>
    </w:p>
    <w:p>
      <w:pPr>
        <w:spacing w:after="0" w:line="8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b w:val="1"/>
          <w:bCs w:val="1"/>
          <w:i w:val="1"/>
          <w:iCs w:val="1"/>
          <w:color w:val="auto"/>
        </w:rPr>
        <w:t xml:space="preserve">Relationship with KKR Capstone. </w:t>
      </w:r>
      <w:r>
        <w:rPr>
          <w:rFonts w:ascii="Arial" w:cs="Arial" w:eastAsia="Arial" w:hAnsi="Arial"/>
          <w:sz w:val="18"/>
          <w:szCs w:val="18"/>
          <w:color w:val="auto"/>
        </w:rPr>
        <w:t>We have utilized and may continue to utilize KKR Capstone Americas LLC and/or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affiliates, or KKR Capstone, a consulting company that works exclusively with portfolio companies of KKR &amp; Co. and its affiliated funds for consulting services, and have paid to KKR Capstone related fees and expenses. KKR Capstone is not a subsidiary or affiliate of KKR &amp; Co. KKR Capstone operates under several consulting agreements with KKR &amp; Co. and uses the “KKR” name under license from KKR &amp; Co.</w:t>
      </w:r>
    </w:p>
    <w:p>
      <w:pPr>
        <w:spacing w:after="0" w:line="80"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b w:val="1"/>
          <w:bCs w:val="1"/>
          <w:i w:val="1"/>
          <w:iCs w:val="1"/>
          <w:color w:val="auto"/>
        </w:rPr>
        <w:t xml:space="preserve">Management Stockholder’s Agreements. </w:t>
      </w:r>
      <w:r>
        <w:rPr>
          <w:rFonts w:ascii="Arial" w:cs="Arial" w:eastAsia="Arial" w:hAnsi="Arial"/>
          <w:sz w:val="18"/>
          <w:szCs w:val="18"/>
          <w:color w:val="auto"/>
        </w:rPr>
        <w:t>In connection with the KKR Acquisition and thereafter, we entered into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agreements, or Management Stockholder’s Agreements, with certain of our senior executive officers and other employees who made an equity investment in us or were granted equity based awards.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The Management Stockholder’s Agreements impose significant restrictions on transfers of shares of our common stock held by management stockholders. Generally, shares will be nontransferable by any means at any time prior to the later of a “Change in Control” (as defined in the applicable Management Stockholder’s Agreement) or the fifth anniversary of the closing date of the KKR Acquisition, or March 13, 2019, except (i) a sale of shares of common stock pursuant to an effective registration statement under the Securities Act filed by the Company in accordance with the applicable Management Stockholder’s Agreement upon the proper exercise of certain “piggyback” registration rights (described below), (ii) certain transfers to a management stockholder’s estate or trust in accordance with the applicable Management Stockholder’s Agreement, (iii) transfers approved by our Board of Directors in writing (such approval being in the sole discretion of our Board of Directors) or (iv) transfers to us or our designee.</w:t>
      </w:r>
    </w:p>
    <w:p>
      <w:pPr>
        <w:spacing w:after="0" w:line="58"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The Management Stockholder’s Agreements also provide for management stockholders’ ability to cause us to repurchase their outstanding stock and options in the event of their death or disability, and for our ability to cause a management stockholder to sell his or her stock or options back to the Company upon certain termination events.</w:t>
      </w:r>
    </w:p>
    <w:p>
      <w:pPr>
        <w:spacing w:after="0" w:line="73"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Additionally, management stockholders have limited “piggyback” registration rights with respect to their shares of common stock.</w:t>
      </w:r>
    </w:p>
    <w:p>
      <w:pPr>
        <w:spacing w:after="0" w:line="6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b w:val="1"/>
          <w:bCs w:val="1"/>
          <w:i w:val="1"/>
          <w:iCs w:val="1"/>
          <w:color w:val="auto"/>
        </w:rPr>
        <w:t xml:space="preserve">Sale Participation Agreements. </w:t>
      </w:r>
      <w:r>
        <w:rPr>
          <w:rFonts w:ascii="Arial" w:cs="Arial" w:eastAsia="Arial" w:hAnsi="Arial"/>
          <w:sz w:val="18"/>
          <w:szCs w:val="18"/>
          <w:color w:val="auto"/>
        </w:rPr>
        <w:t>The Sale Participation Agreements granted management stockholders the right to participate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private direct or indirect sale of shares of common stock by certain affiliates of KKR Sponsor (such right being referred to herein as the “Tag-Along Right”), and required such management stockholders to participate in any such private sale if so elected by such affiliates of KKR Sponsor in the event that they are proposing to sell stock in a transaction that would constitute a Change in Control (as defined in the Management Stockholder’s Agreements, as applicable) (such right being referred to herein as the “Drag-Along Right”). The Sale Participation Agreements were terminated in accordance with their terms upon the consummation of the IPO.</w:t>
      </w:r>
    </w:p>
    <w:p>
      <w:pPr>
        <w:spacing w:after="0" w:line="81" w:lineRule="exact"/>
        <w:rPr>
          <w:sz w:val="20"/>
          <w:szCs w:val="20"/>
          <w:color w:val="auto"/>
        </w:rPr>
      </w:pPr>
    </w:p>
    <w:p>
      <w:pPr>
        <w:ind w:right="320" w:firstLine="360"/>
        <w:spacing w:after="0" w:line="308" w:lineRule="auto"/>
        <w:rPr>
          <w:sz w:val="20"/>
          <w:szCs w:val="20"/>
          <w:color w:val="auto"/>
        </w:rPr>
      </w:pPr>
      <w:r>
        <w:rPr>
          <w:rFonts w:ascii="Arial" w:cs="Arial" w:eastAsia="Arial" w:hAnsi="Arial"/>
          <w:sz w:val="17"/>
          <w:szCs w:val="17"/>
          <w:b w:val="1"/>
          <w:bCs w:val="1"/>
          <w:i w:val="1"/>
          <w:iCs w:val="1"/>
          <w:color w:val="auto"/>
        </w:rPr>
        <w:t xml:space="preserve">Agreements with Directors and Officers. </w:t>
      </w:r>
      <w:r>
        <w:rPr>
          <w:rFonts w:ascii="Arial" w:cs="Arial" w:eastAsia="Arial" w:hAnsi="Arial"/>
          <w:sz w:val="17"/>
          <w:szCs w:val="17"/>
          <w:color w:val="auto"/>
        </w:rPr>
        <w:t>In addition, we have certain agreements with our directors and officers which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described in Part III. Item 11. “Executive Compensation” of our Annual Report incorporated by reference herein.</w:t>
      </w:r>
    </w:p>
    <w:p>
      <w:pPr>
        <w:spacing w:after="0" w:line="38"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In connection with our IPO, we entered into indemnification agreements with our directors. These agreements and our amended and restated bylaws require us to indemnify these individuals to the fullest extent permitted under Delaware law against liabilities that may arise by reason of their service to us, and to advance expenses incurred as a result of any proceeding against them as to which they could be indemnified. The indemnification provided under the indemnification agreements is not exclusive of any other indemnity rights. Insofar as indemnification for liabilities arising under the Securities Act may be permitted to directors, we have been informed that in the opinion of the SEC such indemnification is against public policy and is therefore unenforceable. There is currently no pending material litigation or proceeding involving any of our directors for which indemnification is sought.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8" w:name="page29"/>
    <w:bookmarkEnd w:id="28"/>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SELLING STOCKHOLDERS</w:t>
      </w:r>
    </w:p>
    <w:p>
      <w:pPr>
        <w:spacing w:after="0" w:line="121" w:lineRule="exact"/>
        <w:rPr>
          <w:sz w:val="20"/>
          <w:szCs w:val="20"/>
          <w:color w:val="auto"/>
        </w:rPr>
      </w:pPr>
    </w:p>
    <w:p>
      <w:pPr>
        <w:ind w:left="7" w:right="120" w:firstLine="360"/>
        <w:spacing w:after="0" w:line="264" w:lineRule="auto"/>
        <w:rPr>
          <w:sz w:val="20"/>
          <w:szCs w:val="20"/>
          <w:color w:val="auto"/>
        </w:rPr>
      </w:pPr>
      <w:r>
        <w:rPr>
          <w:rFonts w:ascii="Arial" w:cs="Arial" w:eastAsia="Arial" w:hAnsi="Arial"/>
          <w:sz w:val="18"/>
          <w:szCs w:val="18"/>
          <w:color w:val="auto"/>
        </w:rPr>
        <w:t>The following table and accompanying footnotes set forth information with respect to the beneficial ownership of the selling stockholders, the number of shares of our common stock offered hereby by the selling stockholders and information with respect to shares to be beneficially owned by the selling stockholders after completion of this offering.</w:t>
      </w:r>
    </w:p>
    <w:p>
      <w:pPr>
        <w:spacing w:after="0" w:line="73" w:lineRule="exact"/>
        <w:rPr>
          <w:sz w:val="20"/>
          <w:szCs w:val="20"/>
          <w:color w:val="auto"/>
        </w:rPr>
      </w:pPr>
    </w:p>
    <w:p>
      <w:pPr>
        <w:ind w:left="7" w:right="120" w:firstLine="360"/>
        <w:spacing w:after="0" w:line="264" w:lineRule="auto"/>
        <w:rPr>
          <w:sz w:val="20"/>
          <w:szCs w:val="20"/>
          <w:color w:val="auto"/>
        </w:rPr>
      </w:pPr>
      <w:r>
        <w:rPr>
          <w:rFonts w:ascii="Arial" w:cs="Arial" w:eastAsia="Arial" w:hAnsi="Arial"/>
          <w:sz w:val="18"/>
          <w:szCs w:val="18"/>
          <w:color w:val="auto"/>
        </w:rPr>
        <w:t>The number of shares and percentages of beneficial ownership provided in the table below are based on the beneficial ownership as of October 31, 2018 and are based on 77,164,296 shares of our common stock, par value $0.01 per share, outstanding as of October 31, 2018.</w:t>
      </w:r>
    </w:p>
    <w:p>
      <w:pPr>
        <w:spacing w:after="0" w:line="73" w:lineRule="exact"/>
        <w:rPr>
          <w:sz w:val="20"/>
          <w:szCs w:val="20"/>
          <w:color w:val="auto"/>
        </w:rPr>
      </w:pPr>
    </w:p>
    <w:p>
      <w:pPr>
        <w:jc w:val="both"/>
        <w:ind w:left="7" w:right="120" w:firstLine="360"/>
        <w:spacing w:after="0" w:line="264" w:lineRule="auto"/>
        <w:rPr>
          <w:sz w:val="20"/>
          <w:szCs w:val="20"/>
          <w:color w:val="auto"/>
        </w:rPr>
      </w:pPr>
      <w:r>
        <w:rPr>
          <w:rFonts w:ascii="Arial" w:cs="Arial" w:eastAsia="Arial" w:hAnsi="Arial"/>
          <w:sz w:val="18"/>
          <w:szCs w:val="18"/>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73" w:lineRule="exact"/>
        <w:rPr>
          <w:sz w:val="20"/>
          <w:szCs w:val="20"/>
          <w:color w:val="auto"/>
        </w:rPr>
      </w:pPr>
    </w:p>
    <w:p>
      <w:pPr>
        <w:ind w:left="7" w:right="60" w:firstLine="360"/>
        <w:spacing w:after="0" w:line="329" w:lineRule="auto"/>
        <w:rPr>
          <w:sz w:val="20"/>
          <w:szCs w:val="20"/>
          <w:color w:val="auto"/>
        </w:rPr>
      </w:pPr>
      <w:r>
        <w:rPr>
          <w:rFonts w:ascii="Arial" w:cs="Arial" w:eastAsia="Arial" w:hAnsi="Arial"/>
          <w:sz w:val="16"/>
          <w:szCs w:val="16"/>
          <w:color w:val="auto"/>
        </w:rPr>
        <w:t>To our knowledge, unless otherwise noted in the footnotes to the table below, and subject to applicable community property laws, the persons named in the table have sole voting and investment power with respect to their beneficially owned common stock.</w:t>
      </w: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Shares Beneficially Owned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Shares to be Sold in this</w:t>
            </w:r>
          </w:p>
        </w:tc>
        <w:tc>
          <w:tcPr>
            <w:tcW w:w="180" w:type="dxa"/>
            <w:vAlign w:val="bottom"/>
          </w:tcPr>
          <w:p>
            <w:pPr>
              <w:spacing w:after="0"/>
              <w:rPr>
                <w:sz w:val="14"/>
                <w:szCs w:val="14"/>
                <w:color w:val="auto"/>
              </w:rPr>
            </w:pPr>
          </w:p>
        </w:tc>
        <w:tc>
          <w:tcPr>
            <w:tcW w:w="22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Shares Beneficially Owned</w:t>
            </w: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Prior to the Offering</w:t>
            </w:r>
          </w:p>
        </w:tc>
        <w:tc>
          <w:tcPr>
            <w:tcW w:w="18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180" w:type="dxa"/>
            <w:vAlign w:val="bottom"/>
          </w:tcPr>
          <w:p>
            <w:pPr>
              <w:spacing w:after="0"/>
              <w:rPr>
                <w:sz w:val="14"/>
                <w:szCs w:val="14"/>
                <w:color w:val="auto"/>
              </w:rPr>
            </w:pPr>
          </w:p>
        </w:tc>
        <w:tc>
          <w:tcPr>
            <w:tcW w:w="2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After the Offering</w:t>
            </w:r>
          </w:p>
        </w:tc>
        <w:tc>
          <w:tcPr>
            <w:tcW w:w="10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Percentage</w:t>
            </w:r>
          </w:p>
        </w:tc>
      </w:tr>
      <w:tr>
        <w:trPr>
          <w:trHeight w:val="16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of Total</w:t>
            </w:r>
          </w:p>
        </w:tc>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of Total</w:t>
            </w:r>
          </w:p>
        </w:tc>
      </w:tr>
      <w:tr>
        <w:trPr>
          <w:trHeight w:val="178"/>
        </w:trPr>
        <w:tc>
          <w:tcPr>
            <w:tcW w:w="20" w:type="dxa"/>
            <w:vAlign w:val="bottom"/>
          </w:tcPr>
          <w:p>
            <w:pPr>
              <w:spacing w:after="0"/>
              <w:rPr>
                <w:sz w:val="15"/>
                <w:szCs w:val="15"/>
                <w:color w:val="auto"/>
              </w:rPr>
            </w:pPr>
          </w:p>
        </w:tc>
        <w:tc>
          <w:tcPr>
            <w:tcW w:w="27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Name of Beneficial Owner</w:t>
            </w:r>
          </w:p>
        </w:tc>
        <w:tc>
          <w:tcPr>
            <w:tcW w:w="180" w:type="dxa"/>
            <w:vAlign w:val="bottom"/>
          </w:tcPr>
          <w:p>
            <w:pPr>
              <w:spacing w:after="0"/>
              <w:rPr>
                <w:sz w:val="15"/>
                <w:szCs w:val="15"/>
                <w:color w:val="auto"/>
              </w:rPr>
            </w:pP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18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5"/>
                <w:szCs w:val="15"/>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Selling Stockholders:</w:t>
            </w: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960" w:type="dxa"/>
            <w:vAlign w:val="bottom"/>
            <w:gridSpan w:val="2"/>
          </w:tcPr>
          <w:p>
            <w:pPr>
              <w:spacing w:after="0" w:line="230" w:lineRule="exact"/>
              <w:rPr>
                <w:sz w:val="20"/>
                <w:szCs w:val="20"/>
                <w:color w:val="auto"/>
              </w:rPr>
            </w:pPr>
            <w:r>
              <w:rPr>
                <w:rFonts w:ascii="Arial" w:cs="Arial" w:eastAsia="Arial" w:hAnsi="Arial"/>
                <w:sz w:val="16"/>
                <w:szCs w:val="16"/>
                <w:color w:val="auto"/>
              </w:rPr>
              <w:t>KKR Vision Aggregator L.P.</w:t>
            </w:r>
            <w:r>
              <w:rPr>
                <w:rFonts w:ascii="Arial" w:cs="Arial" w:eastAsia="Arial" w:hAnsi="Arial"/>
                <w:sz w:val="26"/>
                <w:szCs w:val="26"/>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7"/>
                <w:szCs w:val="17"/>
                <w:color w:val="auto"/>
                <w:w w:val="98"/>
              </w:rPr>
              <w:t>19,204,167</w:t>
            </w:r>
          </w:p>
        </w:tc>
        <w:tc>
          <w:tcPr>
            <w:tcW w:w="1560" w:type="dxa"/>
            <w:vAlign w:val="bottom"/>
            <w:gridSpan w:val="3"/>
          </w:tcPr>
          <w:p>
            <w:pPr>
              <w:jc w:val="right"/>
              <w:ind w:right="100"/>
              <w:spacing w:after="0"/>
              <w:rPr>
                <w:sz w:val="20"/>
                <w:szCs w:val="20"/>
                <w:color w:val="auto"/>
              </w:rPr>
            </w:pPr>
            <w:r>
              <w:rPr>
                <w:rFonts w:ascii="Arial" w:cs="Arial" w:eastAsia="Arial" w:hAnsi="Arial"/>
                <w:sz w:val="17"/>
                <w:szCs w:val="17"/>
                <w:color w:val="auto"/>
              </w:rPr>
              <w:t>24.9%</w:t>
            </w:r>
          </w:p>
        </w:tc>
        <w:tc>
          <w:tcPr>
            <w:tcW w:w="1720" w:type="dxa"/>
            <w:vAlign w:val="bottom"/>
          </w:tcPr>
          <w:p>
            <w:pPr>
              <w:jc w:val="right"/>
              <w:spacing w:after="0"/>
              <w:rPr>
                <w:sz w:val="20"/>
                <w:szCs w:val="20"/>
                <w:color w:val="auto"/>
              </w:rPr>
            </w:pPr>
            <w:r>
              <w:rPr>
                <w:rFonts w:ascii="Arial" w:cs="Arial" w:eastAsia="Arial" w:hAnsi="Arial"/>
                <w:sz w:val="17"/>
                <w:szCs w:val="17"/>
                <w:color w:val="auto"/>
              </w:rPr>
              <w:t>10,054,259</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9,149,908</w:t>
            </w:r>
          </w:p>
        </w:tc>
        <w:tc>
          <w:tcPr>
            <w:tcW w:w="1480" w:type="dxa"/>
            <w:vAlign w:val="bottom"/>
            <w:gridSpan w:val="3"/>
          </w:tcPr>
          <w:p>
            <w:pPr>
              <w:jc w:val="right"/>
              <w:ind w:right="20"/>
              <w:spacing w:after="0"/>
              <w:rPr>
                <w:sz w:val="20"/>
                <w:szCs w:val="20"/>
                <w:color w:val="auto"/>
              </w:rPr>
            </w:pPr>
            <w:r>
              <w:rPr>
                <w:rFonts w:ascii="Arial" w:cs="Arial" w:eastAsia="Arial" w:hAnsi="Arial"/>
                <w:sz w:val="17"/>
                <w:szCs w:val="17"/>
                <w:color w:val="auto"/>
              </w:rPr>
              <w:t>11.9%</w:t>
            </w:r>
          </w:p>
        </w:tc>
      </w:tr>
      <w:tr>
        <w:trPr>
          <w:trHeight w:val="185"/>
        </w:trPr>
        <w:tc>
          <w:tcPr>
            <w:tcW w:w="20" w:type="dxa"/>
            <w:vAlign w:val="bottom"/>
          </w:tcPr>
          <w:p>
            <w:pPr>
              <w:spacing w:after="0"/>
              <w:rPr>
                <w:sz w:val="16"/>
                <w:szCs w:val="16"/>
                <w:color w:val="auto"/>
              </w:rPr>
            </w:pPr>
          </w:p>
        </w:tc>
        <w:tc>
          <w:tcPr>
            <w:tcW w:w="296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Investment funds affiliated with</w:t>
            </w: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47"/>
        </w:trPr>
        <w:tc>
          <w:tcPr>
            <w:tcW w:w="20" w:type="dxa"/>
            <w:vAlign w:val="bottom"/>
          </w:tcPr>
          <w:p>
            <w:pPr>
              <w:spacing w:after="0"/>
              <w:rPr>
                <w:sz w:val="21"/>
                <w:szCs w:val="21"/>
                <w:color w:val="auto"/>
              </w:rPr>
            </w:pPr>
          </w:p>
        </w:tc>
        <w:tc>
          <w:tcPr>
            <w:tcW w:w="2960" w:type="dxa"/>
            <w:vAlign w:val="bottom"/>
            <w:gridSpan w:val="2"/>
            <w:shd w:val="clear" w:color="auto" w:fill="CCEEFF"/>
          </w:tcPr>
          <w:p>
            <w:pPr>
              <w:ind w:left="140"/>
              <w:spacing w:after="0" w:line="247" w:lineRule="exact"/>
              <w:rPr>
                <w:sz w:val="20"/>
                <w:szCs w:val="20"/>
                <w:color w:val="auto"/>
              </w:rPr>
            </w:pPr>
            <w:r>
              <w:rPr>
                <w:rFonts w:ascii="Arial" w:cs="Arial" w:eastAsia="Arial" w:hAnsi="Arial"/>
                <w:sz w:val="17"/>
                <w:szCs w:val="17"/>
                <w:color w:val="auto"/>
              </w:rPr>
              <w:t>Berkshire</w:t>
            </w:r>
            <w:r>
              <w:rPr>
                <w:rFonts w:ascii="Arial" w:cs="Arial" w:eastAsia="Arial" w:hAnsi="Arial"/>
                <w:sz w:val="28"/>
                <w:szCs w:val="28"/>
                <w:color w:val="auto"/>
                <w:vertAlign w:val="superscript"/>
              </w:rPr>
              <w:t>(2)(3)</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4,490,850</w:t>
            </w: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5.8%</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2,351,165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2,139,685</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2.8%</w:t>
            </w:r>
          </w:p>
        </w:tc>
      </w:tr>
      <w:tr>
        <w:trPr>
          <w:trHeight w:val="371"/>
        </w:trPr>
        <w:tc>
          <w:tcPr>
            <w:tcW w:w="2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17"/>
                <w:szCs w:val="17"/>
                <w:color w:val="auto"/>
              </w:rPr>
              <w:t>Mitchell Goodman</w:t>
            </w:r>
            <w:r>
              <w:rPr>
                <w:rFonts w:ascii="Arial" w:cs="Arial" w:eastAsia="Arial" w:hAnsi="Arial"/>
                <w:sz w:val="28"/>
                <w:szCs w:val="28"/>
                <w:color w:val="auto"/>
                <w:vertAlign w:val="superscript"/>
              </w:rPr>
              <w:t>(4)</w:t>
            </w:r>
          </w:p>
        </w:tc>
        <w:tc>
          <w:tcPr>
            <w:tcW w:w="860" w:type="dxa"/>
            <w:vAlign w:val="bottom"/>
          </w:tcPr>
          <w:p>
            <w:pPr>
              <w:jc w:val="right"/>
              <w:spacing w:after="0"/>
              <w:rPr>
                <w:sz w:val="20"/>
                <w:szCs w:val="20"/>
                <w:color w:val="auto"/>
              </w:rPr>
            </w:pPr>
            <w:r>
              <w:rPr>
                <w:rFonts w:ascii="Arial" w:cs="Arial" w:eastAsia="Arial" w:hAnsi="Arial"/>
                <w:sz w:val="17"/>
                <w:szCs w:val="17"/>
                <w:color w:val="auto"/>
              </w:rPr>
              <w:t>180,646</w:t>
            </w:r>
          </w:p>
        </w:tc>
        <w:tc>
          <w:tcPr>
            <w:tcW w:w="15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94,576</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86,070</w:t>
            </w:r>
          </w:p>
        </w:tc>
        <w:tc>
          <w:tcPr>
            <w:tcW w:w="148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909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30" w:lineRule="exact"/>
        <w:rPr>
          <w:sz w:val="20"/>
          <w:szCs w:val="20"/>
          <w:color w:val="auto"/>
        </w:rPr>
      </w:pPr>
    </w:p>
    <w:p>
      <w:pPr>
        <w:ind w:left="347" w:hanging="347"/>
        <w:spacing w:after="0"/>
        <w:tabs>
          <w:tab w:leader="none" w:pos="347" w:val="left"/>
        </w:tabs>
        <w:numPr>
          <w:ilvl w:val="0"/>
          <w:numId w:val="13"/>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109" w:lineRule="exact"/>
        <w:rPr>
          <w:sz w:val="20"/>
          <w:szCs w:val="20"/>
          <w:color w:val="auto"/>
        </w:rPr>
      </w:pPr>
    </w:p>
    <w:p>
      <w:pPr>
        <w:ind w:left="347" w:hanging="347"/>
        <w:spacing w:after="0" w:line="248" w:lineRule="auto"/>
        <w:tabs>
          <w:tab w:leader="none" w:pos="347"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Includes 19,204,167 shares directly owned by KKR Vision Aggregator L.P. KKR Vision Aggregator GP LLC, as the general partner of KKR Vision Aggregator L.P., KKR North America Fund XI L.P., as the sole member of KKR Vision Aggregator GP LLC, KKR Associates North America XI L.P., as the general partner of KKR North America Fund XI L.P., KKR North America XI Limited, as the general partner of KKR Associates North America XI L.P., KKR Fund Holdings L.P., as the sole shareholder of KKR North America XI Limited, KKR Fund Holdings GP Limited, as a general partner of KKR Fund Holdings L.P., KKR Group Holdings Corp., as the sole shareholder of KKR Fund Holdings GP Limited and a general partner of KKR Fund Holdings L.P., KKR &amp; Co. Inc., as the sole shareholder of KKR Group Holdings Corp., KKR Management LLC, as the controlling shareholder of KKR &amp; Co. Inc., and Messrs. Henry R. Kravis and George R. Roberts, as the designated members of KKR Management LLC, may be deemed to be the beneficial owners having shared voting and investment power with respect to the shares described in this footnote. The principal business address of each of the entities and persons identified in this paragraph, except Mr. Roberts, is c/o Kohlberg Kravis Roberts &amp; Co. L.P., 9 West 57</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Street, Suite 4200, New York, NY 10019. The principal business address for Mr. Roberts is c/o Kohlberg Kravis Roberts &amp; Co. L.P., 2800 Sand Hill Road, Suite 200, Menlo Park, CA 94025. Each of Messrs. Taylor and Gernburd is a member of our Board of Directors and serves as an executive of Kohlberg Kravis Roberts &amp; Co. L.P. and/or one or more of its affiliates. Each of Messrs. Kravis, Roberts, Taylor and Gernburd disclaims beneficial ownership of the shares held by KKR Vision Aggregator L.P. The principal business address of each of Messrs. Taylor and Gernburd is c/o Kohlberg Kravis Roberts &amp; Co. L.P., 9 West 57</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Street, New York, New York 10019.</w:t>
      </w:r>
    </w:p>
    <w:p>
      <w:pPr>
        <w:spacing w:after="0" w:line="4" w:lineRule="exact"/>
        <w:rPr>
          <w:rFonts w:ascii="Arial" w:cs="Arial" w:eastAsia="Arial" w:hAnsi="Arial"/>
          <w:sz w:val="13"/>
          <w:szCs w:val="13"/>
          <w:color w:val="auto"/>
        </w:rPr>
      </w:pPr>
    </w:p>
    <w:p>
      <w:pPr>
        <w:ind w:left="347" w:right="20" w:hanging="347"/>
        <w:spacing w:after="0" w:line="259" w:lineRule="auto"/>
        <w:tabs>
          <w:tab w:leader="none" w:pos="347"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Represents (i) 4,410,211 shares of common stock held by Berkshire Fund VI, Limited Partnership, or Fund VI, (ii) 57,299 shares of common stock held by Berkshire Investors LLC, or Berkshire Investors, and (iii) 23,340 shares of common stock held by Berkshire Investors III LLC, or Berkshire Investors III. Sixth Berkshire Associates LLC, or 6BA, is the general partner of Fund VI. 6BA is managed by a number of individuals who are managing directors of Berkshire. Certain of the managing directors of Berkshire are also the managing members of Berkshire Investors and Berkshire Investors III. Fund VI, Berkshire Investors and Berkshire Investors III often make acquisitions in, and dispose of, securities of an issuer on the same terms and conditions and at the same time. Berkshire is the investment adviser to Fund VI. D. Randolph Peeler is one of our directors and serves as a Senior Advisor to Berkshire. Berkshire Partners Holdings LLC, or BPH, is the general partner of BPSP, L.P., or BPSP, which is the managing member of Berkshire. BPH, BPSP, Berkshire, Fund VI, 6BA, Berkshire Investors and Berkshire Investors III may be deemed to constitute a “group” for purposes of Section 13(d) of the Exchange Act although they do not admit to being part of a group nor have they agreed to act as part of a group. By virtue of the relationships described above, each of BPH, BPSP and 6BA may be deemed to share beneficial ownership with respect to the shares of common stock held by Fund VI. The principal business address of each of the entities identified in this paragraph is c/o Berkshire Partners LLC, 200 Clarendon St., 35</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Floor, Boston, MA 02116.</w:t>
      </w:r>
    </w:p>
    <w:p>
      <w:pPr>
        <w:spacing w:after="0" w:line="4" w:lineRule="exact"/>
        <w:rPr>
          <w:rFonts w:ascii="Arial" w:cs="Arial" w:eastAsia="Arial" w:hAnsi="Arial"/>
          <w:sz w:val="13"/>
          <w:szCs w:val="13"/>
          <w:color w:val="auto"/>
        </w:rPr>
      </w:pPr>
    </w:p>
    <w:p>
      <w:pPr>
        <w:ind w:left="347" w:right="60" w:hanging="347"/>
        <w:spacing w:after="0" w:line="255" w:lineRule="auto"/>
        <w:tabs>
          <w:tab w:leader="none" w:pos="3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Of the shares being offered by the investment funds affiliated with Berkshire: (i) 2,308,947 shares are being sold in this offering by Fund VI; (ii) 29,999 shares are being sold in this offering by Berkshire Investors; and (iii) 12,219 shares are being sold in this offering by Berkshire Investors III.</w:t>
      </w:r>
    </w:p>
    <w:p>
      <w:pPr>
        <w:spacing w:after="0" w:line="78" w:lineRule="exact"/>
        <w:rPr>
          <w:rFonts w:ascii="Arial" w:cs="Arial" w:eastAsia="Arial" w:hAnsi="Arial"/>
          <w:sz w:val="14"/>
          <w:szCs w:val="14"/>
          <w:color w:val="auto"/>
        </w:rPr>
      </w:pPr>
    </w:p>
    <w:p>
      <w:pPr>
        <w:ind w:left="347" w:right="20" w:hanging="347"/>
        <w:spacing w:after="0" w:line="273" w:lineRule="auto"/>
        <w:tabs>
          <w:tab w:leader="none" w:pos="3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number of shares reported includes 126,706 shares covered by options (other than performance-based options that may vest upon the consummation of this offering) that are exercisable within 60 days.</w:t>
      </w:r>
    </w:p>
    <w:p>
      <w:pPr>
        <w:spacing w:after="0" w:line="16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UNITED STATES FEDERAL INCOME AND ESTATE TAX CONSEQUENCES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NON-U.S. HOLDERS</w:t>
      </w:r>
    </w:p>
    <w:p>
      <w:pPr>
        <w:spacing w:after="0" w:line="88"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The following is a summary of the material United States federal income and estate tax consequences to a non-U.S. holder (as defined below) of the purchase, ownership and disposition of our common stock as of the date hereof. Except where noted, this summary deals only with common stock that is held as a capital asset.</w:t>
      </w:r>
    </w:p>
    <w:p>
      <w:pPr>
        <w:spacing w:after="0" w:line="73"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A “non-U.S. holder” means a beneficial owner of our common stock (other than an entity treated as a partnership) that is not for United States federal income tax purposes any of the following:</w:t>
      </w:r>
    </w:p>
    <w:p>
      <w:pPr>
        <w:spacing w:after="0" w:line="62" w:lineRule="exact"/>
        <w:rPr>
          <w:sz w:val="20"/>
          <w:szCs w:val="20"/>
          <w:color w:val="auto"/>
        </w:rPr>
      </w:pPr>
    </w:p>
    <w:p>
      <w:pPr>
        <w:ind w:left="700" w:hanging="3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17" w:lineRule="exact"/>
        <w:rPr>
          <w:rFonts w:ascii="Arial" w:cs="Arial" w:eastAsia="Arial" w:hAnsi="Arial"/>
          <w:sz w:val="18"/>
          <w:szCs w:val="18"/>
          <w:color w:val="auto"/>
        </w:rPr>
      </w:pPr>
    </w:p>
    <w:p>
      <w:pPr>
        <w:ind w:left="700" w:right="580" w:hanging="356"/>
        <w:spacing w:after="0" w:line="308" w:lineRule="auto"/>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corporation (or any other entity treated as a corporation for United States federal income tax purposes) created or organized in or under the laws of the United States, any state thereof or the District of Columbia;</w:t>
      </w:r>
    </w:p>
    <w:p>
      <w:pPr>
        <w:spacing w:after="0" w:line="38" w:lineRule="exact"/>
        <w:rPr>
          <w:rFonts w:ascii="Arial" w:cs="Arial" w:eastAsia="Arial" w:hAnsi="Arial"/>
          <w:sz w:val="17"/>
          <w:szCs w:val="17"/>
          <w:color w:val="auto"/>
        </w:rPr>
      </w:pPr>
    </w:p>
    <w:p>
      <w:pPr>
        <w:ind w:left="700" w:hanging="356"/>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117" w:lineRule="exact"/>
        <w:rPr>
          <w:rFonts w:ascii="Arial" w:cs="Arial" w:eastAsia="Arial" w:hAnsi="Arial"/>
          <w:sz w:val="18"/>
          <w:szCs w:val="18"/>
          <w:color w:val="auto"/>
        </w:rPr>
      </w:pPr>
    </w:p>
    <w:p>
      <w:pPr>
        <w:ind w:left="700" w:right="440" w:hanging="356"/>
        <w:spacing w:after="0" w:line="286" w:lineRule="auto"/>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57"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This summary is based upon provisions of the Internal Revenue Code of 1986, as amended, or the Code, and regulations, rulings and judicial decisions as of the date hereof. Those authorities may be changed, perhaps retroactively, so as to result in United States federal income and estate tax consequences different from those summarized below. We cannot assure you that such a change in law will not alter significantly the tax considerations we describe in this summary. This summary does not address all aspects of United States federal income and estate taxes and does not deal with foreign, state, local or other tax considerations that may be relevant to non-U.S. holders in light of their particular circumstances (including the Medicare contribution tax on net investment income). In addition, it does not represent a detailed description of the United States federal income tax consequences applicable to you if you are subject to special treatment under the United States federal income tax laws including, without limitation if you are:</w:t>
      </w:r>
    </w:p>
    <w:p>
      <w:pPr>
        <w:spacing w:after="0" w:line="58" w:lineRule="exact"/>
        <w:rPr>
          <w:sz w:val="20"/>
          <w:szCs w:val="20"/>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United States expatriate;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“controlled foreign corporation”;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“passive foreign investment company”;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bank, insurance company or other financial institution;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tax exempt organization or governmental organization;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broker, dealer or trader in securities;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the alternative minimum tax;</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partnership or other pass-through entity for U.S. federal income tax purposes;</w:t>
      </w:r>
    </w:p>
    <w:p>
      <w:pPr>
        <w:spacing w:after="0" w:line="117" w:lineRule="exact"/>
        <w:rPr>
          <w:rFonts w:ascii="Arial" w:cs="Arial" w:eastAsia="Arial" w:hAnsi="Arial"/>
          <w:sz w:val="18"/>
          <w:szCs w:val="18"/>
          <w:color w:val="auto"/>
        </w:rPr>
      </w:pPr>
    </w:p>
    <w:p>
      <w:pPr>
        <w:ind w:left="700" w:right="740" w:hanging="356"/>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person who holds our common stock as part of a hedge, straddle, or other risk reduction strategy or as part of a conversion transaction or other integrated investment;</w:t>
      </w:r>
    </w:p>
    <w:p>
      <w:pPr>
        <w:spacing w:after="0" w:line="62" w:lineRule="exact"/>
        <w:rPr>
          <w:rFonts w:ascii="Arial" w:cs="Arial" w:eastAsia="Arial" w:hAnsi="Arial"/>
          <w:sz w:val="18"/>
          <w:szCs w:val="18"/>
          <w:color w:val="auto"/>
        </w:rPr>
      </w:pPr>
    </w:p>
    <w:p>
      <w:pPr>
        <w:ind w:left="700" w:right="180" w:hanging="356"/>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person who holds or receives our common stock pursuant to the exercise of any employee stock option or otherwise as compensation; or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person deemed to sell our common stock under the constructive sale provisions of the Code.</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a partnership (or other entity treated as a partnership for United States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If you are considering the purchase of our common stock, you should consult your own tax advisors concerning the particular United States federal income and estate tax consequences to you of the ownership of the common stock, as well as the consequences to you arising under the laws of any other taxing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the event that we make distributions of cash or property (other than certain pro rata distributions of our stock) in respect of our common stock, such distributions generally will constitute dividends for United States federal income tax purposes to the extent paid from our current or accumulated earnings and profits, as determined under United States federal income tax principles. If a distribution exceeds our current and accumulated earnings and profits, the excess generally will be treated first as a tax-free return of capital to the extent of the non-U.S. holder’s adjusted tax basis in our common stock, causing a reduction in the adjusted basis of the non-U.S. holder’s common stock. Any remaining excess will be treated as capital gain and will be treated as described below under “—Gain on Disposition of Common Stock.”</w:t>
      </w:r>
    </w:p>
    <w:p>
      <w:pPr>
        <w:spacing w:after="0" w:line="81"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Dividends paid to a non-U.S. holder of our common stock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of the non-U.S. holder) are not subject to such withholding tax, provided certain certification and 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58"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A non-U.S. holder of our common stock who wishes to claim the benefit of an applicable treaty rate and avoid backup withholding, as discussed below, for dividends will be required (a) to complete the applicable IRS Form W-8 and certify under penalty of perjury that such holder is not a United States person as defined under the Code and is eligible for treaty benefits or (b) if our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85"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A non-U.S. holder of our common stock eligible for a reduced rate of United States withholding tax pursuant to an income tax treaty may obtain a refund of any excess amounts withheld by timely filing an appropriate claim for refund with the IRS. Non-U.S. holders are urged to consult their own tax advisors regarding their entitlement to the benefits under any applicable income tax treaty.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right="120" w:firstLine="360"/>
        <w:spacing w:after="0" w:line="342" w:lineRule="auto"/>
        <w:rPr>
          <w:sz w:val="20"/>
          <w:szCs w:val="20"/>
          <w:color w:val="auto"/>
        </w:rPr>
      </w:pPr>
      <w:r>
        <w:rPr>
          <w:rFonts w:ascii="Arial" w:cs="Arial" w:eastAsia="Arial" w:hAnsi="Arial"/>
          <w:sz w:val="16"/>
          <w:szCs w:val="16"/>
          <w:color w:val="auto"/>
        </w:rPr>
        <w:t>Subject to the discussion of backup withholding and FATCA (as defined below) below, any gain realized by a non-U.S. holder on the taxable disposition of our common stock generally will not be subject to United States federal income tax unless:</w:t>
      </w:r>
    </w:p>
    <w:p>
      <w:pPr>
        <w:spacing w:after="0" w:line="16" w:lineRule="exact"/>
        <w:rPr>
          <w:sz w:val="20"/>
          <w:szCs w:val="20"/>
          <w:color w:val="auto"/>
        </w:rPr>
      </w:pPr>
    </w:p>
    <w:p>
      <w:pPr>
        <w:ind w:left="700" w:right="20" w:hanging="356"/>
        <w:spacing w:after="0" w:line="342" w:lineRule="auto"/>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15" w:lineRule="exact"/>
        <w:rPr>
          <w:rFonts w:ascii="Arial" w:cs="Arial" w:eastAsia="Arial" w:hAnsi="Arial"/>
          <w:sz w:val="16"/>
          <w:szCs w:val="16"/>
          <w:color w:val="auto"/>
        </w:rPr>
      </w:pPr>
    </w:p>
    <w:p>
      <w:pPr>
        <w:ind w:left="700" w:right="320" w:hanging="356"/>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in the taxable year of the disposition, and certain other conditions are met; or</w:t>
      </w:r>
    </w:p>
    <w:p>
      <w:pPr>
        <w:spacing w:after="0" w:line="62"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United States federal income tax purposes and certain other conditions are met.</w:t>
      </w:r>
    </w:p>
    <w:p>
      <w:pPr>
        <w:spacing w:after="0" w:line="62"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An individual non-U.S. holder described in the first bullet point immediately above will be subject to tax on the net gain derived from the sale under regular graduated United States federal income tax rates. An individual non-U.S. holder described in the second bullet point immediately above will be subject to a tax equal to 30% (or such lower rate as may be specified by an applicable income tax treaty) on the gain derived from the sale, which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may be offset by United States source capital losses, even though the individual is not considered a resident of the United States, provided that the individual has timely filed United States federal income tax returns with respect to such losses. If a non-U.S. holder that is a foreign corporation falls under the first bullet point immediately above, it will be subject to tax on its net gain in the same manner as if it were a United States person as defined under the Code and, in addition, may be subject to the branch profits tax equal to 30% (or such lower rate as may be specified by an applicable income tax treaty) of its effectively connected earnings and profits, subject to adjustments.</w:t>
      </w:r>
    </w:p>
    <w:p>
      <w:pPr>
        <w:spacing w:after="0" w:line="85"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We believe we are not and do not anticipate becoming a “United States real property holding corporation” for United States federal income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ind w:right="360" w:firstLine="360"/>
        <w:spacing w:after="0" w:line="308" w:lineRule="auto"/>
        <w:rPr>
          <w:sz w:val="20"/>
          <w:szCs w:val="20"/>
          <w:color w:val="auto"/>
        </w:rPr>
      </w:pPr>
      <w:r>
        <w:rPr>
          <w:rFonts w:ascii="Arial" w:cs="Arial" w:eastAsia="Arial" w:hAnsi="Arial"/>
          <w:sz w:val="17"/>
          <w:szCs w:val="17"/>
          <w:color w:val="auto"/>
        </w:rPr>
        <w:t>Common stock held by an individual non-U.S. holder at the time of death will be included in such holder’s gross estate for United States federal estate tax purposes, unless an applicable estate tax treaty provides otherwise.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320" w:firstLine="360"/>
        <w:spacing w:after="0" w:line="259" w:lineRule="auto"/>
        <w:rPr>
          <w:sz w:val="20"/>
          <w:szCs w:val="20"/>
          <w:color w:val="auto"/>
        </w:rPr>
      </w:pPr>
      <w:r>
        <w:rPr>
          <w:rFonts w:ascii="Arial" w:cs="Arial" w:eastAsia="Arial" w:hAnsi="Arial"/>
          <w:sz w:val="18"/>
          <w:szCs w:val="18"/>
          <w:color w:val="auto"/>
        </w:rPr>
        <w:t>We must report annually to the IRS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79"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A non-U.S. holder will be subject to backup withholding for dividends paid to such holder unless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57"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Information reporting and, depending on the circumstances, backup withholding will apply to the proceeds of a sale of our common stock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8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Backup withholding is not an additional tax, and any amounts withheld under the backup withholding rules may be allowed as a refund or a credit against a non-U.S. holder’s United States federal income tax liability provided the required information is timely furnished to the IRS.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w:t>
      </w:r>
    </w:p>
    <w:p>
      <w:pPr>
        <w:spacing w:after="0" w:line="12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Under Sections 1471 through 1474 of the Code, or such Sections commonly referred to as FATCA, a 30% United States federal withholding tax may apply to any dividends paid on our common stock and, for a disposition of our common stock occurring after December 31, 2018, the gross proceeds from such disposition, in each case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 regarding these requirements and whether they may be relevant to your ownership and disposition of our common stock.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ind w:right="180" w:firstLine="360"/>
        <w:spacing w:after="0" w:line="279" w:lineRule="auto"/>
        <w:rPr>
          <w:sz w:val="20"/>
          <w:szCs w:val="20"/>
          <w:color w:val="auto"/>
        </w:rPr>
      </w:pPr>
      <w:r>
        <w:rPr>
          <w:rFonts w:ascii="Arial" w:cs="Arial" w:eastAsia="Arial" w:hAnsi="Arial"/>
          <w:sz w:val="17"/>
          <w:szCs w:val="17"/>
          <w:color w:val="auto"/>
        </w:rPr>
        <w:t>Goldman Sachs &amp; Co. LLC and Citigroup Global Markets Inc. are acting as the underwriters for this offering. Subject to the terms and conditions set forth in an underwriting agreement among us, the selling stockholders and the underwriters, the selling stockholders have agreed to sell to the underwriters, and each of the underwriters has agreed, severally and not jointly, to purchase from the selling stockholders, the number of shares of common stock set forth opposite its name below.</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Number</w:t>
            </w:r>
          </w:p>
        </w:tc>
      </w:tr>
      <w:tr>
        <w:trPr>
          <w:trHeight w:val="178"/>
        </w:trPr>
        <w:tc>
          <w:tcPr>
            <w:tcW w:w="8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5"/>
                <w:szCs w:val="15"/>
                <w:color w:val="auto"/>
              </w:rPr>
            </w:pPr>
          </w:p>
        </w:tc>
      </w:tr>
      <w:tr>
        <w:trPr>
          <w:trHeight w:val="243"/>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Goldman Sachs &amp; Co. LLC</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6,250,000</w:t>
            </w:r>
          </w:p>
        </w:tc>
        <w:tc>
          <w:tcPr>
            <w:tcW w:w="100" w:type="dxa"/>
            <w:vAlign w:val="bottom"/>
            <w:shd w:val="clear" w:color="auto" w:fill="CCEEFF"/>
          </w:tcPr>
          <w:p>
            <w:pPr>
              <w:spacing w:after="0"/>
              <w:rPr>
                <w:sz w:val="21"/>
                <w:szCs w:val="21"/>
                <w:color w:val="auto"/>
              </w:rPr>
            </w:pPr>
          </w:p>
        </w:tc>
      </w:tr>
      <w:tr>
        <w:trPr>
          <w:trHeight w:val="237"/>
        </w:trPr>
        <w:tc>
          <w:tcPr>
            <w:tcW w:w="8220" w:type="dxa"/>
            <w:vAlign w:val="bottom"/>
          </w:tcPr>
          <w:p>
            <w:pPr>
              <w:ind w:left="180"/>
              <w:spacing w:after="0"/>
              <w:rPr>
                <w:sz w:val="20"/>
                <w:szCs w:val="20"/>
                <w:color w:val="auto"/>
              </w:rPr>
            </w:pPr>
            <w:r>
              <w:rPr>
                <w:rFonts w:ascii="Arial" w:cs="Arial" w:eastAsia="Arial" w:hAnsi="Arial"/>
                <w:sz w:val="18"/>
                <w:szCs w:val="18"/>
                <w:color w:val="auto"/>
              </w:rPr>
              <w:t>Citigroup Global Markets Inc.</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6,250,000</w:t>
            </w:r>
          </w:p>
        </w:tc>
        <w:tc>
          <w:tcPr>
            <w:tcW w:w="100" w:type="dxa"/>
            <w:vAlign w:val="bottom"/>
          </w:tcPr>
          <w:p>
            <w:pPr>
              <w:spacing w:after="0"/>
              <w:rPr>
                <w:sz w:val="20"/>
                <w:szCs w:val="20"/>
                <w:color w:val="auto"/>
              </w:rPr>
            </w:pPr>
          </w:p>
        </w:tc>
      </w:tr>
      <w:tr>
        <w:trPr>
          <w:trHeight w:val="283"/>
        </w:trPr>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underwriters are committed to take and pay for all of the shares being offered, if any are taken.</w:t>
      </w:r>
    </w:p>
    <w:p>
      <w:pPr>
        <w:spacing w:after="0" w:line="117" w:lineRule="exact"/>
        <w:rPr>
          <w:sz w:val="20"/>
          <w:szCs w:val="20"/>
          <w:color w:val="auto"/>
        </w:rPr>
      </w:pPr>
    </w:p>
    <w:p>
      <w:pPr>
        <w:ind w:right="80" w:firstLine="360"/>
        <w:spacing w:after="0" w:line="308" w:lineRule="auto"/>
        <w:rPr>
          <w:sz w:val="20"/>
          <w:szCs w:val="20"/>
          <w:color w:val="auto"/>
        </w:rPr>
      </w:pPr>
      <w:r>
        <w:rPr>
          <w:rFonts w:ascii="Arial" w:cs="Arial" w:eastAsia="Arial" w:hAnsi="Arial"/>
          <w:sz w:val="17"/>
          <w:szCs w:val="17"/>
          <w:color w:val="auto"/>
        </w:rPr>
        <w:t>We and the selling stockholders have agreed to indemnify the underwriters against certain liabilities, including liabilities under the Securities Act, or to contribute to payments the underwriters may be required to make in respect of those liabilities.</w:t>
      </w:r>
    </w:p>
    <w:p>
      <w:pPr>
        <w:spacing w:after="0" w:line="38" w:lineRule="exact"/>
        <w:rPr>
          <w:sz w:val="20"/>
          <w:szCs w:val="20"/>
          <w:color w:val="auto"/>
        </w:rPr>
      </w:pPr>
    </w:p>
    <w:p>
      <w:pPr>
        <w:ind w:right="180" w:firstLine="360"/>
        <w:spacing w:after="0" w:line="279" w:lineRule="auto"/>
        <w:rPr>
          <w:sz w:val="20"/>
          <w:szCs w:val="20"/>
          <w:color w:val="auto"/>
        </w:rPr>
      </w:pPr>
      <w:r>
        <w:rPr>
          <w:rFonts w:ascii="Arial" w:cs="Arial" w:eastAsia="Arial" w:hAnsi="Arial"/>
          <w:sz w:val="17"/>
          <w:szCs w:val="17"/>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The underwriters propose initially to offer the shares to the public at the public offering price set forth on the cover page of this prospectus supplement and to dealers at that price less a concession not in excess of $0.30 per share. After the initial offering, the public offering price, concession or any other term of the offering may be changed.</w:t>
      </w:r>
    </w:p>
    <w:p>
      <w:pPr>
        <w:spacing w:after="0" w:line="73"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 to the selling stockholders.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57"/>
              <w:spacing w:after="0"/>
              <w:rPr>
                <w:sz w:val="20"/>
                <w:szCs w:val="20"/>
                <w:color w:val="auto"/>
              </w:rPr>
            </w:pPr>
            <w:r>
              <w:rPr>
                <w:rFonts w:ascii="Arial" w:cs="Arial" w:eastAsia="Arial" w:hAnsi="Arial"/>
                <w:sz w:val="14"/>
                <w:szCs w:val="14"/>
                <w:b w:val="1"/>
                <w:bCs w:val="1"/>
                <w:color w:val="auto"/>
              </w:rPr>
              <w:t>Per</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2"/>
              </w:rPr>
              <w:t>Share</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506,250,000</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0.30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3,750,000</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the selling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502,500,000</w:t>
            </w:r>
          </w:p>
        </w:tc>
        <w:tc>
          <w:tcPr>
            <w:tcW w:w="100" w:type="dxa"/>
            <w:vAlign w:val="bottom"/>
            <w:shd w:val="clear" w:color="auto" w:fill="CCEEFF"/>
          </w:tcPr>
          <w:p>
            <w:pPr>
              <w:spacing w:after="0"/>
              <w:rPr>
                <w:sz w:val="22"/>
                <w:szCs w:val="22"/>
                <w:color w:val="auto"/>
              </w:rPr>
            </w:pPr>
          </w:p>
        </w:tc>
      </w:tr>
    </w:tbl>
    <w:p>
      <w:pPr>
        <w:spacing w:after="0" w:line="94"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The expenses of the offering, not including the underwriting discounts and commissions for which the selling stockholders are responsible, are estimated at $0.5 million and are payable by us. We have also agreed to reimburse the underwriters for expenses relating to clearing of this offering with FINRA in an amount up to $25,000.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We, our directors and executive officers and the selling stockholders will agree, for 30 days after the date of this prospectus supplement and the accompanying prospectus, without first obtaining the written consent of the underwriters, not to directly or indirectly, subject to certain exceptions:</w:t>
      </w:r>
    </w:p>
    <w:p>
      <w:pPr>
        <w:spacing w:after="0" w:line="73" w:lineRule="exact"/>
        <w:rPr>
          <w:sz w:val="20"/>
          <w:szCs w:val="20"/>
          <w:color w:val="auto"/>
        </w:rPr>
      </w:pPr>
    </w:p>
    <w:p>
      <w:pPr>
        <w:jc w:val="both"/>
        <w:ind w:left="700" w:right="60" w:hanging="356"/>
        <w:spacing w:after="0" w:line="264"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offer, sell, contract to sell, or otherwise dispose of (or enter into any transaction which is designed to, or might reasonably be expected to, result in the disposition of) any shares of our capital stock or any securities convertible into, or exercisable or exchangeable for such capital stock;</w:t>
      </w:r>
    </w:p>
    <w:p>
      <w:pPr>
        <w:spacing w:after="0" w:line="73" w:lineRule="exact"/>
        <w:rPr>
          <w:rFonts w:ascii="Arial" w:cs="Arial" w:eastAsia="Arial" w:hAnsi="Arial"/>
          <w:sz w:val="18"/>
          <w:szCs w:val="18"/>
          <w:color w:val="auto"/>
        </w:rPr>
      </w:pPr>
    </w:p>
    <w:p>
      <w:pPr>
        <w:ind w:left="700" w:hanging="356"/>
        <w:spacing w:after="0" w:line="259"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publicly file or participate in the public filing of a registration statement with the SEC in respect of, or establish or increase a put equivalent position or liquidate or decrease a call equivalent position within the meaning of Section 16 of the Exchange Act, and related rules and regulations, any shares of our capital stock or any securities convertible into, or exercisable or exchangeable for such capital stock;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publicly announce an intention to effect any such transaction.</w:t>
      </w:r>
    </w:p>
    <w:p>
      <w:pPr>
        <w:spacing w:after="0" w:line="117"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This agreement does not apply to any existing employee benefit plans. The underwriters may, in their sole discretion and at any time or from time to time before the termination of the 30-day period, release all or any portion of the securities subject to lock-up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NASDAQ under the symbol “EYE.”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underwriters may engage in transactions that stabilize the price of the common stock, such as bids or purchases to peg, fix or maintain that price.</w:t>
      </w:r>
    </w:p>
    <w:p>
      <w:pPr>
        <w:spacing w:after="0" w:line="73" w:lineRule="exact"/>
        <w:rPr>
          <w:sz w:val="20"/>
          <w:szCs w:val="20"/>
          <w:color w:val="auto"/>
        </w:rPr>
      </w:pPr>
    </w:p>
    <w:p>
      <w:pPr>
        <w:ind w:right="80" w:firstLine="360"/>
        <w:spacing w:after="0" w:line="254" w:lineRule="auto"/>
        <w:rPr>
          <w:sz w:val="20"/>
          <w:szCs w:val="20"/>
          <w:color w:val="auto"/>
        </w:rPr>
      </w:pPr>
      <w:r>
        <w:rPr>
          <w:rFonts w:ascii="Arial" w:cs="Arial" w:eastAsia="Arial" w:hAnsi="Arial"/>
          <w:sz w:val="18"/>
          <w:szCs w:val="18"/>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84"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other underwriters have repurchased shares sold by or for the account of such underwriter in stabilizing or short covering transactions.</w:t>
      </w:r>
    </w:p>
    <w:p>
      <w:pPr>
        <w:spacing w:after="0" w:line="73"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NASDAQ, in the over-the-counter market or otherwise.</w:t>
      </w:r>
    </w:p>
    <w:p>
      <w:pPr>
        <w:spacing w:after="0" w:line="63"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None of us, the selling stockholders and the underwriters make any representation or prediction as to the direction or magnitude of any effect that the transactions described above may have on the price of our common stock. In addition, none of us, the selling stockholders and the underwriters make any representation that the underwriters will engage in these transactions or that these transactions, once commenced, will not be discontinued without notice.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In connection with the offering, the underwriters or securities dealers may distribute prospectuses by electronic means, such as e-mail.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financial and brokerage activities. Certain of the underwriters and their respective affiliates have provided, and may in the future provide, a variety of these services to us and to persons and entities with relationships with us, for which they received or will receive customary fees and expenses. An affiliate of Goldman Sachs &amp; Co. LLC serves as administrative agent, collateral agent, swingline lender and a lender under our first lien credit agreement and Goldman Sachs &amp; Co. LLC and Citigroup Global Markets Inc. or their respective affiliates serve as joint lead arrangers and joint bookrunners under our first lien credit agreement.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or each, a “Relevant Member State”, with effect from and including the date on which the Prospectus Directive is implemented in that Relevant Member State, no offer of shares may be made to the public in that Relevant Member State other than:</w:t>
      </w:r>
    </w:p>
    <w:p>
      <w:pPr>
        <w:spacing w:after="0" w:line="57" w:lineRule="exact"/>
        <w:rPr>
          <w:sz w:val="20"/>
          <w:szCs w:val="20"/>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or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provided that no such offer of shares shall require the Company or any underwriters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each of the underwriters and the Company that it is a “qualified investor” within the meaning of the law in that Relevant Member State implementing Article 2(1)(e) of the Prospectus Directive.</w:t>
      </w:r>
    </w:p>
    <w:p>
      <w:pPr>
        <w:spacing w:after="0" w:line="80"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have been obtained to each such proposed offer or resale.</w:t>
      </w:r>
    </w:p>
    <w:p>
      <w:pPr>
        <w:spacing w:after="0" w:line="70"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means of sufficient information on the terms of the offer and the shares to be offered so as to enable an investor to decide to purchase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59"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80"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9" w:lineRule="exact"/>
        <w:rPr>
          <w:sz w:val="20"/>
          <w:szCs w:val="20"/>
          <w:color w:val="auto"/>
        </w:rPr>
      </w:pPr>
    </w:p>
    <w:p>
      <w:pPr>
        <w:jc w:val="both"/>
        <w:ind w:right="60" w:firstLine="360"/>
        <w:spacing w:after="0" w:line="342"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70"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80"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46"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6" w:name="page37"/>
    <w:bookmarkEnd w:id="36"/>
    <w:p>
      <w:pPr>
        <w:ind w:left="7"/>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firstLine="360"/>
        <w:spacing w:after="0" w:line="302" w:lineRule="auto"/>
        <w:rPr>
          <w:sz w:val="20"/>
          <w:szCs w:val="20"/>
          <w:color w:val="auto"/>
        </w:rPr>
      </w:pPr>
      <w:r>
        <w:rPr>
          <w:rFonts w:ascii="Arial" w:cs="Arial" w:eastAsia="Arial" w:hAnsi="Arial"/>
          <w:sz w:val="16"/>
          <w:szCs w:val="16"/>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w:t>
      </w:r>
    </w:p>
    <w:p>
      <w:pPr>
        <w:spacing w:after="0" w:line="46" w:lineRule="exact"/>
        <w:rPr>
          <w:sz w:val="20"/>
          <w:szCs w:val="20"/>
          <w:color w:val="auto"/>
        </w:rPr>
      </w:pPr>
    </w:p>
    <w:p>
      <w:pPr>
        <w:ind w:left="7" w:right="120" w:hanging="7"/>
        <w:spacing w:after="0" w:line="287" w:lineRule="auto"/>
        <w:tabs>
          <w:tab w:leader="none" w:pos="2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jc w:val="both"/>
        <w:ind w:left="7" w:right="60" w:firstLine="360"/>
        <w:spacing w:after="0" w:line="273" w:lineRule="auto"/>
        <w:rPr>
          <w:sz w:val="20"/>
          <w:szCs w:val="20"/>
          <w:color w:val="auto"/>
        </w:rPr>
      </w:pPr>
      <w:r>
        <w:rPr>
          <w:rFonts w:ascii="Arial" w:cs="Arial" w:eastAsia="Arial" w:hAnsi="Arial"/>
          <w:sz w:val="17"/>
          <w:szCs w:val="17"/>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7" w:right="80" w:firstLine="360"/>
        <w:spacing w:after="0" w:line="291"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59" w:lineRule="exact"/>
        <w:rPr>
          <w:sz w:val="20"/>
          <w:szCs w:val="20"/>
          <w:color w:val="auto"/>
        </w:rPr>
      </w:pPr>
    </w:p>
    <w:p>
      <w:pPr>
        <w:ind w:left="367"/>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17" w:lineRule="exact"/>
        <w:rPr>
          <w:sz w:val="20"/>
          <w:szCs w:val="20"/>
          <w:color w:val="auto"/>
        </w:rPr>
      </w:pPr>
    </w:p>
    <w:p>
      <w:pPr>
        <w:ind w:left="707" w:right="20" w:hanging="356"/>
        <w:spacing w:after="0" w:line="264" w:lineRule="auto"/>
        <w:tabs>
          <w:tab w:leader="none" w:pos="707"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3" w:lineRule="exact"/>
        <w:rPr>
          <w:rFonts w:ascii="Arial" w:cs="Arial" w:eastAsia="Arial" w:hAnsi="Arial"/>
          <w:sz w:val="18"/>
          <w:szCs w:val="18"/>
          <w:color w:val="auto"/>
        </w:rPr>
      </w:pPr>
    </w:p>
    <w:p>
      <w:pPr>
        <w:ind w:left="707" w:right="140" w:hanging="356"/>
        <w:spacing w:after="0" w:line="277" w:lineRule="auto"/>
        <w:tabs>
          <w:tab w:leader="none" w:pos="707"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ind w:left="7" w:right="80"/>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73" w:lineRule="exact"/>
        <w:rPr>
          <w:sz w:val="20"/>
          <w:szCs w:val="20"/>
          <w:color w:val="auto"/>
        </w:rPr>
      </w:pPr>
    </w:p>
    <w:p>
      <w:pPr>
        <w:ind w:left="707" w:right="200" w:hanging="356"/>
        <w:spacing w:after="0" w:line="277" w:lineRule="auto"/>
        <w:tabs>
          <w:tab w:leader="none" w:pos="7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62" w:lineRule="exact"/>
        <w:rPr>
          <w:rFonts w:ascii="Arial" w:cs="Arial" w:eastAsia="Arial" w:hAnsi="Arial"/>
          <w:sz w:val="18"/>
          <w:szCs w:val="18"/>
          <w:color w:val="auto"/>
        </w:rPr>
      </w:pPr>
    </w:p>
    <w:p>
      <w:pPr>
        <w:ind w:left="707" w:hanging="356"/>
        <w:spacing w:after="0"/>
        <w:tabs>
          <w:tab w:leader="none" w:pos="7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700" w:right="220" w:hanging="356"/>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Brazil</w:t>
      </w:r>
    </w:p>
    <w:p>
      <w:pPr>
        <w:spacing w:after="0" w:line="121"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For purposes of Brazilian law, this offer of securities is addressed to you personally, upon your request and for your sole benefit, and is not to be transmitted to anyone else, to be relied upon elsewhere or for any other purpose either quoted or referred to in any other public or private document or to be filed with anyone, without our prior express and written consent.</w:t>
      </w:r>
    </w:p>
    <w:p>
      <w:pPr>
        <w:spacing w:after="0" w:line="5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This offering does not constitute or form part of any public offering of shares in Brazil and, accordingly, has not been and will not be registered under Brazilian Federal Law No. 6385 of December 7, 1976, as amended, Brazilian Securities Commission (CVM) Rule (Instrução) No. 400 of December 29, 2003, as amended, or under any other Brazilian securities law or regulation. Furthermore, our shares and we have not been and will not be registered before the CVM under CVM Rule (Instrução) No. 480 of December 7, 2009, as amended.</w:t>
      </w:r>
    </w:p>
    <w:p>
      <w:pPr>
        <w:spacing w:after="0" w:line="80" w:lineRule="exact"/>
        <w:rPr>
          <w:sz w:val="20"/>
          <w:szCs w:val="20"/>
          <w:color w:val="auto"/>
        </w:rPr>
      </w:pPr>
    </w:p>
    <w:p>
      <w:pPr>
        <w:ind w:right="260" w:firstLine="360"/>
        <w:spacing w:after="0" w:line="302" w:lineRule="auto"/>
        <w:rPr>
          <w:sz w:val="20"/>
          <w:szCs w:val="20"/>
          <w:color w:val="auto"/>
        </w:rPr>
      </w:pPr>
      <w:r>
        <w:rPr>
          <w:rFonts w:ascii="Arial" w:cs="Arial" w:eastAsia="Arial" w:hAnsi="Arial"/>
          <w:sz w:val="16"/>
          <w:szCs w:val="16"/>
          <w:color w:val="auto"/>
        </w:rPr>
        <w:t>Therefore, the shares offered hereby have not been, will not be and may not be offered for sale or sold in Brazil except in circumstances that do not constitute a public offering or other unauthorized distribution under applicable Brazilian laws and regulations. Documents relating to the shares, as well as the information contained therein, may not be supplied to the public as a public offering in Brazil or be used in connection with any offer for subscription or sale of the shares to the public in Brazil.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360" w:firstLine="360"/>
        <w:spacing w:after="0" w:line="264" w:lineRule="auto"/>
        <w:rPr>
          <w:sz w:val="20"/>
          <w:szCs w:val="20"/>
          <w:color w:val="auto"/>
        </w:rPr>
      </w:pPr>
      <w:r>
        <w:rPr>
          <w:rFonts w:ascii="Arial" w:cs="Arial" w:eastAsia="Arial" w:hAnsi="Arial"/>
          <w:sz w:val="18"/>
          <w:szCs w:val="18"/>
          <w:color w:val="auto"/>
        </w:rPr>
        <w:t>The validity of the shares of common stock offered by this prospectus supplement will be passed upon for us by Simpson Thacher &amp; Bartlett LLP, New York, New York. Certain legal matters in connection with the offering will be passed upon for the underwriters by Latham &amp; Watkins LLP, New York, New York.</w:t>
      </w:r>
    </w:p>
    <w:p>
      <w:pPr>
        <w:spacing w:after="0" w:line="73"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color w:val="auto"/>
        </w:rPr>
        <w:t>Certain partners of Simpson Thacher &amp; Bartlett LLP, members of their respective families, related persons, and others have an indirect interest, through limited partnerships that are investors in funds affiliated with KKR &amp; Co., in less than 1% of our common stock.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consolidated financial statements incorporated in this prospectus supplement by reference from the Company’s Annual Report on Form 10-K for the fiscal year ended December 30, 2017 have been audited by Deloitte &amp; Touche LLP, an independent registered public accounting firm, as stated in their report, which is incorporated herein by reference. Such consolidated financial statements have been so incorporated in reliance upon the report of such firm given upon their authority as experts in accounting and auditing.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120" w:firstLine="360"/>
        <w:spacing w:after="0" w:line="271" w:lineRule="auto"/>
        <w:rPr>
          <w:sz w:val="20"/>
          <w:szCs w:val="20"/>
          <w:color w:val="auto"/>
        </w:rPr>
      </w:pPr>
      <w:r>
        <w:rPr>
          <w:rFonts w:ascii="Arial" w:cs="Arial" w:eastAsia="Arial" w:hAnsi="Arial"/>
          <w:sz w:val="17"/>
          <w:szCs w:val="17"/>
          <w:color w:val="auto"/>
        </w:rPr>
        <w:t>We have filed with the SEC a registration statement on Form S-3 under the Securities Act with respect to the common stock offered by this prospectus supplement. This prospectus supplement and the accompanying prospectus are part of the registration statement and therefore do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in this prospectus supplement and the accompanying prospectus about the contents of any contract, agreement or other document are not necessarily complete and in each instance that a copy of such contract, agreement or document has been filed as an exhibit to the registration statement, we refer you to the copy that we have filed as an exhibit.</w:t>
      </w:r>
    </w:p>
    <w:p>
      <w:pPr>
        <w:spacing w:after="0" w:line="71"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 xml:space="preserve">We file annual, quarterly and special reports and other information with the SEC. Our filings with the SEC, including the filings that are incorporated by reference to this prospectus supplement and accompanying prospectus, are available to the public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Those filings will also be available to the public on, or accessible through, our corporate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we file with the SEC or contained on or accessible through our corporate website or any other website that we may maintain is not part of this prospectus supplement, the accompanying prospectus or the registration statement of which this prospectus supplement and the accompanying prospectus are a part.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The rules of the SEC allow us to incorporate by reference into this prospectus supplement and the accompanying prospectus the information we file with the SEC. This means that we are disclosing important information to you by referring to other documents. The information incorporated by reference is considered to be part of this prospectus supplement and the accompanying prospectus, except for any information superseded by information contained directly in this prospectus supplement. We incorporate by reference the documents listed below (other than any portions thereof, which under the Exchange Act and applicable SEC rules, are not deemed “filed”):</w:t>
      </w:r>
    </w:p>
    <w:p>
      <w:pPr>
        <w:spacing w:after="0" w:line="85" w:lineRule="exact"/>
        <w:rPr>
          <w:sz w:val="20"/>
          <w:szCs w:val="20"/>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30, 2017, filed on March 8, 2018;</w:t>
      </w:r>
    </w:p>
    <w:p>
      <w:pPr>
        <w:spacing w:after="0" w:line="117" w:lineRule="exact"/>
        <w:rPr>
          <w:rFonts w:ascii="Arial" w:cs="Arial" w:eastAsia="Arial" w:hAnsi="Arial"/>
          <w:sz w:val="18"/>
          <w:szCs w:val="18"/>
          <w:color w:val="auto"/>
        </w:rPr>
      </w:pPr>
    </w:p>
    <w:p>
      <w:pPr>
        <w:ind w:left="700" w:right="200" w:hanging="356"/>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2018, filed on May 15, 2018, June 30, 2018, filed on August 14, 2018, and September 29, 2018, filed on November 13, 2018;</w:t>
      </w:r>
    </w:p>
    <w:p>
      <w:pPr>
        <w:spacing w:after="0" w:line="62" w:lineRule="exact"/>
        <w:rPr>
          <w:rFonts w:ascii="Arial" w:cs="Arial" w:eastAsia="Arial" w:hAnsi="Arial"/>
          <w:sz w:val="18"/>
          <w:szCs w:val="18"/>
          <w:color w:val="auto"/>
        </w:rPr>
      </w:pPr>
    </w:p>
    <w:p>
      <w:pPr>
        <w:ind w:left="700" w:right="120" w:hanging="356"/>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Current Reports on Form 8-K filed on January 23, 2018, March 19, 2018, June 7, 2018, July 30, 2018, September 10, 2018 and October 9, 2018; and</w:t>
      </w:r>
    </w:p>
    <w:p>
      <w:pPr>
        <w:spacing w:after="0" w:line="62" w:lineRule="exact"/>
        <w:rPr>
          <w:rFonts w:ascii="Arial" w:cs="Arial" w:eastAsia="Arial" w:hAnsi="Arial"/>
          <w:sz w:val="18"/>
          <w:szCs w:val="18"/>
          <w:color w:val="auto"/>
        </w:rPr>
      </w:pPr>
    </w:p>
    <w:p>
      <w:pPr>
        <w:ind w:left="700" w:right="400" w:hanging="356"/>
        <w:spacing w:after="0" w:line="308" w:lineRule="auto"/>
        <w:tabs>
          <w:tab w:leader="none" w:pos="7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description of our common stock contained in the Registration Statement on Form 8-A filed on October 24, 2017, including any amendments or reports filed for the purposes of updating such description.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firstLine="360"/>
        <w:spacing w:after="0" w:line="286" w:lineRule="auto"/>
        <w:rPr>
          <w:sz w:val="20"/>
          <w:szCs w:val="20"/>
          <w:color w:val="auto"/>
        </w:rPr>
      </w:pPr>
      <w:r>
        <w:rPr>
          <w:rFonts w:ascii="Arial" w:cs="Arial" w:eastAsia="Arial" w:hAnsi="Arial"/>
          <w:sz w:val="17"/>
          <w:szCs w:val="17"/>
          <w:color w:val="auto"/>
        </w:rPr>
        <w:t>If we have incorporated by reference any statement or information in this prospectus supplement and we subsequently modify that statement or information with information contained in this prospectus supplement, the statement or information previously incorporated in this prospectus supplement is also modified or superseded in the same manner.</w:t>
      </w:r>
    </w:p>
    <w:p>
      <w:pPr>
        <w:spacing w:after="0" w:line="5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We will provide without charge to each person, including any beneficial owner, to whom a copy of this prospectus supplement is delivered, upon written or oral request of such person, a copy of any or all of the documents referred to above which have been incorporated by reference in this prospectus supplement. You should direct requests for those documents to National Vision Holdings, Inc., 2435 Commerce Avenue, Bldg. 2200, Duluth, Georgia 30096; Attention: Corporate Secretary (telephone: 770-822-3600).</w:t>
      </w:r>
    </w:p>
    <w:p>
      <w:pPr>
        <w:spacing w:after="0" w:line="80"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Exhibits to any documents incorporated by reference in this prospectus supplement will not be sent, however, unless those exhibits have been specifically referenced in this prospectus supplement.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154305</wp:posOffset>
            </wp:positionV>
            <wp:extent cx="1346200" cy="1037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46200"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National Vision Holdings, Inc.</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selling stockholders may offer and sell from time to time shares of our common stock.</w:t>
      </w:r>
    </w:p>
    <w:p>
      <w:pPr>
        <w:spacing w:after="0" w:line="22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selling stockholders will determine when they sell shares of our common stock, which may be sold on a continuous or delayed basis directly, to or through agents, dealers or underwriters as designated from time to time, or through a combination of these methods. The selling stockholders reserve the sole right to accept, and they and any agents, dealers and underwriters reserve the right to reject, in whole or in part, any proposed purchase of shares of our common stock. If any agents, dealers or underwriters are involved in the sale of any shares of our common stock, the applicable prospectus supplement will set forth any applicable commissions or discounts payable to them. We will not receive any proceeds from the sale of the shares of our common stock by the selling stockholders.</w:t>
      </w:r>
    </w:p>
    <w:p>
      <w:pPr>
        <w:spacing w:after="0" w:line="189"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Each time any selling stockholders sell shares of our common stock using this prospectus, we will provide a prospectus supplement and attach it to this prospectus and may also provide you with a free writing prospectus. The prospectus supplement and any free writing prospectus will contain more specific information about the offering and the shares of our common stock being offered, including the names of the selling stockholders and the prices at which the shares of our common stock are sold. The prospectus supplement or free writing prospectus may also add, update, change or clarify information contained in or incorporated by reference in this prospectus. This prospectus may not be used to sell shares of our common stock unless accompanied by a prospectus supplement describing the method and terms of the offering.</w:t>
      </w:r>
    </w:p>
    <w:p>
      <w:pPr>
        <w:spacing w:after="0" w:line="178"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You should carefully read this prospectus and any applicable prospectus supplement and free writing prospectus, together with any documents we incorporate by reference, before you invest in our common stock.</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Select Market, or NASDAQ, under the symbol “EYE.”</w:t>
      </w:r>
    </w:p>
    <w:p>
      <w:pPr>
        <w:spacing w:after="0" w:line="225" w:lineRule="exact"/>
        <w:rPr>
          <w:sz w:val="20"/>
          <w:szCs w:val="20"/>
          <w:color w:val="auto"/>
        </w:rPr>
      </w:pPr>
    </w:p>
    <w:p>
      <w:pPr>
        <w:ind w:right="20" w:firstLine="360"/>
        <w:spacing w:after="0" w:line="286" w:lineRule="auto"/>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Investing in our common stock involves risk. See “Risk Factors” beginning on page </w:t>
      </w:r>
      <w:hyperlink w:anchor="page46">
        <w:r>
          <w:rPr>
            <w:rFonts w:ascii="Arial" w:cs="Arial" w:eastAsia="Arial" w:hAnsi="Arial"/>
            <w:sz w:val="17"/>
            <w:szCs w:val="17"/>
            <w:b w:val="1"/>
            <w:bCs w:val="1"/>
            <w:i w:val="1"/>
            <w:iCs w:val="1"/>
            <w:u w:val="single" w:color="auto"/>
            <w:color w:val="0000EE"/>
          </w:rPr>
          <w:t>4</w:t>
        </w:r>
        <w:r>
          <w:rPr>
            <w:rFonts w:ascii="Arial" w:cs="Arial" w:eastAsia="Arial" w:hAnsi="Arial"/>
            <w:sz w:val="17"/>
            <w:szCs w:val="17"/>
            <w:b w:val="1"/>
            <w:bCs w:val="1"/>
            <w:i w:val="1"/>
            <w:iCs w:val="1"/>
            <w:u w:val="single" w:color="auto"/>
            <w:color w:val="auto"/>
          </w:rPr>
          <w:t xml:space="preserve"> </w:t>
        </w:r>
      </w:hyperlink>
      <w:r>
        <w:rPr>
          <w:rFonts w:ascii="Arial" w:cs="Arial" w:eastAsia="Arial" w:hAnsi="Arial"/>
          <w:sz w:val="17"/>
          <w:szCs w:val="17"/>
          <w:b w:val="1"/>
          <w:bCs w:val="1"/>
          <w:i w:val="1"/>
          <w:iCs w:val="1"/>
          <w:color w:val="auto"/>
        </w:rPr>
        <w:t>of this prospectus and the risk factors in any applicable prospectus supplement and in any documents we incorporate by reference herein or therein to read about factors you should consider before buying shares of our common stock.</w:t>
      </w:r>
    </w:p>
    <w:p>
      <w:pPr>
        <w:spacing w:after="0" w:line="166"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b w:val="1"/>
          <w:bCs w:val="1"/>
          <w:i w:val="1"/>
          <w:i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November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300355</wp:posOffset>
            </wp:positionV>
            <wp:extent cx="607187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3980" w:type="dxa"/>
            <w:vAlign w:val="bottom"/>
            <w:gridSpan w:val="15"/>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80" w:type="dxa"/>
            <w:vAlign w:val="bottom"/>
            <w:gridSpan w:val="4"/>
          </w:tcPr>
          <w:p>
            <w:pPr>
              <w:jc w:val="right"/>
              <w:ind w:right="4100"/>
              <w:spacing w:after="0"/>
              <w:rPr>
                <w:sz w:val="20"/>
                <w:szCs w:val="20"/>
                <w:color w:val="auto"/>
              </w:rPr>
            </w:pPr>
            <w:r>
              <w:rPr>
                <w:rFonts w:ascii="Arial" w:cs="Arial" w:eastAsia="Arial" w:hAnsi="Arial"/>
                <w:sz w:val="18"/>
                <w:szCs w:val="18"/>
                <w:b w:val="1"/>
                <w:bCs w:val="1"/>
                <w:color w:val="auto"/>
                <w:w w:val="96"/>
              </w:rPr>
              <w:t>Table of Contents</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620" w:type="dxa"/>
            <w:vAlign w:val="bottom"/>
            <w:gridSpan w:val="8"/>
            <w:shd w:val="clear" w:color="auto" w:fill="CCEEFF"/>
          </w:tcPr>
          <w:p>
            <w:pPr>
              <w:spacing w:after="0" w:line="189"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About This Prospectus</w:t>
              </w:r>
            </w:hyperlink>
          </w:p>
        </w:tc>
        <w:tc>
          <w:tcPr>
            <w:tcW w:w="2340" w:type="dxa"/>
            <w:vAlign w:val="bottom"/>
            <w:gridSpan w:val="6"/>
            <w:shd w:val="clear" w:color="auto" w:fill="CCEEFF"/>
          </w:tcPr>
          <w:p>
            <w:pPr>
              <w:spacing w:after="0"/>
              <w:rPr>
                <w:sz w:val="16"/>
                <w:szCs w:val="16"/>
                <w:color w:val="auto"/>
              </w:rPr>
            </w:pPr>
          </w:p>
        </w:tc>
        <w:tc>
          <w:tcPr>
            <w:tcW w:w="558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4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gridSpan w:val="14"/>
          </w:tcPr>
          <w:p>
            <w:pPr>
              <w:spacing w:after="0" w:line="189" w:lineRule="exact"/>
              <w:rPr>
                <w:rFonts w:ascii="Arial" w:cs="Arial" w:eastAsia="Arial" w:hAnsi="Arial"/>
                <w:sz w:val="18"/>
                <w:szCs w:val="18"/>
                <w:color w:val="0000EE"/>
              </w:rPr>
            </w:pPr>
            <w:hyperlink w:anchor="page45">
              <w:r>
                <w:rPr>
                  <w:rFonts w:ascii="Arial" w:cs="Arial" w:eastAsia="Arial" w:hAnsi="Arial"/>
                  <w:sz w:val="18"/>
                  <w:szCs w:val="18"/>
                  <w:color w:val="0000EE"/>
                </w:rPr>
                <w:t>National Vision Holdings, Inc.</w:t>
              </w:r>
            </w:hyperlink>
          </w:p>
        </w:tc>
        <w:tc>
          <w:tcPr>
            <w:tcW w:w="5580" w:type="dxa"/>
            <w:vAlign w:val="bottom"/>
            <w:gridSpan w:val="4"/>
          </w:tcPr>
          <w:p>
            <w:pPr>
              <w:jc w:val="right"/>
              <w:ind w:right="100"/>
              <w:spacing w:after="0" w:line="189" w:lineRule="exact"/>
              <w:rPr>
                <w:rFonts w:ascii="Arial" w:cs="Arial" w:eastAsia="Arial" w:hAnsi="Arial"/>
                <w:sz w:val="18"/>
                <w:szCs w:val="18"/>
                <w:color w:val="0000EE"/>
              </w:rPr>
            </w:pPr>
            <w:hyperlink w:anchor="page45">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spacing w:after="0" w:line="189" w:lineRule="exact"/>
              <w:rPr>
                <w:rFonts w:ascii="Arial" w:cs="Arial" w:eastAsia="Arial" w:hAnsi="Arial"/>
                <w:sz w:val="18"/>
                <w:szCs w:val="18"/>
                <w:color w:val="0000EE"/>
                <w:w w:val="85"/>
              </w:rPr>
            </w:pPr>
            <w:hyperlink w:anchor="page46">
              <w:r>
                <w:rPr>
                  <w:rFonts w:ascii="Arial" w:cs="Arial" w:eastAsia="Arial" w:hAnsi="Arial"/>
                  <w:sz w:val="18"/>
                  <w:szCs w:val="18"/>
                  <w:color w:val="0000EE"/>
                  <w:w w:val="85"/>
                </w:rPr>
                <w:t>Risk Factors</w:t>
              </w:r>
            </w:hyperlink>
          </w:p>
        </w:tc>
        <w:tc>
          <w:tcPr>
            <w:tcW w:w="3080" w:type="dxa"/>
            <w:vAlign w:val="bottom"/>
            <w:gridSpan w:val="12"/>
            <w:shd w:val="clear" w:color="auto" w:fill="CCEEFF"/>
          </w:tcPr>
          <w:p>
            <w:pPr>
              <w:spacing w:after="0"/>
              <w:rPr>
                <w:sz w:val="16"/>
                <w:szCs w:val="16"/>
                <w:color w:val="auto"/>
              </w:rPr>
            </w:pPr>
          </w:p>
        </w:tc>
        <w:tc>
          <w:tcPr>
            <w:tcW w:w="558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46">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gridSpan w:val="14"/>
          </w:tcPr>
          <w:p>
            <w:pPr>
              <w:spacing w:after="0" w:line="189"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Special Note Regarding Forward-Looking Statements</w:t>
              </w:r>
            </w:hyperlink>
          </w:p>
        </w:tc>
        <w:tc>
          <w:tcPr>
            <w:tcW w:w="5580" w:type="dxa"/>
            <w:vAlign w:val="bottom"/>
            <w:gridSpan w:val="4"/>
          </w:tcPr>
          <w:p>
            <w:pPr>
              <w:jc w:val="right"/>
              <w:ind w:right="100"/>
              <w:spacing w:after="0" w:line="189" w:lineRule="exact"/>
              <w:rPr>
                <w:rFonts w:ascii="Arial" w:cs="Arial" w:eastAsia="Arial" w:hAnsi="Arial"/>
                <w:sz w:val="18"/>
                <w:szCs w:val="18"/>
                <w:color w:val="0000EE"/>
              </w:rPr>
            </w:pPr>
            <w:hyperlink w:anchor="page47">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gridSpan w:val="14"/>
            <w:shd w:val="clear" w:color="auto" w:fill="CCEEFF"/>
          </w:tcPr>
          <w:p>
            <w:pPr>
              <w:spacing w:after="0" w:line="189" w:lineRule="exact"/>
              <w:rPr>
                <w:rFonts w:ascii="Arial" w:cs="Arial" w:eastAsia="Arial" w:hAnsi="Arial"/>
                <w:sz w:val="18"/>
                <w:szCs w:val="18"/>
                <w:color w:val="0000EE"/>
              </w:rPr>
            </w:pPr>
            <w:hyperlink w:anchor="page49">
              <w:r>
                <w:rPr>
                  <w:rFonts w:ascii="Arial" w:cs="Arial" w:eastAsia="Arial" w:hAnsi="Arial"/>
                  <w:sz w:val="18"/>
                  <w:szCs w:val="18"/>
                  <w:color w:val="0000EE"/>
                </w:rPr>
                <w:t>Use of Proceeds</w:t>
              </w:r>
            </w:hyperlink>
          </w:p>
        </w:tc>
        <w:tc>
          <w:tcPr>
            <w:tcW w:w="558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49">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gridSpan w:val="14"/>
          </w:tcPr>
          <w:p>
            <w:pPr>
              <w:spacing w:after="0" w:line="189"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Capital Stock</w:t>
              </w:r>
            </w:hyperlink>
          </w:p>
        </w:tc>
        <w:tc>
          <w:tcPr>
            <w:tcW w:w="5580" w:type="dxa"/>
            <w:vAlign w:val="bottom"/>
            <w:gridSpan w:val="4"/>
          </w:tcPr>
          <w:p>
            <w:pPr>
              <w:jc w:val="right"/>
              <w:ind w:right="100"/>
              <w:spacing w:after="0" w:line="189" w:lineRule="exact"/>
              <w:rPr>
                <w:rFonts w:ascii="Arial" w:cs="Arial" w:eastAsia="Arial" w:hAnsi="Arial"/>
                <w:sz w:val="18"/>
                <w:szCs w:val="18"/>
                <w:color w:val="0000EE"/>
              </w:rPr>
            </w:pPr>
            <w:hyperlink w:anchor="page50">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gridSpan w:val="14"/>
            <w:shd w:val="clear" w:color="auto" w:fill="CCEEFF"/>
          </w:tcPr>
          <w:p>
            <w:pPr>
              <w:spacing w:after="0" w:line="189" w:lineRule="exact"/>
              <w:rPr>
                <w:rFonts w:ascii="Arial" w:cs="Arial" w:eastAsia="Arial" w:hAnsi="Arial"/>
                <w:sz w:val="18"/>
                <w:szCs w:val="18"/>
                <w:color w:val="0000EE"/>
              </w:rPr>
            </w:pPr>
            <w:hyperlink w:anchor="page57">
              <w:r>
                <w:rPr>
                  <w:rFonts w:ascii="Arial" w:cs="Arial" w:eastAsia="Arial" w:hAnsi="Arial"/>
                  <w:sz w:val="18"/>
                  <w:szCs w:val="18"/>
                  <w:color w:val="0000EE"/>
                </w:rPr>
                <w:t>Selling Stockholders</w:t>
              </w:r>
            </w:hyperlink>
          </w:p>
        </w:tc>
        <w:tc>
          <w:tcPr>
            <w:tcW w:w="558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57">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460" w:type="dxa"/>
            <w:vAlign w:val="bottom"/>
            <w:gridSpan w:val="6"/>
          </w:tcPr>
          <w:p>
            <w:pPr>
              <w:spacing w:after="0" w:line="189" w:lineRule="exact"/>
              <w:rPr>
                <w:rFonts w:ascii="Arial" w:cs="Arial" w:eastAsia="Arial" w:hAnsi="Arial"/>
                <w:sz w:val="18"/>
                <w:szCs w:val="18"/>
                <w:color w:val="0000EE"/>
                <w:w w:val="95"/>
              </w:rPr>
            </w:pPr>
            <w:hyperlink w:anchor="page58">
              <w:r>
                <w:rPr>
                  <w:rFonts w:ascii="Arial" w:cs="Arial" w:eastAsia="Arial" w:hAnsi="Arial"/>
                  <w:sz w:val="18"/>
                  <w:szCs w:val="18"/>
                  <w:color w:val="0000EE"/>
                  <w:w w:val="95"/>
                </w:rPr>
                <w:t>Plan of Distribution</w:t>
              </w:r>
            </w:hyperlink>
          </w:p>
        </w:tc>
        <w:tc>
          <w:tcPr>
            <w:tcW w:w="2500" w:type="dxa"/>
            <w:vAlign w:val="bottom"/>
            <w:gridSpan w:val="8"/>
          </w:tcPr>
          <w:p>
            <w:pPr>
              <w:spacing w:after="0"/>
              <w:rPr>
                <w:sz w:val="16"/>
                <w:szCs w:val="16"/>
                <w:color w:val="auto"/>
              </w:rPr>
            </w:pPr>
          </w:p>
        </w:tc>
        <w:tc>
          <w:tcPr>
            <w:tcW w:w="530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16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3"/>
            <w:shd w:val="clear" w:color="auto" w:fill="CCEEFF"/>
          </w:tcPr>
          <w:p>
            <w:pPr>
              <w:spacing w:after="0" w:line="189" w:lineRule="exact"/>
              <w:rPr>
                <w:rFonts w:ascii="Arial" w:cs="Arial" w:eastAsia="Arial" w:hAnsi="Arial"/>
                <w:sz w:val="18"/>
                <w:szCs w:val="18"/>
                <w:color w:val="0000EE"/>
                <w:w w:val="87"/>
              </w:rPr>
            </w:pPr>
            <w:hyperlink w:anchor="page61">
              <w:r>
                <w:rPr>
                  <w:rFonts w:ascii="Arial" w:cs="Arial" w:eastAsia="Arial" w:hAnsi="Arial"/>
                  <w:sz w:val="18"/>
                  <w:szCs w:val="18"/>
                  <w:color w:val="0000EE"/>
                  <w:w w:val="87"/>
                </w:rPr>
                <w:t>Legal Matters</w:t>
              </w:r>
            </w:hyperlink>
          </w:p>
        </w:tc>
        <w:tc>
          <w:tcPr>
            <w:tcW w:w="2980" w:type="dxa"/>
            <w:vAlign w:val="bottom"/>
            <w:gridSpan w:val="11"/>
            <w:shd w:val="clear" w:color="auto" w:fill="CCEEFF"/>
          </w:tcPr>
          <w:p>
            <w:pPr>
              <w:spacing w:after="0"/>
              <w:rPr>
                <w:sz w:val="16"/>
                <w:szCs w:val="16"/>
                <w:color w:val="auto"/>
              </w:rPr>
            </w:pPr>
          </w:p>
        </w:tc>
        <w:tc>
          <w:tcPr>
            <w:tcW w:w="530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19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3"/>
          </w:tcPr>
          <w:p>
            <w:pPr>
              <w:spacing w:after="0" w:line="189" w:lineRule="exact"/>
              <w:rPr>
                <w:rFonts w:ascii="Arial" w:cs="Arial" w:eastAsia="Arial" w:hAnsi="Arial"/>
                <w:sz w:val="18"/>
                <w:szCs w:val="18"/>
                <w:color w:val="0000EE"/>
              </w:rPr>
            </w:pPr>
            <w:hyperlink w:anchor="page61">
              <w:r>
                <w:rPr>
                  <w:rFonts w:ascii="Arial" w:cs="Arial" w:eastAsia="Arial" w:hAnsi="Arial"/>
                  <w:sz w:val="18"/>
                  <w:szCs w:val="18"/>
                  <w:color w:val="0000EE"/>
                </w:rPr>
                <w:t>Experts</w:t>
              </w:r>
            </w:hyperlink>
          </w:p>
        </w:tc>
        <w:tc>
          <w:tcPr>
            <w:tcW w:w="2980" w:type="dxa"/>
            <w:vAlign w:val="bottom"/>
            <w:gridSpan w:val="11"/>
          </w:tcPr>
          <w:p>
            <w:pPr>
              <w:spacing w:after="0"/>
              <w:rPr>
                <w:sz w:val="16"/>
                <w:szCs w:val="16"/>
                <w:color w:val="auto"/>
              </w:rPr>
            </w:pPr>
          </w:p>
        </w:tc>
        <w:tc>
          <w:tcPr>
            <w:tcW w:w="530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19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12"/>
            <w:shd w:val="clear" w:color="auto" w:fill="CCEEFF"/>
          </w:tcPr>
          <w:p>
            <w:pPr>
              <w:spacing w:after="0" w:line="189" w:lineRule="exact"/>
              <w:rPr>
                <w:rFonts w:ascii="Arial" w:cs="Arial" w:eastAsia="Arial" w:hAnsi="Arial"/>
                <w:sz w:val="18"/>
                <w:szCs w:val="18"/>
                <w:color w:val="0000EE"/>
                <w:w w:val="91"/>
              </w:rPr>
            </w:pPr>
            <w:hyperlink w:anchor="page61">
              <w:r>
                <w:rPr>
                  <w:rFonts w:ascii="Arial" w:cs="Arial" w:eastAsia="Arial" w:hAnsi="Arial"/>
                  <w:sz w:val="18"/>
                  <w:szCs w:val="18"/>
                  <w:color w:val="0000EE"/>
                  <w:w w:val="91"/>
                </w:rPr>
                <w:t>Where You Can Find More Information</w:t>
              </w:r>
            </w:hyperlink>
          </w:p>
        </w:tc>
        <w:tc>
          <w:tcPr>
            <w:tcW w:w="1120" w:type="dxa"/>
            <w:vAlign w:val="bottom"/>
            <w:gridSpan w:val="2"/>
            <w:shd w:val="clear" w:color="auto" w:fill="CCEEFF"/>
          </w:tcPr>
          <w:p>
            <w:pPr>
              <w:spacing w:after="0"/>
              <w:rPr>
                <w:sz w:val="16"/>
                <w:szCs w:val="16"/>
                <w:color w:val="auto"/>
              </w:rPr>
            </w:pPr>
          </w:p>
        </w:tc>
        <w:tc>
          <w:tcPr>
            <w:tcW w:w="530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19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960" w:type="dxa"/>
            <w:vAlign w:val="bottom"/>
            <w:gridSpan w:val="9"/>
          </w:tcPr>
          <w:p>
            <w:pPr>
              <w:spacing w:after="0" w:line="189"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Incorporation by Reference</w:t>
              </w:r>
            </w:hyperlink>
          </w:p>
        </w:tc>
        <w:tc>
          <w:tcPr>
            <w:tcW w:w="880" w:type="dxa"/>
            <w:vAlign w:val="bottom"/>
            <w:gridSpan w:val="3"/>
          </w:tcPr>
          <w:p>
            <w:pPr>
              <w:spacing w:after="0"/>
              <w:rPr>
                <w:sz w:val="16"/>
                <w:szCs w:val="16"/>
                <w:color w:val="auto"/>
              </w:rPr>
            </w:pPr>
          </w:p>
        </w:tc>
        <w:tc>
          <w:tcPr>
            <w:tcW w:w="1120" w:type="dxa"/>
            <w:vAlign w:val="bottom"/>
            <w:gridSpan w:val="2"/>
          </w:tcPr>
          <w:p>
            <w:pPr>
              <w:spacing w:after="0"/>
              <w:rPr>
                <w:sz w:val="16"/>
                <w:szCs w:val="16"/>
                <w:color w:val="auto"/>
              </w:rPr>
            </w:pPr>
          </w:p>
        </w:tc>
        <w:tc>
          <w:tcPr>
            <w:tcW w:w="530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19</w:t>
              </w:r>
            </w:hyperlink>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6" w:right="115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This prospectus is part of a registration statement on Form S-3 that we filed with the SEC using a “shelf” registration process. Under this shelf registration process, certain selling stockholders may, from time to time, offer and/or sell shares of our common stock in one or more offerings or resales. This prospectus provides you with a general description of the shares of our common stock that such selling stockholders may offer. Each time selling stockholders sell shares of our common stock using this prospectus, we will provide a prospectus supplement and attach it to this prospectus and may also provide you with a free writing prospectus. The prospectus supplement and any free writing prospectus will contain more specific information about the offering and the shares of our common stock being offered, including the names of the selling stockholders and the prices at which the shares of our common stock are sold. The prospectus supplement may also add, update, change or clarify information contained in or incorporated by reference in this prospectus. If there is any inconsistency between the information in this prospectus and the information in the prospectus supplement, you should rely on the information in the prospectus supplement.</w:t>
      </w:r>
    </w:p>
    <w:p>
      <w:pPr>
        <w:spacing w:after="0" w:line="57" w:lineRule="exact"/>
        <w:rPr>
          <w:sz w:val="20"/>
          <w:szCs w:val="20"/>
          <w:color w:val="auto"/>
        </w:rPr>
      </w:pPr>
    </w:p>
    <w:p>
      <w:pPr>
        <w:ind w:right="740" w:firstLine="360"/>
        <w:spacing w:after="0" w:line="282" w:lineRule="auto"/>
        <w:rPr>
          <w:sz w:val="20"/>
          <w:szCs w:val="20"/>
          <w:color w:val="auto"/>
        </w:rPr>
      </w:pPr>
      <w:r>
        <w:rPr>
          <w:rFonts w:ascii="Arial" w:cs="Arial" w:eastAsia="Arial" w:hAnsi="Arial"/>
          <w:sz w:val="18"/>
          <w:szCs w:val="18"/>
          <w:b w:val="1"/>
          <w:bCs w:val="1"/>
          <w:color w:val="auto"/>
        </w:rPr>
        <w:t>THIS PROSPECTUS MAY NOT BE USED TO SELL ANY SHARES OF OUR COMMON STOCK UNLESS ACCOMPANIED BY A PROSPECTUS SUPPLEMENT.</w:t>
      </w:r>
    </w:p>
    <w:p>
      <w:pPr>
        <w:spacing w:after="0" w:line="58"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The rules of the SEC allow us to incorporate by reference information into this prospectus. This means that important information is contained in other documents that are considered to be a part of this prospectus. Additionally, information that we file later with the SEC will automatically update and supersede this information. You should carefully read both this prospectus and the applicable prospectus supplement together with the additional information that is incorporated or deemed incorporated by reference in this prospectus. See “Incorporation by Reference” before making an investment in our common stock. This prospectus contains summaries of certain provisions contained in some of the documents described herein, but reference is made to the actual documents for complete information. All of the summaries are qualified in their entirety by the actual documents. Copies of the documents referred to herein have been filed or will be filed or incorporated or deemed incorporated by reference as exhibits to the registration statement of which this prospectus is a part. The registration statement, including the exhibits and documents incorporated by reference in this prospectus, can be read on the SEC website or at the SEC offices mentioned under the heading “Where You Can Find More Information.”</w:t>
      </w:r>
    </w:p>
    <w:p>
      <w:pPr>
        <w:spacing w:after="0" w:line="75" w:lineRule="exact"/>
        <w:rPr>
          <w:sz w:val="20"/>
          <w:szCs w:val="20"/>
          <w:color w:val="auto"/>
        </w:rPr>
      </w:pPr>
    </w:p>
    <w:p>
      <w:pPr>
        <w:ind w:right="200" w:firstLine="360"/>
        <w:spacing w:after="0" w:line="287" w:lineRule="auto"/>
        <w:rPr>
          <w:sz w:val="20"/>
          <w:szCs w:val="20"/>
          <w:color w:val="auto"/>
        </w:rPr>
      </w:pPr>
      <w:r>
        <w:rPr>
          <w:rFonts w:ascii="Arial" w:cs="Arial" w:eastAsia="Arial" w:hAnsi="Arial"/>
          <w:sz w:val="16"/>
          <w:szCs w:val="16"/>
          <w:color w:val="auto"/>
        </w:rPr>
        <w:t>You should rely only on the information contained, or incorporated by reference, in this prospectus or in any prospectus supplement or free writing prospectus that we authorize to be delivered to you. Neither we nor any selling stockholders have authorized anyone to provide any information or to make any representations other than those contained, or incorporated by reference, in this prospectus or in any prospectus supplement or free writing prospectus we have prepared. Neither we nor any selling stockholders take responsibility for, or can provide assurance as to the reliability of, any other information that others may provide you. We and any selling stockholders are offering to sell, and seeking offers to buy, securities only in jurisdictions where offers and sales are permitted. You should assume that the information contained, or incorporated by reference, in this prospectus and in any prospectus supplement or free writing prospectus prepared by us or on our behalf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results of operations and prospects may have changed since that date.</w:t>
      </w:r>
    </w:p>
    <w:p>
      <w:pPr>
        <w:spacing w:after="0" w:line="65" w:lineRule="exact"/>
        <w:rPr>
          <w:sz w:val="20"/>
          <w:szCs w:val="20"/>
          <w:color w:val="auto"/>
        </w:rPr>
      </w:pPr>
    </w:p>
    <w:p>
      <w:pPr>
        <w:jc w:val="both"/>
        <w:ind w:right="180" w:firstLine="360"/>
        <w:spacing w:after="0" w:line="279" w:lineRule="auto"/>
        <w:rPr>
          <w:sz w:val="20"/>
          <w:szCs w:val="20"/>
          <w:color w:val="auto"/>
        </w:rPr>
      </w:pPr>
      <w:r>
        <w:rPr>
          <w:rFonts w:ascii="Arial" w:cs="Arial" w:eastAsia="Arial" w:hAnsi="Arial"/>
          <w:sz w:val="17"/>
          <w:szCs w:val="17"/>
          <w:color w:val="auto"/>
        </w:rPr>
        <w:t>In this prospectus, unless the context otherwise requires, all references herein to “National Vision Holdings, Inc.,” “National Vision,” the “Company,” “we,” “our” or “us” refer to National Vision Holdings, Inc., a Delaware corporation, and its consolidated subsidiaries. National Vision Holdings, Inc. conducts substantially all of its activities through its direct, wholly-owned subsidiary, National Vision, Inc., a Georgia corporation, which we refer to herein as “NVI,” and NVI’s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Ranking and Other Industry Data</w:t>
      </w:r>
    </w:p>
    <w:p>
      <w:pPr>
        <w:spacing w:after="0" w:line="121"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The data included, or incorporated by reference, in this prospectus regarding markets, ranking and other industry information are based on reports of government agencies or published industry sources, and our own internal estimates are based on our management’s knowledge and experience in the markets in which we operate. Data regarding the industry in which we compete and our market position and market share within this industry are inherently imprecise and are subject to significant business, economic and competitive uncertainties beyond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our control, but we believe they generally indicate size, position and market share within this industry. Our own estimates are based on information obtained from our customers, suppliers, trade and business organizations and other contacts in the markets we operate. We are responsible for all of the disclosure included, or incorporated by reference, in this prospectus, and we believe these estimates to be accurate as of the date of this prospectus or such other date stated in this prospectus (or in documents we have incorporated by reference). However, this information may prove to be inaccurate because of the method by which we obtained some of the data for the estimates or because this information cannot always be verified with complete certainty due to the limits on the availability and reliability of raw data, the voluntary nature of the data gathering process and other limitations and uncertainties. While we believe that each of the publications used throughout this prospectus (or in documents we have incorporated by reference) are prepared by reputable sources, we have not independently verified market and industry data from third-party sources. While we believe our internal company research and estimates are reliable, such research and estimates have not been verified by any independent source. In addition, assumptions and estimates of our and our industry’s future performance are necessarily subject to a high degree of uncertainty and risk due to a variety of factors, including those described in “Risk Factors” in this prospectus, “Risk Factors” and “Management’s Discussion and Analysis of Financial Condition and Results of Operations” in our Annual Report (as defined herein) and “Management’s Discussion and Analysis of Financial Condition and Results of Operations” in our Quarterly Reports (as defined herein), each of which is incorporated by reference in this prospectus. These and other factors could cause our future performance to differ materially from our assumptions and estimates. See “Special Note Regarding Forward-Looking Statements.” As a result, you should be aware that market, ranking, and other similar industry data included, or incorporated by reference, in this prospectus, and estimates and beliefs based on that data may not be reliable. Neither we nor the selling stockholders can guarantee the accuracy or completeness of any such information contained, or incorporated by reference, in this prospectus.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We own a number of registered and common law trademarks and pending applications for trademark registrations in the United States, primarily through our subsidiaries. Solely for convenience, the trademarks, service marks and tradenames referred to in this prospectus and any applicable prospectus supplement (or in documents we have incorporated by reference) are presented without the ®, sm and ™ symbols, but such references are not intended to indicate, in any way, that we will not assert, to the fullest extent under applicable law, our rights or the rights of the applicable licensors to these trademarks, service marks and tradenames. All trademarks, service marks and tradenames appearing in this prospectus and any applicable prospectus supplement (or in documents we have incorporated by reference) are the property of their respective owners.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w:t>
      </w:r>
    </w:p>
    <w:p>
      <w:pPr>
        <w:spacing w:after="0" w:line="121" w:lineRule="exact"/>
        <w:rPr>
          <w:sz w:val="20"/>
          <w:szCs w:val="20"/>
          <w:color w:val="auto"/>
        </w:rPr>
      </w:pPr>
    </w:p>
    <w:p>
      <w:pPr>
        <w:ind w:right="160" w:firstLine="360"/>
        <w:spacing w:after="0" w:line="272"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reach our customers through a diverse portfolio of 1,067 retail stores across five brands and 20 consumer websites as of September 29, 2018.</w:t>
      </w:r>
    </w:p>
    <w:p>
      <w:pPr>
        <w:spacing w:after="0" w:line="70" w:lineRule="exact"/>
        <w:rPr>
          <w:sz w:val="20"/>
          <w:szCs w:val="20"/>
          <w:color w:val="auto"/>
        </w:rPr>
      </w:pPr>
    </w:p>
    <w:p>
      <w:pPr>
        <w:ind w:right="160" w:firstLine="360"/>
        <w:spacing w:after="0" w:line="286" w:lineRule="auto"/>
        <w:rPr>
          <w:sz w:val="20"/>
          <w:szCs w:val="20"/>
          <w:color w:val="auto"/>
        </w:rPr>
      </w:pPr>
      <w:r>
        <w:rPr>
          <w:rFonts w:ascii="Arial" w:cs="Arial" w:eastAsia="Arial" w:hAnsi="Arial"/>
          <w:sz w:val="17"/>
          <w:szCs w:val="17"/>
          <w:color w:val="auto"/>
        </w:rPr>
        <w:t>Our history of profitable growth is founded on a commitment to a relatively simple business model: providing exceptional value and convenience to customers, enabled by our low-cost operating platform. Our disciplined approach to new store openings, combined with our attractive store economics, has led to strong returns on investment.</w:t>
      </w:r>
    </w:p>
    <w:p>
      <w:pPr>
        <w:spacing w:after="0" w:line="57"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We have two reportable segments: our owned &amp; host segment and our legacy segment. Our owned &amp; host segment includes our two owned brands, America’s Best and Eyeglass World, and our Vista Optical locations in Fred Meyer, Inc. stores. Within this segment, we also provide low-cost vision care products and services to American military service members by operating Vista Optical locations on military bases across the country. Our legacy segment consists of our 28-year strategic relationship with Wal-Mart Stores, Inc., or Walmart, to operate Vision Centers in select Walmart stores. In addition, our wholly-owned subsidiary, FirstSight Vision Services Inc., or FirstSight, which is licensed as a single-service health plan under California law, issues individual vision care benefit plans in connection with our America’s Best operations in California and provides, or arranges for the provision of, optometric services at certain optometric offices next to Walmart and Sam’s Club stores in California. We support our brands through our ever-evolving omni-channel offerings and we also have an established standalone e-commerce business. Our e-commerce platform serves our proprietary e-commerce websites and the e-commerce websites of third parties, including Walmart, Sam’s Club and Giant Eagle.</w:t>
      </w:r>
    </w:p>
    <w:p>
      <w:pPr>
        <w:spacing w:after="0" w:line="75" w:lineRule="exact"/>
        <w:rPr>
          <w:sz w:val="20"/>
          <w:szCs w:val="20"/>
          <w:color w:val="auto"/>
        </w:rPr>
      </w:pPr>
    </w:p>
    <w:p>
      <w:pPr>
        <w:ind w:right="200" w:firstLine="360"/>
        <w:spacing w:after="0" w:line="279" w:lineRule="auto"/>
        <w:rPr>
          <w:sz w:val="20"/>
          <w:szCs w:val="20"/>
          <w:color w:val="auto"/>
        </w:rPr>
      </w:pPr>
      <w:r>
        <w:rPr>
          <w:rFonts w:ascii="Arial" w:cs="Arial" w:eastAsia="Arial" w:hAnsi="Arial"/>
          <w:sz w:val="17"/>
          <w:szCs w:val="17"/>
          <w:color w:val="auto"/>
        </w:rPr>
        <w:t>Through its predecessors, NVI commenced operations in 1990. In 2005, private equity funds managed by Berkshire Partners LLC, or Berkshire, acquired both NVI and Consolidated Vision Group, Inc., which operated America’s Best stores, and merged these entities, with NVI surviving. In 2009, NVI acquired the Eyeglass World store chain. In 2011, after a multi-year partnership, NVI acquired Arlington Contact Lens Service, Inc. to bolster its e-commerce platform.</w:t>
      </w:r>
    </w:p>
    <w:p>
      <w:pPr>
        <w:spacing w:after="0" w:line="63"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color w:val="auto"/>
        </w:rPr>
        <w:t>In March 2014, NVI was acquired by affiliates of Kohlberg Kravis Roberts &amp; Co. L.P., or KKR Sponsor. National Vision Holdings, Inc. was incorporated in Delaware on February 14, 2014 under the name “Nautilus Parent, Inc.” and NVI became our wholly-owned subsidiary in connection with the acquisition of the Company by affiliates of KKR Sponsor in March 2014. We changed our name to “National Vision Holdings, Inc.” in June 2017. Our common stock began trading on NASDAQ under the symbol “EYE” on October 26, 2017 and we consummated our initial public offering of our common stock, or the IPO, on October 30, 2017.</w:t>
      </w:r>
    </w:p>
    <w:p>
      <w:pPr>
        <w:spacing w:after="0" w:line="85" w:lineRule="exact"/>
        <w:rPr>
          <w:sz w:val="20"/>
          <w:szCs w:val="20"/>
          <w:color w:val="auto"/>
        </w:rPr>
      </w:pPr>
    </w:p>
    <w:p>
      <w:pPr>
        <w:ind w:right="260" w:firstLine="360"/>
        <w:spacing w:after="0" w:line="279" w:lineRule="auto"/>
        <w:rPr>
          <w:sz w:val="20"/>
          <w:szCs w:val="20"/>
          <w:color w:val="auto"/>
        </w:rPr>
      </w:pPr>
      <w:r>
        <w:rPr>
          <w:rFonts w:ascii="Arial" w:cs="Arial" w:eastAsia="Arial" w:hAnsi="Arial"/>
          <w:sz w:val="17"/>
          <w:szCs w:val="17"/>
          <w:color w:val="auto"/>
        </w:rPr>
        <w:t xml:space="preserve">Our principal executive offices are located at 2435 Commerce Avenue, Bldg. 2200, Duluth, Georgia 30096. The telephone number of our principal executive offices is (770) 822-3600. We maintain a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contained on, or that can be accessed through, our corporate website or other company websites referenced elsewhere in this prospectus neither constitutes part of this prospectus nor is incorporated by reference herein.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An investment in our common stock involves risk. Before investing in our common stock, in addition to the risks and uncertainties described below under “Special Note Regarding Forward-Looking Statements,” you should carefully consider the risks and uncertainties discussed under “Risk Factors,” “Management’s Discussion and Analysis of Financial Condition and Results of Operations” and our audited consolidated financial statements and related notes thereto in our Annual Report on Form 10-K for the fiscal year ended December 30, 2017, or the Annual Report, and “Management’s Discussion and Analysis of Financial Condition and Results of Operations” and our unaudited condensed consolidated financial statements and related notes thereto in our Quarterly Reports on Form 10-Q for the quarterly periods ended March 31, 2018, June 30, 2018 and September 29, 2018, or our Quarterly Reports, each of which is incorporated by reference in this prospectus, and under “Risk Factors” or any similar caption in the other documents and reports that we file with the SEC after the date of this prospectus that are incorporated or deemed to be incorporated by reference in this prospectus as well as any risks described in any applicable prospectus supplement or free writing prospectus that we provide you in connection with an offering of common stock pursuant to this prospectus. Any of these risks could materially and adversely affect our business, financial condition, or results of operations. The selected risks incorporated by reference in this prospectus, however, are not the only risks facing us. Additional risks and uncertainties not currently known to us or those we currently view to be immaterial may also materially and adversely affect our business, financial condition, or results of operations. In such a case, the trading price of our common stock could decline and you may lose all or part of your investment.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Certain matters we discuss in this prospectus and in any prospectus supplement or free writing prospectus that we may provide to you in connection with an offering of our common stock described in this prospectus, and in the documents we incorporate or are deemed to be incorporated by reference by herein or therein, may constitute forward-looking statements. You can identify forward-looking statements because they contain words such as “believes,” “expects,” “may,” “will,” “should,” “seeks,” “intends,” “plans,” “estimates,” or “anticipates,” or similar expressions which concern our strategy, plans, projections or intentions. These forward-looking statements relate to matters such as our industry, growth strategy, goals and expectations concerning our market position, future operations, margins, profitability, capital expenditures, liquidity and capital resources and other financial and operating information. By their nature, forward-looking statements: speak only as of the date they are made; are not statements of historical fact or guarantees of future performance; and are subject to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6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There are a number of risks, uncertainties, and other important factors, many of which are beyond our control, that could cause our actual results to differ materially from the forward-looking statements contained or incorporated by reference in this prospectus and any prospectus supplement. Such risks, uncertainties, and other important factors include, among others, the risks, uncertainties and factors set forth under “Risk Factors” in our Annual Report, which is incorporated herein by reference in this prospectus, and the following:</w:t>
      </w:r>
    </w:p>
    <w:p>
      <w:pPr>
        <w:spacing w:after="0" w:line="80" w:lineRule="exact"/>
        <w:rPr>
          <w:sz w:val="20"/>
          <w:szCs w:val="20"/>
          <w:color w:val="auto"/>
        </w:rPr>
      </w:pPr>
    </w:p>
    <w:p>
      <w:pPr>
        <w:ind w:left="700" w:hanging="356"/>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open and operate new stores in a timely and cost-effective manner, and to successfully enter new markets;</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grow;</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117" w:lineRule="exact"/>
        <w:rPr>
          <w:rFonts w:ascii="Arial" w:cs="Arial" w:eastAsia="Arial" w:hAnsi="Arial"/>
          <w:sz w:val="18"/>
          <w:szCs w:val="18"/>
          <w:color w:val="auto"/>
        </w:rPr>
      </w:pPr>
    </w:p>
    <w:p>
      <w:pPr>
        <w:ind w:left="700" w:right="340" w:hanging="356"/>
        <w:spacing w:after="0" w:line="277"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managed vision care companies, vision insurance providers and other third-party payors;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maintain our current operating relationships with our host and legacy partners;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loss of, or disruption in the operations of, one or more of our distribution centers and/or optical laboratories;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successfully compete in the highly competitive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dependence on a limited number of suppliers;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and our vendors’ ability to safeguard personal information and payment card data;</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failure, inadequacy, interruption, security failure or breach of our information technology systems;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spending affecting consumer purchases;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growth strategy straining our existing resources and causing the performance of our existing stores to suffer;</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retain our existing senior management team and attract qualified new personnel;</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impact of wage rate increases, inflation, cost increases and increases in raw material prices and energy prices;</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successfully implement our marketing, advertising and promotional efforts;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associated with leasing substantial amounts of space;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liability, product recall or personal injury issues;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compliance with managed vision care laws and regulations;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reliance on third-party reimbursement for a portion of our revenues;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manage our inventory balances and inventory shrinkage;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seasonal fluctuations in our operating results and inventory levels;</w:t>
      </w:r>
    </w:p>
    <w:p>
      <w:pPr>
        <w:spacing w:after="0" w:line="117" w:lineRule="exact"/>
        <w:rPr>
          <w:rFonts w:ascii="Arial" w:cs="Arial" w:eastAsia="Arial" w:hAnsi="Arial"/>
          <w:sz w:val="18"/>
          <w:szCs w:val="18"/>
          <w:color w:val="auto"/>
        </w:rPr>
      </w:pPr>
    </w:p>
    <w:p>
      <w:pPr>
        <w:ind w:left="700" w:right="80" w:hanging="356"/>
        <w:spacing w:after="0" w:line="264"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of losses arising from our investments in technological innovators in the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failure to comply with, or changes in, laws, regulations, enforcement activities and other requirements;</w:t>
      </w:r>
    </w:p>
    <w:p>
      <w:pPr>
        <w:spacing w:after="0" w:line="117" w:lineRule="exact"/>
        <w:rPr>
          <w:rFonts w:ascii="Arial" w:cs="Arial" w:eastAsia="Arial" w:hAnsi="Arial"/>
          <w:sz w:val="18"/>
          <w:szCs w:val="18"/>
          <w:color w:val="auto"/>
        </w:rPr>
      </w:pPr>
    </w:p>
    <w:p>
      <w:pPr>
        <w:ind w:left="700" w:right="360" w:hanging="35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any adverse litigation judgments or settlements resulting from legal proceedings relating to our business operations;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leverage;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in our credit agreement that limits our flexibility in operating our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generate sufficient cash flow to satisfy our significant debt service obligations;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dependence on our subsidiaries to fund all of our operations and expenses;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associated with maintaining the requirements of being a public company;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failure to comply with requirements to design, implement and maintain effective internal controls.</w:t>
      </w:r>
    </w:p>
    <w:p>
      <w:pPr>
        <w:spacing w:after="0" w:line="117"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There may be other factors that could cause our actual results to differ materially from the forward-looking statements, including factors disclosed under “Risk Factors” and “Management’s Discussion and Analysis of Financial Condition and Results of Operations” in our Annual Report and “Management’s Discussion and Analysis of Financial Condition and Results of Operations” in our Quarterly Reports, which are incorporated herein by reference. You should evaluate all forward-looking statements made, or incorporated by reference, in this prospectus in the context of these risks and uncertainties.</w:t>
      </w:r>
    </w:p>
    <w:p>
      <w:pPr>
        <w:spacing w:after="0" w:line="64" w:lineRule="exact"/>
        <w:rPr>
          <w:sz w:val="20"/>
          <w:szCs w:val="20"/>
          <w:color w:val="auto"/>
        </w:rPr>
      </w:pPr>
    </w:p>
    <w:p>
      <w:pPr>
        <w:ind w:right="160" w:firstLine="360"/>
        <w:spacing w:after="0" w:line="272" w:lineRule="auto"/>
        <w:rPr>
          <w:sz w:val="20"/>
          <w:szCs w:val="20"/>
          <w:color w:val="auto"/>
        </w:rPr>
      </w:pPr>
      <w:r>
        <w:rPr>
          <w:rFonts w:ascii="Arial" w:cs="Arial" w:eastAsia="Arial" w:hAnsi="Arial"/>
          <w:sz w:val="17"/>
          <w:szCs w:val="17"/>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All forward-looking statements in this prospectus or in the documents incorporated by reference herein apply only as of the date made and are expressly qualified in their entirety by the cautionary statements included in this prospectus or in the documents incorporated by reference herein. We undertake no obligation to publicly update or revise any forward-looking statements to reflect subsequent events or circumstances.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not receive any of the proceeds from a sale of shares of our common stock by any selling stockholders.</w:t>
      </w:r>
    </w:p>
    <w:p>
      <w:pPr>
        <w:spacing w:after="0" w:line="24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following is a description of the material terms of, and is qualified in its entirety by, our amended and restated certificate of incorporation and amended and restated bylaws, each as in effect as of the date of this prospectus, copies of which are incorporated by reference as exhibits to the registration statement of which this prospectus is a part.</w:t>
      </w:r>
    </w:p>
    <w:p>
      <w:pPr>
        <w:spacing w:after="0" w:line="73"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Our purpose is to engage in any lawful act or activity for which corporations may now or hereafter be organized under the DGCL. Our authorized capital stock consists of 200,000,000 shares of common stock, par value $0.01 per share, and 50,000,000 shares of preferred stock, par value $0.01 per share. No shares of preferred stock are issued or outstanding as of the date of this prospectus. Unless our board of directors, or Board of Directors, determines otherwise, we will issue all shares of our capital stock in uncertificated 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Holders of our common stock are entitled to one vote for each share held of record on all matters on which stockholders are entitled to vote generally, including the election or removal of directors, subject to certain limitations. The holders of our common stock do not have cumulative voting rights in the election of directors. Upon our liquidation, dissolution or winding up or the sale of all or substantially all of our assets and after payment in full of all amounts required to be paid to creditors and to the holders of preferred stock having liquidation preferences, if any, the holders of our common stock will be entitled to receive our remaining assets available for distribution on a pro rata basis. Holders of our common stock do not have preemptive, subscription, redemption or conversion rights. The common stock is not subject to further calls or assessment by us. There are no redemption or sinking fund provisions applicable to the common stock. All shares of our common stock outstanding as of the date of this prospectus are fully paid and non-assessable. The rights, powers, preferences and privileges of holders of our common stock will be subject to those of the holders of any shares of our preferred stock we may authorize and issue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160" w:firstLine="360"/>
        <w:spacing w:after="0" w:line="279" w:lineRule="auto"/>
        <w:rPr>
          <w:sz w:val="20"/>
          <w:szCs w:val="20"/>
          <w:color w:val="auto"/>
        </w:rPr>
      </w:pPr>
      <w:r>
        <w:rPr>
          <w:rFonts w:ascii="Arial" w:cs="Arial" w:eastAsia="Arial" w:hAnsi="Arial"/>
          <w:sz w:val="17"/>
          <w:szCs w:val="17"/>
          <w:color w:val="auto"/>
        </w:rPr>
        <w:t>Our amended and restated certificate of incorporation authorizes our Board of Directors to establish one or more series of preferred stock (including convertible preferred stock). Unless required by law or by NASDAQ, the authorized shares of preferred stock will be available for issuance without further action by you. Our Board of Directors is able to determine, with respect to any series of preferred stock, the terms and rights of that series, including:</w:t>
      </w:r>
    </w:p>
    <w:p>
      <w:pPr>
        <w:spacing w:after="0" w:line="63" w:lineRule="exact"/>
        <w:rPr>
          <w:sz w:val="20"/>
          <w:szCs w:val="20"/>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17" w:lineRule="exact"/>
        <w:rPr>
          <w:rFonts w:ascii="Arial" w:cs="Arial" w:eastAsia="Arial" w:hAnsi="Arial"/>
          <w:sz w:val="18"/>
          <w:szCs w:val="18"/>
          <w:color w:val="auto"/>
        </w:rPr>
      </w:pPr>
    </w:p>
    <w:p>
      <w:pPr>
        <w:jc w:val="both"/>
        <w:ind w:left="700" w:right="240" w:hanging="356"/>
        <w:spacing w:after="0" w:line="264"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17" w:lineRule="exact"/>
        <w:rPr>
          <w:rFonts w:ascii="Arial" w:cs="Arial" w:eastAsia="Arial" w:hAnsi="Arial"/>
          <w:sz w:val="18"/>
          <w:szCs w:val="18"/>
          <w:color w:val="auto"/>
        </w:rPr>
      </w:pPr>
    </w:p>
    <w:p>
      <w:pPr>
        <w:ind w:left="700" w:right="640" w:hanging="356"/>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the affairs of our company;</w:t>
      </w:r>
    </w:p>
    <w:p>
      <w:pPr>
        <w:spacing w:after="0" w:line="62" w:lineRule="exact"/>
        <w:rPr>
          <w:rFonts w:ascii="Arial" w:cs="Arial" w:eastAsia="Arial" w:hAnsi="Arial"/>
          <w:sz w:val="18"/>
          <w:szCs w:val="18"/>
          <w:color w:val="auto"/>
        </w:rPr>
      </w:pPr>
    </w:p>
    <w:p>
      <w:pPr>
        <w:ind w:left="700" w:right="80" w:hanging="356"/>
        <w:spacing w:after="0" w:line="279" w:lineRule="auto"/>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whether the shares of the series will be convertible into shares of any other class or series, or any other security, of our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63" w:lineRule="exact"/>
        <w:rPr>
          <w:rFonts w:ascii="Arial" w:cs="Arial" w:eastAsia="Arial" w:hAnsi="Arial"/>
          <w:sz w:val="17"/>
          <w:szCs w:val="17"/>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you might believe to be in your best interests or in which you might receive a premium for your common stock over the market price of the common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70" w:lineRule="exact"/>
        <w:rPr>
          <w:sz w:val="20"/>
          <w:szCs w:val="20"/>
          <w:color w:val="auto"/>
        </w:rPr>
      </w:pPr>
    </w:p>
    <w:p>
      <w:pPr>
        <w:ind w:right="200" w:firstLine="360"/>
        <w:spacing w:after="0" w:line="302" w:lineRule="auto"/>
        <w:rPr>
          <w:sz w:val="20"/>
          <w:szCs w:val="20"/>
          <w:color w:val="auto"/>
        </w:rPr>
      </w:pPr>
      <w:r>
        <w:rPr>
          <w:rFonts w:ascii="Arial" w:cs="Arial" w:eastAsia="Arial" w:hAnsi="Arial"/>
          <w:sz w:val="16"/>
          <w:szCs w:val="16"/>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137"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71"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our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80"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Our Board of Directors may issue shares of preferred stock on terms calculated to discourage, delay or prevent a change of control of our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and employee benefit plans.</w:t>
      </w:r>
    </w:p>
    <w:p>
      <w:pPr>
        <w:spacing w:after="0" w:line="79"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Board of Directors and our management and possibly deprive our stockholders of opportunities to sell their shares of common stock at prices higher than prevailing market prices.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Our amended and restated certificate of incorporation provides that our Board of Directors be divided into three classes of directors, with the classes to be as nearly equal in number as possible, and with the directors serving three-year terms. As a result, approximately one-third of our Board of Directors is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340" w:firstLine="360"/>
        <w:spacing w:after="0" w:line="286" w:lineRule="auto"/>
        <w:rPr>
          <w:sz w:val="20"/>
          <w:szCs w:val="20"/>
          <w:color w:val="auto"/>
        </w:rPr>
      </w:pPr>
      <w:r>
        <w:rPr>
          <w:rFonts w:ascii="Arial" w:cs="Arial" w:eastAsia="Arial" w:hAnsi="Arial"/>
          <w:sz w:val="17"/>
          <w:szCs w:val="17"/>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57" w:lineRule="exact"/>
        <w:rPr>
          <w:sz w:val="20"/>
          <w:szCs w:val="20"/>
          <w:color w:val="auto"/>
        </w:rPr>
      </w:pPr>
    </w:p>
    <w:p>
      <w:pPr>
        <w:ind w:left="700" w:right="220" w:hanging="35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62" w:lineRule="exact"/>
        <w:rPr>
          <w:rFonts w:ascii="Arial" w:cs="Arial" w:eastAsia="Arial" w:hAnsi="Arial"/>
          <w:sz w:val="18"/>
          <w:szCs w:val="18"/>
          <w:color w:val="auto"/>
        </w:rPr>
      </w:pPr>
    </w:p>
    <w:p>
      <w:pPr>
        <w:ind w:left="700" w:right="80" w:hanging="356"/>
        <w:spacing w:after="0" w:line="264"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73" w:lineRule="exact"/>
        <w:rPr>
          <w:rFonts w:ascii="Arial" w:cs="Arial" w:eastAsia="Arial" w:hAnsi="Arial"/>
          <w:sz w:val="18"/>
          <w:szCs w:val="18"/>
          <w:color w:val="auto"/>
        </w:rPr>
      </w:pPr>
    </w:p>
    <w:p>
      <w:pPr>
        <w:ind w:left="700" w:right="100" w:hanging="356"/>
        <w:spacing w:after="0" w:line="257" w:lineRule="auto"/>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at or subsequent to that time, the business combination is approved by our Board of Directors and by the affirmative vote of holders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outstanding voting stock that is not owned by the interested stockholder.</w:t>
      </w:r>
    </w:p>
    <w:p>
      <w:pPr>
        <w:spacing w:after="0" w:line="2"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67"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Under certain circumstances, this provision makes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57"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Our amended and restated certificate of incorporation provides that the KKR Sponsor and Berkshire, or the Sponsors, and their affiliates and any of their respective direct or indirect transferees and any group as to which such persons are a party do not constitute “interested stockholders” for purposes of this provision.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17" w:lineRule="exact"/>
        <w:rPr>
          <w:sz w:val="20"/>
          <w:szCs w:val="20"/>
          <w:color w:val="auto"/>
        </w:rPr>
      </w:pPr>
    </w:p>
    <w:p>
      <w:pPr>
        <w:ind w:right="20" w:firstLine="360"/>
        <w:spacing w:after="0" w:line="268" w:lineRule="auto"/>
        <w:rPr>
          <w:sz w:val="20"/>
          <w:szCs w:val="20"/>
          <w:color w:val="auto"/>
        </w:rPr>
      </w:pPr>
      <w:r>
        <w:rPr>
          <w:rFonts w:ascii="Arial" w:cs="Arial" w:eastAsia="Arial" w:hAnsi="Arial"/>
          <w:sz w:val="16"/>
          <w:szCs w:val="16"/>
          <w:color w:val="auto"/>
        </w:rPr>
        <w:t>Under the DGCL, unless otherwise provided in our amended and restated certificate of incorporation, directors serving on a classified board may be removed by the stockholders only for cause. Our amended and restated certificate of incorporation and amended and restated bylaws provide that directors may only be removed for cause and only by the affirmative vote of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in voting power of all the then outstanding shares of stock entitled to vote generally in the election of directors, voting together as a single class. In addition, our amended and restated certificate of incorporation and our amended and restated bylaws also provide that, subject to the rights granted to one or more series of preferred stock then outstanding or the rights granted to the Sponsors under the stockholders agreement,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are able to elect all our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Our amended and restated certificate of incorporation provides that special meetings of our stockholders may be called at any time only by or at the direction of the Board of Directors or the chairman of the Board of Directors. Our amended and restated bylaws prohibits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Our amended and restated bylaws establishes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has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specifies requirements as to the form and content of a stockholder’s notice.</w:t>
      </w:r>
    </w:p>
    <w:p>
      <w:pPr>
        <w:spacing w:after="0" w:line="81"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Our amended and restated bylaws allows the chairman of the meeting at a meeting of the stockholders to adopt rules and regulations for the conduct of meetings which may have the effect of precluding the conduct of certain business at a meeting if the rules and regulations are not followed. These provisions may defer, delay or discourage a potential acquirer from conducting a solicitation of proxies to elect the acquirer’s own slate of directors or otherwise attempting to influence or obtain control of our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precludes stockholder action by written consent.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17" w:lineRule="exact"/>
        <w:rPr>
          <w:sz w:val="20"/>
          <w:szCs w:val="20"/>
          <w:color w:val="auto"/>
        </w:rPr>
      </w:pPr>
    </w:p>
    <w:p>
      <w:pPr>
        <w:ind w:right="60" w:firstLine="360"/>
        <w:spacing w:after="0" w:line="263"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Any amendment, alteration, change, addition, rescission or repeal of our amended and restated bylaws by our stockholders requires the affirmative vote of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in voting power of all the then-outstanding shares of stock entitled to vote generally in the election of directors, voting together as a single class.</w:t>
      </w:r>
    </w:p>
    <w:p>
      <w:pPr>
        <w:spacing w:after="0" w:line="69"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12" w:lineRule="auto"/>
        <w:rPr>
          <w:sz w:val="20"/>
          <w:szCs w:val="20"/>
          <w:color w:val="auto"/>
        </w:rPr>
      </w:pPr>
      <w:r>
        <w:rPr>
          <w:rFonts w:ascii="Arial" w:cs="Arial" w:eastAsia="Arial" w:hAnsi="Arial"/>
          <w:sz w:val="18"/>
          <w:szCs w:val="18"/>
          <w:color w:val="auto"/>
        </w:rPr>
        <w:t>The following provisions in our amended and restated certificate of incorporation may be amended, altered, repealed or rescinded only by the affirmative vote of the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in the voting power of all outstanding shares of stock entitled to vote generally in the election of directors, voting together as a single class:</w:t>
      </w:r>
    </w:p>
    <w:p>
      <w:pPr>
        <w:spacing w:after="0" w:line="2" w:lineRule="exact"/>
        <w:rPr>
          <w:sz w:val="20"/>
          <w:szCs w:val="20"/>
          <w:color w:val="auto"/>
        </w:rPr>
      </w:pPr>
    </w:p>
    <w:p>
      <w:pPr>
        <w:ind w:left="700" w:hanging="356"/>
        <w:spacing w:after="0"/>
        <w:tabs>
          <w:tab w:leader="none" w:pos="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provision requiring a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supermajority vote for stockholders to amend our amended and restated bylaws;</w:t>
      </w:r>
    </w:p>
    <w:p>
      <w:pPr>
        <w:spacing w:after="0" w:line="111" w:lineRule="exact"/>
        <w:rPr>
          <w:rFonts w:ascii="Arial" w:cs="Arial" w:eastAsia="Arial" w:hAnsi="Arial"/>
          <w:sz w:val="17"/>
          <w:szCs w:val="17"/>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our directors);</w:t>
      </w:r>
    </w:p>
    <w:p>
      <w:pPr>
        <w:spacing w:after="0" w:line="101"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of Directors and newly created directorships;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23"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amendment provision requiring that the above provisions be amended only with a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supermajority vote.</w:t>
      </w:r>
    </w:p>
    <w:p>
      <w:pPr>
        <w:spacing w:after="0" w:line="112" w:lineRule="exact"/>
        <w:rPr>
          <w:sz w:val="20"/>
          <w:szCs w:val="20"/>
          <w:color w:val="auto"/>
        </w:rPr>
      </w:pPr>
    </w:p>
    <w:p>
      <w:pPr>
        <w:ind w:right="120" w:firstLine="360"/>
        <w:spacing w:after="0" w:line="252"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86" w:lineRule="exact"/>
        <w:rPr>
          <w:sz w:val="20"/>
          <w:szCs w:val="20"/>
          <w:color w:val="auto"/>
        </w:rPr>
      </w:pPr>
    </w:p>
    <w:p>
      <w:pPr>
        <w:ind w:right="80" w:firstLine="360"/>
        <w:spacing w:after="0" w:line="271" w:lineRule="auto"/>
        <w:rPr>
          <w:sz w:val="20"/>
          <w:szCs w:val="20"/>
          <w:color w:val="auto"/>
        </w:rPr>
      </w:pPr>
      <w:r>
        <w:rPr>
          <w:rFonts w:ascii="Arial" w:cs="Arial" w:eastAsia="Arial" w:hAnsi="Arial"/>
          <w:sz w:val="17"/>
          <w:szCs w:val="17"/>
          <w:color w:val="auto"/>
        </w:rPr>
        <w:t>These provisions may have the effect of deterring hostile takeovers, delaying, or preventing changes in control of our management or our company,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21"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Derivative Actions</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or other constituents, (iii) 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in each such case subject to said Court of Chancery having personal jurisdiction over the indispensable parties named as defendants therein. Any person or entity purchasing or otherwise acquiring any interest in shares of capital stock of our company shall be deemed to have notice of and consented to the forum provisions in our amended and restated certificate of incorporation. However, the enforceability of similar forum provisions in other companies’ certificates of incorporation has been challenged in legal proceedings, and it is possible that a court could find these types of provisions to be unenforceable.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the Sponsors or any of their affiliates or any director who is not employed by us (including any non-employee director who serves as one of our officers in both his or her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the Sponsors or any of their affiliates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21"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89"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Our amended and restated bylaws provides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are useful to attract and retain qualified directors and executive officers.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85"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NASDAQ under the symbol “EYE.”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SELLING STOCKHOLDERS</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Information about selling stockholders will be set forth in a prospectus supplement, in a post-effective amendment or in filings we will make with the SEC that are incorporated by reference in this prospectus.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The selling stockholders may sell the shares of our common stock covered by this prospectus in any of the following ways (or in any combination):</w:t>
      </w:r>
    </w:p>
    <w:p>
      <w:pPr>
        <w:spacing w:after="0" w:line="62" w:lineRule="exact"/>
        <w:rPr>
          <w:sz w:val="20"/>
          <w:szCs w:val="20"/>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or through underwriters, brokers or dealers (acting as agent or principal);</w:t>
      </w:r>
    </w:p>
    <w:p>
      <w:pPr>
        <w:spacing w:after="0" w:line="117" w:lineRule="exact"/>
        <w:rPr>
          <w:rFonts w:ascii="Arial" w:cs="Arial" w:eastAsia="Arial" w:hAnsi="Arial"/>
          <w:sz w:val="18"/>
          <w:szCs w:val="18"/>
          <w:color w:val="auto"/>
        </w:rPr>
      </w:pPr>
    </w:p>
    <w:p>
      <w:pPr>
        <w:ind w:left="700" w:right="160" w:hanging="356"/>
        <w:spacing w:after="0" w:line="308" w:lineRule="auto"/>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through a block trade in which the broker or dealer engaged to handle the block trade will attempt to sell the securities as an agent, but may position and resell a portion of the block as principal to facilitate the transaction;</w:t>
      </w:r>
    </w:p>
    <w:p>
      <w:pPr>
        <w:spacing w:after="0" w:line="38" w:lineRule="exact"/>
        <w:rPr>
          <w:rFonts w:ascii="Arial" w:cs="Arial" w:eastAsia="Arial" w:hAnsi="Arial"/>
          <w:sz w:val="17"/>
          <w:szCs w:val="17"/>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directly to one or more purchasers, including through a specific bidding or auction process or otherwise;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directly to or through agents;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 or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117"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The distribution of securities may be effected from time to time in one or more transactions, including block transactions and transactions on NASDAQ or any other organized market where the securities may be traded.</w:t>
      </w:r>
    </w:p>
    <w:p>
      <w:pPr>
        <w:spacing w:after="0" w:line="62"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Each time that the selling stockholders sell shares of our common stock covered by this prospectus, we will provide a prospectus supplement that will describe the method of distribution and set forth the terms and conditions of the offering of such shares, including:</w:t>
      </w:r>
    </w:p>
    <w:p>
      <w:pPr>
        <w:spacing w:after="0" w:line="73" w:lineRule="exact"/>
        <w:rPr>
          <w:sz w:val="20"/>
          <w:szCs w:val="20"/>
          <w:color w:val="auto"/>
        </w:rPr>
      </w:pPr>
    </w:p>
    <w:p>
      <w:pPr>
        <w:ind w:left="700" w:right="120" w:hanging="356"/>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 and the amounts of shares underwritten or purchased by each of them;</w:t>
      </w:r>
    </w:p>
    <w:p>
      <w:pPr>
        <w:spacing w:after="0" w:line="62" w:lineRule="exact"/>
        <w:rPr>
          <w:rFonts w:ascii="Arial" w:cs="Arial" w:eastAsia="Arial" w:hAnsi="Arial"/>
          <w:sz w:val="18"/>
          <w:szCs w:val="18"/>
          <w:color w:val="auto"/>
        </w:rPr>
      </w:pPr>
    </w:p>
    <w:p>
      <w:pPr>
        <w:jc w:val="both"/>
        <w:ind w:left="700" w:right="40" w:hanging="356"/>
        <w:spacing w:after="0" w:line="264"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offering price of the shares and the proceeds to the selling stockholders, and any underwriting discounts, commissions, concessions or agency fees allowed or reallowed or paid to dealers, and other items constituting underwriters’, dealers’, or agents’ compensation, as applicable;</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options under which underwriters may purchase additional shares from the selling stockholders;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securities exchange or market on which the shares may be listed or traded.</w:t>
      </w:r>
    </w:p>
    <w:p>
      <w:pPr>
        <w:spacing w:after="0" w:line="117"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Any offering price and any discounts, commissions, concessions or agency fees allowed or reallowed or paid to dealers may be changed from time to time. The selling stockholders may determine the price or other terms of the shares of our common stock offered under this prospectus by use of an electronic auction. We will describe how any auction will determine the price or any other terms, how potential investors may participate in the auction and the nature of the obligations of the underwriter, dealer or agent in the applicable prospectus supplement.</w:t>
      </w:r>
    </w:p>
    <w:p>
      <w:pPr>
        <w:spacing w:after="0" w:line="80"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the selling stockholders sell securities to a dealer acting as a principal, the dealer may resell such securities at varying prices to be determined by such dealer in its discretion at the time of resale without consulting with the selling stockholders and such resale prices may not be disclosed in the applicable prospectus supplement.</w:t>
      </w:r>
    </w:p>
    <w:p>
      <w:pPr>
        <w:spacing w:after="0" w:line="73" w:lineRule="exact"/>
        <w:rPr>
          <w:sz w:val="20"/>
          <w:szCs w:val="20"/>
          <w:color w:val="auto"/>
        </w:rPr>
      </w:pPr>
    </w:p>
    <w:p>
      <w:pPr>
        <w:jc w:val="both"/>
        <w:ind w:right="20" w:firstLine="360"/>
        <w:spacing w:after="0" w:line="286" w:lineRule="auto"/>
        <w:rPr>
          <w:sz w:val="20"/>
          <w:szCs w:val="20"/>
          <w:color w:val="auto"/>
        </w:rPr>
      </w:pPr>
      <w:r>
        <w:rPr>
          <w:rFonts w:ascii="Arial" w:cs="Arial" w:eastAsia="Arial" w:hAnsi="Arial"/>
          <w:sz w:val="17"/>
          <w:szCs w:val="17"/>
          <w:color w:val="auto"/>
        </w:rPr>
        <w:t>The selling stockholders may distribute the shares from time to time in one or more transactions at a fixed price or at prices that may be changed from time to time, at market prices prevailing at the time of sale, at prices relating to such prevailing market prices or at negotiated prices. Any of the prices may represent a discount of then-prevailing market prices.</w:t>
      </w:r>
    </w:p>
    <w:p>
      <w:pPr>
        <w:spacing w:after="0" w:line="5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Underwriters, dealers or any other third parties described above may offer and sell the offered shares from time to time in one or more transactions, including negotiated transactions, at a fixed public offering price or at varying prices determined at the time of sale. If underwriters or dealers are used in the sale of any shares, the shares will be acquired by the underwriters or dealers for their own account and may be resold from time to time in one or more transactions, including negotiated transactions, at a fixed public offering price or at varying prices determined at the time of sale. The shares may be either offered to the public through underwriting syndicates represented by managing underwriters, or directly by underwriters. Generally, the underwriters’ obligations 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purchase the shares will be subject to certain conditions precedent. The underwriters will be obligated to purchase all of the shares if they purchase any of the shares (other than any shares purchased upon exercise of any option to purchase additional shares), unless otherwise specified in the prospectus supplement. The selling stockholders may use underwriters with whom we have a material relationship. We will describe the nature of any such relationship in the prospectus supplement, naming the underwriter or underwriters.</w:t>
      </w:r>
    </w:p>
    <w:p>
      <w:pPr>
        <w:spacing w:after="0" w:line="80"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The selling stockholders may sell the shares through agents from time to time. The prospectus supplement will name any agent involved in the offer or sale of the shares and any commissions paid to them. Generally, any agent will be acting on a best efforts basis for the period of its appointment. The selling stockholders may engage in at the market offerings into an existing trading market in accordance with Rule 415(a)(4) under the Securities Act. The selling stockholders may authorize underwriters, dealers or agents to solicit offers by certain purchasers to purchase the shares from the selling stockholders at the public offering price set forth in the prospectus supplement pursuant to delayed delivery contracts providing for payment and delivery on a specified date in the future. These contracts will be subject only to those conditions set forth in the prospectus supplement, and the prospectus supplement will set forth any commissions to be paid for solicitation of these contracts. Any underwriters, broker-dealers and agents that participate in the distribution of the shares may be deemed to be “underwriters” as defined in the Securities Act. Any commissions paid or any discounts or concessions allowed to any such persons, and any profits they receive on resale of the shares, may be deemed to be underwriting discounts and commissions under the Securities Act. We will identify any underwriters or agents and describe their compensation in a prospectus supplement.</w:t>
      </w:r>
    </w:p>
    <w:p>
      <w:pPr>
        <w:spacing w:after="0" w:line="6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Offered shares may also be offered and sold, if so indicated in the applicable prospectus supplement, in connection with a remarketing upon their purchase, in accordance with a redemption or repayment pursuant to their terms, or otherwise, by one or more marketing firms, acting as principals for their own accounts or as agents for the selling stockholders. Any remarketing firm will be identified and the terms of its agreements, if any, with us and its compensation will be described in the applicable prospectus supplement.</w:t>
      </w:r>
    </w:p>
    <w:p>
      <w:pPr>
        <w:spacing w:after="0" w:line="80" w:lineRule="exact"/>
        <w:rPr>
          <w:sz w:val="20"/>
          <w:szCs w:val="20"/>
          <w:color w:val="auto"/>
        </w:rPr>
      </w:pPr>
    </w:p>
    <w:p>
      <w:pPr>
        <w:ind w:firstLine="360"/>
        <w:spacing w:after="0" w:line="308" w:lineRule="auto"/>
        <w:rPr>
          <w:sz w:val="20"/>
          <w:szCs w:val="20"/>
          <w:color w:val="auto"/>
        </w:rPr>
      </w:pPr>
      <w:r>
        <w:rPr>
          <w:rFonts w:ascii="Arial" w:cs="Arial" w:eastAsia="Arial" w:hAnsi="Arial"/>
          <w:sz w:val="17"/>
          <w:szCs w:val="17"/>
          <w:color w:val="auto"/>
        </w:rPr>
        <w:t>Underwriters or agents may purchase and sell the shares in the open market. These transactions may include over-allotments or short sales of the securities, stabilizing transactions, syndicate covering transactions and penalty bids.</w:t>
      </w:r>
    </w:p>
    <w:p>
      <w:pPr>
        <w:spacing w:after="0" w:line="38"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Over-allotment or short sales involve sales by persons participating in the offering of more securities than were sold to them. In these circumstances, these persons would cover such over-allotments or short positions by making purchases in the open market or by exercising their over-allotment option, if any. Stabilizing transactions consist of bids or purchases for the purpose of preventing or retarding a decline in the market price of the shares and are permitted so long as the stabilizing bids do not exceed a specified maximum. Syndicate covering transactions involve the placing of any bid on behalf of the underwriting syndicate or the effecting of any purchase to reduce a short position created in connection with the offering. The underwriters or agents also may impose a penalty bid, which permits them to reclaim selling concessions allowed to syndicate members or certain dealers if they repurchase the shares in stabilizing or covering transactions. These activities may stabilize, maintain or otherwise affect the market price of the shares, which may be higher than the price that might otherwise prevail in the open market. These activities, if begun, may be discontinued at any time. These transactions may be effected on any exchange on which the shares are traded, in the over-the-counter market or otherwise.</w:t>
      </w:r>
    </w:p>
    <w:p>
      <w:pPr>
        <w:spacing w:after="0" w:line="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under the symbol “EYE.”</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at the time of any offering made under this prospectus a member of the Financial Industry Regulatory Authority, Inc., or FINRA, participating in the offering has a “conflict of interest” as defined in FINRA’s Rule 5121, or Rule 5121, that offering will be conducted in accordance with the relevant provisions of Rule 5121.</w:t>
      </w:r>
    </w:p>
    <w:p>
      <w:pPr>
        <w:spacing w:after="0" w:line="73"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There can be no assurance that the selling stockholders will sell all or any of the shares of common stock offered by this prospectus.</w:t>
      </w:r>
    </w:p>
    <w:p>
      <w:pPr>
        <w:spacing w:after="0" w:line="62" w:lineRule="exact"/>
        <w:rPr>
          <w:sz w:val="20"/>
          <w:szCs w:val="20"/>
          <w:color w:val="auto"/>
        </w:rPr>
      </w:pPr>
    </w:p>
    <w:p>
      <w:pPr>
        <w:ind w:right="620" w:firstLine="360"/>
        <w:spacing w:after="0" w:line="308" w:lineRule="auto"/>
        <w:rPr>
          <w:sz w:val="20"/>
          <w:szCs w:val="20"/>
          <w:color w:val="auto"/>
        </w:rPr>
      </w:pPr>
      <w:r>
        <w:rPr>
          <w:rFonts w:ascii="Arial" w:cs="Arial" w:eastAsia="Arial" w:hAnsi="Arial"/>
          <w:sz w:val="17"/>
          <w:szCs w:val="17"/>
          <w:color w:val="auto"/>
        </w:rPr>
        <w:t>The selling stockholders may also sell securities under Rule 144 of the Securities Act, if available, or pursuant to other available exemptions from registration requirements under the Securities Act, rather than under this prospectus.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99" w:firstLine="360"/>
        <w:spacing w:after="0" w:line="264" w:lineRule="auto"/>
        <w:rPr>
          <w:sz w:val="20"/>
          <w:szCs w:val="20"/>
          <w:color w:val="auto"/>
        </w:rPr>
      </w:pPr>
      <w:r>
        <w:rPr>
          <w:rFonts w:ascii="Arial" w:cs="Arial" w:eastAsia="Arial" w:hAnsi="Arial"/>
          <w:sz w:val="18"/>
          <w:szCs w:val="18"/>
          <w:color w:val="auto"/>
        </w:rPr>
        <w:t>Agents, dealers and underwriters may be entitled to indemnification by us and the selling stockholders against certain civil liabilities, including liabilities under the Securities Act, or to contribution with respect to payments which the agents, dealers or underwriters may be required to make in respect thereof.</w:t>
      </w:r>
    </w:p>
    <w:p>
      <w:pPr>
        <w:spacing w:after="0" w:line="73" w:lineRule="exact"/>
        <w:rPr>
          <w:sz w:val="20"/>
          <w:szCs w:val="20"/>
          <w:color w:val="auto"/>
        </w:rPr>
      </w:pPr>
    </w:p>
    <w:p>
      <w:pPr>
        <w:jc w:val="both"/>
        <w:ind w:right="119" w:firstLine="360"/>
        <w:spacing w:after="0" w:line="277" w:lineRule="auto"/>
        <w:rPr>
          <w:sz w:val="20"/>
          <w:szCs w:val="20"/>
          <w:color w:val="auto"/>
        </w:rPr>
      </w:pPr>
      <w:r>
        <w:rPr>
          <w:rFonts w:ascii="Arial" w:cs="Arial" w:eastAsia="Arial" w:hAnsi="Arial"/>
          <w:sz w:val="18"/>
          <w:szCs w:val="18"/>
          <w:color w:val="auto"/>
        </w:rPr>
        <w:t>The specific terms of the lock-up provisions in respect of any given offering will be described in the applicable prospectus supplement.</w:t>
      </w:r>
    </w:p>
    <w:p>
      <w:pPr>
        <w:spacing w:after="0" w:line="17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120" w:firstLine="360"/>
        <w:spacing w:after="0" w:line="342" w:lineRule="auto"/>
        <w:rPr>
          <w:sz w:val="20"/>
          <w:szCs w:val="20"/>
          <w:color w:val="auto"/>
        </w:rPr>
      </w:pPr>
      <w:r>
        <w:rPr>
          <w:rFonts w:ascii="Arial" w:cs="Arial" w:eastAsia="Arial" w:hAnsi="Arial"/>
          <w:sz w:val="16"/>
          <w:szCs w:val="16"/>
          <w:color w:val="auto"/>
        </w:rPr>
        <w:t>Unless we state otherwise in the applicable prospectus supplement, the validity of the shares of common stock offered by this prospectus will be passed upon for us and the selling stockholders by Simpson Thacher &amp; Bartlett LLP, New York, New York.</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The consolidated financial statements incorporated in this prospectus by reference from the Company’s Annual Report on Form 10-K have been audited by Deloitte &amp; Touche LLP, an independent registered public accounting firm, as stated in their report, which is incorporated herein by reference. Such consolidated financial statements have been so incorporated in reliance upon the report of such firm given upon their authority as experts in accounting and auditing.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We have filed with the SEC a registration statement on Form S-3 under the Securities Act with respect to the common stock offered by this prospectus.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in this prospectus about the contents of any contract, agreement or other document are not necessarily complete and in each instance that a copy of such contract, agreement or document has been filed as an exhibit to the registration statement, we refer you to the copy that we have filed as an exhibit.</w:t>
      </w:r>
    </w:p>
    <w:p>
      <w:pPr>
        <w:spacing w:after="0" w:line="70"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 xml:space="preserve">We file annual, quarterly and special reports and other information with the SEC. Our filings with the SEC, including the filings that are incorporated by reference to this prospectus, are available to the public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Those filings will also be available to the public on, or accessible through, our corporate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we file with the SEC or contained on or accessible through our corporate website or any other website that we may maintain is not part of this prospectus or the registration statement of which this prospectus is a part.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Securities Exchange Act of 1934, as amended, or the Exchange Act, and applicable SEC rules, are not deemed “filed”) and all documents that we subsequently file with the SEC under Sections 13(a), 13(c), 14 or 15(d) of the Exchange Act prior to the termination of the offering of shares by means of this prospectus but excluding any documents furnished to, rather than filed with, the SEC, will also be incorporated by reference in this prospectus and deemed to be part of this prospectus, from their respective filing dates:</w:t>
      </w:r>
    </w:p>
    <w:p>
      <w:pPr>
        <w:spacing w:after="0" w:line="58" w:lineRule="exact"/>
        <w:rPr>
          <w:sz w:val="20"/>
          <w:szCs w:val="20"/>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30, 2017, filed on March 8, 2018;</w:t>
      </w:r>
    </w:p>
    <w:p>
      <w:pPr>
        <w:spacing w:after="0" w:line="117" w:lineRule="exact"/>
        <w:rPr>
          <w:rFonts w:ascii="Arial" w:cs="Arial" w:eastAsia="Arial" w:hAnsi="Arial"/>
          <w:sz w:val="18"/>
          <w:szCs w:val="18"/>
          <w:color w:val="auto"/>
        </w:rPr>
      </w:pPr>
    </w:p>
    <w:p>
      <w:pPr>
        <w:ind w:left="700" w:right="140" w:hanging="356"/>
        <w:spacing w:after="0" w:line="277"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2018, filed on May 15, 2018, June 30, 2018, filed on August 14, 2018, and September 29, 2018, filed on November 13, 2018;</w:t>
      </w:r>
    </w:p>
    <w:p>
      <w:pPr>
        <w:spacing w:after="0" w:line="62"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Current Reports on Form 8-K filed on January 23, 2018, March 19, 2018, June 7, 2018, July 30, 2018, September 10, 2018 and October 9, 2018; and</w:t>
      </w:r>
    </w:p>
    <w:p>
      <w:pPr>
        <w:spacing w:after="0" w:line="62" w:lineRule="exact"/>
        <w:rPr>
          <w:rFonts w:ascii="Arial" w:cs="Arial" w:eastAsia="Arial" w:hAnsi="Arial"/>
          <w:sz w:val="18"/>
          <w:szCs w:val="18"/>
          <w:color w:val="auto"/>
        </w:rPr>
      </w:pPr>
    </w:p>
    <w:p>
      <w:pPr>
        <w:ind w:left="700" w:right="340" w:hanging="356"/>
        <w:spacing w:after="0" w:line="308" w:lineRule="auto"/>
        <w:tabs>
          <w:tab w:leader="none" w:pos="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description of our common stock contained in the Registration Statement on Form 8-A filed on October 24, 2017, including any amendments or reports filed for the purposes of updating such description.</w:t>
      </w:r>
    </w:p>
    <w:p>
      <w:pPr>
        <w:spacing w:after="0" w:line="38"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National Vision Holdings, Inc., 2435 Commerce Avenue, Bldg. 2200, Duluth, Georgia 30096; Attention: Corporate Secretary (telephone: 770-822-3600).</w:t>
      </w:r>
    </w:p>
    <w:p>
      <w:pPr>
        <w:spacing w:after="0" w:line="46"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Exhibits to any documents incorporated by reference in this prospectus will not be sent, however, unless those exhibits have been specifically referenced in this prospectus.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0718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152400</wp:posOffset>
            </wp:positionV>
            <wp:extent cx="60718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260"/>
        <w:spacing w:after="0"/>
        <w:rPr>
          <w:sz w:val="20"/>
          <w:szCs w:val="20"/>
          <w:color w:val="auto"/>
        </w:rPr>
      </w:pPr>
      <w:r>
        <w:rPr>
          <w:rFonts w:ascii="Arial" w:cs="Arial" w:eastAsia="Arial" w:hAnsi="Arial"/>
          <w:sz w:val="25"/>
          <w:szCs w:val="25"/>
          <w:b w:val="1"/>
          <w:bCs w:val="1"/>
          <w:color w:val="auto"/>
        </w:rPr>
        <w:t>12,500,000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226695</wp:posOffset>
            </wp:positionV>
            <wp:extent cx="1346200" cy="1046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46200"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60"/>
        <w:spacing w:after="0"/>
        <w:rPr>
          <w:sz w:val="20"/>
          <w:szCs w:val="20"/>
          <w:color w:val="auto"/>
        </w:rPr>
      </w:pPr>
      <w:r>
        <w:rPr>
          <w:rFonts w:ascii="Arial" w:cs="Arial" w:eastAsia="Arial" w:hAnsi="Arial"/>
          <w:sz w:val="36"/>
          <w:szCs w:val="36"/>
          <w:b w:val="1"/>
          <w:bCs w:val="1"/>
          <w:color w:val="auto"/>
        </w:rPr>
        <w:t>National Vision Holdings, Inc.</w:t>
      </w:r>
    </w:p>
    <w:p>
      <w:pPr>
        <w:spacing w:after="0" w:line="200" w:lineRule="exact"/>
        <w:rPr>
          <w:sz w:val="20"/>
          <w:szCs w:val="20"/>
          <w:color w:val="auto"/>
        </w:rPr>
      </w:pPr>
    </w:p>
    <w:p>
      <w:pPr>
        <w:spacing w:after="0" w:line="237" w:lineRule="exact"/>
        <w:rPr>
          <w:sz w:val="20"/>
          <w:szCs w:val="20"/>
          <w:color w:val="auto"/>
        </w:rPr>
      </w:pPr>
    </w:p>
    <w:p>
      <w:pPr>
        <w:jc w:val="center"/>
        <w:ind w:right="-260"/>
        <w:spacing w:after="0"/>
        <w:rPr>
          <w:sz w:val="20"/>
          <w:szCs w:val="20"/>
          <w:color w:val="auto"/>
        </w:rPr>
      </w:pPr>
      <w:r>
        <w:rPr>
          <w:rFonts w:ascii="Arial" w:cs="Arial" w:eastAsia="Arial" w:hAnsi="Arial"/>
          <w:sz w:val="36"/>
          <w:szCs w:val="3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739140</wp:posOffset>
            </wp:positionV>
            <wp:extent cx="14490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60"/>
        <w:spacing w:after="0"/>
        <w:rPr>
          <w:sz w:val="20"/>
          <w:szCs w:val="20"/>
          <w:color w:val="auto"/>
        </w:rPr>
      </w:pPr>
      <w:r>
        <w:rPr>
          <w:rFonts w:ascii="Arial" w:cs="Arial" w:eastAsia="Arial" w:hAnsi="Arial"/>
          <w:sz w:val="25"/>
          <w:szCs w:val="25"/>
          <w:b w:val="1"/>
          <w:bCs w:val="1"/>
          <w:color w:val="auto"/>
        </w:rPr>
        <w:t>Prospectus</w:t>
      </w:r>
    </w:p>
    <w:p>
      <w:pPr>
        <w:spacing w:after="0" w:line="200" w:lineRule="exact"/>
        <w:rPr>
          <w:sz w:val="20"/>
          <w:szCs w:val="20"/>
          <w:color w:val="auto"/>
        </w:rPr>
      </w:pPr>
    </w:p>
    <w:p>
      <w:pPr>
        <w:spacing w:after="0" w:line="242" w:lineRule="exact"/>
        <w:rPr>
          <w:sz w:val="20"/>
          <w:szCs w:val="20"/>
          <w:color w:val="auto"/>
        </w:rPr>
      </w:pPr>
    </w:p>
    <w:p>
      <w:pPr>
        <w:jc w:val="center"/>
        <w:ind w:right="-260"/>
        <w:spacing w:after="0"/>
        <w:rPr>
          <w:sz w:val="20"/>
          <w:szCs w:val="20"/>
          <w:color w:val="auto"/>
        </w:rPr>
      </w:pPr>
      <w:r>
        <w:rPr>
          <w:rFonts w:ascii="Arial" w:cs="Arial" w:eastAsia="Arial" w:hAnsi="Arial"/>
          <w:sz w:val="25"/>
          <w:szCs w:val="25"/>
          <w:b w:val="1"/>
          <w:bCs w:val="1"/>
          <w:color w:val="auto"/>
        </w:rPr>
        <w:t>November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149225</wp:posOffset>
            </wp:positionV>
            <wp:extent cx="14490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72" w:lineRule="exact"/>
        <w:rPr>
          <w:sz w:val="20"/>
          <w:szCs w:val="20"/>
          <w:color w:val="auto"/>
        </w:rPr>
      </w:pPr>
    </w:p>
    <w:p>
      <w:pPr>
        <w:ind w:left="580"/>
        <w:spacing w:after="0"/>
        <w:tabs>
          <w:tab w:leader="none" w:pos="6560" w:val="left"/>
        </w:tabs>
        <w:rPr>
          <w:sz w:val="20"/>
          <w:szCs w:val="20"/>
          <w:color w:val="auto"/>
        </w:rPr>
      </w:pPr>
      <w:r>
        <w:rPr>
          <w:rFonts w:ascii="Arial" w:cs="Arial" w:eastAsia="Arial" w:hAnsi="Arial"/>
          <w:sz w:val="29"/>
          <w:szCs w:val="29"/>
          <w:b w:val="1"/>
          <w:bCs w:val="1"/>
          <w:color w:val="auto"/>
        </w:rPr>
        <w:t>Goldman Sachs &amp; Co. LLC</w:t>
      </w:r>
      <w:r>
        <w:rPr>
          <w:sz w:val="20"/>
          <w:szCs w:val="20"/>
          <w:color w:val="auto"/>
        </w:rPr>
        <w:tab/>
      </w:r>
      <w:r>
        <w:rPr>
          <w:rFonts w:ascii="Arial" w:cs="Arial" w:eastAsia="Arial" w:hAnsi="Arial"/>
          <w:sz w:val="26"/>
          <w:szCs w:val="26"/>
          <w:b w:val="1"/>
          <w:bCs w:val="1"/>
          <w:color w:val="auto"/>
        </w:rPr>
        <w:t>Citigroup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60718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211455</wp:posOffset>
            </wp:positionV>
            <wp:extent cx="60718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520700</wp:posOffset>
            </wp:positionV>
            <wp:extent cx="607187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sectPr>
      <w:pgSz w:w="11900" w:h="16838" w:orient="portrait"/>
      <w:cols w:equalWidth="0" w:num="1">
        <w:col w:w="9279"/>
      </w:cols>
      <w:pgMar w:left="1180" w:top="2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lowerLetter"/>
      <w:start w:val="1"/>
    </w:lvl>
  </w:abstractNum>
  <w:abstractNum w:abstractNumId="6">
    <w:nsid w:val="62BBD95A"/>
    <w:multiLevelType w:val="hybridMultilevel"/>
    <w:lvl w:ilvl="0">
      <w:lvlJc w:val="left"/>
      <w:lvlText w:val="(%1)"/>
      <w:numFmt w:val="lowerLetter"/>
      <w:start w:val="12"/>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lowerLetter"/>
      <w:start w:val="1"/>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lowerLetter"/>
      <w:start w:val="4"/>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2019-12-08T15:59:35Z</dcterms:created>
  <dcterms:modified xsi:type="dcterms:W3CDTF">2019-12-08T15:59:35Z</dcterms:modified>
</cp:coreProperties>
</file>