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333-228382</w:t>
      </w:r>
    </w:p>
    <w:p>
      <w:pPr>
        <w:spacing w:after="0" w:line="192"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60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gridSpan w:val="2"/>
          </w:tcPr>
          <w:p>
            <w:pPr>
              <w:spacing w:after="0"/>
              <w:rPr>
                <w:sz w:val="3"/>
                <w:szCs w:val="3"/>
                <w:color w:val="auto"/>
              </w:rPr>
            </w:pPr>
          </w:p>
        </w:tc>
        <w:tc>
          <w:tcPr>
            <w:tcW w:w="1540" w:type="dxa"/>
            <w:vAlign w:val="bottom"/>
            <w:tcBorders>
              <w:top w:val="single" w:sz="8" w:color="auto"/>
              <w:bottom w:val="single" w:sz="8" w:color="auto"/>
              <w:right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6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2"/>
          </w:tcPr>
          <w:p>
            <w:pPr>
              <w:jc w:val="center"/>
              <w:spacing w:after="0" w:line="103" w:lineRule="exact"/>
              <w:rPr>
                <w:sz w:val="20"/>
                <w:szCs w:val="20"/>
                <w:color w:val="auto"/>
              </w:rPr>
            </w:pPr>
            <w:r>
              <w:rPr>
                <w:rFonts w:ascii="Arial" w:cs="Arial" w:eastAsia="Arial" w:hAnsi="Arial"/>
                <w:sz w:val="11"/>
                <w:szCs w:val="11"/>
                <w:b w:val="1"/>
                <w:bCs w:val="1"/>
                <w:color w:val="auto"/>
              </w:rPr>
              <w:t>Proposed Maximum</w:t>
            </w:r>
          </w:p>
        </w:tc>
        <w:tc>
          <w:tcPr>
            <w:tcW w:w="15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Proposed Maximum</w:t>
            </w: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34"/>
        </w:trPr>
        <w:tc>
          <w:tcPr>
            <w:tcW w:w="20" w:type="dxa"/>
            <w:vAlign w:val="bottom"/>
          </w:tcPr>
          <w:p>
            <w:pPr>
              <w:spacing w:after="0"/>
              <w:rPr>
                <w:sz w:val="11"/>
                <w:szCs w:val="11"/>
                <w:color w:val="auto"/>
              </w:rPr>
            </w:pPr>
          </w:p>
        </w:tc>
        <w:tc>
          <w:tcPr>
            <w:tcW w:w="3600" w:type="dxa"/>
            <w:vAlign w:val="bottom"/>
            <w:tcBorders>
              <w:right w:val="single" w:sz="8" w:color="auto"/>
            </w:tcBorders>
          </w:tcPr>
          <w:p>
            <w:pPr>
              <w:jc w:val="center"/>
              <w:ind w:right="26"/>
              <w:spacing w:after="0" w:line="135" w:lineRule="exact"/>
              <w:rPr>
                <w:sz w:val="20"/>
                <w:szCs w:val="20"/>
                <w:color w:val="auto"/>
              </w:rPr>
            </w:pPr>
            <w:r>
              <w:rPr>
                <w:rFonts w:ascii="Arial" w:cs="Arial" w:eastAsia="Arial" w:hAnsi="Arial"/>
                <w:sz w:val="14"/>
                <w:szCs w:val="14"/>
                <w:b w:val="1"/>
                <w:bCs w:val="1"/>
                <w:color w:val="auto"/>
                <w:w w:val="85"/>
              </w:rPr>
              <w:t>Title of Each Class of Securities</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Amount To be</w:t>
            </w:r>
          </w:p>
        </w:tc>
        <w:tc>
          <w:tcPr>
            <w:tcW w:w="180" w:type="dxa"/>
            <w:vAlign w:val="bottom"/>
          </w:tcPr>
          <w:p>
            <w:pPr>
              <w:spacing w:after="0"/>
              <w:rPr>
                <w:sz w:val="11"/>
                <w:szCs w:val="11"/>
                <w:color w:val="auto"/>
              </w:rPr>
            </w:pPr>
          </w:p>
        </w:tc>
        <w:tc>
          <w:tcPr>
            <w:tcW w:w="1340" w:type="dxa"/>
            <w:vAlign w:val="bottom"/>
            <w:tcBorders>
              <w:right w:val="single" w:sz="8" w:color="auto"/>
            </w:tcBorders>
          </w:tcPr>
          <w:p>
            <w:pPr>
              <w:jc w:val="center"/>
              <w:ind w:right="147"/>
              <w:spacing w:after="0" w:line="135" w:lineRule="exact"/>
              <w:rPr>
                <w:sz w:val="20"/>
                <w:szCs w:val="20"/>
                <w:color w:val="auto"/>
              </w:rPr>
            </w:pPr>
            <w:r>
              <w:rPr>
                <w:rFonts w:ascii="Arial" w:cs="Arial" w:eastAsia="Arial" w:hAnsi="Arial"/>
                <w:sz w:val="14"/>
                <w:szCs w:val="14"/>
                <w:b w:val="1"/>
                <w:bCs w:val="1"/>
                <w:color w:val="auto"/>
                <w:w w:val="90"/>
              </w:rPr>
              <w:t>Offering Price Per</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Pr>
          <w:p>
            <w:pPr>
              <w:spacing w:after="0"/>
              <w:rPr>
                <w:sz w:val="11"/>
                <w:szCs w:val="11"/>
                <w:color w:val="auto"/>
              </w:rPr>
            </w:pPr>
          </w:p>
        </w:tc>
        <w:tc>
          <w:tcPr>
            <w:tcW w:w="110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91"/>
              </w:rPr>
              <w:t>Amount Of</w:t>
            </w:r>
          </w:p>
        </w:tc>
      </w:tr>
      <w:tr>
        <w:trPr>
          <w:trHeight w:val="189"/>
        </w:trPr>
        <w:tc>
          <w:tcPr>
            <w:tcW w:w="20" w:type="dxa"/>
            <w:vAlign w:val="bottom"/>
          </w:tcPr>
          <w:p>
            <w:pPr>
              <w:spacing w:after="0"/>
              <w:rPr>
                <w:sz w:val="16"/>
                <w:szCs w:val="16"/>
                <w:color w:val="auto"/>
              </w:rPr>
            </w:pPr>
          </w:p>
        </w:tc>
        <w:tc>
          <w:tcPr>
            <w:tcW w:w="360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5"/>
              </w:rPr>
              <w:t>To Be 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147"/>
              <w:spacing w:after="0" w:line="189" w:lineRule="exact"/>
              <w:rPr>
                <w:sz w:val="20"/>
                <w:szCs w:val="20"/>
                <w:color w:val="auto"/>
              </w:rPr>
            </w:pPr>
            <w:r>
              <w:rPr>
                <w:rFonts w:ascii="Arial" w:cs="Arial" w:eastAsia="Arial" w:hAnsi="Arial"/>
                <w:sz w:val="13"/>
                <w:szCs w:val="13"/>
                <w:b w:val="1"/>
                <w:bCs w:val="1"/>
                <w:color w:val="auto"/>
                <w:w w:val="90"/>
              </w:rPr>
              <w:t>Share</w:t>
            </w:r>
            <w:r>
              <w:rPr>
                <w:rFonts w:ascii="Arial" w:cs="Arial" w:eastAsia="Arial" w:hAnsi="Arial"/>
                <w:sz w:val="21"/>
                <w:szCs w:val="21"/>
                <w:b w:val="1"/>
                <w:bCs w:val="1"/>
                <w:color w:val="auto"/>
                <w:w w:val="90"/>
                <w:vertAlign w:val="superscript"/>
              </w:rPr>
              <w:t>(1)</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5"/>
              </w:rPr>
              <w:t>Price</w:t>
            </w:r>
            <w:r>
              <w:rPr>
                <w:rFonts w:ascii="Arial" w:cs="Arial" w:eastAsia="Arial" w:hAnsi="Arial"/>
                <w:sz w:val="21"/>
                <w:szCs w:val="21"/>
                <w:b w:val="1"/>
                <w:bCs w:val="1"/>
                <w:color w:val="auto"/>
                <w:w w:val="85"/>
                <w:vertAlign w:val="superscript"/>
              </w:rPr>
              <w:t>(1)</w:t>
            </w:r>
          </w:p>
        </w:tc>
        <w:tc>
          <w:tcPr>
            <w:tcW w:w="136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(1)</w:t>
            </w:r>
          </w:p>
        </w:tc>
      </w:tr>
      <w:tr>
        <w:trPr>
          <w:trHeight w:val="217"/>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Common Stock, par value $0.01 per share</w:t>
            </w:r>
          </w:p>
        </w:tc>
        <w:tc>
          <w:tcPr>
            <w:tcW w:w="15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7"/>
                <w:szCs w:val="17"/>
                <w:color w:val="auto"/>
              </w:rPr>
              <w:t>9,149,908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7"/>
                <w:szCs w:val="17"/>
                <w:color w:val="auto"/>
              </w:rPr>
              <w:t>31.00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  283,647,148.00</w:t>
            </w:r>
          </w:p>
        </w:tc>
        <w:tc>
          <w:tcPr>
            <w:tcW w:w="26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34,378.03</w:t>
            </w:r>
          </w:p>
        </w:tc>
      </w:tr>
      <w:tr>
        <w:trPr>
          <w:trHeight w:val="54"/>
        </w:trPr>
        <w:tc>
          <w:tcPr>
            <w:tcW w:w="2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197" w:lineRule="exact"/>
        <w:rPr>
          <w:sz w:val="24"/>
          <w:szCs w:val="24"/>
          <w:color w:val="auto"/>
        </w:rPr>
      </w:pPr>
    </w:p>
    <w:p>
      <w:pPr>
        <w:ind w:left="347" w:right="16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is calculated and being paid in accordance with Rule 456(b) and Rule 457(r) under the Securities Act of 1933, as amended, and relates to the Registration Statement on Form S-3 (File No. 333-228382) filed by the registrant on November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607187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PROSPECTUS SUPPLEMENT</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(To Prospectus dated November 14, 2018)</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9,149,908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158115</wp:posOffset>
            </wp:positionV>
            <wp:extent cx="1217930"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93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
        <w:spacing w:after="0"/>
        <w:rPr>
          <w:sz w:val="20"/>
          <w:szCs w:val="20"/>
          <w:color w:val="auto"/>
        </w:rPr>
      </w:pPr>
      <w:r>
        <w:rPr>
          <w:rFonts w:ascii="Arial" w:cs="Arial" w:eastAsia="Arial" w:hAnsi="Arial"/>
          <w:sz w:val="29"/>
          <w:szCs w:val="29"/>
          <w:b w:val="1"/>
          <w:bCs w:val="1"/>
          <w:color w:val="auto"/>
        </w:rPr>
        <w:t>National Vision Holdings, Inc.</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314" w:lineRule="exact"/>
        <w:rPr>
          <w:sz w:val="20"/>
          <w:szCs w:val="20"/>
          <w:color w:val="auto"/>
        </w:rPr>
      </w:pPr>
    </w:p>
    <w:p>
      <w:pPr>
        <w:ind w:left="7" w:right="100" w:firstLine="360"/>
        <w:spacing w:after="0" w:line="308" w:lineRule="auto"/>
        <w:rPr>
          <w:sz w:val="20"/>
          <w:szCs w:val="20"/>
          <w:color w:val="auto"/>
        </w:rPr>
      </w:pPr>
      <w:r>
        <w:rPr>
          <w:rFonts w:ascii="Arial" w:cs="Arial" w:eastAsia="Arial" w:hAnsi="Arial"/>
          <w:sz w:val="17"/>
          <w:szCs w:val="17"/>
          <w:color w:val="auto"/>
        </w:rPr>
        <w:t>The selling stockholder named in this prospectus supplement is offering 9,149,908 shares of common stock of National Vision Holdings, Inc. We will not receive any proceeds from the sale of our common stock by the selling stockholder.</w:t>
      </w:r>
    </w:p>
    <w:p>
      <w:pPr>
        <w:spacing w:after="0" w:line="93" w:lineRule="exact"/>
        <w:rPr>
          <w:sz w:val="20"/>
          <w:szCs w:val="20"/>
          <w:color w:val="auto"/>
        </w:rPr>
      </w:pPr>
    </w:p>
    <w:p>
      <w:pPr>
        <w:ind w:left="7" w:right="38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August 7, 2019, the closing sales price of our common stock as reported on the NASDAQ was $31.36 per share.</w:t>
      </w:r>
    </w:p>
    <w:p>
      <w:pPr>
        <w:spacing w:after="0" w:line="116" w:lineRule="exact"/>
        <w:rPr>
          <w:sz w:val="20"/>
          <w:szCs w:val="20"/>
          <w:color w:val="auto"/>
        </w:rPr>
      </w:pPr>
    </w:p>
    <w:p>
      <w:pPr>
        <w:jc w:val="both"/>
        <w:ind w:left="7" w:right="20" w:firstLine="360"/>
        <w:spacing w:after="0" w:line="259"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 819,134 of the aggregate 9,149,908 shares of our common stock that are the subject of the offering. The price per share to be paid by us will equal the price at which the underwriter will purchase the shares from the selling stockholder in the offering. The offering is not conditioned upon the completion of the share repurchase.</w:t>
      </w:r>
    </w:p>
    <w:p>
      <w:pPr>
        <w:spacing w:after="0" w:line="133" w:lineRule="exact"/>
        <w:rPr>
          <w:sz w:val="20"/>
          <w:szCs w:val="20"/>
          <w:color w:val="auto"/>
        </w:rPr>
      </w:pPr>
    </w:p>
    <w:p>
      <w:pPr>
        <w:ind w:left="7" w:right="140" w:firstLine="360"/>
        <w:spacing w:after="0" w:line="302"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risk. See “Risk Factors” beginning on page S-</w:t>
      </w:r>
      <w:hyperlink w:anchor="page15">
        <w:r>
          <w:rPr>
            <w:rFonts w:ascii="Arial" w:cs="Arial" w:eastAsia="Arial" w:hAnsi="Arial"/>
            <w:sz w:val="16"/>
            <w:szCs w:val="16"/>
            <w:b w:val="1"/>
            <w:bCs w:val="1"/>
            <w:i w:val="1"/>
            <w:iCs w:val="1"/>
            <w:u w:val="single" w:color="auto"/>
            <w:color w:val="0000EE"/>
          </w:rPr>
          <w:t>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of this prospectus supplement and in the reports we file with the Securities and Exchange Commission, or the SEC, pursuant to the Securities Exchange Act of 1934, as amended, or the Exchange Act, incorporated by reference in this prospectus supplement or the accompanying prospectus, to read about factors you should consider before buying shares of our common stock.</w:t>
      </w:r>
    </w:p>
    <w:p>
      <w:pPr>
        <w:spacing w:after="0" w:line="100" w:lineRule="exact"/>
        <w:rPr>
          <w:sz w:val="20"/>
          <w:szCs w:val="20"/>
          <w:color w:val="auto"/>
        </w:rPr>
      </w:pPr>
    </w:p>
    <w:p>
      <w:pPr>
        <w:jc w:val="both"/>
        <w:ind w:left="7" w:right="320" w:firstLine="360"/>
        <w:spacing w:after="0" w:line="264" w:lineRule="auto"/>
        <w:rPr>
          <w:sz w:val="20"/>
          <w:szCs w:val="20"/>
          <w:color w:val="auto"/>
        </w:rPr>
      </w:pPr>
      <w:r>
        <w:rPr>
          <w:rFonts w:ascii="Arial" w:cs="Arial" w:eastAsia="Arial" w:hAnsi="Arial"/>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283,253,963.68</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3,998,771.52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279,255,192.16</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20" w:hanging="347"/>
        <w:spacing w:after="0" w:line="273" w:lineRule="auto"/>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public offering price for the 8,330,774 shares offered to the public was $31.00 per share. The price for the 819,134 shares we intend to repurchase from the underwriter was $30.52 per share.</w:t>
      </w:r>
    </w:p>
    <w:p>
      <w:pPr>
        <w:spacing w:after="0" w:line="65" w:lineRule="exact"/>
        <w:rPr>
          <w:rFonts w:ascii="Arial" w:cs="Arial" w:eastAsia="Arial" w:hAnsi="Arial"/>
          <w:sz w:val="14"/>
          <w:szCs w:val="14"/>
          <w:color w:val="auto"/>
        </w:rPr>
      </w:pPr>
    </w:p>
    <w:p>
      <w:pPr>
        <w:ind w:left="347" w:right="320" w:hanging="347"/>
        <w:spacing w:after="0" w:line="273" w:lineRule="auto"/>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underwriting discount for the 8,330,774 shares offered to the public was $0.48 per share. No underwriting discount or commissions will be paid to the underwriter with respect to the 819,134 shares we intend to repurchase.</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154" w:lineRule="exact"/>
        <w:rPr>
          <w:sz w:val="20"/>
          <w:szCs w:val="20"/>
          <w:color w:val="auto"/>
        </w:rPr>
      </w:pPr>
    </w:p>
    <w:p>
      <w:pPr>
        <w:ind w:left="7" w:right="520" w:firstLine="360"/>
        <w:spacing w:after="0" w:line="277" w:lineRule="auto"/>
        <w:rPr>
          <w:sz w:val="20"/>
          <w:szCs w:val="20"/>
          <w:color w:val="auto"/>
        </w:rPr>
      </w:pPr>
      <w:r>
        <w:rPr>
          <w:rFonts w:ascii="Arial" w:cs="Arial" w:eastAsia="Arial" w:hAnsi="Arial"/>
          <w:sz w:val="18"/>
          <w:szCs w:val="18"/>
          <w:color w:val="auto"/>
        </w:rPr>
        <w:t>The underwriter expects to deliver the shares of our common stock against payment in New York, New York on or about August 12, 2019.</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29"/>
          <w:szCs w:val="29"/>
          <w:b w:val="1"/>
          <w:bCs w:val="1"/>
          <w:color w:val="auto"/>
        </w:rPr>
        <w:t>Goldman Sachs &amp; Co. LLC</w:t>
      </w:r>
    </w:p>
    <w:p>
      <w:pPr>
        <w:spacing w:after="0" w:line="23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Prospectus Supplement dated August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0" w:type="dxa"/>
            <w:vAlign w:val="bottom"/>
            <w:gridSpan w:val="4"/>
          </w:tcPr>
          <w:p>
            <w:pPr>
              <w:jc w:val="center"/>
              <w:ind w:right="2600"/>
              <w:spacing w:after="0"/>
              <w:rPr>
                <w:sz w:val="20"/>
                <w:szCs w:val="20"/>
                <w:color w:val="auto"/>
              </w:rPr>
            </w:pPr>
            <w:r>
              <w:rPr>
                <w:rFonts w:ascii="Arial" w:cs="Arial" w:eastAsia="Arial" w:hAnsi="Arial"/>
                <w:sz w:val="18"/>
                <w:szCs w:val="18"/>
                <w:b w:val="1"/>
                <w:bCs w:val="1"/>
                <w:color w:val="auto"/>
                <w:w w:val="98"/>
              </w:rPr>
              <w:t>TABLE OF CONTENTS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w w:val="87"/>
              </w:rPr>
              <w:t>Prospectus Supplement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About This Prospectus Supplement</w:t>
              </w:r>
            </w:hyperlink>
          </w:p>
        </w:tc>
        <w:tc>
          <w:tcPr>
            <w:tcW w:w="6340" w:type="dxa"/>
            <w:vAlign w:val="bottom"/>
            <w:gridSpan w:val="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Trademarks, Service Marks and Trade Names</w:t>
              </w:r>
            </w:hyperlink>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Non-GAAP Financial Measures</w:t>
              </w:r>
            </w:hyperlink>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7980" w:type="dxa"/>
            <w:vAlign w:val="bottom"/>
            <w:gridSpan w:val="18"/>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Special Note Regarding Forward-Looking Statements</w:t>
              </w:r>
            </w:hyperlink>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Certain Relationships and Related Party Transactions</w:t>
              </w:r>
            </w:hyperlink>
          </w:p>
        </w:tc>
        <w:tc>
          <w:tcPr>
            <w:tcW w:w="5040" w:type="dxa"/>
            <w:vAlign w:val="bottom"/>
            <w:gridSpan w:val="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Selling Stockholder</w:t>
              </w:r>
            </w:hyperlink>
          </w:p>
        </w:tc>
        <w:tc>
          <w:tcPr>
            <w:tcW w:w="504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Material United States Federal Income and Estate Tax Consequences to Non-U.S. Holders</w:t>
              </w:r>
            </w:hyperlink>
          </w:p>
        </w:tc>
        <w:tc>
          <w:tcPr>
            <w:tcW w:w="2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Underwriting</w:t>
              </w:r>
            </w:hyperlink>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Legal Matters</w:t>
              </w:r>
            </w:hyperlink>
          </w:p>
        </w:tc>
        <w:tc>
          <w:tcPr>
            <w:tcW w:w="7880" w:type="dxa"/>
            <w:vAlign w:val="bottom"/>
            <w:gridSpan w:val="1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788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shd w:val="clear" w:color="auto" w:fill="CCEEFF"/>
          </w:tcPr>
          <w:p>
            <w:pPr>
              <w:spacing w:after="0" w:line="189"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Where You Can Find More Information</w:t>
              </w:r>
            </w:hyperlink>
          </w:p>
        </w:tc>
        <w:tc>
          <w:tcPr>
            <w:tcW w:w="6020" w:type="dxa"/>
            <w:vAlign w:val="bottom"/>
            <w:gridSpan w:val="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Incorporation by Reference</w:t>
              </w:r>
            </w:hyperlink>
          </w:p>
        </w:tc>
        <w:tc>
          <w:tcPr>
            <w:tcW w:w="602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w w:val="85"/>
              </w:rPr>
              <w:t>Prospectus</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About This Prospectus</w:t>
              </w:r>
            </w:hyperlink>
          </w:p>
        </w:tc>
        <w:tc>
          <w:tcPr>
            <w:tcW w:w="7240" w:type="dxa"/>
            <w:vAlign w:val="bottom"/>
            <w:gridSpan w:val="12"/>
            <w:shd w:val="clear" w:color="auto" w:fill="CCEEFF"/>
          </w:tcPr>
          <w:p>
            <w:pPr>
              <w:spacing w:after="0"/>
              <w:rPr>
                <w:sz w:val="16"/>
                <w:szCs w:val="16"/>
                <w:color w:val="auto"/>
              </w:rPr>
            </w:pPr>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National Vision Holdings, Inc.</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Risk Factors</w:t>
              </w:r>
            </w:hyperlink>
          </w:p>
        </w:tc>
        <w:tc>
          <w:tcPr>
            <w:tcW w:w="7980" w:type="dxa"/>
            <w:vAlign w:val="bottom"/>
            <w:gridSpan w:val="18"/>
            <w:shd w:val="clear" w:color="auto" w:fill="CCEEFF"/>
          </w:tcPr>
          <w:p>
            <w:pPr>
              <w:spacing w:after="0"/>
              <w:rPr>
                <w:sz w:val="16"/>
                <w:szCs w:val="16"/>
                <w:color w:val="auto"/>
              </w:rPr>
            </w:pPr>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Special Note Regarding Forward-Looking Statements</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Selling Stockholders</w:t>
              </w:r>
            </w:hyperlink>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15</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gridSpan w:val="7"/>
          </w:tcPr>
          <w:p>
            <w:pPr>
              <w:spacing w:after="0" w:line="189"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Plan of Distribution</w:t>
              </w:r>
            </w:hyperlink>
          </w:p>
        </w:tc>
        <w:tc>
          <w:tcPr>
            <w:tcW w:w="7400" w:type="dxa"/>
            <w:vAlign w:val="bottom"/>
            <w:tcBorders>
              <w:top w:val="single" w:sz="8" w:color="CCEEFF"/>
            </w:tcBorders>
            <w:gridSpan w:val="13"/>
          </w:tcPr>
          <w:p>
            <w:pPr>
              <w:spacing w:after="0"/>
              <w:rPr>
                <w:sz w:val="16"/>
                <w:szCs w:val="16"/>
                <w:color w:val="auto"/>
              </w:rPr>
            </w:pPr>
          </w:p>
        </w:tc>
        <w:tc>
          <w:tcPr>
            <w:tcW w:w="40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Legal Matters</w:t>
              </w:r>
            </w:hyperlink>
          </w:p>
        </w:tc>
        <w:tc>
          <w:tcPr>
            <w:tcW w:w="7880" w:type="dxa"/>
            <w:vAlign w:val="bottom"/>
            <w:tcBorders>
              <w:bottom w:val="single" w:sz="8" w:color="CCEEFF"/>
            </w:tcBorders>
            <w:gridSpan w:val="16"/>
            <w:shd w:val="clear" w:color="auto" w:fill="CCEEFF"/>
          </w:tcPr>
          <w:p>
            <w:pPr>
              <w:spacing w:after="0"/>
              <w:rPr>
                <w:sz w:val="19"/>
                <w:szCs w:val="19"/>
                <w:color w:val="auto"/>
              </w:rPr>
            </w:pPr>
          </w:p>
        </w:tc>
        <w:tc>
          <w:tcPr>
            <w:tcW w:w="40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840" w:type="dxa"/>
            <w:vAlign w:val="bottom"/>
            <w:tcBorders>
              <w:bottom w:val="single" w:sz="8" w:color="0000EE"/>
            </w:tcBorders>
            <w:gridSpan w:val="15"/>
            <w:shd w:val="clear" w:color="auto" w:fill="CCEEFF"/>
          </w:tcPr>
          <w:p>
            <w:pPr>
              <w:spacing w:after="0" w:line="189"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Where You Can Find More Information</w:t>
              </w:r>
            </w:hyperlink>
          </w:p>
        </w:tc>
        <w:tc>
          <w:tcPr>
            <w:tcW w:w="6020" w:type="dxa"/>
            <w:vAlign w:val="bottom"/>
            <w:tcBorders>
              <w:bottom w:val="single" w:sz="8" w:color="CCEEFF"/>
            </w:tcBorders>
            <w:gridSpan w:val="5"/>
            <w:shd w:val="clear" w:color="auto" w:fill="CCEEFF"/>
          </w:tcPr>
          <w:p>
            <w:pPr>
              <w:spacing w:after="0"/>
              <w:rPr>
                <w:sz w:val="19"/>
                <w:szCs w:val="19"/>
                <w:color w:val="auto"/>
              </w:rPr>
            </w:pPr>
          </w:p>
        </w:tc>
        <w:tc>
          <w:tcPr>
            <w:tcW w:w="40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1960" w:type="dxa"/>
            <w:vAlign w:val="bottom"/>
            <w:tcBorders>
              <w:bottom w:val="single" w:sz="8" w:color="0000EE"/>
            </w:tcBorders>
            <w:gridSpan w:val="9"/>
          </w:tcPr>
          <w:p>
            <w:pPr>
              <w:spacing w:after="0" w:line="189"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Incorporation by Reference</w:t>
              </w:r>
            </w:hyperlink>
          </w:p>
        </w:tc>
        <w:tc>
          <w:tcPr>
            <w:tcW w:w="6900" w:type="dxa"/>
            <w:vAlign w:val="bottom"/>
            <w:gridSpan w:val="11"/>
          </w:tcPr>
          <w:p>
            <w:pPr>
              <w:spacing w:after="0"/>
              <w:rPr>
                <w:sz w:val="16"/>
                <w:szCs w:val="16"/>
                <w:color w:val="auto"/>
              </w:rPr>
            </w:pPr>
          </w:p>
        </w:tc>
        <w:tc>
          <w:tcPr>
            <w:tcW w:w="400" w:type="dxa"/>
            <w:vAlign w:val="bottom"/>
            <w:gridSpan w:val="4"/>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or in any free writing prospectus that we authorize to be delivered to you. We, the selling stockholder and the underwriter have not authorized anyone to provide any information or to make any representations other than those contained, or incorporated by reference, in this prospectus supplement and the accompanying prospectus or in any free writing prospectus we have prepared. We, the selling stockholder and the underwriter take no responsibility for, and can provide no assurance as to the reliability of, any other information that others may provide you. The selling stockholder and the underwriter are offering to sell, and seeking offers to buy, these securities only in jurisdictions where offers and sales are permitted. You should assume that the information contained, or incorporated by 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color w:val="auto"/>
        </w:rPr>
        <w:t>For investors outside the United States: The selling stockholder and the underwriter are offering to sell, and seeking offers to buy, shares of our common stock only in jurisdictions where offers and sales are permitted. None of us, the selling stockholder or the underwriter have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This document has two parts, a prospectus supplement and an accompanying prospectus, dated November 14, 2018.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75"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7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our common stock in certain jurisdictions may be restricted by law. Neither the selling stockholder nor the underwriter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the selling stockholder or the underwriter are making any representation to you regarding the legality of an investment in our common stock by you under applicable investment or similar laws.</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this prospectus supplement,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 References to the “selling stockholder” refer to the selling stockholder listed in the table under the caption “Selling Stockholder” in this prospectus supplement.</w:t>
      </w:r>
    </w:p>
    <w:p>
      <w:pPr>
        <w:spacing w:after="0" w:line="8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 References to “fiscal year 2016,” “fiscal year 2017” and “fiscal year 2018” relate to our fiscal year ended December 31, 2016, our fiscal year ended December 30, 2017 and our fiscal year ended December 29, 2018, respectively.</w:t>
      </w:r>
    </w:p>
    <w:p>
      <w:pPr>
        <w:spacing w:after="0" w:line="80" w:lineRule="exact"/>
        <w:rPr>
          <w:sz w:val="20"/>
          <w:szCs w:val="20"/>
          <w:color w:val="auto"/>
        </w:rPr>
      </w:pPr>
    </w:p>
    <w:p>
      <w:pPr>
        <w:ind w:right="260" w:firstLine="360"/>
        <w:spacing w:after="0" w:line="297" w:lineRule="auto"/>
        <w:rPr>
          <w:sz w:val="20"/>
          <w:szCs w:val="20"/>
          <w:color w:val="auto"/>
        </w:rPr>
      </w:pPr>
      <w:r>
        <w:rPr>
          <w:rFonts w:ascii="Arial" w:cs="Arial" w:eastAsia="Arial" w:hAnsi="Arial"/>
          <w:sz w:val="16"/>
          <w:szCs w:val="16"/>
          <w:color w:val="auto"/>
        </w:rPr>
        <w:t>Amounts in this prospectus supplement and the audited consolidated financial statements and the unaudited condensed consolidated financial statements, each incorporated by reference in this prospectus supplement,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supplement have been consistently applied to all periods presented.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own a number of registered and common law trademarks and pending applications for trademark registrations in the United States, primarily through our subsidiaries. Solely for convenience, the trademarks, service marks and trade names referred to in this prospectus supplement and the accompanying prospectus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supplement and the accompanying prospectus (or in documents we have incorporated by reference) are the property of their respective owners.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This prospectus supplement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“Adjusted EBITDA Margin” and “Adjusted Net Income.”</w:t>
      </w:r>
    </w:p>
    <w:p>
      <w:pPr>
        <w:spacing w:after="0" w:line="46"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EBITDA, Adjusted EBITDA, Adjusted EBITDA Margin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2"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Supplement Summary―Summary Historical Consolidated Financial and Other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100" w:firstLine="360"/>
        <w:spacing w:after="0" w:line="287"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w:t>
      </w:r>
      <w:hyperlink r:id="rId16">
        <w:r>
          <w:rPr>
            <w:rFonts w:ascii="Arial" w:cs="Arial" w:eastAsia="Arial" w:hAnsi="Arial"/>
            <w:sz w:val="16"/>
            <w:szCs w:val="16"/>
            <w:i w:val="1"/>
            <w:iCs w:val="1"/>
            <w:u w:val="single" w:color="auto"/>
            <w:color w:val="0000EE"/>
          </w:rPr>
          <w:t>“Risk Factors”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and </w:t>
      </w:r>
      <w:hyperlink r:id="rId17">
        <w:r>
          <w:rPr>
            <w:rFonts w:ascii="Arial" w:cs="Arial" w:eastAsia="Arial" w:hAnsi="Arial"/>
            <w:sz w:val="16"/>
            <w:szCs w:val="16"/>
            <w:i w:val="1"/>
            <w:iCs w:val="1"/>
            <w:u w:val="single" w:color="auto"/>
            <w:color w:val="0000EE"/>
          </w:rPr>
          <w:t>“Management’s Discussion and Analysis of Financial</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Condition and Results of Operations” and the </w:t>
      </w:r>
      <w:hyperlink r:id="rId18">
        <w:r>
          <w:rPr>
            <w:rFonts w:ascii="Arial" w:cs="Arial" w:eastAsia="Arial" w:hAnsi="Arial"/>
            <w:sz w:val="16"/>
            <w:szCs w:val="16"/>
            <w:i w:val="1"/>
            <w:iCs w:val="1"/>
            <w:u w:val="single" w:color="auto"/>
            <w:color w:val="0000EE"/>
          </w:rPr>
          <w:t>audited consolidated financial statements and related notes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thereto in our Annual Report on Form 10-K for the fiscal </w:t>
      </w:r>
      <w:hyperlink r:id="rId19">
        <w:r>
          <w:rPr>
            <w:rFonts w:ascii="Arial" w:cs="Arial" w:eastAsia="Arial" w:hAnsi="Arial"/>
            <w:sz w:val="16"/>
            <w:szCs w:val="16"/>
            <w:i w:val="1"/>
            <w:iCs w:val="1"/>
            <w:color w:val="auto"/>
          </w:rPr>
          <w:t xml:space="preserve">year ended December 29, 2018, or our Annual Report, and the section entitled </w:t>
        </w:r>
        <w:r>
          <w:rPr>
            <w:rFonts w:ascii="Arial" w:cs="Arial" w:eastAsia="Arial" w:hAnsi="Arial"/>
            <w:sz w:val="16"/>
            <w:szCs w:val="16"/>
            <w:i w:val="1"/>
            <w:iCs w:val="1"/>
            <w:u w:val="single" w:color="auto"/>
            <w:color w:val="0000EE"/>
          </w:rPr>
          <w:t>“Management’s Discussion and Analysis of</w:t>
        </w:r>
      </w:hyperlink>
      <w:r>
        <w:rPr>
          <w:rFonts w:ascii="Arial" w:cs="Arial" w:eastAsia="Arial" w:hAnsi="Arial"/>
          <w:sz w:val="16"/>
          <w:szCs w:val="16"/>
          <w:i w:val="1"/>
          <w:iCs w:val="1"/>
          <w:color w:val="auto"/>
        </w:rPr>
        <w:t xml:space="preserve"> </w:t>
      </w:r>
      <w:hyperlink r:id="rId20">
        <w:r>
          <w:rPr>
            <w:rFonts w:ascii="Arial" w:cs="Arial" w:eastAsia="Arial" w:hAnsi="Arial"/>
            <w:sz w:val="16"/>
            <w:szCs w:val="16"/>
            <w:i w:val="1"/>
            <w:iCs w:val="1"/>
            <w:u w:val="single" w:color="auto"/>
            <w:color w:val="0000EE"/>
          </w:rPr>
          <w:t>Financial Condition and Results of Operations”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the</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unaudited condensed consolidated financial statements and related</w:t>
        </w:r>
      </w:hyperlink>
      <w:r>
        <w:rPr>
          <w:rFonts w:ascii="Arial" w:cs="Arial" w:eastAsia="Arial" w:hAnsi="Arial"/>
          <w:sz w:val="16"/>
          <w:szCs w:val="16"/>
          <w:i w:val="1"/>
          <w:iCs w:val="1"/>
          <w:color w:val="0000EE"/>
        </w:rPr>
        <w:t xml:space="preserve"> </w:t>
      </w:r>
      <w:hyperlink r:id="rId20">
        <w:r>
          <w:rPr>
            <w:rFonts w:ascii="Arial" w:cs="Arial" w:eastAsia="Arial" w:hAnsi="Arial"/>
            <w:sz w:val="16"/>
            <w:szCs w:val="16"/>
            <w:i w:val="1"/>
            <w:iCs w:val="1"/>
            <w:u w:val="single" w:color="auto"/>
            <w:color w:val="0000EE"/>
          </w:rPr>
          <w:t>notes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thereto in our Quarterly Reports on Form 10-Q for the quarters ended March 30, 2019 and June 29, 2019, or our</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Quarterly Reports, each of which is incorporated by reference in this prospectus supplement and the accompanying prospectus.</w:t>
      </w:r>
    </w:p>
    <w:p>
      <w:pPr>
        <w:spacing w:after="0" w:line="165" w:lineRule="exact"/>
        <w:rPr>
          <w:rFonts w:ascii="Arial" w:cs="Arial" w:eastAsia="Arial" w:hAnsi="Arial"/>
          <w:sz w:val="16"/>
          <w:szCs w:val="16"/>
          <w:i w:val="1"/>
          <w:iCs w:val="1"/>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rFonts w:ascii="Arial" w:cs="Arial" w:eastAsia="Arial" w:hAnsi="Arial"/>
          <w:sz w:val="16"/>
          <w:szCs w:val="16"/>
          <w:i w:val="1"/>
          <w:iCs w:val="1"/>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1,128 retail stores across five brands and 17 consumer websites as of June 29, 2019.</w:t>
      </w:r>
    </w:p>
    <w:p>
      <w:pPr>
        <w:spacing w:after="0" w:line="70" w:lineRule="exact"/>
        <w:rPr>
          <w:rFonts w:ascii="Arial" w:cs="Arial" w:eastAsia="Arial" w:hAnsi="Arial"/>
          <w:sz w:val="16"/>
          <w:szCs w:val="16"/>
          <w:i w:val="1"/>
          <w:iCs w:val="1"/>
          <w:color w:val="auto"/>
        </w:rPr>
      </w:pPr>
    </w:p>
    <w:p>
      <w:pPr>
        <w:ind w:left="100" w:right="20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rFonts w:ascii="Arial" w:cs="Arial" w:eastAsia="Arial" w:hAnsi="Arial"/>
          <w:sz w:val="16"/>
          <w:szCs w:val="16"/>
          <w:i w:val="1"/>
          <w:iCs w:val="1"/>
          <w:color w:val="auto"/>
        </w:rPr>
      </w:pPr>
    </w:p>
    <w:p>
      <w:pPr>
        <w:ind w:left="100" w:right="80" w:firstLine="360"/>
        <w:spacing w:after="0" w:line="287" w:lineRule="auto"/>
        <w:rPr>
          <w:sz w:val="20"/>
          <w:szCs w:val="20"/>
          <w:color w:val="auto"/>
        </w:rPr>
      </w:pPr>
      <w:r>
        <w:rPr>
          <w:rFonts w:ascii="Arial" w:cs="Arial" w:eastAsia="Arial" w:hAnsi="Arial"/>
          <w:sz w:val="16"/>
          <w:szCs w:val="16"/>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select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65" w:lineRule="exact"/>
        <w:rPr>
          <w:rFonts w:ascii="Arial" w:cs="Arial" w:eastAsia="Arial" w:hAnsi="Arial"/>
          <w:sz w:val="16"/>
          <w:szCs w:val="16"/>
          <w:i w:val="1"/>
          <w:iCs w:val="1"/>
          <w:color w:val="auto"/>
        </w:rPr>
      </w:pPr>
    </w:p>
    <w:p>
      <w:pPr>
        <w:ind w:left="100" w:right="4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or AC Lens, to bolster its e-commerce platform.</w:t>
      </w:r>
    </w:p>
    <w:p>
      <w:pPr>
        <w:spacing w:after="0" w:line="63" w:lineRule="exact"/>
        <w:rPr>
          <w:rFonts w:ascii="Arial" w:cs="Arial" w:eastAsia="Arial" w:hAnsi="Arial"/>
          <w:sz w:val="16"/>
          <w:szCs w:val="16"/>
          <w:i w:val="1"/>
          <w:iCs w:val="1"/>
          <w:color w:val="auto"/>
        </w:rPr>
      </w:pPr>
    </w:p>
    <w:p>
      <w:pPr>
        <w:ind w:left="100"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National Vision Holdings, Inc. was incorporated in Delaware on February 14, 2014 under the name “Nautilus Parent, Inc.” and NVI became our wholly-owned subsidiary in connection with the acquisition of the Company by affiliates of KKR in March 2014, or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200" w:lineRule="exact"/>
        <w:rPr>
          <w:rFonts w:ascii="Arial" w:cs="Arial" w:eastAsia="Arial" w:hAnsi="Arial"/>
          <w:sz w:val="16"/>
          <w:szCs w:val="16"/>
          <w:i w:val="1"/>
          <w:iCs w:val="1"/>
          <w:color w:val="auto"/>
        </w:rPr>
      </w:pPr>
    </w:p>
    <w:p>
      <w:pPr>
        <w:spacing w:after="0" w:line="277" w:lineRule="exact"/>
        <w:rPr>
          <w:rFonts w:ascii="Arial" w:cs="Arial" w:eastAsia="Arial" w:hAnsi="Arial"/>
          <w:sz w:val="16"/>
          <w:szCs w:val="16"/>
          <w:i w:val="1"/>
          <w:iCs w:val="1"/>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220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092825" cy="3220085"/>
                    </a:xfrm>
                    <a:prstGeom prst="rect">
                      <a:avLst/>
                    </a:prstGeom>
                    <a:noFill/>
                  </pic:spPr>
                </pic:pic>
              </a:graphicData>
            </a:graphic>
          </wp:anchor>
        </w:drawing>
      </w:r>
    </w:p>
    <w:p>
      <w:pPr>
        <w:spacing w:after="0" w:line="246" w:lineRule="exact"/>
        <w:rPr>
          <w:sz w:val="20"/>
          <w:szCs w:val="20"/>
          <w:color w:val="auto"/>
        </w:rPr>
      </w:pPr>
    </w:p>
    <w:p>
      <w:pPr>
        <w:ind w:left="100" w:firstLine="360"/>
        <w:spacing w:after="0" w:line="302"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supplement neither constitutes part of this prospectus supplement nor is incorporated by reference herein.</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100" w:right="200" w:firstLine="360"/>
        <w:spacing w:after="0" w:line="272" w:lineRule="auto"/>
        <w:rPr>
          <w:sz w:val="20"/>
          <w:szCs w:val="20"/>
          <w:color w:val="auto"/>
        </w:rPr>
      </w:pPr>
      <w:r>
        <w:rPr>
          <w:rFonts w:ascii="Arial" w:cs="Arial" w:eastAsia="Arial" w:hAnsi="Arial"/>
          <w:sz w:val="17"/>
          <w:szCs w:val="17"/>
          <w:color w:val="auto"/>
        </w:rPr>
        <w:t>Subject to the completion of the offering, we intend to concurrently repurchase from the underwriter, 819,134 of the aggregate 9,149,908 shares of our common stock that are the subject of the offering. The price per share to be paid by us will equal the price at which the underwriter will purchase the shares from the selling stockholder in the offering. We refer to this transaction as the “concurrent share repurchase.” At a purchase price of $30.52 per share, the aggregate share repurchase price would be approximately $25.0 million.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70" w:lineRule="exact"/>
        <w:rPr>
          <w:sz w:val="20"/>
          <w:szCs w:val="20"/>
          <w:color w:val="auto"/>
        </w:rPr>
      </w:pPr>
    </w:p>
    <w:p>
      <w:pPr>
        <w:ind w:left="100" w:right="180" w:firstLine="360"/>
        <w:spacing w:after="0" w:line="264" w:lineRule="auto"/>
        <w:rPr>
          <w:sz w:val="20"/>
          <w:szCs w:val="20"/>
          <w:color w:val="auto"/>
        </w:rPr>
      </w:pPr>
      <w:r>
        <w:rPr>
          <w:rFonts w:ascii="Arial" w:cs="Arial" w:eastAsia="Arial" w:hAnsi="Arial"/>
          <w:sz w:val="18"/>
          <w:szCs w:val="18"/>
          <w:color w:val="auto"/>
        </w:rPr>
        <w:t>The concurrent share repurchase were approved by the Audit Committee of our Board of Directors. We intend to fund the concurrent share repurchase with cash on hand. Any shares of our common stock that we repurchase in the concurrent share repurchase will be retired.</w:t>
      </w:r>
    </w:p>
    <w:p>
      <w:pPr>
        <w:spacing w:after="0" w:line="73" w:lineRule="exact"/>
        <w:rPr>
          <w:sz w:val="20"/>
          <w:szCs w:val="20"/>
          <w:color w:val="auto"/>
        </w:rPr>
      </w:pPr>
    </w:p>
    <w:p>
      <w:pPr>
        <w:ind w:left="100" w:right="140"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00"/>
          </w:cols>
          <w:pgMar w:left="1180" w:top="279" w:right="13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60"/>
          </w:cols>
          <w:pgMar w:left="1180" w:top="279" w:right="125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9,149,908 shares.</w:t>
      </w:r>
    </w:p>
    <w:p>
      <w:pPr>
        <w:spacing w:after="0" w:line="151"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color w:val="auto"/>
        </w:rPr>
        <w:t>78,524,731 shares (as of July 31, 2019).</w:t>
      </w:r>
    </w:p>
    <w:p>
      <w:pPr>
        <w:spacing w:after="0" w:line="14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280" w:hanging="179"/>
        <w:spacing w:after="0" w:line="277" w:lineRule="auto"/>
        <w:rPr>
          <w:sz w:val="20"/>
          <w:szCs w:val="20"/>
          <w:color w:val="auto"/>
        </w:rPr>
      </w:pPr>
      <w:r>
        <w:rPr>
          <w:rFonts w:ascii="Arial" w:cs="Arial" w:eastAsia="Arial" w:hAnsi="Arial"/>
          <w:sz w:val="18"/>
          <w:szCs w:val="18"/>
          <w:color w:val="auto"/>
        </w:rPr>
        <w:t>Common stock outstanding after the concurrent share repurchase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77,705,597 shares.</w:t>
      </w:r>
    </w:p>
    <w:p>
      <w:pPr>
        <w:spacing w:after="0" w:line="367" w:lineRule="exact"/>
        <w:rPr>
          <w:sz w:val="20"/>
          <w:szCs w:val="20"/>
          <w:color w:val="auto"/>
        </w:rPr>
      </w:pPr>
    </w:p>
    <w:p>
      <w:pPr>
        <w:sectPr>
          <w:pgSz w:w="11900" w:h="16838" w:orient="portrait"/>
          <w:cols w:equalWidth="0" w:num="2">
            <w:col w:w="3960" w:space="46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 will receive all of the net proceeds and bear all commissions and discounts, if any, from the sale of our common stock pursuant to this prospectus supplement. See “Use of Proceeds” and “Selling Stockholder.”</w:t>
      </w:r>
    </w:p>
    <w:p>
      <w:pPr>
        <w:spacing w:after="0" w:line="64"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Concurrent share repurchase</w:t>
      </w:r>
    </w:p>
    <w:p>
      <w:pPr>
        <w:spacing w:after="0" w:line="20" w:lineRule="exact"/>
        <w:rPr>
          <w:sz w:val="20"/>
          <w:szCs w:val="20"/>
          <w:color w:val="auto"/>
        </w:rPr>
      </w:pPr>
      <w:r>
        <w:rPr>
          <w:sz w:val="20"/>
          <w:szCs w:val="20"/>
          <w:color w:val="auto"/>
        </w:rPr>
        <w:br w:type="column"/>
      </w:r>
    </w:p>
    <w:p>
      <w:pPr>
        <w:ind w:right="80"/>
        <w:spacing w:after="0" w:line="291"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 819,134 of the aggregate 9,149,908 shares of our common stock that are the subject of the offering. The price per share to be paid by us will equal the price at which the underwriter will purchase the shares from the selling stockholder in the offering. The offering is not conditioned upon the completion of the share repurchase. See “―Concurrent Share Repurchase.”</w:t>
      </w:r>
    </w:p>
    <w:p>
      <w:pPr>
        <w:spacing w:after="0" w:line="59"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20"/>
        <w:spacing w:after="0" w:line="302" w:lineRule="auto"/>
        <w:rPr>
          <w:sz w:val="20"/>
          <w:szCs w:val="20"/>
          <w:color w:val="auto"/>
        </w:rPr>
      </w:pPr>
      <w:r>
        <w:rPr>
          <w:rFonts w:ascii="Arial" w:cs="Arial" w:eastAsia="Arial" w:hAnsi="Arial"/>
          <w:sz w:val="16"/>
          <w:szCs w:val="16"/>
          <w:color w:val="auto"/>
        </w:rPr>
        <w:t>You should carefully read and consider the information set forth under “Risk Factors” herein, in the accompanying prospectus and in the documents incorporated by reference herein, including our Annual Report, before deciding to invest in our common stock.</w:t>
      </w:r>
    </w:p>
    <w:p>
      <w:pPr>
        <w:spacing w:after="0" w:line="46"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Any decision to declare and pay dividends in the future will be made at the sole discretion of our board of directors, or Board of Directors, and will depend on various factors. See “Dividend Policy.”</w:t>
      </w:r>
    </w:p>
    <w:p>
      <w:pPr>
        <w:spacing w:after="0" w:line="7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“EYE”</w:t>
      </w:r>
    </w:p>
    <w:p>
      <w:pPr>
        <w:spacing w:after="0" w:line="117"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firstLine="360"/>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and the concurrent share repurchase is based on 78,524,731 shares of our common stock outstanding as of July 31, 2019, including 21,360 shares of restricted stock outstanding, and (i) reflects the retirement of 819,134 shares of our common stock in the concurrent share repurchase and (ii) does not reflect:</w:t>
      </w:r>
    </w:p>
    <w:p>
      <w:pPr>
        <w:spacing w:after="0" w:line="79" w:lineRule="exact"/>
        <w:rPr>
          <w:sz w:val="20"/>
          <w:szCs w:val="20"/>
          <w:color w:val="auto"/>
        </w:rPr>
      </w:pPr>
    </w:p>
    <w:p>
      <w:pPr>
        <w:ind w:left="800" w:right="40" w:hanging="342"/>
        <w:spacing w:after="0" w:line="288" w:lineRule="auto"/>
        <w:tabs>
          <w:tab w:leader="none" w:pos="800" w:val="left"/>
        </w:tabs>
        <w:numPr>
          <w:ilvl w:val="0"/>
          <w:numId w:val="3"/>
        </w:numPr>
        <w:rPr>
          <w:rFonts w:ascii="Arial" w:cs="Arial" w:eastAsia="Arial" w:hAnsi="Arial"/>
          <w:sz w:val="16"/>
          <w:szCs w:val="16"/>
          <w:color w:val="0000EE"/>
        </w:rPr>
      </w:pPr>
      <w:r>
        <w:rPr>
          <w:rFonts w:ascii="Arial" w:cs="Arial" w:eastAsia="Arial" w:hAnsi="Arial"/>
          <w:sz w:val="16"/>
          <w:szCs w:val="16"/>
          <w:color w:val="auto"/>
        </w:rPr>
        <w:t xml:space="preserve">6,577,599 shares of common stock issuable upon the exercise of options outstanding as of July 31, 2019, (1) of which 3,379,550 were then vested and exercisable and (2) of which 2,836,753 were time-based options and 3,740,846 were performance-based options. The performance-based options (other than 157,316 performance-based options held by Jeff McAllister, which have different vesting terms and 26,882 of which have vested) are eligible to vest only upon affiliates of KKR achieving certain internal rate of return threshold and multiples of invested capital. 3,745,507 performance-based options previously became vested and exercisable in connection with the secondary offerings of our common stock in July 2018 and November 2018 and we expect that certain performance-based options will vest upon </w:t>
      </w:r>
      <w:hyperlink r:id="rId25">
        <w:r>
          <w:rPr>
            <w:rFonts w:ascii="Arial" w:cs="Arial" w:eastAsia="Arial" w:hAnsi="Arial"/>
            <w:sz w:val="16"/>
            <w:szCs w:val="16"/>
            <w:color w:val="auto"/>
          </w:rPr>
          <w:t xml:space="preserve">the consummation of this offering. See </w:t>
        </w:r>
        <w:r>
          <w:rPr>
            <w:rFonts w:ascii="Arial" w:cs="Arial" w:eastAsia="Arial" w:hAnsi="Arial"/>
            <w:sz w:val="16"/>
            <w:szCs w:val="16"/>
            <w:u w:val="single" w:color="auto"/>
            <w:color w:val="0000EE"/>
          </w:rPr>
          <w:t>“Executive Compensation―Narrative to Summary Compensation Table and</w:t>
        </w:r>
      </w:hyperlink>
      <w:r>
        <w:rPr>
          <w:rFonts w:ascii="Arial" w:cs="Arial" w:eastAsia="Arial" w:hAnsi="Arial"/>
          <w:sz w:val="16"/>
          <w:szCs w:val="16"/>
          <w:color w:val="auto"/>
        </w:rPr>
        <w:t xml:space="preserve"> </w:t>
      </w:r>
      <w:hyperlink r:id="rId25">
        <w:r>
          <w:rPr>
            <w:rFonts w:ascii="Arial" w:cs="Arial" w:eastAsia="Arial" w:hAnsi="Arial"/>
            <w:sz w:val="16"/>
            <w:szCs w:val="16"/>
            <w:u w:val="single" w:color="auto"/>
            <w:color w:val="0000EE"/>
          </w:rPr>
          <w:t>2018 Grants of Plan-Based Awards”</w:t>
        </w:r>
        <w:r>
          <w:rPr>
            <w:rFonts w:ascii="Arial" w:cs="Arial" w:eastAsia="Arial" w:hAnsi="Arial"/>
            <w:sz w:val="16"/>
            <w:szCs w:val="16"/>
            <w:color w:val="0000EE"/>
          </w:rPr>
          <w:t xml:space="preserve"> </w:t>
        </w:r>
        <w:r>
          <w:rPr>
            <w:rFonts w:ascii="Arial" w:cs="Arial" w:eastAsia="Arial" w:hAnsi="Arial"/>
            <w:sz w:val="16"/>
            <w:szCs w:val="16"/>
            <w:color w:val="000000"/>
          </w:rPr>
          <w:t xml:space="preserve">incorporated by reference in our Annual Report, which is incorporated herein </w:t>
        </w:r>
      </w:hyperlink>
      <w:r>
        <w:rPr>
          <w:rFonts w:ascii="Arial" w:cs="Arial" w:eastAsia="Arial" w:hAnsi="Arial"/>
          <w:sz w:val="16"/>
          <w:szCs w:val="16"/>
          <w:color w:val="0000EE"/>
        </w:rPr>
        <w:t xml:space="preserve">by </w:t>
      </w:r>
      <w:r>
        <w:rPr>
          <w:rFonts w:ascii="Arial" w:cs="Arial" w:eastAsia="Arial" w:hAnsi="Arial"/>
          <w:sz w:val="16"/>
          <w:szCs w:val="16"/>
          <w:color w:val="000000"/>
        </w:rPr>
        <w:t>reference, for additional details around vesting terms;</w:t>
      </w:r>
    </w:p>
    <w:p>
      <w:pPr>
        <w:spacing w:after="0" w:line="61" w:lineRule="exact"/>
        <w:rPr>
          <w:rFonts w:ascii="Arial" w:cs="Arial" w:eastAsia="Arial" w:hAnsi="Arial"/>
          <w:sz w:val="16"/>
          <w:szCs w:val="16"/>
          <w:color w:val="0000EE"/>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314,166 restricted stock units outstanding as of July 31, 2019;</w:t>
      </w: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S-3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367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092825" cy="1367790"/>
                    </a:xfrm>
                    <a:prstGeom prst="rect">
                      <a:avLst/>
                    </a:prstGeom>
                    <a:noFill/>
                  </pic:spPr>
                </pic:pic>
              </a:graphicData>
            </a:graphic>
          </wp:anchor>
        </w:drawing>
      </w:r>
    </w:p>
    <w:p>
      <w:pPr>
        <w:spacing w:after="0" w:line="246" w:lineRule="exact"/>
        <w:rPr>
          <w:sz w:val="20"/>
          <w:szCs w:val="20"/>
          <w:color w:val="auto"/>
        </w:rPr>
      </w:pPr>
    </w:p>
    <w:p>
      <w:pPr>
        <w:ind w:left="800" w:right="16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3,793,920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818,973 shares of common stock available for issuance under our 2018 Associate Stock Purchase Plan.</w:t>
      </w:r>
    </w:p>
    <w:p>
      <w:pPr>
        <w:spacing w:after="0" w:line="117" w:lineRule="exact"/>
        <w:rPr>
          <w:sz w:val="20"/>
          <w:szCs w:val="20"/>
          <w:color w:val="auto"/>
        </w:rPr>
      </w:pPr>
    </w:p>
    <w:p>
      <w:pPr>
        <w:ind w:left="100" w:firstLine="360"/>
        <w:spacing w:after="0" w:line="259" w:lineRule="auto"/>
        <w:rPr>
          <w:sz w:val="20"/>
          <w:szCs w:val="20"/>
          <w:color w:val="auto"/>
        </w:rPr>
      </w:pPr>
      <w:r>
        <w:rPr>
          <w:rFonts w:ascii="Arial" w:cs="Arial" w:eastAsia="Arial" w:hAnsi="Arial"/>
          <w:sz w:val="18"/>
          <w:szCs w:val="18"/>
          <w:color w:val="auto"/>
        </w:rPr>
        <w:t>As noted above, we expect that certain performance-based options will vest upon the consummation of this offering. In connection with this vesting event, we expect to incur between $5.5 million to $7.0 million of stock-based compensation expense. In connection with this offering, we also expect an accrual of between $0.7 million to $1.0 million during the third quarter of 2019, relating to an incentive plan for non-executive employees.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6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092825" cy="766254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120" w:firstLine="360"/>
        <w:spacing w:after="0" w:line="285" w:lineRule="auto"/>
        <w:rPr>
          <w:rFonts w:ascii="Arial" w:cs="Arial" w:eastAsia="Arial" w:hAnsi="Arial"/>
          <w:sz w:val="16"/>
          <w:szCs w:val="16"/>
          <w:color w:val="000000"/>
        </w:rPr>
      </w:pPr>
      <w:r>
        <w:rPr>
          <w:rFonts w:ascii="Arial" w:cs="Arial" w:eastAsia="Arial" w:hAnsi="Arial"/>
          <w:sz w:val="16"/>
          <w:szCs w:val="16"/>
          <w:color w:val="auto"/>
        </w:rPr>
        <w:t xml:space="preserve">Set forth below is our summary historical consolidated financial and other data as of the dates and for the periods indicated. The summary historical financial data as of December 30, 2017 and December 29, 2018 and for the years ended December 31, </w:t>
      </w:r>
      <w:hyperlink r:id="rId18">
        <w:r>
          <w:rPr>
            <w:rFonts w:ascii="Arial" w:cs="Arial" w:eastAsia="Arial" w:hAnsi="Arial"/>
            <w:sz w:val="16"/>
            <w:szCs w:val="16"/>
            <w:color w:val="auto"/>
          </w:rPr>
          <w:t xml:space="preserve">2016, December 30, 2017 and December 29, 2018 has been derived from our </w:t>
        </w:r>
        <w:r>
          <w:rPr>
            <w:rFonts w:ascii="Arial" w:cs="Arial" w:eastAsia="Arial" w:hAnsi="Arial"/>
            <w:sz w:val="16"/>
            <w:szCs w:val="16"/>
            <w:u w:val="single" w:color="auto"/>
            <w:color w:val="0000EE"/>
          </w:rPr>
          <w:t>audited consolidated financial statements and</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related notes</w:t>
        </w:r>
        <w:r>
          <w:rPr>
            <w:rFonts w:ascii="Arial" w:cs="Arial" w:eastAsia="Arial" w:hAnsi="Arial"/>
            <w:sz w:val="16"/>
            <w:szCs w:val="16"/>
            <w:color w:val="0000EE"/>
          </w:rPr>
          <w:t xml:space="preserve"> </w:t>
        </w:r>
        <w:r>
          <w:rPr>
            <w:rFonts w:ascii="Arial" w:cs="Arial" w:eastAsia="Arial" w:hAnsi="Arial"/>
            <w:sz w:val="16"/>
            <w:szCs w:val="16"/>
            <w:color w:val="000000"/>
          </w:rPr>
          <w:t xml:space="preserve">thereto incorporated by reference in this prospectus supplement, and the summary historical financial data as </w:t>
        </w:r>
      </w:hyperlink>
      <w:r>
        <w:rPr>
          <w:rFonts w:ascii="Arial" w:cs="Arial" w:eastAsia="Arial" w:hAnsi="Arial"/>
          <w:sz w:val="16"/>
          <w:szCs w:val="16"/>
          <w:color w:val="0000EE"/>
        </w:rPr>
        <w:t xml:space="preserve">of </w:t>
      </w:r>
      <w:r>
        <w:rPr>
          <w:rFonts w:ascii="Arial" w:cs="Arial" w:eastAsia="Arial" w:hAnsi="Arial"/>
          <w:sz w:val="16"/>
          <w:szCs w:val="16"/>
          <w:color w:val="000000"/>
        </w:rPr>
        <w:t xml:space="preserve">December 31, 2016 has been derived from our audited consolidated financial statements and related notes thereto not included or incorporated by reference in this prospectus supplement. The summary historical financial data as of June 29, 2019 and for the six </w:t>
      </w:r>
      <w:hyperlink r:id="rId20">
        <w:r>
          <w:rPr>
            <w:rFonts w:ascii="Arial" w:cs="Arial" w:eastAsia="Arial" w:hAnsi="Arial"/>
            <w:sz w:val="16"/>
            <w:szCs w:val="16"/>
            <w:color w:val="000000"/>
          </w:rPr>
          <w:t xml:space="preserve">months ended June 30, 2018 and June 29, 2019 has been derived from our </w:t>
        </w:r>
        <w:r>
          <w:rPr>
            <w:rFonts w:ascii="Arial" w:cs="Arial" w:eastAsia="Arial" w:hAnsi="Arial"/>
            <w:sz w:val="16"/>
            <w:szCs w:val="16"/>
            <w:u w:val="single" w:color="auto"/>
            <w:color w:val="0000EE"/>
          </w:rPr>
          <w:t>unaudited condensed consolidated financial statements</w:t>
        </w:r>
      </w:hyperlink>
      <w:r>
        <w:rPr>
          <w:rFonts w:ascii="Arial" w:cs="Arial" w:eastAsia="Arial" w:hAnsi="Arial"/>
          <w:sz w:val="16"/>
          <w:szCs w:val="16"/>
          <w:color w:val="000000"/>
        </w:rPr>
        <w:t xml:space="preserve"> </w:t>
      </w:r>
      <w:hyperlink r:id="rId20">
        <w:r>
          <w:rPr>
            <w:rFonts w:ascii="Arial" w:cs="Arial" w:eastAsia="Arial" w:hAnsi="Arial"/>
            <w:sz w:val="16"/>
            <w:szCs w:val="16"/>
            <w:u w:val="single" w:color="auto"/>
            <w:color w:val="0000EE"/>
          </w:rPr>
          <w:t>and related notes</w:t>
        </w:r>
        <w:r>
          <w:rPr>
            <w:rFonts w:ascii="Arial" w:cs="Arial" w:eastAsia="Arial" w:hAnsi="Arial"/>
            <w:sz w:val="16"/>
            <w:szCs w:val="16"/>
            <w:color w:val="0000EE"/>
          </w:rPr>
          <w:t xml:space="preserve"> </w:t>
        </w:r>
        <w:r>
          <w:rPr>
            <w:rFonts w:ascii="Arial" w:cs="Arial" w:eastAsia="Arial" w:hAnsi="Arial"/>
            <w:sz w:val="16"/>
            <w:szCs w:val="16"/>
            <w:color w:val="000000"/>
          </w:rPr>
          <w:t>thereto incorporated by reference in this prospectus supplement, and the summary historical financial data as of</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June 30, 2018 has been derived from our unaudited condensed consolidated financial statements and related notes thereto not included or incorporated by reference in this prospectus supplement. The summary historical balance sheet data as of December 31, 2016 and June 30, 2018 has not been revised to reflect corrections from errors related to lease accounting as described in Note 1 to the </w:t>
      </w:r>
      <w:hyperlink r:id="rId18">
        <w:r>
          <w:rPr>
            <w:rFonts w:ascii="Arial" w:cs="Arial" w:eastAsia="Arial" w:hAnsi="Arial"/>
            <w:sz w:val="16"/>
            <w:szCs w:val="16"/>
            <w:u w:val="single" w:color="auto"/>
            <w:color w:val="0000EE"/>
          </w:rPr>
          <w:t>audited consolidated financial statements</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incorporated by reference in this prospectus supplement.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65" w:lineRule="exact"/>
        <w:rPr>
          <w:rFonts w:ascii="Arial" w:cs="Arial" w:eastAsia="Arial" w:hAnsi="Arial"/>
          <w:sz w:val="16"/>
          <w:szCs w:val="16"/>
          <w:color w:val="000000"/>
        </w:rPr>
      </w:pPr>
    </w:p>
    <w:p>
      <w:pPr>
        <w:ind w:left="100" w:right="140"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summary historical consolidated financial and other data should be read in conjunction with, and are qualified by </w:t>
      </w:r>
      <w:hyperlink r:id="rId17">
        <w:r>
          <w:rPr>
            <w:rFonts w:ascii="Arial" w:cs="Arial" w:eastAsia="Arial" w:hAnsi="Arial"/>
            <w:sz w:val="18"/>
            <w:szCs w:val="18"/>
            <w:color w:val="auto"/>
          </w:rPr>
          <w:t xml:space="preserve">reference to, the section entitled </w:t>
        </w:r>
        <w:r>
          <w:rPr>
            <w:rFonts w:ascii="Arial" w:cs="Arial" w:eastAsia="Arial" w:hAnsi="Arial"/>
            <w:sz w:val="18"/>
            <w:szCs w:val="18"/>
            <w:u w:val="single" w:color="auto"/>
            <w:color w:val="0000EE"/>
          </w:rPr>
          <w:t>“Selected Financial Data”</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“Management’s Discussion and Analysis of Financial Condition</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and Results of Operations”</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 xml:space="preserve">audited consolidated financial statements and related notes </w:t>
        </w:r>
      </w:hyperlink>
      <w:hyperlink r:id="rId17">
        <w:r>
          <w:rPr>
            <w:rFonts w:ascii="Arial" w:cs="Arial" w:eastAsia="Arial" w:hAnsi="Arial"/>
            <w:sz w:val="18"/>
            <w:szCs w:val="18"/>
            <w:color w:val="000000"/>
          </w:rPr>
          <w:t>thereto in our Annual Report and</w:t>
        </w:r>
      </w:hyperlink>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“Management’s Discussion and Analysis of Financial Condition and Results of Operations”</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unaudited condensed</w:t>
        </w:r>
      </w:hyperlink>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consolidated financial statements and related notes</w:t>
        </w:r>
        <w:r>
          <w:rPr>
            <w:rFonts w:ascii="Arial" w:cs="Arial" w:eastAsia="Arial" w:hAnsi="Arial"/>
            <w:sz w:val="18"/>
            <w:szCs w:val="18"/>
            <w:color w:val="0000EE"/>
          </w:rPr>
          <w:t xml:space="preserve"> </w:t>
        </w:r>
        <w:r>
          <w:rPr>
            <w:rFonts w:ascii="Arial" w:cs="Arial" w:eastAsia="Arial" w:hAnsi="Arial"/>
            <w:sz w:val="18"/>
            <w:szCs w:val="18"/>
            <w:color w:val="000000"/>
          </w:rPr>
          <w:t xml:space="preserve">thereto in our Quarterly Reports, each of which is incorporated by </w:t>
        </w:r>
      </w:hyperlink>
      <w:r>
        <w:rPr>
          <w:rFonts w:ascii="Arial" w:cs="Arial" w:eastAsia="Arial" w:hAnsi="Arial"/>
          <w:sz w:val="18"/>
          <w:szCs w:val="18"/>
          <w:color w:val="0000EE"/>
        </w:rPr>
        <w:t xml:space="preserve">reference </w:t>
      </w:r>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this prospectus supplement.</w:t>
      </w:r>
    </w:p>
    <w:p>
      <w:pPr>
        <w:spacing w:after="0" w:line="50"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344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(In thousands, except per share amounts and store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June 29,</w:t>
            </w:r>
          </w:p>
        </w:tc>
      </w:tr>
      <w:tr>
        <w:trPr>
          <w:trHeight w:val="178"/>
        </w:trPr>
        <w:tc>
          <w:tcPr>
            <w:tcW w:w="100" w:type="dxa"/>
            <w:vAlign w:val="bottom"/>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340" w:type="dxa"/>
            <w:vAlign w:val="bottom"/>
          </w:tcPr>
          <w:p>
            <w:pPr>
              <w:spacing w:after="0" w:line="243" w:lineRule="exact"/>
              <w:rPr>
                <w:sz w:val="20"/>
                <w:szCs w:val="20"/>
                <w:color w:val="auto"/>
              </w:rPr>
            </w:pPr>
            <w:r>
              <w:rPr>
                <w:rFonts w:ascii="Arial" w:cs="Arial" w:eastAsia="Arial" w:hAnsi="Arial"/>
                <w:sz w:val="17"/>
                <w:szCs w:val="17"/>
                <w:color w:val="auto"/>
              </w:rPr>
              <w:t>Net revenue</w:t>
            </w:r>
            <w:r>
              <w:rPr>
                <w:rFonts w:ascii="Arial" w:cs="Arial" w:eastAsia="Arial" w:hAnsi="Arial"/>
                <w:sz w:val="28"/>
                <w:szCs w:val="28"/>
                <w:color w:val="auto"/>
                <w:vertAlign w:val="superscript"/>
              </w:rPr>
              <w:t>(1)</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1,196,195</w:t>
            </w:r>
          </w:p>
        </w:tc>
        <w:tc>
          <w:tcPr>
            <w:tcW w:w="60" w:type="dxa"/>
            <w:vAlign w:val="bottom"/>
          </w:tcPr>
          <w:p>
            <w:pPr>
              <w:spacing w:after="0"/>
              <w:rPr>
                <w:sz w:val="21"/>
                <w:szCs w:val="21"/>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1,375,308</w:t>
            </w:r>
          </w:p>
        </w:tc>
        <w:tc>
          <w:tcPr>
            <w:tcW w:w="140" w:type="dxa"/>
            <w:vAlign w:val="bottom"/>
          </w:tcPr>
          <w:p>
            <w:pPr>
              <w:spacing w:after="0"/>
              <w:rPr>
                <w:sz w:val="21"/>
                <w:szCs w:val="21"/>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1,536,854</w:t>
            </w:r>
          </w:p>
        </w:tc>
        <w:tc>
          <w:tcPr>
            <w:tcW w:w="1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793,507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890,666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544,781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440" w:type="dxa"/>
            <w:vAlign w:val="bottom"/>
            <w:gridSpan w:val="2"/>
          </w:tcPr>
          <w:p>
            <w:pPr>
              <w:ind w:left="10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587,345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674,051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780,932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372,173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55,536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18,737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24,977</w:t>
            </w:r>
          </w:p>
        </w:tc>
        <w:tc>
          <w:tcPr>
            <w:tcW w:w="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4,228</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45,084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36,073</w:t>
            </w: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(38,910)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19"/>
                <w:szCs w:val="19"/>
                <w:color w:val="auto"/>
              </w:rPr>
            </w:pPr>
          </w:p>
        </w:tc>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13,343</w:t>
            </w: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center"/>
              <w:ind w:right="8"/>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43,138</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36,922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8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20"/>
                <w:szCs w:val="20"/>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57,001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62,035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77,879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97,588</w:t>
            </w:r>
          </w:p>
        </w:tc>
        <w:tc>
          <w:tcPr>
            <w:tcW w:w="60" w:type="dxa"/>
            <w:vAlign w:val="bottom"/>
          </w:tcPr>
          <w:p>
            <w:pPr>
              <w:spacing w:after="0"/>
              <w:rPr>
                <w:sz w:val="20"/>
                <w:szCs w:val="20"/>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90,252</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106,628</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80,135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119,279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(90,972)</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(94,583)</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(48,568)</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(51,788)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5"/>
        </w:trPr>
        <w:tc>
          <w:tcPr>
            <w:tcW w:w="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cash (used for) provided by financing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(6,574)</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10,397</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0"/>
        </w:trPr>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29"/>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S-5</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0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092825" cy="7301865"/>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 except per share amounts and store</w:t>
            </w:r>
          </w:p>
        </w:tc>
        <w:tc>
          <w:tcPr>
            <w:tcW w:w="1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data)</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4,945</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4,208</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17,132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82,779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1,531,117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1,581,939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1,661,389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1,639,441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745,625</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569,238</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578,112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574,259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587,602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401,887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654,600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729,587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774,434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(2)</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136,770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158,442</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174,365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107,208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113,132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(2)</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32,144</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right="160" w:hanging="353"/>
        <w:spacing w:after="0" w:line="252"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Net revenue for the fiscal year 2018 and the six months ended June 30, 2018 and June 29, 2019 is presented under the new revenue recognition guidance, while the amounts for prior years are not adjusted and continue to be reported in accordance with the historic accounting under the previous revenue recognition guidance. See Note 1 in our </w:t>
      </w:r>
      <w:hyperlink r:id="rId18">
        <w:r>
          <w:rPr>
            <w:rFonts w:ascii="Arial" w:cs="Arial" w:eastAsia="Arial" w:hAnsi="Arial"/>
            <w:sz w:val="14"/>
            <w:szCs w:val="14"/>
            <w:u w:val="single" w:color="auto"/>
            <w:color w:val="0000EE"/>
          </w:rPr>
          <w:t>audited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our Annual Report, which is incorporated by reference in this prospectus supplement, for further details.</w:t>
      </w:r>
    </w:p>
    <w:p>
      <w:pPr>
        <w:spacing w:after="0" w:line="80" w:lineRule="exact"/>
        <w:rPr>
          <w:rFonts w:ascii="Arial" w:cs="Arial" w:eastAsia="Arial" w:hAnsi="Arial"/>
          <w:sz w:val="14"/>
          <w:szCs w:val="14"/>
          <w:color w:val="auto"/>
        </w:rPr>
      </w:pPr>
    </w:p>
    <w:p>
      <w:pPr>
        <w:ind w:left="460" w:hanging="353"/>
        <w:spacing w:after="0" w:line="24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define EBITDA as net income, plus interest expense, income tax provision (benefit)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management realignment expenses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management realignment expenses and other expenses, amortization of acquisition intangibles and deferred financing costs, the tax benefit of stock option exercises, the tax legislation adjustment and the tax effect of these adjustments. We describe these adjustments reconciling net income to Adjusted Net Income in the tables below.</w:t>
      </w:r>
    </w:p>
    <w:p>
      <w:pPr>
        <w:spacing w:after="0" w:line="31" w:lineRule="exact"/>
        <w:rPr>
          <w:rFonts w:ascii="Arial" w:cs="Arial" w:eastAsia="Arial" w:hAnsi="Arial"/>
          <w:sz w:val="14"/>
          <w:szCs w:val="14"/>
          <w:color w:val="auto"/>
        </w:rPr>
      </w:pPr>
    </w:p>
    <w:p>
      <w:pPr>
        <w:ind w:left="460" w:right="20"/>
        <w:spacing w:after="0" w:line="266" w:lineRule="auto"/>
        <w:rPr>
          <w:rFonts w:ascii="Arial" w:cs="Arial" w:eastAsia="Arial" w:hAnsi="Arial"/>
          <w:sz w:val="14"/>
          <w:szCs w:val="14"/>
          <w:color w:val="auto"/>
        </w:rPr>
      </w:pPr>
      <w:r>
        <w:rPr>
          <w:rFonts w:ascii="Arial" w:cs="Arial" w:eastAsia="Arial" w:hAnsi="Arial"/>
          <w:sz w:val="13"/>
          <w:szCs w:val="13"/>
          <w:color w:val="auto"/>
        </w:rPr>
        <w:t>EBITDA, Adjusted EBITDA, Adjusted EBITDA Margin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7" w:lineRule="exact"/>
        <w:rPr>
          <w:rFonts w:ascii="Arial" w:cs="Arial" w:eastAsia="Arial" w:hAnsi="Arial"/>
          <w:sz w:val="14"/>
          <w:szCs w:val="14"/>
          <w:color w:val="auto"/>
        </w:rPr>
      </w:pPr>
    </w:p>
    <w:p>
      <w:pPr>
        <w:ind w:left="460"/>
        <w:spacing w:after="0" w:line="266" w:lineRule="auto"/>
        <w:rPr>
          <w:rFonts w:ascii="Arial" w:cs="Arial" w:eastAsia="Arial" w:hAnsi="Arial"/>
          <w:sz w:val="14"/>
          <w:szCs w:val="14"/>
          <w:color w:val="auto"/>
        </w:rPr>
      </w:pPr>
      <w:r>
        <w:rPr>
          <w:rFonts w:ascii="Arial" w:cs="Arial" w:eastAsia="Arial" w:hAnsi="Arial"/>
          <w:sz w:val="13"/>
          <w:szCs w:val="13"/>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17" w:lineRule="exact"/>
        <w:rPr>
          <w:rFonts w:ascii="Arial" w:cs="Arial" w:eastAsia="Arial" w:hAnsi="Arial"/>
          <w:sz w:val="14"/>
          <w:szCs w:val="14"/>
          <w:color w:val="auto"/>
        </w:rPr>
      </w:pPr>
    </w:p>
    <w:p>
      <w:pPr>
        <w:ind w:left="460" w:right="380"/>
        <w:spacing w:after="0" w:line="273" w:lineRule="auto"/>
        <w:rPr>
          <w:rFonts w:ascii="Arial" w:cs="Arial" w:eastAsia="Arial" w:hAnsi="Arial"/>
          <w:sz w:val="14"/>
          <w:szCs w:val="14"/>
          <w:color w:val="auto"/>
        </w:rPr>
      </w:pPr>
      <w:r>
        <w:rPr>
          <w:rFonts w:ascii="Arial" w:cs="Arial" w:eastAsia="Arial" w:hAnsi="Arial"/>
          <w:sz w:val="14"/>
          <w:szCs w:val="14"/>
          <w:color w:val="auto"/>
        </w:rPr>
        <w:t>The presentations of these measures have limitations as analytical tools and should not be considered in isolation, or as a substitute for analysis of our results as reported under GAAP. Some of these limitations are:</w:t>
      </w:r>
    </w:p>
    <w:p>
      <w:pPr>
        <w:spacing w:after="0" w:line="65" w:lineRule="exact"/>
        <w:rPr>
          <w:rFonts w:ascii="Arial" w:cs="Arial" w:eastAsia="Arial" w:hAnsi="Arial"/>
          <w:sz w:val="14"/>
          <w:szCs w:val="14"/>
          <w:color w:val="auto"/>
        </w:rPr>
      </w:pPr>
    </w:p>
    <w:p>
      <w:pPr>
        <w:ind w:left="1180" w:hanging="358"/>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they do not reflect costs or cash outlays for capital expenditures or contractual commitments;</w:t>
      </w:r>
    </w:p>
    <w:p>
      <w:pPr>
        <w:spacing w:after="0" w:line="109" w:lineRule="exact"/>
        <w:rPr>
          <w:rFonts w:ascii="Arial" w:cs="Arial" w:eastAsia="Arial" w:hAnsi="Arial"/>
          <w:sz w:val="14"/>
          <w:szCs w:val="14"/>
          <w:color w:val="auto"/>
        </w:rPr>
      </w:pPr>
    </w:p>
    <w:p>
      <w:pPr>
        <w:ind w:left="1180" w:hanging="358"/>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109" w:lineRule="exact"/>
        <w:rPr>
          <w:rFonts w:ascii="Arial" w:cs="Arial" w:eastAsia="Arial" w:hAnsi="Arial"/>
          <w:sz w:val="14"/>
          <w:szCs w:val="14"/>
          <w:color w:val="auto"/>
        </w:rPr>
      </w:pPr>
    </w:p>
    <w:p>
      <w:pPr>
        <w:ind w:left="1180" w:right="580" w:hanging="358"/>
        <w:spacing w:after="0" w:line="273" w:lineRule="auto"/>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EBITDA and Adjusted EBITDA do not reflect the interest expense, or the cash requirements necessary to service interest or principal payments, on our debt;</w:t>
      </w:r>
    </w:p>
    <w:p>
      <w:pPr>
        <w:spacing w:after="0" w:line="65" w:lineRule="exact"/>
        <w:rPr>
          <w:rFonts w:ascii="Arial" w:cs="Arial" w:eastAsia="Arial" w:hAnsi="Arial"/>
          <w:sz w:val="14"/>
          <w:szCs w:val="14"/>
          <w:color w:val="auto"/>
        </w:rPr>
      </w:pPr>
    </w:p>
    <w:p>
      <w:pPr>
        <w:ind w:left="1180" w:right="340" w:hanging="358"/>
        <w:spacing w:after="0" w:line="273" w:lineRule="auto"/>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EBITDA and Adjusted EBITDA do not reflect period to period changes in taxes, income tax expense or the cash necessary to pay income taxes;</w:t>
      </w:r>
    </w:p>
    <w:p>
      <w:pPr>
        <w:spacing w:after="0" w:line="65" w:lineRule="exact"/>
        <w:rPr>
          <w:rFonts w:ascii="Arial" w:cs="Arial" w:eastAsia="Arial" w:hAnsi="Arial"/>
          <w:sz w:val="14"/>
          <w:szCs w:val="14"/>
          <w:color w:val="auto"/>
        </w:rPr>
      </w:pPr>
    </w:p>
    <w:p>
      <w:pPr>
        <w:ind w:left="1180" w:right="240" w:hanging="358"/>
        <w:spacing w:after="0" w:line="312" w:lineRule="auto"/>
        <w:tabs>
          <w:tab w:leader="none" w:pos="1180"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8013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092825" cy="8013700"/>
                    </a:xfrm>
                    <a:prstGeom prst="rect">
                      <a:avLst/>
                    </a:prstGeom>
                    <a:noFill/>
                  </pic:spPr>
                </pic:pic>
              </a:graphicData>
            </a:graphic>
          </wp:anchor>
        </w:drawing>
      </w:r>
    </w:p>
    <w:p>
      <w:pPr>
        <w:spacing w:after="0" w:line="255" w:lineRule="exact"/>
        <w:rPr>
          <w:sz w:val="20"/>
          <w:szCs w:val="20"/>
          <w:color w:val="auto"/>
        </w:rPr>
      </w:pPr>
    </w:p>
    <w:p>
      <w:pPr>
        <w:ind w:left="1180" w:right="160" w:hanging="358"/>
        <w:spacing w:after="0" w:line="273" w:lineRule="auto"/>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65" w:lineRule="exact"/>
        <w:rPr>
          <w:rFonts w:ascii="Arial" w:cs="Arial" w:eastAsia="Arial" w:hAnsi="Arial"/>
          <w:sz w:val="14"/>
          <w:szCs w:val="14"/>
          <w:color w:val="auto"/>
        </w:rPr>
      </w:pPr>
    </w:p>
    <w:p>
      <w:pPr>
        <w:ind w:left="1180" w:hanging="358"/>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67" w:lineRule="exact"/>
        <w:rPr>
          <w:sz w:val="20"/>
          <w:szCs w:val="20"/>
          <w:color w:val="auto"/>
        </w:rPr>
      </w:pPr>
    </w:p>
    <w:p>
      <w:pPr>
        <w:ind w:left="460" w:right="140"/>
        <w:spacing w:after="0" w:line="273" w:lineRule="auto"/>
        <w:rPr>
          <w:sz w:val="20"/>
          <w:szCs w:val="20"/>
          <w:color w:val="auto"/>
        </w:rPr>
      </w:pPr>
      <w:r>
        <w:rPr>
          <w:rFonts w:ascii="Arial" w:cs="Arial" w:eastAsia="Arial" w:hAnsi="Arial"/>
          <w:sz w:val="14"/>
          <w:szCs w:val="14"/>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12" w:lineRule="exact"/>
        <w:rPr>
          <w:sz w:val="20"/>
          <w:szCs w:val="20"/>
          <w:color w:val="auto"/>
        </w:rPr>
      </w:pPr>
    </w:p>
    <w:p>
      <w:pPr>
        <w:ind w:left="460" w:right="480"/>
        <w:spacing w:after="0" w:line="273" w:lineRule="auto"/>
        <w:rPr>
          <w:sz w:val="20"/>
          <w:szCs w:val="20"/>
          <w:color w:val="auto"/>
        </w:rPr>
      </w:pPr>
      <w:r>
        <w:rPr>
          <w:rFonts w:ascii="Arial" w:cs="Arial" w:eastAsia="Arial" w:hAnsi="Arial"/>
          <w:sz w:val="14"/>
          <w:szCs w:val="14"/>
          <w:color w:val="auto"/>
        </w:rPr>
        <w:t>The following tables reconcile our net income to EBITDA, Adjusted EBITDA, Adjusted EBITDA Margin and Adjusted Net Income for the periods presented:</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95"/>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95"/>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30,</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37,283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2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(38,910)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80" w:type="dxa"/>
            <w:vAlign w:val="bottom"/>
            <w:tcBorders>
              <w:left w:val="single" w:sz="8" w:color="CCEEFF"/>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52,677</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74,339</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116,746</w:t>
            </w:r>
          </w:p>
        </w:tc>
        <w:tc>
          <w:tcPr>
            <w:tcW w:w="1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 expense</w:t>
            </w:r>
            <w:r>
              <w:rPr>
                <w:rFonts w:ascii="Arial" w:cs="Arial" w:eastAsia="Arial" w:hAnsi="Arial"/>
                <w:sz w:val="28"/>
                <w:szCs w:val="28"/>
                <w:color w:val="auto"/>
                <w:vertAlign w:val="superscript"/>
              </w:rPr>
              <w:t>(j)</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realignment expenses</w:t>
            </w:r>
            <w:r>
              <w:rPr>
                <w:rFonts w:ascii="Arial" w:cs="Arial" w:eastAsia="Arial" w:hAnsi="Arial"/>
                <w:sz w:val="28"/>
                <w:szCs w:val="28"/>
                <w:color w:val="auto"/>
                <w:vertAlign w:val="superscript"/>
              </w:rPr>
              <w:t>(k)</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bottom w:val="single" w:sz="8" w:color="CCEEFF"/>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(l)</w:t>
            </w: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136,770</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174,365</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43,138</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 expense</w:t>
            </w:r>
            <w:r>
              <w:rPr>
                <w:rFonts w:ascii="Arial" w:cs="Arial" w:eastAsia="Arial" w:hAnsi="Arial"/>
                <w:sz w:val="28"/>
                <w:szCs w:val="28"/>
                <w:color w:val="auto"/>
                <w:vertAlign w:val="superscript"/>
              </w:rPr>
              <w:t>(j)</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realignment expenses</w:t>
            </w:r>
            <w:r>
              <w:rPr>
                <w:rFonts w:ascii="Arial" w:cs="Arial" w:eastAsia="Arial" w:hAnsi="Arial"/>
                <w:sz w:val="28"/>
                <w:szCs w:val="28"/>
                <w:color w:val="auto"/>
                <w:vertAlign w:val="superscript"/>
              </w:rPr>
              <w:t>(k)</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(l)</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line="206" w:lineRule="exact"/>
              <w:rPr>
                <w:sz w:val="20"/>
                <w:szCs w:val="20"/>
                <w:color w:val="auto"/>
              </w:rPr>
            </w:pPr>
            <w:r>
              <w:rPr>
                <w:rFonts w:ascii="Arial" w:cs="Arial" w:eastAsia="Arial" w:hAnsi="Arial"/>
                <w:sz w:val="18"/>
                <w:szCs w:val="18"/>
                <w:color w:val="auto"/>
                <w:w w:val="96"/>
              </w:rPr>
              <w:t>Amortization of acquisition intangibles and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(m)</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14,481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9,253</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(n)</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(25,544)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(o)</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(42,089)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(p)</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(12,534)</w:t>
            </w:r>
          </w:p>
        </w:tc>
        <w:tc>
          <w:tcPr>
            <w:tcW w:w="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(20,475)</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auto"/>
              <w:right w:val="single" w:sz="8" w:color="CCEEFF"/>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32,144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31,759</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51,928</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42,164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60"/>
          </w:cols>
          <w:pgMar w:left="1180" w:top="279" w:right="1259" w:bottom="1440" w:gutter="0" w:footer="0" w:header="0"/>
        </w:sect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85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092825" cy="69850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4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65"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fiscal year 2018, fees associated with the issuance of new term loans during the fourth quarter of fiscal year 2018. For fiscal year 2017, includes $2.7 million of fees associated with the borrowing of $175.0 million in additional principal under our first lien credit agreement and $1.8 million of fees associated with the refinancing of our first lien credit agreement.</w:t>
      </w:r>
    </w:p>
    <w:p>
      <w:pPr>
        <w:spacing w:after="0" w:line="77" w:lineRule="exact"/>
        <w:rPr>
          <w:rFonts w:ascii="Arial" w:cs="Arial" w:eastAsia="Arial" w:hAnsi="Arial"/>
          <w:sz w:val="14"/>
          <w:szCs w:val="14"/>
          <w:color w:val="auto"/>
        </w:rPr>
      </w:pPr>
    </w:p>
    <w:p>
      <w:pPr>
        <w:ind w:left="460" w:right="120" w:hanging="353"/>
        <w:spacing w:after="0" w:line="286"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Military and Fred Meyer brands during fiscal year 2018 and Fred Meyer and AC Lens brands during fiscal year 2016, write-off of a cost basis investment, and impairment of capitalized software and property and equipment for fiscal year 2017. Reflects write-off of property and equipment on closed or underperforming stores for the six months ended June 29, 2019.</w:t>
      </w:r>
    </w:p>
    <w:p>
      <w:pPr>
        <w:spacing w:after="0" w:line="59" w:lineRule="exact"/>
        <w:rPr>
          <w:rFonts w:ascii="Arial" w:cs="Arial" w:eastAsia="Arial" w:hAnsi="Arial"/>
          <w:sz w:val="13"/>
          <w:szCs w:val="13"/>
          <w:color w:val="auto"/>
        </w:rPr>
      </w:pPr>
    </w:p>
    <w:p>
      <w:pPr>
        <w:ind w:left="460" w:hanging="353"/>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09" w:lineRule="exact"/>
        <w:rPr>
          <w:rFonts w:ascii="Arial" w:cs="Arial" w:eastAsia="Arial" w:hAnsi="Arial"/>
          <w:sz w:val="14"/>
          <w:szCs w:val="14"/>
          <w:color w:val="auto"/>
        </w:rPr>
      </w:pPr>
    </w:p>
    <w:p>
      <w:pPr>
        <w:ind w:left="460" w:right="8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management fees paid to KKR and Berkshire in accordance with our monitoring agreement with them. The monitoring agreement was terminated automatically in accordance with its terms upon the consummation of the IPO in October 2017.</w:t>
      </w:r>
    </w:p>
    <w:p>
      <w:pPr>
        <w:spacing w:after="0" w:line="65" w:lineRule="exact"/>
        <w:rPr>
          <w:rFonts w:ascii="Arial" w:cs="Arial" w:eastAsia="Arial" w:hAnsi="Arial"/>
          <w:sz w:val="14"/>
          <w:szCs w:val="14"/>
          <w:color w:val="auto"/>
        </w:rPr>
      </w:pPr>
    </w:p>
    <w:p>
      <w:pPr>
        <w:ind w:left="460" w:right="40" w:hanging="353"/>
        <w:spacing w:after="0" w:line="25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80" w:lineRule="exact"/>
        <w:rPr>
          <w:rFonts w:ascii="Arial" w:cs="Arial" w:eastAsia="Arial" w:hAnsi="Arial"/>
          <w:sz w:val="14"/>
          <w:szCs w:val="14"/>
          <w:color w:val="auto"/>
        </w:rPr>
      </w:pPr>
    </w:p>
    <w:p>
      <w:pPr>
        <w:ind w:left="46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w:t>
      </w:r>
    </w:p>
    <w:p>
      <w:pPr>
        <w:spacing w:after="0" w:line="65" w:lineRule="exact"/>
        <w:rPr>
          <w:rFonts w:ascii="Arial" w:cs="Arial" w:eastAsia="Arial" w:hAnsi="Arial"/>
          <w:sz w:val="14"/>
          <w:szCs w:val="14"/>
          <w:color w:val="auto"/>
        </w:rPr>
      </w:pPr>
    </w:p>
    <w:p>
      <w:pPr>
        <w:ind w:left="460" w:hanging="353"/>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“Legal Proceedings” and Note 12 in our audited consolidated financial statements, each in our Annual Report, and “Legal Proceedings” and Note 8 in our unaudited condensed consolidated financial statements, each in our Quarterly Reports, each of which is incorporated by reference in this prospectus supplement, for further details.</w:t>
      </w:r>
    </w:p>
    <w:p>
      <w:pPr>
        <w:spacing w:after="0" w:line="77" w:lineRule="exact"/>
        <w:rPr>
          <w:rFonts w:ascii="Arial" w:cs="Arial" w:eastAsia="Arial" w:hAnsi="Arial"/>
          <w:sz w:val="14"/>
          <w:szCs w:val="14"/>
          <w:color w:val="auto"/>
        </w:rPr>
      </w:pPr>
    </w:p>
    <w:p>
      <w:pPr>
        <w:ind w:left="460" w:right="8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 2018 and the six months ended June 30, 2018. See Note 1 in our audited consolidated financial statements in our Annual Report, which is incorporated by reference in this prospectus supplement, for further details.</w:t>
      </w:r>
    </w:p>
    <w:p>
      <w:pPr>
        <w:spacing w:after="0" w:line="65" w:lineRule="exact"/>
        <w:rPr>
          <w:rFonts w:ascii="Arial" w:cs="Arial" w:eastAsia="Arial" w:hAnsi="Arial"/>
          <w:sz w:val="14"/>
          <w:szCs w:val="14"/>
          <w:color w:val="auto"/>
        </w:rPr>
      </w:pPr>
    </w:p>
    <w:p>
      <w:pPr>
        <w:ind w:left="460" w:right="80" w:hanging="353"/>
        <w:spacing w:after="0" w:line="25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This plan was effective in 2014 following the acquisition of the Company by affiliates of KKR. During the third quarter of fiscal year 2018, $4.6 million cash payout was triggered as a result of the second secondary offering of common stock by affiliates of KKR and other selling shareholders. The remaining $2.4 million for fiscal year 2018 relates to the third secondary offering and is accrued but not paid as of fiscal year end 2018.</w:t>
      </w:r>
    </w:p>
    <w:p>
      <w:pPr>
        <w:spacing w:after="0" w:line="80" w:lineRule="exact"/>
        <w:rPr>
          <w:rFonts w:ascii="Arial" w:cs="Arial" w:eastAsia="Arial" w:hAnsi="Arial"/>
          <w:sz w:val="14"/>
          <w:szCs w:val="14"/>
          <w:color w:val="auto"/>
        </w:rPr>
      </w:pPr>
    </w:p>
    <w:p>
      <w:pPr>
        <w:ind w:left="460" w:hanging="353"/>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Expenses related to a non-recurring realignment of management described in our Current Report on Form 8-K filed with the SEC on January 10, 2019.</w:t>
      </w:r>
    </w:p>
    <w:p>
      <w:pPr>
        <w:spacing w:after="0" w:line="120" w:lineRule="exact"/>
        <w:rPr>
          <w:rFonts w:ascii="Arial" w:cs="Arial" w:eastAsia="Arial" w:hAnsi="Arial"/>
          <w:sz w:val="13"/>
          <w:szCs w:val="13"/>
          <w:color w:val="auto"/>
        </w:rPr>
      </w:pPr>
    </w:p>
    <w:p>
      <w:pPr>
        <w:ind w:left="460" w:hanging="353"/>
        <w:spacing w:after="0" w:line="264"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$1.3 million, $1.0 million and $1.4 million for fiscal years 2018, 2017 and 2016, respectively, and $0.6 million for each of the six months ended June 29, 2019 and June 30, 2018; the amortization impact of the KKR Acquisition-related adjustments (e.g., fair value of leasehold interests) of $0.4 million, $(0.3) million, $(0.7) million, $0.2 million and $0.1 million for fiscal years 2018, 2017 and 2016 and the six months ended June 29, 2019 and June 30, 2018, respectively; expenses related to preparation for being an SEC registrant that were not directly attributable to our IPO and therefore not charged to equity of $1.8 million and $2.0 million for the fiscal years 2017 and 2016, respectively; differences between the timing of expense versus cash payments related to contributions to charitable organizations of $(1.0) million for each of fiscal years 2018, 2017 and 2016 and $(0.5) million for the six months ended June 30, 2018; costs of severance and relocation of $1.0 million, $1.4 million, $1.1 million, $0.8 million and $0.5 million for fiscal years 2018, 2017 and 2016 and the six months ended June 29, 2019 and June 30, 2018, respectively; excess payroll taxes related to stock option exercises of $1.8 million, $0.1 million and $0.3 million for fiscal year 2018 and the six months ended June 29, 2019 and June 30, 2018, respectively; and other expenses and adjustments totaling $1.1 million, $1.0 million, $0.8 million, $0.3 million and $0.2 million for fiscal years 2018, 2017 and 2016 and the six months ended June 29, 2019 and June 30, 2018, respectively.</w:t>
      </w:r>
    </w:p>
    <w:p>
      <w:pPr>
        <w:spacing w:after="0" w:line="79" w:lineRule="exact"/>
        <w:rPr>
          <w:rFonts w:ascii="Arial" w:cs="Arial" w:eastAsia="Arial" w:hAnsi="Arial"/>
          <w:sz w:val="13"/>
          <w:szCs w:val="13"/>
          <w:color w:val="auto"/>
        </w:rPr>
      </w:pPr>
    </w:p>
    <w:p>
      <w:pPr>
        <w:ind w:left="460" w:right="80" w:hanging="353"/>
        <w:spacing w:after="0" w:line="246"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definite-lived intangible assets resulting from the application of purchase accounting to the KKR Acquisition of $7.4 million for each of fiscal years 2018, 2017 and 2016 and $3.7 million for each of the six months ended June 29, 2019 and June 30,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$1.9 million, $7.1 million, $3.9 million, $0.9 million and $0.8 million of additional expense for fiscal years 2018, 2017 and 2016 and the six months ended June 29, 2019 and June 30, 2018, respectively. The $7.1 million additional expense for fiscal year 2017 includes a $3.3 million write-off of debt discounts associated with the repayment of the entire $125.0 million second lien term loan balance.</w:t>
      </w:r>
    </w:p>
    <w:p>
      <w:pPr>
        <w:spacing w:after="0" w:line="84"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 Compensation – Stock Compensation), requiring excess tax benefits related to stock option exercises to be recorded in earnings as discrete items in the reporting period in which they occur.</w:t>
      </w:r>
    </w:p>
    <w:p>
      <w:pPr>
        <w:spacing w:after="0" w:line="77" w:lineRule="exact"/>
        <w:rPr>
          <w:rFonts w:ascii="Arial" w:cs="Arial" w:eastAsia="Arial" w:hAnsi="Arial"/>
          <w:sz w:val="14"/>
          <w:szCs w:val="14"/>
          <w:color w:val="auto"/>
        </w:rPr>
      </w:pPr>
    </w:p>
    <w:p>
      <w:pPr>
        <w:ind w:left="460" w:right="100" w:hanging="353"/>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 adjustment represents re-measuring and reassessing the net realizability of our deferred tax assets and liabilities during fiscal year 2017. See Note 6 in our </w:t>
      </w:r>
      <w:hyperlink r:id="rId18">
        <w:r>
          <w:rPr>
            <w:rFonts w:ascii="Arial" w:cs="Arial" w:eastAsia="Arial" w:hAnsi="Arial"/>
            <w:sz w:val="14"/>
            <w:szCs w:val="14"/>
            <w:u w:val="single" w:color="auto"/>
            <w:color w:val="0000EE"/>
          </w:rPr>
          <w:t>audited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our Annual Report, which is incorporated by reference in this prospectus supplement for additional information regarding the Tax Cuts and Jobs Act of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6"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An investment in our common stock involves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Consolidated Financial and Other Data” contained elsewhere in this prospectus supplement, </w:t>
      </w:r>
      <w:hyperlink r:id="rId16">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xml:space="preserve"> </w:t>
      </w:r>
      <w:hyperlink r:id="rId18">
        <w:r>
          <w:rPr>
            <w:rFonts w:ascii="Arial" w:cs="Arial" w:eastAsia="Arial" w:hAnsi="Arial"/>
            <w:sz w:val="16"/>
            <w:szCs w:val="16"/>
            <w:i w:val="1"/>
            <w:iCs w:val="1"/>
            <w:u w:val="single" w:color="auto"/>
            <w:color w:val="0000EE"/>
          </w:rPr>
          <w:t>“Management’s Discussion and Analysis of Financial</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Condition and Results of Operations” and our</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audited consolidated financial</w:t>
        </w:r>
      </w:hyperlink>
      <w:r>
        <w:rPr>
          <w:rFonts w:ascii="Arial" w:cs="Arial" w:eastAsia="Arial" w:hAnsi="Arial"/>
          <w:sz w:val="16"/>
          <w:szCs w:val="16"/>
          <w:i w:val="1"/>
          <w:iCs w:val="1"/>
          <w:color w:val="0000EE"/>
        </w:rPr>
        <w:t xml:space="preserve"> </w:t>
      </w:r>
      <w:hyperlink r:id="rId19">
        <w:r>
          <w:rPr>
            <w:rFonts w:ascii="Arial" w:cs="Arial" w:eastAsia="Arial" w:hAnsi="Arial"/>
            <w:sz w:val="16"/>
            <w:szCs w:val="16"/>
            <w:i w:val="1"/>
            <w:iCs w:val="1"/>
            <w:u w:val="single" w:color="auto"/>
            <w:color w:val="0000EE"/>
          </w:rPr>
          <w:t>statements and related notes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thereto in our Annual Report and</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“Management’s Discussion and Analysis of Financial Condition and</w:t>
        </w:r>
      </w:hyperlink>
      <w:r>
        <w:rPr>
          <w:rFonts w:ascii="Arial" w:cs="Arial" w:eastAsia="Arial" w:hAnsi="Arial"/>
          <w:sz w:val="16"/>
          <w:szCs w:val="16"/>
          <w:i w:val="1"/>
          <w:iCs w:val="1"/>
          <w:color w:val="0000EE"/>
        </w:rPr>
        <w:t xml:space="preserve"> </w:t>
      </w:r>
      <w:hyperlink r:id="rId19">
        <w:r>
          <w:rPr>
            <w:rFonts w:ascii="Arial" w:cs="Arial" w:eastAsia="Arial" w:hAnsi="Arial"/>
            <w:sz w:val="16"/>
            <w:szCs w:val="16"/>
            <w:i w:val="1"/>
            <w:iCs w:val="1"/>
            <w:u w:val="single" w:color="auto"/>
            <w:color w:val="0000EE"/>
          </w:rPr>
          <w:t>Results of</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Operations” and our</w:t>
        </w:r>
        <w:r>
          <w:rPr>
            <w:rFonts w:ascii="Arial" w:cs="Arial" w:eastAsia="Arial" w:hAnsi="Arial"/>
            <w:sz w:val="16"/>
            <w:szCs w:val="16"/>
            <w:i w:val="1"/>
            <w:iCs w:val="1"/>
            <w:color w:val="0000EE"/>
          </w:rPr>
          <w:t xml:space="preserve"> </w:t>
        </w:r>
      </w:hyperlink>
      <w:hyperlink r:id="rId20">
        <w:r>
          <w:rPr>
            <w:rFonts w:ascii="Arial" w:cs="Arial" w:eastAsia="Arial" w:hAnsi="Arial"/>
            <w:sz w:val="16"/>
            <w:szCs w:val="16"/>
            <w:i w:val="1"/>
            <w:iCs w:val="1"/>
            <w:u w:val="single" w:color="auto"/>
            <w:color w:val="0000EE"/>
          </w:rPr>
          <w:t xml:space="preserve">unaudited condensed consolidated financial statements and related notes </w:t>
        </w:r>
      </w:hyperlink>
      <w:hyperlink r:id="rId19">
        <w:r>
          <w:rPr>
            <w:rFonts w:ascii="Arial" w:cs="Arial" w:eastAsia="Arial" w:hAnsi="Arial"/>
            <w:sz w:val="16"/>
            <w:szCs w:val="16"/>
            <w:i w:val="1"/>
            <w:iCs w:val="1"/>
            <w:color w:val="000000"/>
          </w:rPr>
          <w:t>thereto in our Quarterly</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Reports, each of which is incorporated by reference in this prospectus supplement and the accompanying prospectus, before investing in our common stock. Any of the following risks could materially and adversely affect our business, financial condition, or results of operations. The selected risks described below or incorporated by reference in this prospectus supplement and the accompanying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rFonts w:ascii="Arial" w:cs="Arial" w:eastAsia="Arial" w:hAnsi="Arial"/>
          <w:sz w:val="16"/>
          <w:szCs w:val="16"/>
          <w:i w:val="1"/>
          <w:iCs w:val="1"/>
          <w:color w:val="0000EE"/>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20" w:firstLine="360"/>
        <w:spacing w:after="0" w:line="302" w:lineRule="auto"/>
        <w:rPr>
          <w:rFonts w:ascii="Arial" w:cs="Arial" w:eastAsia="Arial" w:hAnsi="Arial"/>
          <w:sz w:val="16"/>
          <w:szCs w:val="16"/>
          <w:color w:val="0000EE"/>
        </w:rPr>
      </w:pPr>
      <w:r>
        <w:rPr>
          <w:rFonts w:ascii="Arial" w:cs="Arial" w:eastAsia="Arial" w:hAnsi="Arial"/>
          <w:sz w:val="16"/>
          <w:szCs w:val="16"/>
          <w:color w:val="auto"/>
        </w:rPr>
        <w:t xml:space="preserve">We completed our IPO in October 2017. Since our IPO, the price of our common stock, as reported on NASDAQ, has ranged from a low of $25.60 on December 24, 2018 to a high of $46.63 on September 7, 2018. The trading price of our common stock may be volatile and may be adversely affected due to a number of factors, most of which we cannot control, including those listed under </w:t>
      </w:r>
      <w:hyperlink r:id="rId16">
        <w:r>
          <w:rPr>
            <w:rFonts w:ascii="Arial" w:cs="Arial" w:eastAsia="Arial" w:hAnsi="Arial"/>
            <w:sz w:val="16"/>
            <w:szCs w:val="16"/>
            <w:u w:val="single" w:color="auto"/>
            <w:color w:val="0000EE"/>
          </w:rPr>
          <w:t>“Risk Factors”</w:t>
        </w:r>
        <w:r>
          <w:rPr>
            <w:rFonts w:ascii="Arial" w:cs="Arial" w:eastAsia="Arial" w:hAnsi="Arial"/>
            <w:sz w:val="16"/>
            <w:szCs w:val="16"/>
            <w:color w:val="0000EE"/>
          </w:rPr>
          <w:t xml:space="preserve"> </w:t>
        </w:r>
      </w:hyperlink>
      <w:r>
        <w:rPr>
          <w:rFonts w:ascii="Arial" w:cs="Arial" w:eastAsia="Arial" w:hAnsi="Arial"/>
          <w:sz w:val="16"/>
          <w:szCs w:val="16"/>
          <w:color w:val="000000"/>
        </w:rPr>
        <w:t>in</w:t>
      </w:r>
      <w:r>
        <w:rPr>
          <w:rFonts w:ascii="Arial" w:cs="Arial" w:eastAsia="Arial" w:hAnsi="Arial"/>
          <w:sz w:val="16"/>
          <w:szCs w:val="16"/>
          <w:color w:val="0000EE"/>
        </w:rPr>
        <w:t xml:space="preserve"> </w:t>
      </w:r>
      <w:r>
        <w:rPr>
          <w:rFonts w:ascii="Arial" w:cs="Arial" w:eastAsia="Arial" w:hAnsi="Arial"/>
          <w:sz w:val="16"/>
          <w:szCs w:val="16"/>
          <w:color w:val="000000"/>
        </w:rPr>
        <w:t>our Annual Report, which is incorporated by reference in this prospectus supplement, and the following:</w:t>
      </w:r>
    </w:p>
    <w:p>
      <w:pPr>
        <w:spacing w:after="0" w:line="46" w:lineRule="exact"/>
        <w:rPr>
          <w:rFonts w:ascii="Arial" w:cs="Arial" w:eastAsia="Arial" w:hAnsi="Arial"/>
          <w:sz w:val="16"/>
          <w:szCs w:val="16"/>
          <w:i w:val="1"/>
          <w:iCs w:val="1"/>
          <w:color w:val="0000EE"/>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170"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1"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55"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b w:val="1"/>
          <w:bCs w:val="1"/>
          <w:i w:val="1"/>
          <w:iCs w:val="1"/>
          <w:color w:val="auto"/>
        </w:rPr>
        <w:t>Failure to comply with requirements to maintain effective internal controls could have a material adverse effect on our business and stock price, and any failure to maintain financial controls could result in our financial statements becoming unreliable. We currently have a material weakness in our internal controls over financial reporting.</w:t>
      </w:r>
    </w:p>
    <w:p>
      <w:pPr>
        <w:spacing w:after="0" w:line="7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to meet our reporting obligations as a public company. 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in each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also required to issue an attestation report on the effectiveness of our internal controls in each Annual Report on Form 10-K.</w:t>
      </w:r>
    </w:p>
    <w:p>
      <w:pPr>
        <w:spacing w:after="0" w:line="6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As previously disclosed in our Annual Report, management had identified a control deficiency that constituted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The material weakness related to a deficiency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design of entity level controls to identify and assess changes in our business environment that could significantly impact the system of internal control over financial reporting. In part due to errors discovered as a result of implementation of controls associated with a new lease accounting standard, the Company concluded this material weakness still exists as of June 29, 2019. While we have designed and implemented controls to remediate this material weakness, our efforts may not be successful. These remediation measures may be time consuming, costly, and may place significant demands on our financial and operational resources. If our efforts to remediate this material weakness are not successful, the remediated material weakness may reoccur or other material weaknesses could occur in the future. The financial results for periods prior to fiscal year 2018 have been revised to reflect corrections from the errors related to lease accounting as described in Note 1 in our </w:t>
      </w:r>
      <w:hyperlink r:id="rId18">
        <w:r>
          <w:rPr>
            <w:rFonts w:ascii="Arial" w:cs="Arial" w:eastAsia="Arial" w:hAnsi="Arial"/>
            <w:sz w:val="16"/>
            <w:szCs w:val="16"/>
            <w:u w:val="single" w:color="auto"/>
            <w:color w:val="0000EE"/>
          </w:rPr>
          <w:t>audited consolidated financial statements</w:t>
        </w:r>
      </w:hyperlink>
      <w:r>
        <w:rPr>
          <w:rFonts w:ascii="Arial" w:cs="Arial" w:eastAsia="Arial" w:hAnsi="Arial"/>
          <w:sz w:val="16"/>
          <w:szCs w:val="16"/>
          <w:color w:val="auto"/>
        </w:rPr>
        <w:t xml:space="preserve"> in our Annual Report, which is incorporated by reference in this prospectus supplement.</w:t>
      </w:r>
    </w:p>
    <w:p>
      <w:pPr>
        <w:spacing w:after="0" w:line="59"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Our testing, or the testing by our independent registered public accounting firm, has revealed and may continue to reveal deficiencies in our internal controls over financial reporting that are deemed to be material weaknesses. Newly-identified material weaknesses could result in a material misstatement of our annual or quarterly consolidated financial statements or disclosures that may not be prevented or detected.</w:t>
      </w:r>
    </w:p>
    <w:p>
      <w:pPr>
        <w:spacing w:after="0" w:line="7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 After the completion of the offering and concurrent share repurchase, substantially all of the outstanding shares of our common stock will be available for resale in the public market.</w:t>
      </w:r>
    </w:p>
    <w:p>
      <w:pPr>
        <w:spacing w:after="0" w:line="6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Upon the consummation of this offering, of our outstanding shares, the 61,084,852 shares sold in the IPO and in the secondary offerings of our common stock in March 2018, July 2018 (for which the overallotment option closed in early August) and November 2018, and any shares sold in this offering, will be freely tradable without restriction or further registration under the Securities Act of 1933, as amended, or the Securities Act.</w:t>
      </w:r>
    </w:p>
    <w:p>
      <w:pPr>
        <w:spacing w:after="0" w:line="79"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Additionally, in connection with prior secondary offerings, our Board of Directors, pursuant to the management stockholder’s agreements and director stockholder’s agreements, elected to waive the transfer restrictions with respect to a number of shares of our common stock that management stockholders and director stockholders not participating in those offerings would have been eligible to sell in those offerings if they had exercised their piggyback registration rights. In connection with the secondary offerings in July 2018 and November 2018, the Board of Directors also elected to waive the transfer restrictions with respect to a portion of the shares underlying the performance-based options that vested upon the consummation of these offerings. In connection with this offering, our Board of Directors will elect to completely waive all remaining transfer restrictions in the management stockholder’s agreements and director stockholder’s agreements with respect to shares of common stock, restricted stock and options held by management stockholders and director stockholders. Certain of these shares are held by non-executive officers and non-directors and, as such, may be sold during the 30-day lock-up period after this offering, subject to compliance with our securities trading policy and applicable securities laws.</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connection with this offering, we, our directors and executive officers will sign lock-up agreements with the underwriter that will, subject to certain exceptions (including with respect to the 819,134 shares of our common stock to be purchased in the concurrent share repurchase), restrict the disposition of, or hedging with respect to, the shares of our common stock or securities convertible into or exchangeable for shares of common stock, each held by them for 30 days following the date of this prospectus supplement, except with the prior written consent of the underwriter. See “Underwriting” for a description of these lock-up agreements.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shares of common stock held by our directors and executive officers after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39"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Certain of our stockholders have “piggyback” registration rights with respect to future registered offerings of our common stock. Registration of any of these outstanding shares of common stock would result in such shares becoming freely tradable without compliance with Rule 144 upon effectiveness of the registration statement.</w:t>
      </w:r>
    </w:p>
    <w:p>
      <w:pPr>
        <w:spacing w:after="0" w:line="73"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July 31, 2019, there were stock options outstanding to purchase a total of 6,577,599 shares of our common stock and 314,166 shares of our common stock subject to restricted stock units. In addition, as of July 31, 2019, 3,793,920 shares of our common stock were reserved for future issuance under our incentive plans. In addition, we have reserved a total of 850,000 shares of our common stock for issuance under the 2018 Associate Stock Purchase Plan, of which 31,027 shares have been issued as of July 31, 2019.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700" w:right="40" w:hanging="356"/>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and</w:t>
      </w:r>
    </w:p>
    <w:p>
      <w:pPr>
        <w:spacing w:after="0" w:line="1" w:lineRule="exact"/>
        <w:rPr>
          <w:rFonts w:ascii="Arial" w:cs="Arial" w:eastAsia="Arial" w:hAnsi="Arial"/>
          <w:sz w:val="18"/>
          <w:szCs w:val="18"/>
          <w:color w:val="auto"/>
        </w:rPr>
      </w:pPr>
    </w:p>
    <w:p>
      <w:pPr>
        <w:ind w:left="700" w:right="60" w:hanging="356"/>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 in the accompanying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Certain matters we discuss in this prospectus supplement and the accompanying prospectus and in the documents we incorporate by reference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5" w:lineRule="exact"/>
        <w:rPr>
          <w:sz w:val="20"/>
          <w:szCs w:val="20"/>
          <w:color w:val="auto"/>
        </w:rPr>
      </w:pPr>
    </w:p>
    <w:p>
      <w:pPr>
        <w:ind w:firstLine="36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There are a number of risks, uncertainties, and other important factors, many of which are beyond our control, that could cause our actual results to differ materially from the forward-looking statements contained or incorporated by reference in this prospectus supplement and the accompanying prospectus. Such risks, uncertainties, and other important factors include, among others, the risks, uncertainties and factors set forth under “Risk Factors” in this prospectus supplement and </w:t>
      </w:r>
      <w:hyperlink r:id="rId16">
        <w:r>
          <w:rPr>
            <w:rFonts w:ascii="Arial" w:cs="Arial" w:eastAsia="Arial" w:hAnsi="Arial"/>
            <w:sz w:val="17"/>
            <w:szCs w:val="17"/>
            <w:u w:val="single" w:color="auto"/>
            <w:color w:val="0000EE"/>
          </w:rPr>
          <w:t>“Risk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our Annual Report, which is incorporated herein by reference, and the following:</w:t>
      </w:r>
    </w:p>
    <w:p>
      <w:pPr>
        <w:spacing w:after="0" w:line="64" w:lineRule="exact"/>
        <w:rPr>
          <w:sz w:val="20"/>
          <w:szCs w:val="20"/>
          <w:color w:val="auto"/>
        </w:rPr>
      </w:pPr>
    </w:p>
    <w:p>
      <w:pPr>
        <w:ind w:left="700" w:hanging="35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80" w:hanging="356"/>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requirements to maintain effective internal controls.</w:t>
      </w:r>
    </w:p>
    <w:p>
      <w:pPr>
        <w:spacing w:after="0" w:line="117" w:lineRule="exact"/>
        <w:rPr>
          <w:sz w:val="20"/>
          <w:szCs w:val="20"/>
          <w:color w:val="auto"/>
        </w:rPr>
      </w:pPr>
    </w:p>
    <w:p>
      <w:pPr>
        <w:ind w:right="200" w:firstLine="360"/>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There may be other factors that could cause our actual results to differ materially from the forward-looking statements, </w:t>
      </w:r>
      <w:hyperlink r:id="rId17">
        <w:r>
          <w:rPr>
            <w:rFonts w:ascii="Arial" w:cs="Arial" w:eastAsia="Arial" w:hAnsi="Arial"/>
            <w:sz w:val="17"/>
            <w:szCs w:val="17"/>
            <w:color w:val="auto"/>
          </w:rPr>
          <w:t xml:space="preserve">including factors disclosed under “Risk Factors” in this prospectus supplement and under </w:t>
        </w:r>
        <w:r>
          <w:rPr>
            <w:rFonts w:ascii="Arial" w:cs="Arial" w:eastAsia="Arial" w:hAnsi="Arial"/>
            <w:sz w:val="17"/>
            <w:szCs w:val="17"/>
            <w:u w:val="single" w:color="auto"/>
            <w:color w:val="0000EE"/>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“Management’s</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EE"/>
          </w:rPr>
          <w:t>Discussion and Analysis of Financial Condition and Results of Operations”</w:t>
        </w:r>
        <w:r>
          <w:rPr>
            <w:rFonts w:ascii="Arial" w:cs="Arial" w:eastAsia="Arial" w:hAnsi="Arial"/>
            <w:sz w:val="17"/>
            <w:szCs w:val="17"/>
            <w:color w:val="0000EE"/>
          </w:rPr>
          <w:t xml:space="preserve"> </w:t>
        </w:r>
        <w:r>
          <w:rPr>
            <w:rFonts w:ascii="Arial" w:cs="Arial" w:eastAsia="Arial" w:hAnsi="Arial"/>
            <w:sz w:val="17"/>
            <w:szCs w:val="17"/>
            <w:color w:val="000000"/>
          </w:rPr>
          <w:t>in our Annual Report and</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“Management’s Discussion</w:t>
        </w:r>
      </w:hyperlink>
      <w:r>
        <w:rPr>
          <w:rFonts w:ascii="Arial" w:cs="Arial" w:eastAsia="Arial" w:hAnsi="Arial"/>
          <w:sz w:val="17"/>
          <w:szCs w:val="17"/>
          <w:color w:val="0000EE"/>
        </w:rPr>
        <w:t xml:space="preserve"> </w:t>
      </w:r>
      <w:hyperlink r:id="rId19">
        <w:r>
          <w:rPr>
            <w:rFonts w:ascii="Arial" w:cs="Arial" w:eastAsia="Arial" w:hAnsi="Arial"/>
            <w:sz w:val="17"/>
            <w:szCs w:val="17"/>
            <w:u w:val="single" w:color="auto"/>
            <w:color w:val="0000EE"/>
          </w:rPr>
          <w:t>and Analysis of Financial Condition and Results of Operations”</w:t>
        </w:r>
        <w:r>
          <w:rPr>
            <w:rFonts w:ascii="Arial" w:cs="Arial" w:eastAsia="Arial" w:hAnsi="Arial"/>
            <w:sz w:val="17"/>
            <w:szCs w:val="17"/>
            <w:color w:val="0000EE"/>
          </w:rPr>
          <w:t xml:space="preserve"> </w:t>
        </w:r>
        <w:r>
          <w:rPr>
            <w:rFonts w:ascii="Arial" w:cs="Arial" w:eastAsia="Arial" w:hAnsi="Arial"/>
            <w:sz w:val="17"/>
            <w:szCs w:val="17"/>
            <w:color w:val="000000"/>
          </w:rPr>
          <w:t>in our Quarterly Reports, which are incorporated herein by</w:t>
        </w:r>
      </w:hyperlink>
      <w:r>
        <w:rPr>
          <w:rFonts w:ascii="Arial" w:cs="Arial" w:eastAsia="Arial" w:hAnsi="Arial"/>
          <w:sz w:val="17"/>
          <w:szCs w:val="17"/>
          <w:color w:val="0000EE"/>
        </w:rPr>
        <w:t xml:space="preserve"> </w:t>
      </w:r>
      <w:r>
        <w:rPr>
          <w:rFonts w:ascii="Arial" w:cs="Arial" w:eastAsia="Arial" w:hAnsi="Arial"/>
          <w:sz w:val="17"/>
          <w:szCs w:val="17"/>
          <w:color w:val="000000"/>
        </w:rPr>
        <w:t>reference. You should evaluate all forward-looking statements made, or incorporated by reference, in this prospectus supplement and the accompanying prospectus in the context of these risks and uncertainties.</w:t>
      </w:r>
    </w:p>
    <w:p>
      <w:pPr>
        <w:spacing w:after="0" w:line="70" w:lineRule="exact"/>
        <w:rPr>
          <w:rFonts w:ascii="Arial" w:cs="Arial" w:eastAsia="Arial" w:hAnsi="Arial"/>
          <w:sz w:val="17"/>
          <w:szCs w:val="17"/>
          <w:color w:val="auto"/>
        </w:rPr>
      </w:pPr>
    </w:p>
    <w:p>
      <w:pPr>
        <w:ind w:firstLine="360"/>
        <w:spacing w:after="0" w:line="269"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prospectus supplement and the accompanying prospectus or in the documents incorporated by reference herein or therein apply only as of the date made and are expressly qualified in their entirety by the cautionary statements included in this prospectus supplement and the accompanying prospectus or in the documents incorporated by reference herein or therein. We undertake no obligation to publicly update or revise any forward-looking statements to reflect subsequent events or circumstances.</w:t>
      </w:r>
    </w:p>
    <w:p>
      <w:pPr>
        <w:spacing w:after="0" w:line="18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selling stockholder will receive all of the net proceeds from the sale of shares of our common stock offered pursuant to this prospectus supplement. We will not receive any proceeds from the sale of shares being sold in this offering. The selling stockholder will bear the underwriting commissions and discounts, if any, attributable to its sale of our common stock, and we will bear the remaining expenses. See “Selling Stockholder.”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our Board of Directors or a committee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affiliates of KKR.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grants affiliates of KKR the right to nominate to our board of directors a number of designees equal to at least 10% of the total number of directors comprising our board of directors at such time as long as affiliates of KKR beneficially own at least 5% but less than 20% of the outstanding shares of our common stock. For purposes of calculating the number of directors that affiliates of KKR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KKR director designee, affiliates of KKR who designated such director shall, to the fullest extent permitted by law, have the right to have the vacancy filled by a new KKR director-designee.</w:t>
      </w:r>
    </w:p>
    <w:p>
      <w:pPr>
        <w:spacing w:after="0" w:line="59"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After the completion of this offering and the concurrent share repurchase, we expect that affiliates of KKR will not hold any shares of our common stock outstanding and as such, will no longer have the board nomination rights.</w:t>
      </w:r>
    </w:p>
    <w:p>
      <w:pPr>
        <w:spacing w:after="0" w:line="6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In connection with the KKR Acquisition, we entered into a registration rights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of KKR and Berkshire and with other persons who may become party thereto. Subject to certain conditions, the registration rights agreement provides certain affiliates of KKR with an unlimited number of “demand” registrations. Under the registration rights agreement, all holders of registrable securities party thereto are provided with customary “piggyback” registration rights,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5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b w:val="1"/>
          <w:bCs w:val="1"/>
          <w:i w:val="1"/>
          <w:iCs w:val="1"/>
          <w:color w:val="auto"/>
        </w:rPr>
        <w:t xml:space="preserve">Indemnification Agreement with KKR. </w:t>
      </w:r>
      <w:r>
        <w:rPr>
          <w:rFonts w:ascii="Arial" w:cs="Arial" w:eastAsia="Arial" w:hAnsi="Arial"/>
          <w:sz w:val="16"/>
          <w:szCs w:val="16"/>
          <w:color w:val="auto"/>
        </w:rPr>
        <w:t>In connection with the KKR Acquisition, we and certain of our subsidiaries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an indemnification agreement, or the Indemnification Agreement, with KKR, whereby the parties agreed to customary exculpation and indemnification provisions in favor of KKR in connection with certain transactions, including in connection with the services provided under a monitoring agreement entered into between NVI and KKR in connection with the KKR Acquisition.</w:t>
      </w:r>
    </w:p>
    <w:p>
      <w:pPr>
        <w:spacing w:after="0" w:line="4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Capital Markets. </w:t>
      </w:r>
      <w:r>
        <w:rPr>
          <w:rFonts w:ascii="Arial" w:cs="Arial" w:eastAsia="Arial" w:hAnsi="Arial"/>
          <w:sz w:val="18"/>
          <w:szCs w:val="18"/>
          <w:color w:val="auto"/>
        </w:rPr>
        <w:t>KKR Capital Markets LLC, or KCM, an affiliate of KKR, (i) acted as a joint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arranger with respect to the joinder and amendment and restatement agreement, dated as of July 18, 2019, relating to the first lien credit agreement and received $1.0 million in fees in connection therewith and (ii) acted as a lead arranger with respect to the joinder and amendment agreement, dated as of October 9, 2018, relating to the first lien credit agreement, and received $1.2 million in fees in connection therewith.</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KCM also acted as an underwriter in connection with the secondary offering of our common stock in March 2018 and the secondary offering of our common stock in July 2018 (for which the overallotment option closed in early August), and received fees of approximately $3.0 million and $4.0 million, respectively.</w:t>
      </w:r>
    </w:p>
    <w:p>
      <w:pPr>
        <w:spacing w:after="0" w:line="73"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Management Stockholder’s Agreements impose significant restrictions on transfers of shares of our common stock held by management stockholders. Generally, shares will be nontransferable by any means at any time prior to a “Change in Control” (as defined in the applicable Management Stockholder’s Agreement)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 In connection with this offering, our Board of Directors will elect to completely waive all remaining transfer restrictions in the Management Stockholder’s Agreements.</w:t>
      </w:r>
    </w:p>
    <w:p>
      <w:pPr>
        <w:spacing w:after="0" w:line="74"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right="60" w:firstLine="360"/>
        <w:spacing w:after="0" w:line="342"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Agreements with Directors and Officers. </w:t>
      </w:r>
      <w:r>
        <w:rPr>
          <w:rFonts w:ascii="Arial" w:cs="Arial" w:eastAsia="Arial" w:hAnsi="Arial"/>
          <w:sz w:val="16"/>
          <w:szCs w:val="16"/>
          <w:color w:val="auto"/>
        </w:rPr>
        <w:t>In addition, we have certain agreements with our directors and officers which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described in </w:t>
      </w:r>
      <w:hyperlink r:id="rId47">
        <w:r>
          <w:rPr>
            <w:rFonts w:ascii="Arial" w:cs="Arial" w:eastAsia="Arial" w:hAnsi="Arial"/>
            <w:sz w:val="16"/>
            <w:szCs w:val="16"/>
            <w:u w:val="single" w:color="auto"/>
            <w:color w:val="0000EE"/>
          </w:rPr>
          <w:t>“Executive Compensation”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incorporated by reference in our Annual Report, which is incorporated by reference herein.</w:t>
      </w:r>
    </w:p>
    <w:p>
      <w:pPr>
        <w:spacing w:after="0" w:line="1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 w:name="page27"/>
    <w:bookmarkEnd w:id="2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w:t>
      </w:r>
    </w:p>
    <w:p>
      <w:pPr>
        <w:spacing w:after="0" w:line="121" w:lineRule="exact"/>
        <w:rPr>
          <w:sz w:val="20"/>
          <w:szCs w:val="20"/>
          <w:color w:val="auto"/>
        </w:rPr>
      </w:pPr>
    </w:p>
    <w:p>
      <w:pPr>
        <w:jc w:val="both"/>
        <w:ind w:left="7" w:right="240" w:firstLine="360"/>
        <w:spacing w:after="0" w:line="312" w:lineRule="auto"/>
        <w:rPr>
          <w:sz w:val="20"/>
          <w:szCs w:val="20"/>
          <w:color w:val="auto"/>
        </w:rPr>
      </w:pPr>
      <w:r>
        <w:rPr>
          <w:rFonts w:ascii="Arial" w:cs="Arial" w:eastAsia="Arial" w:hAnsi="Arial"/>
          <w:sz w:val="16"/>
          <w:szCs w:val="16"/>
          <w:color w:val="auto"/>
        </w:rPr>
        <w:t>The following table and accompanying footnotes set forth information with respect to the beneficial ownership of the selling stockholder, the number of shares of our common stock offered hereby by the selling stockholder and information with respect to shares to be beneficially owned by the selling stockholder after completion of this offering and the concurrent share repurchase.</w:t>
      </w:r>
    </w:p>
    <w:p>
      <w:pPr>
        <w:spacing w:after="0" w:line="39" w:lineRule="exact"/>
        <w:rPr>
          <w:sz w:val="20"/>
          <w:szCs w:val="20"/>
          <w:color w:val="auto"/>
        </w:rPr>
      </w:pPr>
    </w:p>
    <w:p>
      <w:pPr>
        <w:ind w:left="7" w:right="140" w:firstLine="360"/>
        <w:spacing w:after="0" w:line="259"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July 31, 2019 and are based on 78,524,731 shares of our common stock, par value $0.01 per share, outstanding as of July 31, 2019 and, where indicated, give effect to the repurchase by us of 819,134 shares of our common stock in the concurrent share repurchase.</w:t>
      </w:r>
    </w:p>
    <w:p>
      <w:pPr>
        <w:spacing w:after="0" w:line="79"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29"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 Owned</w:t>
            </w: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Prior to the Offering and</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7"/>
              </w:rPr>
              <w:t>After</w:t>
            </w: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the Concurrent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to be Sold in this</w:t>
            </w:r>
          </w:p>
        </w:tc>
        <w:tc>
          <w:tcPr>
            <w:tcW w:w="180" w:type="dxa"/>
            <w:vAlign w:val="bottom"/>
          </w:tcPr>
          <w:p>
            <w:pPr>
              <w:spacing w:after="0"/>
              <w:rPr>
                <w:sz w:val="14"/>
                <w:szCs w:val="14"/>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the Offering and the Concurrent Share</w:t>
            </w:r>
          </w:p>
        </w:tc>
      </w:t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Repurchase</w:t>
            </w: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946"/>
              <w:spacing w:after="0"/>
              <w:rPr>
                <w:sz w:val="20"/>
                <w:szCs w:val="20"/>
                <w:color w:val="auto"/>
              </w:rPr>
            </w:pPr>
            <w:r>
              <w:rPr>
                <w:rFonts w:ascii="Arial" w:cs="Arial" w:eastAsia="Arial" w:hAnsi="Arial"/>
                <w:sz w:val="14"/>
                <w:szCs w:val="14"/>
                <w:b w:val="1"/>
                <w:bCs w:val="1"/>
                <w:color w:val="auto"/>
                <w:w w:val="89"/>
              </w:rPr>
              <w:t>Repurchase</w:t>
            </w: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Total</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 Total</w:t>
            </w:r>
          </w:p>
        </w:tc>
      </w:tr>
      <w:tr>
        <w:trPr>
          <w:trHeight w:val="178"/>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Owner</w:t>
            </w:r>
          </w:p>
        </w:tc>
        <w:tc>
          <w:tcPr>
            <w:tcW w:w="860" w:type="dxa"/>
            <w:vAlign w:val="bottom"/>
          </w:tcPr>
          <w:p>
            <w:pPr>
              <w:jc w:val="right"/>
              <w:ind w:right="106"/>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r>
      <w:tr>
        <w:trPr>
          <w:trHeight w:val="230"/>
        </w:trPr>
        <w:tc>
          <w:tcPr>
            <w:tcW w:w="20" w:type="dxa"/>
            <w:vAlign w:val="bottom"/>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Selling Stockholder:</w:t>
            </w:r>
          </w:p>
        </w:tc>
        <w:tc>
          <w:tcPr>
            <w:tcW w:w="18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auto"/>
              </w:rPr>
              <w:t>KKR Vision Aggregator L.P.</w:t>
            </w:r>
            <w:r>
              <w:rPr>
                <w:rFonts w:ascii="Arial" w:cs="Arial" w:eastAsia="Arial" w:hAnsi="Arial"/>
                <w:sz w:val="27"/>
                <w:szCs w:val="27"/>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9,149,908</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11.6%</w:t>
            </w:r>
          </w:p>
        </w:tc>
        <w:tc>
          <w:tcPr>
            <w:tcW w:w="1700" w:type="dxa"/>
            <w:vAlign w:val="bottom"/>
          </w:tcPr>
          <w:p>
            <w:pPr>
              <w:jc w:val="right"/>
              <w:spacing w:after="0"/>
              <w:rPr>
                <w:sz w:val="20"/>
                <w:szCs w:val="20"/>
                <w:color w:val="auto"/>
              </w:rPr>
            </w:pPr>
            <w:r>
              <w:rPr>
                <w:rFonts w:ascii="Arial" w:cs="Arial" w:eastAsia="Arial" w:hAnsi="Arial"/>
                <w:sz w:val="16"/>
                <w:szCs w:val="16"/>
                <w:color w:val="auto"/>
              </w:rPr>
              <w:t>9,149,908</w:t>
            </w:r>
          </w:p>
        </w:tc>
        <w:tc>
          <w:tcPr>
            <w:tcW w:w="18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1840" w:type="dxa"/>
            <w:vAlign w:val="bottom"/>
            <w:gridSpan w:val="2"/>
          </w:tcPr>
          <w:p>
            <w:pPr>
              <w:ind w:left="1540"/>
              <w:spacing w:after="0"/>
              <w:rPr>
                <w:sz w:val="20"/>
                <w:szCs w:val="20"/>
                <w:color w:val="auto"/>
              </w:rPr>
            </w:pPr>
            <w:r>
              <w:rPr>
                <w:rFonts w:ascii="Arial" w:cs="Arial" w:eastAsia="Arial" w:hAnsi="Arial"/>
                <w:sz w:val="16"/>
                <w:szCs w:val="16"/>
                <w:color w:val="auto"/>
                <w:w w:val="9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909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9" w:lineRule="exact"/>
        <w:rPr>
          <w:sz w:val="20"/>
          <w:szCs w:val="20"/>
          <w:color w:val="auto"/>
        </w:rPr>
      </w:pPr>
    </w:p>
    <w:p>
      <w:pPr>
        <w:ind w:left="347" w:right="20" w:hanging="347"/>
        <w:spacing w:after="0" w:line="264" w:lineRule="auto"/>
        <w:tabs>
          <w:tab w:leader="none" w:pos="347"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9,149,908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Class B common stockholder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Mr. Taylor is a member of our Board of Directors and serves as an executive of Kohlberg Kravis Roberts &amp; Co. L.P. and/or one or more of its affiliates. Each of Messrs. Kravis, Roberts and Taylor disclaims beneficial ownership of the shares held by KKR Vision Aggregator L.P. The principal business address of Mr. Taylor is c/o Kohlberg Kravis Roberts &amp; Co. L.P., 9 West 57th Street, New York, New York 10019.</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taxable disposition of our common stock generally will not be subject to United States federal income tax unless:</w:t>
      </w:r>
    </w:p>
    <w:p>
      <w:pPr>
        <w:spacing w:after="0" w:line="62" w:lineRule="exact"/>
        <w:rPr>
          <w:sz w:val="20"/>
          <w:szCs w:val="20"/>
          <w:color w:val="auto"/>
        </w:rPr>
      </w:pPr>
    </w:p>
    <w:p>
      <w:pPr>
        <w:ind w:left="700" w:right="20" w:hanging="356"/>
        <w:spacing w:after="0" w:line="342"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 may be offset by United States source capital losses, even though the individual is not considered a resident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7" w:right="360" w:firstLine="360"/>
        <w:spacing w:after="0" w:line="279" w:lineRule="auto"/>
        <w:rPr>
          <w:sz w:val="20"/>
          <w:szCs w:val="20"/>
          <w:color w:val="auto"/>
        </w:rPr>
      </w:pPr>
      <w:r>
        <w:rPr>
          <w:rFonts w:ascii="Arial" w:cs="Arial" w:eastAsia="Arial" w:hAnsi="Arial"/>
          <w:sz w:val="17"/>
          <w:szCs w:val="17"/>
          <w:color w:val="auto"/>
        </w:rPr>
        <w:t>Goldman Sachs &amp; Co. LLC is acting as the underwriter for this offering. Subject to the terms and conditions set forth in an underwriting agreement among us, the selling stockholder and the underwriter, the selling stockholder has agreed to sell to the underwriter, and the underwriter has agreed to purchase from the selling stockholder, 9,149,908 shares of common stock, which includes 819,134 shares of our common stock that we intend to repurchase from the underwriter.</w:t>
      </w:r>
    </w:p>
    <w:p>
      <w:pPr>
        <w:spacing w:after="0" w:line="63"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underwriter is committed to take and pay for all of the shares being offered, if any are taken.</w:t>
      </w:r>
    </w:p>
    <w:p>
      <w:pPr>
        <w:spacing w:after="0" w:line="117" w:lineRule="exact"/>
        <w:rPr>
          <w:sz w:val="20"/>
          <w:szCs w:val="20"/>
          <w:color w:val="auto"/>
        </w:rPr>
      </w:pPr>
    </w:p>
    <w:p>
      <w:pPr>
        <w:jc w:val="both"/>
        <w:ind w:left="7" w:right="20" w:firstLine="360"/>
        <w:spacing w:after="0" w:line="302"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 819,134 of the aggregate 9,149,908 shares of our common stock that are the subject of the offering. The price per share to be paid by us will equal the price at which the underwriter will purchase the shares from the selling stockholder in the offering. The offering is not conditioned upon the completion of the share repurchase. See “Prospectus Supplement Summary―Concurrent Share Repurchase.”</w:t>
      </w:r>
    </w:p>
    <w:p>
      <w:pPr>
        <w:spacing w:after="0" w:line="46" w:lineRule="exact"/>
        <w:rPr>
          <w:sz w:val="20"/>
          <w:szCs w:val="20"/>
          <w:color w:val="auto"/>
        </w:rPr>
      </w:pPr>
    </w:p>
    <w:p>
      <w:pPr>
        <w:ind w:left="7" w:right="220" w:firstLine="360"/>
        <w:spacing w:after="0" w:line="308" w:lineRule="auto"/>
        <w:rPr>
          <w:sz w:val="20"/>
          <w:szCs w:val="20"/>
          <w:color w:val="auto"/>
        </w:rPr>
      </w:pPr>
      <w:r>
        <w:rPr>
          <w:rFonts w:ascii="Arial" w:cs="Arial" w:eastAsia="Arial" w:hAnsi="Arial"/>
          <w:sz w:val="17"/>
          <w:szCs w:val="17"/>
          <w:color w:val="auto"/>
        </w:rPr>
        <w:t>We and the selling stockholder have agreed to indemnify the underwriter against certain liabilities, including liabilities under the Securities Act, or to contribute to payments the underwriter may be required to make in respect of those liabilities.</w:t>
      </w:r>
    </w:p>
    <w:p>
      <w:pPr>
        <w:spacing w:after="0" w:line="38" w:lineRule="exact"/>
        <w:rPr>
          <w:sz w:val="20"/>
          <w:szCs w:val="20"/>
          <w:color w:val="auto"/>
        </w:rPr>
      </w:pPr>
    </w:p>
    <w:p>
      <w:pPr>
        <w:ind w:left="7" w:right="40" w:firstLine="360"/>
        <w:spacing w:after="0" w:line="257" w:lineRule="auto"/>
        <w:rPr>
          <w:sz w:val="20"/>
          <w:szCs w:val="20"/>
          <w:color w:val="auto"/>
        </w:rPr>
      </w:pPr>
      <w:r>
        <w:rPr>
          <w:rFonts w:ascii="Arial" w:cs="Arial" w:eastAsia="Arial" w:hAnsi="Arial"/>
          <w:sz w:val="18"/>
          <w:szCs w:val="18"/>
          <w:color w:val="auto"/>
        </w:rPr>
        <w:t>The underwriter is offering the shares that are not subject to the concurrent share repurchase,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The underwriter proposes initially to offer the shares to the public at the public offering price set forth on the cover page of this prospectus supplement and to dealers at that price less a concession not in excess of $0.48 per share. After the initial offering, the public offering price, concession or any other term of the offering may be changed.</w:t>
      </w:r>
    </w:p>
    <w:p>
      <w:pPr>
        <w:spacing w:after="0" w:line="73"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283,253,963.68</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3,998,771.52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30.52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279,255,192.16</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20" w:hanging="347"/>
        <w:spacing w:after="0" w:line="273" w:lineRule="auto"/>
        <w:tabs>
          <w:tab w:leader="none" w:pos="3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public offering price for the 8,330,774 shares offered to the public was $31.00 per share. The price for the 819,134 shares we intend to repurchase from the underwriter was $30.52 per share.</w:t>
      </w:r>
    </w:p>
    <w:p>
      <w:pPr>
        <w:spacing w:after="0" w:line="65" w:lineRule="exact"/>
        <w:rPr>
          <w:rFonts w:ascii="Arial" w:cs="Arial" w:eastAsia="Arial" w:hAnsi="Arial"/>
          <w:sz w:val="14"/>
          <w:szCs w:val="14"/>
          <w:color w:val="auto"/>
        </w:rPr>
      </w:pPr>
    </w:p>
    <w:p>
      <w:pPr>
        <w:ind w:left="347" w:right="320" w:hanging="347"/>
        <w:spacing w:after="0" w:line="273" w:lineRule="auto"/>
        <w:tabs>
          <w:tab w:leader="none" w:pos="3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underwriting discount for the 8,330,774 shares offered to the public was $0.48 per share. No underwriting discount or commissions will be paid to the underwriter with respect to the 819,134 shares we intend to repurchase.</w:t>
      </w:r>
    </w:p>
    <w:p>
      <w:pPr>
        <w:spacing w:after="0" w:line="57" w:lineRule="exact"/>
        <w:rPr>
          <w:sz w:val="20"/>
          <w:szCs w:val="20"/>
          <w:color w:val="auto"/>
        </w:rPr>
      </w:pPr>
    </w:p>
    <w:p>
      <w:pPr>
        <w:ind w:left="7" w:right="28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 is responsible, are estimated at $0.5 million and are payable by us. We have also agreed to reimburse the underwriter for expenses relating to clearing of this offering with FINRA in an amount up to $25,000.</w:t>
      </w:r>
    </w:p>
    <w:p>
      <w:pPr>
        <w:spacing w:after="0" w:line="73"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color w:val="auto"/>
        </w:rPr>
        <w:t>We expect that delivery of the shares offered hereby will be made against payment therefor on or about August 12, 2019, which will be the third business day following the pricing of this offering (such settlement being referred to as T+3). Under Rule 15c6-1 under the Exchange Act, trades in the secondary market generally are required to settle in two business days, unless the parties to any such trade expressly agree otherwise. Accordingly, purchasers who wish to trade the shares on the date of pricing will be required, by virtue of the fact that the shares initially will settle T+3, to specify an alternate settlement cycle at the time of any such trade to prevent a failed settlement. Purchasers of shares of common stock who wish to trade shares of common stock on the date of pricing should consult their advisors.</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our directors and executive officers will agree, for 30 days after the date of this prospectus supplement, without first obtaining the written consent of the underwriter, not to directly or indirectly, subject to certain exceptions (including the concurrent share repurchase):</w:t>
      </w:r>
    </w:p>
    <w:p>
      <w:pPr>
        <w:spacing w:after="0" w:line="73" w:lineRule="exact"/>
        <w:rPr>
          <w:sz w:val="20"/>
          <w:szCs w:val="20"/>
          <w:color w:val="auto"/>
        </w:rPr>
      </w:pPr>
    </w:p>
    <w:p>
      <w:pPr>
        <w:jc w:val="both"/>
        <w:ind w:left="700" w:right="6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This agreement does not apply to any existing employee benefit plans. The underwriter may, in its sole discretion and at any time or from time to time before the termination of the 30-day period, release all or any portion of the securities subject to lock-up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 and selling group members from bidding for and purchasing our common stock. However, the underwriter may engage in transactions that stabilize the price of the common stock, such as bids or purchases to peg, fix or maintain that price.</w:t>
      </w:r>
    </w:p>
    <w:p>
      <w:pPr>
        <w:spacing w:after="0" w:line="7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connection with the offering, the underwriter may purchase and sell our common stock in the open market. These transactions may include short sales, purchases on the open market to cover positions created by short sales and stabilizing transactions. Short sales involve the sale by the underwriter of a greater number of shares than they are required to purchase in the offering.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 in the open market prior to the completion of the offering.</w:t>
      </w:r>
    </w:p>
    <w:p>
      <w:pPr>
        <w:spacing w:after="0" w:line="84"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NASDAQ, in the over-the-counter market or otherwise.</w:t>
      </w:r>
    </w:p>
    <w:p>
      <w:pPr>
        <w:spacing w:after="0" w:line="63"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None of us, the selling stockholder and the underwriter make any representation or prediction as to the direction or magnitude of any effect that the transactions described above may have on the price of our common stock. In addition, none of us, the selling stockholder and the underwriter make any representation that the underwriter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connection with the offering, the underwriter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underwriter and its respective affiliates are full service financial institutions engaged in various activities, which may include securities trading, commercial and investment banking, financial advisory,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investment management, investment research, principal investment, hedging, financial and brokerage activities. The underwriter and its respective affiliates have provided, and may in the future provide, a variety of these services to us and to persons and entities with relationships with us, for which they received or will receive customary fees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Prospectus Regulation (EU) 2017/1129, as amended,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Requirements, Exemptions and Ongoing Registrant Obligations. Any resale of the shares must be made in accordance with an exemption from, or in a transaction not subject to, the prospectus requirements of applicable securities laws.</w:t>
      </w:r>
    </w:p>
    <w:p>
      <w:pPr>
        <w:spacing w:after="0" w:line="38"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480"/>
        <w:spacing w:after="0" w:line="286" w:lineRule="auto"/>
        <w:rPr>
          <w:sz w:val="20"/>
          <w:szCs w:val="20"/>
          <w:color w:val="auto"/>
        </w:rPr>
      </w:pPr>
      <w:r>
        <w:rPr>
          <w:rFonts w:ascii="Arial" w:cs="Arial" w:eastAsia="Arial" w:hAnsi="Arial"/>
          <w:sz w:val="17"/>
          <w:szCs w:val="17"/>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57"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20" w:hanging="7"/>
        <w:spacing w:after="0" w:line="287" w:lineRule="auto"/>
        <w:tabs>
          <w:tab w:leader="none" w:pos="2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6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20" w:hanging="356"/>
        <w:spacing w:after="0" w:line="264"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40" w:hanging="356"/>
        <w:spacing w:after="0" w:line="277"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1"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2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SFA04-N12: Notice on the Sale of Investment Products and MAS Notice FAA-N16: Notice of Recommendations of Investment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supplement will be passed upon for us by Simpson Thacher &amp; Bartlett LLP, New York, New York. Certain legal matters in connection with the offering will be passed upon for the underwriter by Latham &amp; Watkins LLP, New York, New York.</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The </w:t>
      </w:r>
      <w:hyperlink r:id="rId18">
        <w:r>
          <w:rPr>
            <w:rFonts w:ascii="Arial" w:cs="Arial" w:eastAsia="Arial" w:hAnsi="Arial"/>
            <w:sz w:val="17"/>
            <w:szCs w:val="17"/>
            <w:u w:val="single" w:color="auto"/>
            <w:color w:val="0000EE"/>
          </w:rPr>
          <w:t>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incorporated in this prospectus supplement by reference from the Company’s Annual Report on Form 10-K for the fiscal year ended December 29, 2018 and the effectiveness of the Company’s internal control over financial reporting have been audited by Deloitte &amp; Touche LLP, an independent registered public accounting firm, as stated in their </w:t>
      </w:r>
      <w:hyperlink r:id="rId18">
        <w:r>
          <w:rPr>
            <w:rFonts w:ascii="Arial" w:cs="Arial" w:eastAsia="Arial" w:hAnsi="Arial"/>
            <w:sz w:val="17"/>
            <w:szCs w:val="17"/>
            <w:u w:val="single" w:color="auto"/>
            <w:color w:val="0000EE"/>
          </w:rPr>
          <w:t>report</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which is incorporated herein by reference (which reports (1) express an unqualified opinion on the consolidated financial</w:t>
      </w:r>
      <w:r>
        <w:rPr>
          <w:rFonts w:ascii="Arial" w:cs="Arial" w:eastAsia="Arial" w:hAnsi="Arial"/>
          <w:sz w:val="17"/>
          <w:szCs w:val="17"/>
          <w:color w:val="0000EE"/>
        </w:rPr>
        <w:t xml:space="preserve"> </w:t>
      </w:r>
      <w:r>
        <w:rPr>
          <w:rFonts w:ascii="Arial" w:cs="Arial" w:eastAsia="Arial" w:hAnsi="Arial"/>
          <w:sz w:val="17"/>
          <w:szCs w:val="17"/>
          <w:color w:val="000000"/>
        </w:rPr>
        <w:t>statements and includes an explanatory paragraph relating to the adoption of Accounting Standards Update No. 2014-09, Revenue from Contracts with Customers and (2) express an adverse opinion on the effectiveness of internal control over financial reporting because of a material weakness). Such consolidated financial statements have been so incorporated in reliance upon the report of such firm given upon their authority as experts in accounting and auditing.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w:t>
      </w:r>
    </w:p>
    <w:p>
      <w:pPr>
        <w:spacing w:after="0" w:line="85"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29, 2018, filed on February 27, 2019;</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w:t>
      </w:r>
      <w:hyperlink r:id="rId61">
        <w:r>
          <w:rPr>
            <w:rFonts w:ascii="Arial" w:cs="Arial" w:eastAsia="Arial" w:hAnsi="Arial"/>
            <w:sz w:val="18"/>
            <w:szCs w:val="18"/>
            <w:u w:val="single" w:color="auto"/>
            <w:color w:val="0000EE"/>
          </w:rPr>
          <w:t>March 30, 2019</w:t>
        </w:r>
      </w:hyperlink>
      <w:r>
        <w:rPr>
          <w:rFonts w:ascii="Arial" w:cs="Arial" w:eastAsia="Arial" w:hAnsi="Arial"/>
          <w:sz w:val="18"/>
          <w:szCs w:val="18"/>
          <w:color w:val="auto"/>
        </w:rPr>
        <w:t xml:space="preserve">, filed on May 9, 2019, and for the quarter ended </w:t>
      </w:r>
      <w:hyperlink r:id="rId62">
        <w:r>
          <w:rPr>
            <w:rFonts w:ascii="Arial" w:cs="Arial" w:eastAsia="Arial" w:hAnsi="Arial"/>
            <w:sz w:val="18"/>
            <w:szCs w:val="18"/>
            <w:u w:val="single" w:color="auto"/>
            <w:color w:val="0000EE"/>
          </w:rPr>
          <w:t>June 29, 2019</w:t>
        </w:r>
      </w:hyperlink>
      <w:r>
        <w:rPr>
          <w:rFonts w:ascii="Arial" w:cs="Arial" w:eastAsia="Arial" w:hAnsi="Arial"/>
          <w:sz w:val="18"/>
          <w:szCs w:val="18"/>
          <w:color w:val="auto"/>
        </w:rPr>
        <w:t>, filed on August 6, 2019;</w:t>
      </w:r>
    </w:p>
    <w:p>
      <w:pPr>
        <w:spacing w:after="0" w:line="170"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24"/>
        </w:numPr>
        <w:rPr>
          <w:rFonts w:ascii="Arial" w:cs="Arial" w:eastAsia="Arial" w:hAnsi="Arial"/>
          <w:sz w:val="18"/>
          <w:szCs w:val="18"/>
          <w:color w:val="0000EE"/>
        </w:rPr>
      </w:pPr>
      <w:hyperlink r:id="rId64">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10,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13,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19,</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July 23, 2019 </w:t>
        </w:r>
      </w:hyperlink>
      <w:hyperlink r:id="rId6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 xml:space="preserve">July 24, 2019 </w:t>
        </w:r>
      </w:hyperlink>
      <w:hyperlink r:id="rId64">
        <w:r>
          <w:rPr>
            <w:rFonts w:ascii="Arial" w:cs="Arial" w:eastAsia="Arial" w:hAnsi="Arial"/>
            <w:sz w:val="18"/>
            <w:szCs w:val="18"/>
            <w:color w:val="000000"/>
          </w:rPr>
          <w:t>(other than information furnished pursuant to Item 2.02 or Item 7.01 of any Current</w:t>
        </w:r>
      </w:hyperlink>
      <w:r>
        <w:rPr>
          <w:rFonts w:ascii="Arial" w:cs="Arial" w:eastAsia="Arial" w:hAnsi="Arial"/>
          <w:sz w:val="18"/>
          <w:szCs w:val="18"/>
          <w:color w:val="0000EE"/>
        </w:rPr>
        <w:t xml:space="preserve"> </w:t>
      </w:r>
      <w:r>
        <w:rPr>
          <w:rFonts w:ascii="Arial" w:cs="Arial" w:eastAsia="Arial" w:hAnsi="Arial"/>
          <w:sz w:val="18"/>
          <w:szCs w:val="18"/>
          <w:color w:val="000000"/>
        </w:rPr>
        <w:t>Report on Form 8-K, unless expressly stated otherwise therein); and</w:t>
      </w:r>
    </w:p>
    <w:p>
      <w:pPr>
        <w:spacing w:after="0" w:line="73" w:lineRule="exact"/>
        <w:rPr>
          <w:rFonts w:ascii="Arial" w:cs="Arial" w:eastAsia="Arial" w:hAnsi="Arial"/>
          <w:sz w:val="18"/>
          <w:szCs w:val="18"/>
          <w:color w:val="0000EE"/>
        </w:rPr>
      </w:pPr>
    </w:p>
    <w:p>
      <w:pPr>
        <w:ind w:left="700" w:right="340" w:hanging="356"/>
        <w:spacing w:after="0" w:line="308"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the Registration Statement on </w:t>
      </w:r>
      <w:hyperlink r:id="rId67">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October 24, 2017, including any amendments or reports filed for the purposes of updating such description.</w:t>
      </w:r>
    </w:p>
    <w:p>
      <w:pPr>
        <w:spacing w:after="0" w:line="38" w:lineRule="exact"/>
        <w:rPr>
          <w:rFonts w:ascii="Arial" w:cs="Arial" w:eastAsia="Arial" w:hAnsi="Arial"/>
          <w:sz w:val="18"/>
          <w:szCs w:val="18"/>
          <w:color w:val="0000EE"/>
        </w:rPr>
      </w:pPr>
    </w:p>
    <w:p>
      <w:pPr>
        <w:ind w:right="80" w:firstLine="360"/>
        <w:spacing w:after="0" w:line="286" w:lineRule="auto"/>
        <w:rPr>
          <w:sz w:val="20"/>
          <w:szCs w:val="20"/>
          <w:color w:val="auto"/>
        </w:rPr>
      </w:pPr>
      <w:r>
        <w:rPr>
          <w:rFonts w:ascii="Arial" w:cs="Arial" w:eastAsia="Arial" w:hAnsi="Arial"/>
          <w:sz w:val="17"/>
          <w:szCs w:val="17"/>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57" w:lineRule="exact"/>
        <w:rPr>
          <w:rFonts w:ascii="Arial" w:cs="Arial" w:eastAsia="Arial" w:hAnsi="Arial"/>
          <w:sz w:val="18"/>
          <w:szCs w:val="18"/>
          <w:color w:val="0000EE"/>
        </w:rPr>
      </w:pPr>
    </w:p>
    <w:p>
      <w:pPr>
        <w:ind w:right="40"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National Vision Holdings, Inc., 2435 Commerce Avenue, Bldg. 2200, Duluth, Georgia 30096; Attention: Corporate Secretary (telephone: 770-822-3600).</w:t>
      </w:r>
    </w:p>
    <w:p>
      <w:pPr>
        <w:spacing w:after="0" w:line="80" w:lineRule="exact"/>
        <w:rPr>
          <w:rFonts w:ascii="Arial" w:cs="Arial" w:eastAsia="Arial" w:hAnsi="Arial"/>
          <w:sz w:val="18"/>
          <w:szCs w:val="18"/>
          <w:color w:val="0000EE"/>
        </w:rPr>
      </w:pPr>
    </w:p>
    <w:p>
      <w:pPr>
        <w:ind w:right="3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70"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154305</wp:posOffset>
            </wp:positionV>
            <wp:extent cx="1346200" cy="1037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selling stockholders may offer and sell from time to time shares of our common stock.</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selling stockholders will determine when they sell shares of our common stock, which may be sold on a continuous or delayed basis directly, to or through agents, dealers or underwriters as designated from time to time, or through a combination of these methods. The selling stockholders reserve the sole right to accept, and they and any agents, dealers and underwriters reserve the right to reject, in whole or in part, any proposed purchase of shares of our common stock. If any agents, dealers or underwriters are involved in the sale of any shares of our common stock, the applicable prospectus supplement will set forth any applicable commissions or discounts payable to them. We will not receive any proceeds from the sale of the shares of our common stock by the selling stockholders.</w:t>
      </w:r>
    </w:p>
    <w:p>
      <w:pPr>
        <w:spacing w:after="0" w:line="18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time any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or free writing prospectus may also add, update, change or clarify information contained in or incorporated by reference in this prospectus. This prospectus may not be used to sell shares of our common stock unless accompanied by a prospectus supplement describing the method and terms of the offering.</w:t>
      </w:r>
    </w:p>
    <w:p>
      <w:pPr>
        <w:spacing w:after="0" w:line="17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common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or NASDAQ, under the symbol “EYE.”</w:t>
      </w:r>
    </w:p>
    <w:p>
      <w:pPr>
        <w:spacing w:after="0" w:line="225" w:lineRule="exact"/>
        <w:rPr>
          <w:sz w:val="20"/>
          <w:szCs w:val="20"/>
          <w:color w:val="auto"/>
        </w:rPr>
      </w:pPr>
    </w:p>
    <w:p>
      <w:pPr>
        <w:ind w:right="20" w:firstLine="3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44">
        <w:r>
          <w:rPr>
            <w:rFonts w:ascii="Arial" w:cs="Arial" w:eastAsia="Arial" w:hAnsi="Arial"/>
            <w:sz w:val="17"/>
            <w:szCs w:val="17"/>
            <w:b w:val="1"/>
            <w:bCs w:val="1"/>
            <w:i w:val="1"/>
            <w:iCs w:val="1"/>
            <w:u w:val="single" w:color="auto"/>
            <w:color w:val="0000EE"/>
          </w:rPr>
          <w:t>4</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of this prospectus and the risk factors in any applicable prospectus supplement and in any documents we incorporate by reference herein or therein to read about factors you should consider before buying shares of our common stock.</w:t>
      </w:r>
    </w:p>
    <w:p>
      <w:pPr>
        <w:spacing w:after="0" w:line="16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980" w:type="dxa"/>
            <w:vAlign w:val="bottom"/>
            <w:gridSpan w:val="1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4"/>
          </w:tcPr>
          <w:p>
            <w:pPr>
              <w:jc w:val="right"/>
              <w:ind w:right="41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About This Prospectus</w:t>
              </w:r>
            </w:hyperlink>
          </w:p>
        </w:tc>
        <w:tc>
          <w:tcPr>
            <w:tcW w:w="2340" w:type="dxa"/>
            <w:vAlign w:val="bottom"/>
            <w:gridSpan w:val="6"/>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National Vision Holdings, Inc.</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Risk Factors</w:t>
              </w:r>
            </w:hyperlink>
          </w:p>
        </w:tc>
        <w:tc>
          <w:tcPr>
            <w:tcW w:w="3080" w:type="dxa"/>
            <w:vAlign w:val="bottom"/>
            <w:gridSpan w:val="12"/>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Special Note Regarding Forward-Looking Statements</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Selling Stockholders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60" w:type="dxa"/>
            <w:vAlign w:val="bottom"/>
            <w:gridSpan w:val="6"/>
          </w:tcPr>
          <w:p>
            <w:pPr>
              <w:spacing w:after="0" w:line="189"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Plan of Distribution</w:t>
              </w:r>
            </w:hyperlink>
          </w:p>
        </w:tc>
        <w:tc>
          <w:tcPr>
            <w:tcW w:w="2500" w:type="dxa"/>
            <w:vAlign w:val="bottom"/>
            <w:gridSpan w:val="8"/>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spacing w:after="0" w:line="189"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Legal Matters</w:t>
              </w:r>
            </w:hyperlink>
          </w:p>
        </w:tc>
        <w:tc>
          <w:tcPr>
            <w:tcW w:w="2980" w:type="dxa"/>
            <w:vAlign w:val="bottom"/>
            <w:gridSpan w:val="11"/>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2980" w:type="dxa"/>
            <w:vAlign w:val="bottom"/>
            <w:gridSpan w:val="11"/>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2"/>
            <w:shd w:val="clear" w:color="auto" w:fill="CCEEFF"/>
          </w:tcPr>
          <w:p>
            <w:pPr>
              <w:spacing w:after="0" w:line="189"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Where You Can Find More Information</w:t>
              </w:r>
            </w:hyperlink>
          </w:p>
        </w:tc>
        <w:tc>
          <w:tcPr>
            <w:tcW w:w="11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Incorporation by Reference</w:t>
              </w:r>
            </w:hyperlink>
          </w:p>
        </w:tc>
        <w:tc>
          <w:tcPr>
            <w:tcW w:w="880" w:type="dxa"/>
            <w:vAlign w:val="bottom"/>
            <w:gridSpan w:val="3"/>
          </w:tcPr>
          <w:p>
            <w:pPr>
              <w:spacing w:after="0"/>
              <w:rPr>
                <w:sz w:val="16"/>
                <w:szCs w:val="16"/>
                <w:color w:val="auto"/>
              </w:rPr>
            </w:pPr>
          </w:p>
        </w:tc>
        <w:tc>
          <w:tcPr>
            <w:tcW w:w="11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This prospectus is part of a registration statement on Form S-3 that we filed with the SEC using a “shelf” registration process. Under this shelf registration process, certain selling stockholders may, from time to time, offer and/or sell shares of our common stock in one or more offerings or resales. This prospectus provides you with a general description of the shares of our common stock that such selling stockholders may offer. Each time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may also add, update, change or clarify information contained in or incorporated by reference in this prospectus. If there is any inconsistency between the information in this prospectus and the information in the prospectus supplement, you should rely on the information in the prospectus supplement.</w:t>
      </w:r>
    </w:p>
    <w:p>
      <w:pPr>
        <w:spacing w:after="0" w:line="57" w:lineRule="exact"/>
        <w:rPr>
          <w:sz w:val="20"/>
          <w:szCs w:val="20"/>
          <w:color w:val="auto"/>
        </w:rPr>
      </w:pPr>
    </w:p>
    <w:p>
      <w:pPr>
        <w:ind w:right="740" w:firstLine="360"/>
        <w:spacing w:after="0" w:line="282" w:lineRule="auto"/>
        <w:rPr>
          <w:sz w:val="20"/>
          <w:szCs w:val="20"/>
          <w:color w:val="auto"/>
        </w:rPr>
      </w:pPr>
      <w:r>
        <w:rPr>
          <w:rFonts w:ascii="Arial" w:cs="Arial" w:eastAsia="Arial" w:hAnsi="Arial"/>
          <w:sz w:val="18"/>
          <w:szCs w:val="18"/>
          <w:b w:val="1"/>
          <w:bCs w:val="1"/>
          <w:color w:val="auto"/>
        </w:rPr>
        <w:t>THIS PROSPECTUS MAY NOT BE USED TO SELL ANY SHARES OF OUR COMMON STOCK UNLESS ACCOMPANIED BY A PROSPECTUS SUPPLEMENT.</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5" w:lineRule="exact"/>
        <w:rPr>
          <w:sz w:val="20"/>
          <w:szCs w:val="20"/>
          <w:color w:val="auto"/>
        </w:rPr>
      </w:pPr>
    </w:p>
    <w:p>
      <w:pPr>
        <w:ind w:right="200" w:firstLine="360"/>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in any prospectus supplement or free writing prospectus that we authorize to be delivered to you. Neither we nor any selling stockholders have authorized anyone to provide any information or to make any representations other than those contained, or incorporated by reference, in this prospectus or in any prospectus supplement or free writing prospectus we have prepared. Neither we nor any selling stockholders take responsibility for, or can provide assurance as to the reliability of, any other information that others may provide you. We and any selling stockholders are offering to sell, and seeking offers to buy, securities only in jurisdictions where offers and sales are permitted. You should assume that the information contained, or incorporated by reference, in this prospectus and in any prospectus supplement or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65"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In this prospectus,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7" w:lineRule="auto"/>
        <w:rPr>
          <w:rFonts w:ascii="Arial" w:cs="Arial" w:eastAsia="Arial" w:hAnsi="Arial"/>
          <w:sz w:val="17"/>
          <w:szCs w:val="17"/>
          <w:color w:val="000000"/>
        </w:rPr>
      </w:pPr>
      <w:r>
        <w:rPr>
          <w:rFonts w:ascii="Arial" w:cs="Arial" w:eastAsia="Arial" w:hAnsi="Arial"/>
          <w:sz w:val="17"/>
          <w:szCs w:val="17"/>
          <w:color w:val="auto"/>
        </w:rPr>
        <w:t xml:space="preserve">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we have not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w:t>
      </w:r>
      <w:hyperlink r:id="rId73">
        <w:r>
          <w:rPr>
            <w:rFonts w:ascii="Arial" w:cs="Arial" w:eastAsia="Arial" w:hAnsi="Arial"/>
            <w:sz w:val="17"/>
            <w:szCs w:val="17"/>
            <w:color w:val="auto"/>
          </w:rPr>
          <w:t xml:space="preserve">high degree of uncertainty and risk due to a variety of factors, including those described in “Risk Factors” in this prospectus, </w:t>
        </w:r>
        <w:r>
          <w:rPr>
            <w:rFonts w:ascii="Arial" w:cs="Arial" w:eastAsia="Arial" w:hAnsi="Arial"/>
            <w:sz w:val="17"/>
            <w:szCs w:val="17"/>
            <w:u w:val="single" w:color="auto"/>
            <w:color w:val="0000EE"/>
          </w:rPr>
          <w:t>“Risk</w:t>
        </w:r>
      </w:hyperlink>
      <w:r>
        <w:rPr>
          <w:rFonts w:ascii="Arial" w:cs="Arial" w:eastAsia="Arial" w:hAnsi="Arial"/>
          <w:sz w:val="17"/>
          <w:szCs w:val="17"/>
          <w:color w:val="auto"/>
        </w:rPr>
        <w:t xml:space="preserve"> </w:t>
      </w:r>
      <w:hyperlink r:id="rId73">
        <w:r>
          <w:rPr>
            <w:rFonts w:ascii="Arial" w:cs="Arial" w:eastAsia="Arial" w:hAnsi="Arial"/>
            <w:sz w:val="17"/>
            <w:szCs w:val="17"/>
            <w:u w:val="single" w:color="auto"/>
            <w:color w:val="0000EE"/>
          </w:rPr>
          <w:t>Factors”</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4">
        <w:r>
          <w:rPr>
            <w:rFonts w:ascii="Arial" w:cs="Arial" w:eastAsia="Arial" w:hAnsi="Arial"/>
            <w:sz w:val="17"/>
            <w:szCs w:val="17"/>
            <w:u w:val="single" w:color="auto"/>
            <w:color w:val="0000EE"/>
          </w:rPr>
          <w:t xml:space="preserve">“Management’s Discussion and Analysis of Financial Condition and Results of Operations” </w:t>
        </w:r>
      </w:hyperlink>
      <w:hyperlink r:id="rId73">
        <w:r>
          <w:rPr>
            <w:rFonts w:ascii="Arial" w:cs="Arial" w:eastAsia="Arial" w:hAnsi="Arial"/>
            <w:sz w:val="17"/>
            <w:szCs w:val="17"/>
            <w:color w:val="000000"/>
          </w:rPr>
          <w:t>in our Annual Report (as</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defined herein) and </w:t>
      </w:r>
      <w:hyperlink r:id="rId75">
        <w:r>
          <w:rPr>
            <w:rFonts w:ascii="Arial" w:cs="Arial" w:eastAsia="Arial" w:hAnsi="Arial"/>
            <w:sz w:val="17"/>
            <w:szCs w:val="17"/>
            <w:u w:val="single" w:color="auto"/>
            <w:color w:val="0000EE"/>
          </w:rPr>
          <w:t>“Management’s Discussion and Analysis of Financial Condition and Results of Operations”</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in our Quarterly Reports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Neither we nor the selling stockholders can guarantee the accuracy or completeness of any such information contained, or incorporated by reference, in this prospectus.</w:t>
      </w:r>
    </w:p>
    <w:p>
      <w:pPr>
        <w:spacing w:after="0" w:line="18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rFonts w:ascii="Arial" w:cs="Arial" w:eastAsia="Arial" w:hAnsi="Arial"/>
          <w:sz w:val="17"/>
          <w:szCs w:val="17"/>
          <w:color w:val="0000EE"/>
        </w:rPr>
      </w:pPr>
    </w:p>
    <w:p>
      <w:pPr>
        <w:ind w:firstLine="360"/>
        <w:spacing w:after="0" w:line="272"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and any applicable prospectus supplement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and any applicable prospectus supplement (or in documents we have incorporated by reference) are the property of their respective owners.</w:t>
      </w:r>
    </w:p>
    <w:p>
      <w:pPr>
        <w:spacing w:after="0" w:line="178"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to bolster its e-commerce platform.</w:t>
      </w:r>
    </w:p>
    <w:p>
      <w:pPr>
        <w:spacing w:after="0" w:line="6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 by affiliates of KKR Sponsor in March 2014.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An investment in our common stock involves risk. Before investing in our common stock, in addition to the risks and uncertainties described below under “Special Note Regarding Forward-Looking Statements,” you should carefully consider the risks </w:t>
      </w:r>
      <w:hyperlink r:id="rId74">
        <w:r>
          <w:rPr>
            <w:rFonts w:ascii="Arial" w:cs="Arial" w:eastAsia="Arial" w:hAnsi="Arial"/>
            <w:sz w:val="16"/>
            <w:szCs w:val="16"/>
            <w:color w:val="auto"/>
          </w:rPr>
          <w:t xml:space="preserve">and uncertainties discussed under </w:t>
        </w:r>
        <w:r>
          <w:rPr>
            <w:rFonts w:ascii="Arial" w:cs="Arial" w:eastAsia="Arial" w:hAnsi="Arial"/>
            <w:sz w:val="16"/>
            <w:szCs w:val="16"/>
            <w:u w:val="single" w:color="auto"/>
            <w:color w:val="0000EE"/>
          </w:rPr>
          <w:t>“Risk Factors,” “Management’s Discussion and Analysis of Financial Condition and Results of</w:t>
        </w:r>
      </w:hyperlink>
      <w:r>
        <w:rPr>
          <w:rFonts w:ascii="Arial" w:cs="Arial" w:eastAsia="Arial" w:hAnsi="Arial"/>
          <w:sz w:val="16"/>
          <w:szCs w:val="16"/>
          <w:color w:val="auto"/>
        </w:rPr>
        <w:t xml:space="preserve"> </w:t>
      </w:r>
      <w:hyperlink r:id="rId74">
        <w:r>
          <w:rPr>
            <w:rFonts w:ascii="Arial" w:cs="Arial" w:eastAsia="Arial" w:hAnsi="Arial"/>
            <w:sz w:val="16"/>
            <w:szCs w:val="16"/>
            <w:u w:val="single" w:color="auto"/>
            <w:color w:val="0000EE"/>
          </w:rPr>
          <w:t>Operations”</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78">
        <w:r>
          <w:rPr>
            <w:rFonts w:ascii="Arial" w:cs="Arial" w:eastAsia="Arial" w:hAnsi="Arial"/>
            <w:sz w:val="16"/>
            <w:szCs w:val="16"/>
            <w:u w:val="single" w:color="auto"/>
            <w:color w:val="0000EE"/>
          </w:rPr>
          <w:t xml:space="preserve">audited consolidated financial statements and related notes </w:t>
        </w:r>
      </w:hyperlink>
      <w:hyperlink r:id="rId74">
        <w:r>
          <w:rPr>
            <w:rFonts w:ascii="Arial" w:cs="Arial" w:eastAsia="Arial" w:hAnsi="Arial"/>
            <w:sz w:val="16"/>
            <w:szCs w:val="16"/>
            <w:color w:val="000000"/>
          </w:rPr>
          <w:t xml:space="preserve">thereto in our Annual Report on Form 10-K for </w:t>
        </w:r>
      </w:hyperlink>
      <w:r>
        <w:rPr>
          <w:rFonts w:ascii="Arial" w:cs="Arial" w:eastAsia="Arial" w:hAnsi="Arial"/>
          <w:sz w:val="16"/>
          <w:szCs w:val="16"/>
          <w:color w:val="0000EE"/>
        </w:rPr>
        <w:t xml:space="preserve">the </w:t>
      </w:r>
      <w:hyperlink r:id="rId75">
        <w:r>
          <w:rPr>
            <w:rFonts w:ascii="Arial" w:cs="Arial" w:eastAsia="Arial" w:hAnsi="Arial"/>
            <w:sz w:val="16"/>
            <w:szCs w:val="16"/>
            <w:color w:val="000000"/>
          </w:rPr>
          <w:t xml:space="preserve">fiscal year ended December 30, 2017, or the Annual Report, and </w:t>
        </w:r>
        <w:r>
          <w:rPr>
            <w:rFonts w:ascii="Arial" w:cs="Arial" w:eastAsia="Arial" w:hAnsi="Arial"/>
            <w:sz w:val="16"/>
            <w:szCs w:val="16"/>
            <w:u w:val="single" w:color="auto"/>
            <w:color w:val="0000EE"/>
          </w:rPr>
          <w:t>“Management’s Discussion and Analysis of Financial Condition</w:t>
        </w:r>
      </w:hyperlink>
      <w:r>
        <w:rPr>
          <w:rFonts w:ascii="Arial" w:cs="Arial" w:eastAsia="Arial" w:hAnsi="Arial"/>
          <w:sz w:val="16"/>
          <w:szCs w:val="16"/>
          <w:color w:val="000000"/>
        </w:rPr>
        <w:t xml:space="preserve"> </w:t>
      </w:r>
      <w:hyperlink r:id="rId75">
        <w:r>
          <w:rPr>
            <w:rFonts w:ascii="Arial" w:cs="Arial" w:eastAsia="Arial" w:hAnsi="Arial"/>
            <w:sz w:val="16"/>
            <w:szCs w:val="16"/>
            <w:u w:val="single" w:color="auto"/>
            <w:color w:val="0000EE"/>
          </w:rPr>
          <w:t>and Results of Operations”</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79">
        <w:r>
          <w:rPr>
            <w:rFonts w:ascii="Arial" w:cs="Arial" w:eastAsia="Arial" w:hAnsi="Arial"/>
            <w:sz w:val="16"/>
            <w:szCs w:val="16"/>
            <w:u w:val="single" w:color="auto"/>
            <w:color w:val="0000EE"/>
          </w:rPr>
          <w:t xml:space="preserve">unaudited condensed consolidated financial statements and related notes </w:t>
        </w:r>
      </w:hyperlink>
      <w:hyperlink r:id="rId75">
        <w:r>
          <w:rPr>
            <w:rFonts w:ascii="Arial" w:cs="Arial" w:eastAsia="Arial" w:hAnsi="Arial"/>
            <w:sz w:val="16"/>
            <w:szCs w:val="16"/>
            <w:color w:val="000000"/>
          </w:rPr>
          <w:t>thereto in our Quarterly</w:t>
        </w:r>
      </w:hyperlink>
      <w:r>
        <w:rPr>
          <w:rFonts w:ascii="Arial" w:cs="Arial" w:eastAsia="Arial" w:hAnsi="Arial"/>
          <w:sz w:val="16"/>
          <w:szCs w:val="16"/>
          <w:color w:val="0000EE"/>
        </w:rPr>
        <w:t xml:space="preserve"> </w:t>
      </w:r>
      <w:r>
        <w:rPr>
          <w:rFonts w:ascii="Arial" w:cs="Arial" w:eastAsia="Arial" w:hAnsi="Arial"/>
          <w:sz w:val="16"/>
          <w:szCs w:val="16"/>
          <w:color w:val="000000"/>
        </w:rPr>
        <w:t>Reports on Form 10-Q for the quarterly periods ended March 31, 2018, June 30, 2018 and September 29, 2018, or our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common stock pursuant to this prospectus. Any of these risks could materially and adversely affect our business, financial condition, or results of operations.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9"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Certain matters we discuss in this prospectus and in any prospectus supplement or free writing prospectus that we may provide to you in connection with an offering of our common stock described in this prospectus, and in the documents we incorporate or are deemed to be incorporated by reference by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1" w:lineRule="exact"/>
        <w:rPr>
          <w:sz w:val="20"/>
          <w:szCs w:val="20"/>
          <w:color w:val="auto"/>
        </w:rPr>
      </w:pPr>
    </w:p>
    <w:p>
      <w:pPr>
        <w:ind w:right="20"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uncertainties, and other important factors, many of which are beyond our control, that could cause our actual results to differ materially from the forward-looking statements contained or incorporated by reference in this prospectus and any prospectus supplement. Such risks, uncertainties, and other important factors include, among others, the risks, uncertainties and factors set forth under </w:t>
      </w:r>
      <w:hyperlink r:id="rId73">
        <w:r>
          <w:rPr>
            <w:rFonts w:ascii="Arial" w:cs="Arial" w:eastAsia="Arial" w:hAnsi="Arial"/>
            <w:sz w:val="18"/>
            <w:szCs w:val="18"/>
            <w:u w:val="single" w:color="auto"/>
            <w:color w:val="0000EE"/>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firstLine="360"/>
        <w:spacing w:after="0" w:line="276" w:lineRule="auto"/>
        <w:rPr>
          <w:rFonts w:ascii="Arial" w:cs="Arial" w:eastAsia="Arial" w:hAnsi="Arial"/>
          <w:sz w:val="17"/>
          <w:szCs w:val="17"/>
          <w:color w:val="0000EE"/>
        </w:rPr>
      </w:pPr>
      <w:r>
        <w:rPr>
          <w:rFonts w:ascii="Arial" w:cs="Arial" w:eastAsia="Arial" w:hAnsi="Arial"/>
          <w:sz w:val="17"/>
          <w:szCs w:val="17"/>
          <w:color w:val="auto"/>
        </w:rPr>
        <w:t xml:space="preserve">There may be other factors that could cause our actual results to differ materially from the forward-looking statements, </w:t>
      </w:r>
      <w:hyperlink r:id="rId74">
        <w:r>
          <w:rPr>
            <w:rFonts w:ascii="Arial" w:cs="Arial" w:eastAsia="Arial" w:hAnsi="Arial"/>
            <w:sz w:val="17"/>
            <w:szCs w:val="17"/>
            <w:color w:val="auto"/>
          </w:rPr>
          <w:t xml:space="preserve">including factors disclosed under </w:t>
        </w:r>
        <w:r>
          <w:rPr>
            <w:rFonts w:ascii="Arial" w:cs="Arial" w:eastAsia="Arial" w:hAnsi="Arial"/>
            <w:sz w:val="17"/>
            <w:szCs w:val="17"/>
            <w:u w:val="single" w:color="auto"/>
            <w:color w:val="0000EE"/>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“Management’s Discussion and Analysis of Financial Condition and Results of</w:t>
        </w:r>
      </w:hyperlink>
      <w:r>
        <w:rPr>
          <w:rFonts w:ascii="Arial" w:cs="Arial" w:eastAsia="Arial" w:hAnsi="Arial"/>
          <w:sz w:val="17"/>
          <w:szCs w:val="17"/>
          <w:color w:val="auto"/>
        </w:rPr>
        <w:t xml:space="preserve"> </w:t>
      </w:r>
      <w:hyperlink r:id="rId74">
        <w:r>
          <w:rPr>
            <w:rFonts w:ascii="Arial" w:cs="Arial" w:eastAsia="Arial" w:hAnsi="Arial"/>
            <w:sz w:val="17"/>
            <w:szCs w:val="17"/>
            <w:u w:val="single" w:color="auto"/>
            <w:color w:val="0000EE"/>
          </w:rPr>
          <w:t>Operations”</w:t>
        </w:r>
        <w:r>
          <w:rPr>
            <w:rFonts w:ascii="Arial" w:cs="Arial" w:eastAsia="Arial" w:hAnsi="Arial"/>
            <w:sz w:val="17"/>
            <w:szCs w:val="17"/>
            <w:color w:val="0000EE"/>
          </w:rPr>
          <w:t xml:space="preserve"> </w:t>
        </w:r>
        <w:r>
          <w:rPr>
            <w:rFonts w:ascii="Arial" w:cs="Arial" w:eastAsia="Arial" w:hAnsi="Arial"/>
            <w:sz w:val="17"/>
            <w:szCs w:val="17"/>
            <w:color w:val="000000"/>
          </w:rPr>
          <w:t>in our Annual Report and</w:t>
        </w:r>
        <w:r>
          <w:rPr>
            <w:rFonts w:ascii="Arial" w:cs="Arial" w:eastAsia="Arial" w:hAnsi="Arial"/>
            <w:sz w:val="17"/>
            <w:szCs w:val="17"/>
            <w:color w:val="0000EE"/>
          </w:rPr>
          <w:t xml:space="preserve"> </w:t>
        </w:r>
      </w:hyperlink>
      <w:hyperlink r:id="rId75">
        <w:r>
          <w:rPr>
            <w:rFonts w:ascii="Arial" w:cs="Arial" w:eastAsia="Arial" w:hAnsi="Arial"/>
            <w:sz w:val="17"/>
            <w:szCs w:val="17"/>
            <w:u w:val="single" w:color="auto"/>
            <w:color w:val="0000EE"/>
          </w:rPr>
          <w:t>“Management’s Discussion and Analysis of Financial Condition and Results of Operations”</w:t>
        </w:r>
      </w:hyperlink>
      <w:r>
        <w:rPr>
          <w:rFonts w:ascii="Arial" w:cs="Arial" w:eastAsia="Arial" w:hAnsi="Arial"/>
          <w:sz w:val="17"/>
          <w:szCs w:val="17"/>
          <w:color w:val="0000EE"/>
        </w:rPr>
        <w:t xml:space="preserve"> </w:t>
      </w:r>
      <w:r>
        <w:rPr>
          <w:rFonts w:ascii="Arial" w:cs="Arial" w:eastAsia="Arial" w:hAnsi="Arial"/>
          <w:sz w:val="17"/>
          <w:szCs w:val="17"/>
          <w:color w:val="000000"/>
        </w:rPr>
        <w:t>in our Quarterly Reports, which are incorporated herein by reference. You should evaluate all forward-looking statements made, or incorporated by reference, in this prospectus in the context of these risks and uncertainties.</w:t>
      </w:r>
    </w:p>
    <w:p>
      <w:pPr>
        <w:spacing w:after="0" w:line="64" w:lineRule="exact"/>
        <w:rPr>
          <w:rFonts w:ascii="Arial" w:cs="Arial" w:eastAsia="Arial" w:hAnsi="Arial"/>
          <w:sz w:val="17"/>
          <w:szCs w:val="17"/>
          <w:color w:val="auto"/>
        </w:rPr>
      </w:pPr>
    </w:p>
    <w:p>
      <w:pPr>
        <w:ind w:right="16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not receive any of the proceeds from a sale of shares of our common stock by any selling stockholders.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or Board of Directors, determines otherwise, we will issue all shares of our capital stock in uncertificated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57"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KKR Sponsor and Berkshire, or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the Sponsors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requires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12" w:lineRule="auto"/>
        <w:rPr>
          <w:sz w:val="20"/>
          <w:szCs w:val="20"/>
          <w:color w:val="auto"/>
        </w:rPr>
      </w:pPr>
      <w:r>
        <w:rPr>
          <w:rFonts w:ascii="Arial" w:cs="Arial" w:eastAsia="Arial" w:hAnsi="Arial"/>
          <w:sz w:val="18"/>
          <w:szCs w:val="18"/>
          <w:color w:val="auto"/>
        </w:rPr>
        <w:t>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 for stockholders to amend our amended and restated bylaws;</w:t>
      </w:r>
    </w:p>
    <w:p>
      <w:pPr>
        <w:spacing w:after="0" w:line="111" w:lineRule="exact"/>
        <w:rPr>
          <w:rFonts w:ascii="Arial" w:cs="Arial" w:eastAsia="Arial" w:hAnsi="Arial"/>
          <w:sz w:val="17"/>
          <w:szCs w:val="17"/>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w:t>
      </w:r>
    </w:p>
    <w:p>
      <w:pPr>
        <w:spacing w:after="0" w:line="11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selling stockholders may sell the shares of our common stock covered by this prospectus in any of the following ways (or in any combination):</w:t>
      </w:r>
    </w:p>
    <w:p>
      <w:pPr>
        <w:spacing w:after="0" w:line="62"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or through underwriters, brokers or dealers (acting as agent or principal);</w:t>
      </w:r>
    </w:p>
    <w:p>
      <w:pPr>
        <w:spacing w:after="0" w:line="117" w:lineRule="exact"/>
        <w:rPr>
          <w:rFonts w:ascii="Arial" w:cs="Arial" w:eastAsia="Arial" w:hAnsi="Arial"/>
          <w:sz w:val="18"/>
          <w:szCs w:val="18"/>
          <w:color w:val="auto"/>
        </w:rPr>
      </w:pPr>
    </w:p>
    <w:p>
      <w:pPr>
        <w:ind w:left="700" w:right="160" w:hanging="356"/>
        <w:spacing w:after="0" w:line="30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to one or more purchasers, including through a specific bidding or auction process or otherwise;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w:t>
      </w:r>
    </w:p>
    <w:p>
      <w:pPr>
        <w:spacing w:after="0" w:line="62"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Each time that the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73" w:lineRule="exact"/>
        <w:rPr>
          <w:sz w:val="20"/>
          <w:szCs w:val="20"/>
          <w:color w:val="auto"/>
        </w:rPr>
      </w:pPr>
    </w:p>
    <w:p>
      <w:pPr>
        <w:ind w:left="700" w:right="12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shares underwritten or purchased by each of them;</w:t>
      </w:r>
    </w:p>
    <w:p>
      <w:pPr>
        <w:spacing w:after="0" w:line="62" w:lineRule="exact"/>
        <w:rPr>
          <w:rFonts w:ascii="Arial" w:cs="Arial" w:eastAsia="Arial" w:hAnsi="Arial"/>
          <w:sz w:val="18"/>
          <w:szCs w:val="18"/>
          <w:color w:val="auto"/>
        </w:rPr>
      </w:pPr>
    </w:p>
    <w:p>
      <w:pPr>
        <w:jc w:val="both"/>
        <w:ind w:left="700" w:right="40" w:hanging="356"/>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from the selling stockholders;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shares may be listed or traded.</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The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selling stockholders may use underwriters with whom we have a material relationship. We will describe the nature of any such relationship in the prospectus supplement, naming the underwriter or underwriters.</w:t>
      </w:r>
    </w:p>
    <w:p>
      <w:pPr>
        <w:spacing w:after="0" w:line="8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 the market offerings into an existing trading market in accordance with Rule 415(a)(4) under the Securities Act. The selling stockholders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3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under the symbol “EYE.”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at the time of any offering made under this prospectus a member of the Financial Industry Regulatory Authority, Inc., or FINRA, participating in the offering has a “conflict of interest” as defined in FINRA’s Rule 5121, or Rule 5121, that offering will be conducted in accordance with the relevant provisions of Rule 5121.</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all or any of the shares of common stock offered by this prospectus.</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99" w:firstLine="360"/>
        <w:spacing w:after="0" w:line="264" w:lineRule="auto"/>
        <w:rPr>
          <w:sz w:val="20"/>
          <w:szCs w:val="20"/>
          <w:color w:val="auto"/>
        </w:rPr>
      </w:pPr>
      <w:r>
        <w:rPr>
          <w:rFonts w:ascii="Arial" w:cs="Arial" w:eastAsia="Arial" w:hAnsi="Arial"/>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73" w:lineRule="exact"/>
        <w:rPr>
          <w:sz w:val="20"/>
          <w:szCs w:val="20"/>
          <w:color w:val="auto"/>
        </w:rPr>
      </w:pPr>
    </w:p>
    <w:p>
      <w:pPr>
        <w:jc w:val="both"/>
        <w:ind w:right="119" w:firstLine="360"/>
        <w:spacing w:after="0" w:line="277" w:lineRule="auto"/>
        <w:rPr>
          <w:sz w:val="20"/>
          <w:szCs w:val="20"/>
          <w:color w:val="auto"/>
        </w:rPr>
      </w:pPr>
      <w:r>
        <w:rPr>
          <w:rFonts w:ascii="Arial" w:cs="Arial" w:eastAsia="Arial" w:hAnsi="Arial"/>
          <w:sz w:val="18"/>
          <w:szCs w:val="18"/>
          <w:color w:val="auto"/>
        </w:rPr>
        <w:t>The specific terms of the lock-up provisions in respect of any given offering will be described in the applicable prospectus supplement.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Unless we state otherwise in the applicable prospectus supplement, the validity of the shares of common stock offered by this prospectus will be passed upon for us and the selling stockholders by Simpson Thacher &amp; Bartlett LLP, New York, New York.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w:t>
      </w:r>
      <w:hyperlink r:id="rId78">
        <w:r>
          <w:rPr>
            <w:rFonts w:ascii="Arial" w:cs="Arial" w:eastAsia="Arial" w:hAnsi="Arial"/>
            <w:sz w:val="17"/>
            <w:szCs w:val="17"/>
            <w:u w:val="single" w:color="auto"/>
            <w:color w:val="0000EE"/>
          </w:rPr>
          <w:t>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incorporated in this prospectus by reference from the Company’s Annual Report on Form 10-K have been audited by Deloitte &amp; Touche LLP, an independent registered public accounting firm, as stated in their </w:t>
      </w:r>
      <w:hyperlink r:id="rId78">
        <w:r>
          <w:rPr>
            <w:rFonts w:ascii="Arial" w:cs="Arial" w:eastAsia="Arial" w:hAnsi="Arial"/>
            <w:sz w:val="17"/>
            <w:szCs w:val="17"/>
            <w:u w:val="single" w:color="auto"/>
            <w:color w:val="0000EE"/>
          </w:rPr>
          <w:t>report</w:t>
        </w:r>
      </w:hyperlink>
      <w:r>
        <w:rPr>
          <w:rFonts w:ascii="Arial" w:cs="Arial" w:eastAsia="Arial" w:hAnsi="Arial"/>
          <w:sz w:val="17"/>
          <w:szCs w:val="17"/>
          <w:color w:val="auto"/>
        </w:rPr>
        <w: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and all documents that we subsequently file with the SEC under Sections 13(a), 13(c), 14 or 15(d) of the Exchange Act prior to the termination of the offering of shares by means of this prospectus but excluding any documents furnished to, rather than filed with, the SEC, will also be incorporated by reference in this prospectus and deemed to be part of this prospectus, from their respective filing dates:</w:t>
      </w:r>
    </w:p>
    <w:p>
      <w:pPr>
        <w:spacing w:after="0" w:line="58"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30, 2017, filed on March 8, 2018;</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96">
        <w:r>
          <w:rPr>
            <w:rFonts w:ascii="Arial" w:cs="Arial" w:eastAsia="Arial" w:hAnsi="Arial"/>
            <w:sz w:val="18"/>
            <w:szCs w:val="18"/>
            <w:u w:val="single" w:color="auto"/>
            <w:color w:val="0000EE"/>
          </w:rPr>
          <w:t>March 31, 2018</w:t>
        </w:r>
      </w:hyperlink>
      <w:r>
        <w:rPr>
          <w:rFonts w:ascii="Arial" w:cs="Arial" w:eastAsia="Arial" w:hAnsi="Arial"/>
          <w:sz w:val="18"/>
          <w:szCs w:val="18"/>
          <w:color w:val="auto"/>
        </w:rPr>
        <w:t xml:space="preserve">, filed on May 15, 2018, </w:t>
      </w:r>
      <w:hyperlink r:id="rId97">
        <w:r>
          <w:rPr>
            <w:rFonts w:ascii="Arial" w:cs="Arial" w:eastAsia="Arial" w:hAnsi="Arial"/>
            <w:sz w:val="18"/>
            <w:szCs w:val="18"/>
            <w:u w:val="single" w:color="auto"/>
            <w:color w:val="0000EE"/>
          </w:rPr>
          <w:t>June 30, 2018</w:t>
        </w:r>
      </w:hyperlink>
      <w:r>
        <w:rPr>
          <w:rFonts w:ascii="Arial" w:cs="Arial" w:eastAsia="Arial" w:hAnsi="Arial"/>
          <w:sz w:val="18"/>
          <w:szCs w:val="18"/>
          <w:color w:val="auto"/>
        </w:rPr>
        <w:t xml:space="preserve">, filed on August 14, 2018, and </w:t>
      </w:r>
      <w:hyperlink r:id="rId98">
        <w:r>
          <w:rPr>
            <w:rFonts w:ascii="Arial" w:cs="Arial" w:eastAsia="Arial" w:hAnsi="Arial"/>
            <w:sz w:val="18"/>
            <w:szCs w:val="18"/>
            <w:u w:val="single" w:color="auto"/>
            <w:color w:val="0000EE"/>
          </w:rPr>
          <w:t>September 29, 2018</w:t>
        </w:r>
      </w:hyperlink>
      <w:r>
        <w:rPr>
          <w:rFonts w:ascii="Arial" w:cs="Arial" w:eastAsia="Arial" w:hAnsi="Arial"/>
          <w:sz w:val="18"/>
          <w:szCs w:val="18"/>
          <w:color w:val="auto"/>
        </w:rPr>
        <w:t>, filed on November 13, 2018;</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2"/>
        </w:numPr>
        <w:rPr>
          <w:rFonts w:ascii="Arial" w:cs="Arial" w:eastAsia="Arial" w:hAnsi="Arial"/>
          <w:sz w:val="18"/>
          <w:szCs w:val="18"/>
          <w:color w:val="0000EE"/>
        </w:rPr>
      </w:pPr>
      <w:hyperlink r:id="rId99">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23,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19,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7,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30,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10,</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2018</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00">
        <w:r>
          <w:rPr>
            <w:rFonts w:ascii="Arial" w:cs="Arial" w:eastAsia="Arial" w:hAnsi="Arial"/>
            <w:sz w:val="18"/>
            <w:szCs w:val="18"/>
            <w:u w:val="single" w:color="auto"/>
            <w:color w:val="0000EE"/>
          </w:rPr>
          <w:t>October 9, 2018</w:t>
        </w:r>
      </w:hyperlink>
      <w:hyperlink r:id="rId99">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700" w:right="340" w:hanging="356"/>
        <w:spacing w:after="0" w:line="308"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the Registration Statement on </w:t>
      </w:r>
      <w:hyperlink r:id="rId67">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October 24, 2017, including any amendments or reports filed for the purposes of updating such description.</w:t>
      </w:r>
    </w:p>
    <w:p>
      <w:pPr>
        <w:spacing w:after="0" w:line="38" w:lineRule="exact"/>
        <w:rPr>
          <w:rFonts w:ascii="Arial" w:cs="Arial" w:eastAsia="Arial" w:hAnsi="Arial"/>
          <w:sz w:val="18"/>
          <w:szCs w:val="18"/>
          <w:color w:val="0000EE"/>
        </w:rPr>
      </w:pPr>
    </w:p>
    <w:p>
      <w:pPr>
        <w:ind w:right="4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9,149,908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32"/>
          <w:szCs w:val="32"/>
          <w:b w:val="1"/>
          <w:bCs w:val="1"/>
          <w:color w:val="auto"/>
        </w:rPr>
        <w:t>National Vision Holdings, Inc.</w:t>
      </w:r>
    </w:p>
    <w:p>
      <w:pPr>
        <w:spacing w:after="0" w:line="200" w:lineRule="exact"/>
        <w:rPr>
          <w:sz w:val="20"/>
          <w:szCs w:val="20"/>
          <w:color w:val="auto"/>
        </w:rPr>
      </w:pP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739140</wp:posOffset>
            </wp:positionV>
            <wp:extent cx="1449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August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158115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60"/>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1257935</wp:posOffset>
            </wp:positionV>
            <wp:extent cx="6071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1300480</wp:posOffset>
            </wp:positionV>
            <wp:extent cx="60718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1609725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3"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jpe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jpe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6" Type="http://schemas.openxmlformats.org/officeDocument/2006/relationships/hyperlink" Target="http://www.sec.gov/Archives/edgar/data/1710155/000171015519000016/nvhi201810-k.htm#s6EC36FDE58E05D88A13A59F4362EAA98" TargetMode="External"/><Relationship Id="rId17" Type="http://schemas.openxmlformats.org/officeDocument/2006/relationships/hyperlink" Target="http://www.sec.gov/Archives/edgar/data/1710155/000171015519000016/nvhi201810-k.htm#sB189B02D768953BDB9F0C86DA6BC291B" TargetMode="External"/><Relationship Id="rId18" Type="http://schemas.openxmlformats.org/officeDocument/2006/relationships/hyperlink" Target="http://www.sec.gov/Archives/edgar/data/1710155/000171015519000016/nvhi201810-k.htm#s71BC5D7FCE305B54AD2C8694055D01E6" TargetMode="External"/><Relationship Id="rId19" Type="http://schemas.openxmlformats.org/officeDocument/2006/relationships/hyperlink" Target="http://www.sec.gov/Archives/edgar/data/1710155/000171015519000053/a19q2nvhi10-q.htm#s9531E99ED55957F1804B0F3A92C24659" TargetMode="External"/><Relationship Id="rId20" Type="http://schemas.openxmlformats.org/officeDocument/2006/relationships/hyperlink" Target="http://www.sec.gov/Archives/edgar/data/1710155/000171015519000053/a19q2nvhi10-q.htm#s7A1352E146C559F2966843536E3F3E39" TargetMode="External"/><Relationship Id="rId25" Type="http://schemas.openxmlformats.org/officeDocument/2006/relationships/hyperlink" Target="http://www.sec.gov/Archives/edgar/data/1710155/000114420419021138/tv516766-def14a.htm#tNAT12" TargetMode="External"/><Relationship Id="rId47" Type="http://schemas.openxmlformats.org/officeDocument/2006/relationships/hyperlink" Target="http://www.sec.gov/Archives/edgar/data/1710155/000171015519000016/nvhi201810-k.htm#s4C65F2E878D455B7841494F04E58BD9E" TargetMode="External"/><Relationship Id="rId60" Type="http://schemas.openxmlformats.org/officeDocument/2006/relationships/hyperlink" Target="http://www.sec.gov/Archives/edgar/data/1710155/000171015519000016/nvhi201810-k.htm" TargetMode="External"/><Relationship Id="rId61" Type="http://schemas.openxmlformats.org/officeDocument/2006/relationships/hyperlink" Target="http://www.sec.gov/Archives/edgar/data/1710155/000171015519000027/a19q1nvhi10-q.htm" TargetMode="External"/><Relationship Id="rId62" Type="http://schemas.openxmlformats.org/officeDocument/2006/relationships/hyperlink" Target="http://www.sec.gov/Archives/edgar/data/1710155/000171015519000053/a19q2nvhi10-q.htm" TargetMode="External"/><Relationship Id="rId64" Type="http://schemas.openxmlformats.org/officeDocument/2006/relationships/hyperlink" Target="http://www.sec.gov/Archives/edgar/data/1710155/000114420419035109/tv525351_8k.htm" TargetMode="External"/><Relationship Id="rId65" Type="http://schemas.openxmlformats.org/officeDocument/2006/relationships/hyperlink" Target="http://www.sec.gov/Archives/edgar/data/1710155/000114420419035565/tv525585_8k.htm" TargetMode="External"/><Relationship Id="rId66" Type="http://schemas.openxmlformats.org/officeDocument/2006/relationships/hyperlink" Target="http://www.sec.gov/Archives/edgar/data/1710155/000162828019008915/a2019form8-knewboardmember.htm" TargetMode="External"/><Relationship Id="rId67" Type="http://schemas.openxmlformats.org/officeDocument/2006/relationships/hyperlink" Target="http://www.sec.gov/Archives/edgar/data/1710155/000156761917002227/s001582x13_8a12b.htm" TargetMode="External"/><Relationship Id="rId73" Type="http://schemas.openxmlformats.org/officeDocument/2006/relationships/hyperlink" Target="http://www.sec.gov/Archives/edgar/data/1710155/000171015518000012/nhvi201710-k.htm#s272BD4872AC25AB497B958EDC98B510D" TargetMode="External"/><Relationship Id="rId74" Type="http://schemas.openxmlformats.org/officeDocument/2006/relationships/hyperlink" Target="http://www.sec.gov/Archives/edgar/data/1710155/000171015518000012/nhvi201710-k.htm#sCCD93DE5963C5257BA576CBD1DEC8130" TargetMode="External"/><Relationship Id="rId75" Type="http://schemas.openxmlformats.org/officeDocument/2006/relationships/hyperlink" Target="http://www.sec.gov/Archives/edgar/data/1710155/000171015518000049/a18q3nvhi10-q.htm#sAA05FACE43C9523E868C3A1EBF2D2D49" TargetMode="External"/><Relationship Id="rId78" Type="http://schemas.openxmlformats.org/officeDocument/2006/relationships/hyperlink" Target="http://www.sec.gov/Archives/edgar/data/1710155/000171015518000012/nhvi201710-k.htm#sdd5dd138aabd4a64a25eebf34b704c50" TargetMode="External"/><Relationship Id="rId79" Type="http://schemas.openxmlformats.org/officeDocument/2006/relationships/hyperlink" Target="http://www.sec.gov/Archives/edgar/data/1710155/000171015518000049/a18q3nvhi10-q.htm#s5F1E8EE6A5E35FB78512212683984101" TargetMode="External"/><Relationship Id="rId95" Type="http://schemas.openxmlformats.org/officeDocument/2006/relationships/hyperlink" Target="http://www.sec.gov/Archives/edgar/data/1710155/000171015518000012/nhvi201710-k.htm" TargetMode="External"/><Relationship Id="rId96" Type="http://schemas.openxmlformats.org/officeDocument/2006/relationships/hyperlink" Target="http://www.sec.gov/Archives/edgar/data/1710155/000171015518000020/a18q1nhvi10-q.htm" TargetMode="External"/><Relationship Id="rId97" Type="http://schemas.openxmlformats.org/officeDocument/2006/relationships/hyperlink" Target="http://www.sec.gov/Archives/edgar/data/1710155/000171015518000035/a18q2nvhi10-q.htm" TargetMode="External"/><Relationship Id="rId98" Type="http://schemas.openxmlformats.org/officeDocument/2006/relationships/hyperlink" Target="http://www.sec.gov/Archives/edgar/data/1710155/000171015518000049/a18q3nvhi10-q.htm" TargetMode="External"/><Relationship Id="rId99" Type="http://schemas.openxmlformats.org/officeDocument/2006/relationships/hyperlink" Target="http://www.sec.gov/Archives/edgar/data/1710155/000171015518000038/form8-kttaylorcurrentdraft.htm" TargetMode="External"/><Relationship Id="rId100" Type="http://schemas.openxmlformats.org/officeDocument/2006/relationships/hyperlink" Target="http://www.sec.gov/Archives/edgar/data/1710155/000114036118040325/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2019-12-20T15:42:21Z</dcterms:created>
  <dcterms:modified xsi:type="dcterms:W3CDTF">2019-12-20T15:42:21Z</dcterms:modified>
</cp:coreProperties>
</file>