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3121_28k.htm"/>
      <w:bookmarkStart w:id="1" w:name="ksa0513121_28k"/>
      <w:bookmarkEnd w:id="0"/>
      <w:bookmarkEnd w:id="1"/>
      <w:r>
        <w:rPr>
          <w:bdr w:val="double" w:sz="24"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r>
    </w:p>
    <w:p>
      <w:pPr>
        <w:pStyle w:val="TextBody"/>
        <w:spacing w:before="0" w:after="0"/>
        <w:ind w:left="0" w:right="0" w:hanging="0"/>
        <w:rPr>
          <w:rFonts w:ascii="Times New Roman" w:hAnsi="Times New Roman"/>
          <w:sz w:val="17"/>
        </w:rPr>
      </w:pPr>
      <w:r>
        <w:rPr>
          <w:rFonts w:ascii="Times New Roman" w:hAnsi="Times New Roman"/>
          <w:b/>
          <w:sz w:val="30"/>
        </w:rPr>
        <w:t>SECURITIES AND EXCHANGE COMMISSION</w:t>
      </w:r>
      <w:r>
        <w:rPr>
          <w:rFonts w:ascii="Times New Roman" w:hAnsi="Times New Roman"/>
          <w:sz w:val="17"/>
        </w:rPr>
        <w:br/>
      </w: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CURRENT REPORT</w:t>
      </w:r>
    </w:p>
    <w:p>
      <w:pPr>
        <w:pStyle w:val="TextBody"/>
        <w:spacing w:before="0" w:after="0"/>
        <w:ind w:left="0" w:right="0" w:hanging="0"/>
        <w:rPr>
          <w:rFonts w:ascii="Times New Roman" w:hAnsi="Times New Roman"/>
          <w:b/>
          <w:sz w:val="20"/>
        </w:rPr>
      </w:pPr>
      <w:r>
        <w:rPr>
          <w:rFonts w:ascii="Times New Roman" w:hAnsi="Times New Roman"/>
          <w:b/>
          <w:sz w:val="20"/>
        </w:rPr>
        <w:t xml:space="preserve">PURSUANT TO SECTION 13 OR 15(d) OF </w:t>
      </w:r>
    </w:p>
    <w:p>
      <w:pPr>
        <w:pStyle w:val="TextBody"/>
        <w:spacing w:before="0" w:after="0"/>
        <w:ind w:left="0" w:right="0" w:hanging="0"/>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DATE OF REPORT (DATE OF EARLIEST EVENT REPORTED) August 15, 2005</w:t>
      </w:r>
    </w:p>
    <w:p>
      <w:pPr>
        <w:pStyle w:val="TextBody"/>
        <w:spacing w:before="0" w:after="0"/>
        <w:ind w:left="0" w:right="0" w:hanging="0"/>
        <w:rPr/>
      </w:pPr>
      <w:r>
        <w:rPr/>
        <w:t> </w:t>
      </w:r>
    </w:p>
    <w:p>
      <w:pPr>
        <w:pStyle w:val="TextBody"/>
        <w:spacing w:before="0" w:after="0"/>
        <w:ind w:left="0" w:right="0" w:hanging="0"/>
        <w:rPr>
          <w:rFonts w:ascii="Times New Roman" w:hAnsi="Times New Roman"/>
          <w:b/>
          <w:sz w:val="30"/>
        </w:rPr>
      </w:pPr>
      <w:r>
        <w:rPr>
          <w:rFonts w:ascii="Times New Roman" w:hAnsi="Times New Roman"/>
          <w:b/>
          <w:sz w:val="30"/>
        </w:rPr>
        <w:t>NATIONAL VISION, INC.</w:t>
      </w:r>
    </w:p>
    <w:p>
      <w:pPr>
        <w:pStyle w:val="TextBody"/>
        <w:spacing w:before="0" w:after="0"/>
        <w:ind w:left="0" w:right="0" w:hanging="0"/>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Commission File No: 001-16635</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Georgia</w:t>
            </w:r>
          </w:p>
        </w:tc>
        <w:tc>
          <w:tcPr>
            <w:tcW w:w="204" w:type="dxa"/>
            <w:tcBorders/>
            <w:shd w:fill="auto" w:val="clear"/>
            <w:vAlign w:val="bottom"/>
          </w:tcPr>
          <w:p>
            <w:pPr>
              <w:pStyle w:val="TableContents"/>
              <w:spacing w:before="0" w:after="0"/>
              <w:ind w:left="0" w:right="0" w:hanging="0"/>
              <w:jc w:val="left"/>
              <w:rPr/>
            </w:pPr>
            <w:r>
              <w:rPr/>
              <w:t> </w:t>
            </w:r>
          </w:p>
        </w:tc>
        <w:tc>
          <w:tcPr>
            <w:tcW w:w="500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58-1910859</w:t>
            </w:r>
          </w:p>
        </w:tc>
      </w:tr>
      <w:tr>
        <w:trPr/>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(State or other jurisdiction of</w:t>
              <w:br/>
              <w:t>incorporation or organization)</w:t>
            </w:r>
          </w:p>
        </w:tc>
        <w:tc>
          <w:tcPr>
            <w:tcW w:w="204" w:type="dxa"/>
            <w:tcBorders/>
            <w:shd w:fill="auto" w:val="clear"/>
            <w:vAlign w:val="bottom"/>
          </w:tcPr>
          <w:p>
            <w:pPr>
              <w:pStyle w:val="TableContents"/>
              <w:spacing w:before="0" w:after="0"/>
              <w:ind w:left="0" w:right="0" w:hanging="0"/>
              <w:jc w:val="left"/>
              <w:rPr/>
            </w:pPr>
            <w:r>
              <w:rPr/>
              <w:t> </w:t>
            </w:r>
          </w:p>
        </w:tc>
        <w:tc>
          <w:tcPr>
            <w:tcW w:w="50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(I.R.S. employer identification</w:t>
              <w:br/>
              <w:t>number)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296 Grayson Highway</w:t>
      </w:r>
    </w:p>
    <w:p>
      <w:pPr>
        <w:pStyle w:val="TextBody"/>
        <w:spacing w:before="0" w:after="0"/>
        <w:ind w:left="0" w:right="0" w:hanging="0"/>
        <w:rPr>
          <w:rFonts w:ascii="Times New Roman" w:hAnsi="Times New Roman"/>
          <w:b/>
          <w:sz w:val="17"/>
        </w:rPr>
      </w:pPr>
      <w:r>
        <w:rPr>
          <w:rFonts w:ascii="Times New Roman" w:hAnsi="Times New Roman"/>
          <w:b/>
          <w:sz w:val="17"/>
        </w:rPr>
        <w:t>Lawrenceville, Georgia 30045</w:t>
      </w:r>
    </w:p>
    <w:p>
      <w:pPr>
        <w:pStyle w:val="TextBody"/>
        <w:spacing w:before="0" w:after="0"/>
        <w:ind w:left="0" w:right="0" w:hanging="0"/>
        <w:rPr>
          <w:rFonts w:ascii="Times New Roman" w:hAnsi="Times New Roman"/>
          <w:b/>
          <w:sz w:val="17"/>
        </w:rPr>
      </w:pPr>
      <w:r>
        <w:rPr>
          <w:rFonts w:ascii="Times New Roman" w:hAnsi="Times New Roman"/>
          <w:b/>
          <w:sz w:val="17"/>
        </w:rPr>
        <w:t>(770) 822-3600</w:t>
      </w:r>
    </w:p>
    <w:p>
      <w:pPr>
        <w:pStyle w:val="TextBody"/>
        <w:spacing w:before="0" w:after="0"/>
        <w:ind w:left="0" w:right="0" w:hanging="0"/>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 applicable</w:t>
      </w:r>
    </w:p>
    <w:p>
      <w:pPr>
        <w:pStyle w:val="TextBody"/>
        <w:spacing w:before="0" w:after="0"/>
        <w:ind w:left="0" w:right="0" w:hanging="0"/>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RESULTS OF OPERATIONS AND FINANCIAL CONDITION.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15, 2005, the Company issued a press release, attached as Exhibit 99.1 hereto, regarding its results of operations for the second quarter of fiscal 2005.</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Exhibit 99.1  Press Release dated August 15, 2005, titled NATIONAL VISION REPORTS SECOND QUARTER OPERATING RESULTS.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561"/>
        <w:gridCol w:w="416"/>
        <w:gridCol w:w="2812"/>
        <w:gridCol w:w="416"/>
      </w:tblGrid>
      <w:tr>
        <w:trPr/>
        <w:tc>
          <w:tcPr>
            <w:tcW w:w="6561" w:type="dxa"/>
            <w:tcBorders/>
            <w:shd w:fill="auto" w:val="clear"/>
          </w:tcPr>
          <w:p>
            <w:pPr>
              <w:pStyle w:val="TableContents"/>
              <w:spacing w:before="0" w:after="0"/>
              <w:ind w:left="0" w:right="0" w:hanging="0"/>
              <w:rPr/>
            </w:pPr>
            <w:r>
              <w:rPr/>
              <w:t> </w:t>
            </w:r>
          </w:p>
        </w:tc>
        <w:tc>
          <w:tcPr>
            <w:tcW w:w="364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NATIONAL VISION, INC.</w:t>
            </w:r>
          </w:p>
        </w:tc>
      </w:tr>
      <w:tr>
        <w:trPr/>
        <w:tc>
          <w:tcPr>
            <w:tcW w:w="6561"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3228" w:type="dxa"/>
            <w:gridSpan w:val="2"/>
            <w:tcBorders/>
            <w:shd w:fill="auto" w:val="clear"/>
          </w:tcPr>
          <w:p>
            <w:pPr>
              <w:pStyle w:val="TableContents"/>
              <w:spacing w:before="0" w:after="0"/>
              <w:ind w:left="0" w:right="0" w:hanging="0"/>
              <w:rPr/>
            </w:pPr>
            <w:r>
              <w:rPr/>
              <w:t> </w:t>
            </w:r>
          </w:p>
        </w:tc>
      </w:tr>
      <w:tr>
        <w:trPr/>
        <w:tc>
          <w:tcPr>
            <w:tcW w:w="65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15, 2005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81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i/>
                <w:sz w:val="17"/>
              </w:rPr>
            </w:pPr>
            <w:r>
              <w:rPr>
                <w:rFonts w:ascii="Times New Roman" w:hAnsi="Times New Roman"/>
                <w:i/>
                <w:sz w:val="17"/>
              </w:rPr>
              <w:t>/s/ Paul A. Criscillis, Jr.</w:t>
            </w:r>
          </w:p>
        </w:tc>
        <w:tc>
          <w:tcPr>
            <w:tcW w:w="416" w:type="dxa"/>
            <w:tcBorders/>
            <w:shd w:fill="auto" w:val="clear"/>
          </w:tcPr>
          <w:p>
            <w:pPr>
              <w:pStyle w:val="TableContents"/>
              <w:spacing w:before="0" w:after="0"/>
              <w:ind w:left="0" w:right="0" w:hanging="0"/>
              <w:rPr/>
            </w:pPr>
            <w:r>
              <w:rPr/>
              <w:t> </w:t>
            </w:r>
          </w:p>
        </w:tc>
      </w:tr>
      <w:tr>
        <w:trPr/>
        <w:tc>
          <w:tcPr>
            <w:tcW w:w="6561"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322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Paul A. Criscillis, Jr.</w:t>
            </w:r>
          </w:p>
        </w:tc>
      </w:tr>
      <w:tr>
        <w:trPr/>
        <w:tc>
          <w:tcPr>
            <w:tcW w:w="6561"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322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Vice President,</w:t>
            </w:r>
          </w:p>
        </w:tc>
      </w:tr>
      <w:tr>
        <w:trPr/>
        <w:tc>
          <w:tcPr>
            <w:tcW w:w="6561"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322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4500" w:type="pct"/>
        <w:jc w:val="left"/>
        <w:tblInd w:w="0" w:type="dxa"/>
        <w:tblCellMar>
          <w:top w:w="0" w:type="dxa"/>
          <w:left w:w="0" w:type="dxa"/>
          <w:bottom w:w="28" w:type="dxa"/>
          <w:right w:w="0" w:type="dxa"/>
        </w:tblCellMar>
      </w:tblPr>
      <w:tblGrid>
        <w:gridCol w:w="7980"/>
        <w:gridCol w:w="184"/>
        <w:gridCol w:w="1020"/>
      </w:tblGrid>
      <w:tr>
        <w:trPr/>
        <w:tc>
          <w:tcPr>
            <w:tcW w:w="798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184" w:type="dxa"/>
            <w:tcBorders/>
            <w:shd w:fill="auto" w:val="clear"/>
            <w:tcMar>
              <w:bottom w:w="0" w:type="dxa"/>
            </w:tcM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w:t>
            </w:r>
          </w:p>
        </w:tc>
      </w:tr>
      <w:tr>
        <w:trPr/>
        <w:tc>
          <w:tcPr>
            <w:tcW w:w="7980" w:type="dxa"/>
            <w:tcBorders/>
            <w:shd w:fill="auto" w:val="clear"/>
            <w:tcMar>
              <w:bottom w:w="0" w:type="dxa"/>
            </w:tcMar>
            <w:vAlign w:val="bottom"/>
          </w:tcPr>
          <w:p>
            <w:pPr>
              <w:pStyle w:val="TableContents"/>
              <w:spacing w:before="0" w:after="0"/>
              <w:ind w:left="0" w:right="0" w:hanging="0"/>
              <w:rPr/>
            </w:pPr>
            <w:r>
              <w:rPr/>
              <w:t> </w:t>
            </w:r>
          </w:p>
        </w:tc>
        <w:tc>
          <w:tcPr>
            <w:tcW w:w="184" w:type="dxa"/>
            <w:tcBorders/>
            <w:shd w:fill="auto" w:val="clear"/>
            <w:tcMar>
              <w:bottom w:w="0" w:type="dxa"/>
            </w:tcMar>
            <w:vAlign w:val="bottom"/>
          </w:tcPr>
          <w:p>
            <w:pPr>
              <w:pStyle w:val="TableContents"/>
              <w:spacing w:before="0" w:after="0"/>
              <w:ind w:left="0" w:right="0" w:hanging="0"/>
              <w:jc w:val="center"/>
              <w:rPr/>
            </w:pPr>
            <w:r>
              <w:rPr/>
              <w:t> </w:t>
            </w:r>
          </w:p>
        </w:tc>
        <w:tc>
          <w:tcPr>
            <w:tcW w:w="1020" w:type="dxa"/>
            <w:tcBorders/>
            <w:shd w:fill="auto" w:val="clear"/>
            <w:tcMar>
              <w:bottom w:w="0" w:type="dxa"/>
            </w:tcMar>
            <w:vAlign w:val="bottom"/>
          </w:tcPr>
          <w:p>
            <w:pPr>
              <w:pStyle w:val="TableContents"/>
              <w:spacing w:before="0" w:after="0"/>
              <w:ind w:left="0" w:right="0" w:hanging="0"/>
              <w:jc w:val="center"/>
              <w:rPr/>
            </w:pPr>
            <w:r>
              <w:rPr/>
              <w:t> </w:t>
            </w:r>
          </w:p>
        </w:tc>
      </w:tr>
      <w:tr>
        <w:trPr/>
        <w:tc>
          <w:tcPr>
            <w:tcW w:w="7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Press Release dated August 15, 2005, titled NATIONAL VISION REPORTS SECOND QUARTER OPERATING RESULTS</w:t>
            </w:r>
          </w:p>
        </w:tc>
        <w:tc>
          <w:tcPr>
            <w:tcW w:w="184" w:type="dxa"/>
            <w:tcBorders/>
            <w:shd w:fill="auto" w:val="clear"/>
            <w:tcMar>
              <w:bottom w:w="0" w:type="dxa"/>
            </w:tcMar>
            <w:vAlign w:val="bottom"/>
          </w:tcPr>
          <w:p>
            <w:pPr>
              <w:pStyle w:val="TableContents"/>
              <w:spacing w:before="0" w:after="0"/>
              <w:ind w:left="0" w:right="0" w:hanging="0"/>
              <w:rPr/>
            </w:pPr>
            <w:r>
              <w:rPr/>
              <w:t> </w:t>
            </w:r>
          </w:p>
        </w:tc>
        <w:tc>
          <w:tcPr>
            <w:tcW w:w="102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99.1</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3121_2ex99d1.htm"/>
      <w:bookmarkStart w:id="3" w:name="ksa0513121_2ex99d1"/>
      <w:bookmarkEnd w:id="2"/>
      <w:bookmarkEnd w:id="3"/>
      <w:r>
        <w:rPr>
          <w:rFonts w:ascii="Times New Roman" w:hAnsi="Times New Roman"/>
          <w:b/>
          <w:sz w:val="17"/>
        </w:rPr>
        <w:t>Exhibit 99.1</w:t>
      </w:r>
    </w:p>
    <w:p>
      <w:pPr>
        <w:pStyle w:val="TextBody"/>
        <w:spacing w:before="0" w:after="0"/>
        <w:ind w:left="0" w:right="0" w:hanging="0"/>
        <w:rPr/>
      </w:pPr>
      <w:r>
        <w:rPr/>
        <w:t> </w:t>
      </w:r>
    </w:p>
    <w:p>
      <w:pPr>
        <w:pStyle w:val="TextBody"/>
        <w:spacing w:before="0" w:after="0"/>
        <w:ind w:left="0" w:right="0" w:hanging="0"/>
        <w:rPr/>
      </w:pPr>
      <w:r>
        <w:rPr/>
        <w:drawing>
          <wp:inline distT="0" distB="0" distL="0" distR="0">
            <wp:extent cx="11906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800100"/>
                    </a:xfrm>
                    <a:prstGeom prst="rect">
                      <a:avLst/>
                    </a:prstGeom>
                  </pic:spPr>
                </pic:pic>
              </a:graphicData>
            </a:graphic>
          </wp:inline>
        </w:drawing>
      </w:r>
    </w:p>
    <w:p>
      <w:pPr>
        <w:pStyle w:val="TextBody"/>
        <w:spacing w:before="0" w:after="0"/>
        <w:ind w:left="0" w:right="0" w:hanging="0"/>
        <w:rPr/>
      </w:pPr>
      <w:r>
        <w:rPr/>
        <w:t> </w:t>
      </w:r>
    </w:p>
    <w:p>
      <w:pPr>
        <w:pStyle w:val="Heading1"/>
        <w:spacing w:before="0" w:after="0"/>
        <w:ind w:left="0" w:right="0" w:hanging="0"/>
        <w:rPr>
          <w:rFonts w:ascii="Times New Roman" w:hAnsi="Times New Roman"/>
          <w:b/>
          <w:i/>
          <w:sz w:val="17"/>
        </w:rPr>
      </w:pPr>
      <w:r>
        <w:rPr>
          <w:rFonts w:ascii="Times New Roman" w:hAnsi="Times New Roman"/>
          <w:b/>
          <w:i/>
          <w:sz w:val="17"/>
        </w:rPr>
        <w:t>NEWS RELEASE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CONTACT:</w:t>
      </w:r>
    </w:p>
    <w:p>
      <w:pPr>
        <w:pStyle w:val="TextBody"/>
        <w:spacing w:before="0" w:after="0"/>
        <w:ind w:left="0" w:right="0" w:hanging="0"/>
        <w:rPr>
          <w:rFonts w:ascii="Times New Roman" w:hAnsi="Times New Roman"/>
          <w:sz w:val="17"/>
        </w:rPr>
      </w:pPr>
      <w:r>
        <w:rPr>
          <w:rFonts w:ascii="Times New Roman" w:hAnsi="Times New Roman"/>
          <w:sz w:val="17"/>
        </w:rPr>
        <w:t>Paul A. Criscillis, Jr.</w:t>
      </w:r>
    </w:p>
    <w:p>
      <w:pPr>
        <w:pStyle w:val="TextBody"/>
        <w:spacing w:before="0" w:after="0"/>
        <w:ind w:left="0" w:right="0" w:hanging="0"/>
        <w:rPr>
          <w:rFonts w:ascii="Times New Roman" w:hAnsi="Times New Roman"/>
          <w:sz w:val="17"/>
        </w:rPr>
      </w:pPr>
      <w:r>
        <w:rPr>
          <w:rFonts w:ascii="Times New Roman" w:hAnsi="Times New Roman"/>
          <w:sz w:val="17"/>
        </w:rPr>
        <w:t>Senior Vice President and CFO</w:t>
      </w:r>
    </w:p>
    <w:p>
      <w:pPr>
        <w:pStyle w:val="TextBody"/>
        <w:spacing w:before="0" w:after="0"/>
        <w:ind w:left="0" w:right="0" w:hanging="0"/>
        <w:rPr>
          <w:rFonts w:ascii="Times New Roman" w:hAnsi="Times New Roman"/>
          <w:sz w:val="17"/>
        </w:rPr>
      </w:pPr>
      <w:r>
        <w:rPr>
          <w:rFonts w:ascii="Times New Roman" w:hAnsi="Times New Roman"/>
          <w:sz w:val="17"/>
        </w:rPr>
        <w:t>770-822-4262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REPORTS SECOND QUARTER OPERATING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Lawrenceville, Georgia, August 15, 2005  National Vision, Inc. (AMEX:NVI) today announced operating results for its fiscal second quarter and the year-to-date period ended July 2, 2005.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net revenue from continuing operations for the second quarter of 2005 was $58.7 million, a 4% increase from total net revenue of $56.3 million in last years second quarter.  The quarters comparable store sales growth was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Current year second quarter net income was $864,000 versus net income of $4.8 million in the 2004 second quarter.  Two matters significantly affected the year-over-year comparisons.  The 2005 second quarter results include pre-tax gains of $17,000 from the Companys repurchases of its 12% Senior Subordinated Notes whereas pre-tax gains of $2.9 million from such repurchases were included in the second quarter of 2004.  Further, the effective income tax rate that was applied to pre-tax earnings for the 2005 quarter was 50% whereas the comparable rate applied to 2004 pre-tax earnings was 4.65%.  The higher effective income tax rate in the current year period is the result of accruals for deferred income taxes and does not represent an increase in the Companys expected cash payments for income taxes, which are expected to approximate 4% of 2005 full year taxable income.  Diluted earnings per share were $0.15 in the current year second quarter versus $0.86 in the prior year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six-month year-to-date period, total net revenue from continuing operations of $118.8 million was 4% higher than the prior years net revenue from continuing operations of $113.9 million.  The year-over-year comparable store sales increase was +3%.  Net income for the first half of 2005 was $3.7 million versus net income of $7.9 million during the first six months of 2004.  Fully diluted earnings per share were $0.66 in the first six months of the current year versus $1.42 in the first half of 2004.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28, 2005, Berkshire Partners commenced a cash tender offer to acquire all outstanding shares of National Vision common stock at a price of $7.25 per share.  The tender offer is still in process and will remain open until midnight on August 31, 2005.  Accordingly, the Company has not scheduled an investor relations conference call to discuss its second quarter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National Vision, Inc. is a retail optical company that operates vision centers primarily within host environments in the United States and Mexico. Its vision centers sell a wide range of optical products including eyeglasses, contact lenses and sunglasses. As of the end of the most recent fiscal quarter on July 2, 2005, the Company operated 412 vision centers, including 290 located inside domestic Wal-Mart stores.  National Vision depends on its domestic Wal-Mart locations for substantially all of its revenues and cash flow.  Investments in the debt and equity securities of National Vision, Inc. are subject to substantial risks as described in the Companys public filings with the Securities and Exchange Commission.</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information)</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07"/>
        <w:gridCol w:w="209"/>
        <w:gridCol w:w="111"/>
        <w:gridCol w:w="1069"/>
        <w:gridCol w:w="211"/>
        <w:gridCol w:w="111"/>
        <w:gridCol w:w="1069"/>
        <w:gridCol w:w="211"/>
        <w:gridCol w:w="111"/>
        <w:gridCol w:w="1077"/>
        <w:gridCol w:w="211"/>
        <w:gridCol w:w="110"/>
        <w:gridCol w:w="1077"/>
        <w:gridCol w:w="121"/>
      </w:tblGrid>
      <w:tr>
        <w:trPr/>
        <w:tc>
          <w:tcPr>
            <w:tcW w:w="450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25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rPr/>
            </w:pPr>
            <w:r>
              <w:rPr/>
              <w:t> </w:t>
            </w:r>
          </w:p>
        </w:tc>
        <w:tc>
          <w:tcPr>
            <w:tcW w:w="25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Sales of optical products and services</w:t>
            </w:r>
          </w:p>
        </w:tc>
        <w:tc>
          <w:tcPr>
            <w:tcW w:w="209"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56,128</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54,421</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113,677</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110,025</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Fees from managed vision care services</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2,601</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1,909</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5,101</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3,836</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58,729</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56,330</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118,778</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113,861</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Cost of goods sold, including occupancy costs</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26,880</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25,409</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52,730</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49,244</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31,849</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30,921</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66,048</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64,617</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Selling, general &amp; administrative expense</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28,040</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27,000</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55,497</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55,891</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 from continuing operations</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3,809</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3,921</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10,551</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8,726</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(2,180</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(5,754</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repurchase of Senior Subordinated Notes</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before taxes and discontinued operations</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1,696</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4,011</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6,273</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5,944</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2,659</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earnings before discontinued operations</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3,824</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5,644</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Discontinued operations:</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 from discontinued operations</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2,417</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Loss on disposal</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from discontinued operations</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954</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2,225</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209"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4,778</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common share:</w:t>
            </w:r>
          </w:p>
        </w:tc>
        <w:tc>
          <w:tcPr>
            <w:tcW w:w="209"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8"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209"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21" w:type="dxa"/>
            <w:tcBorders/>
            <w:shd w:fill="auto" w:val="clear"/>
            <w:vAlign w:val="bottom"/>
          </w:tcPr>
          <w:p>
            <w:pPr>
              <w:pStyle w:val="TableContents"/>
              <w:spacing w:before="0" w:after="0"/>
              <w:ind w:left="0" w:right="0" w:hanging="0"/>
              <w:rPr/>
            </w:pPr>
            <w:r>
              <w:rPr/>
              <w:t> </w:t>
            </w:r>
          </w:p>
        </w:tc>
      </w:tr>
      <w:tr>
        <w:trPr/>
        <w:tc>
          <w:tcPr>
            <w:tcW w:w="4507"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8"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5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209"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0.66</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p>
    <w:p>
      <w:pPr>
        <w:pStyle w:val="TextBody"/>
        <w:spacing w:before="0" w:after="0"/>
        <w:ind w:left="0" w:right="0" w:hanging="0"/>
        <w:jc w:val="center"/>
        <w:rPr>
          <w:rFonts w:ascii="Times New Roman" w:hAnsi="Times New Roman"/>
          <w:b/>
          <w:sz w:val="17"/>
        </w:rPr>
      </w:pPr>
      <w:r>
        <w:rPr>
          <w:rFonts w:ascii="Times New Roman" w:hAnsi="Times New Roman"/>
          <w:b/>
          <w:sz w:val="17"/>
        </w:rPr>
        <w:t>July 2, 2005 and January 1, 2005</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2"/>
        <w:gridCol w:w="207"/>
        <w:gridCol w:w="112"/>
        <w:gridCol w:w="1174"/>
        <w:gridCol w:w="209"/>
        <w:gridCol w:w="112"/>
        <w:gridCol w:w="1174"/>
        <w:gridCol w:w="115"/>
      </w:tblGrid>
      <w:tr>
        <w:trPr/>
        <w:tc>
          <w:tcPr>
            <w:tcW w:w="710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January 1, 2005</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6,009</w:t>
            </w:r>
          </w:p>
        </w:tc>
        <w:tc>
          <w:tcPr>
            <w:tcW w:w="209"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7,858</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receivable</w:t>
              <w:br/>
              <w:t>(net of allowance: 2005 - $469; 2004 - $423)</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3,412</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2,561</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Inventories, net</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13,914</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14,065</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asset</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7,517</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9,394</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1,303</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2,405</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32,155</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36,283</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 net</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13,355</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12,271</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INTANGIBLE VALUE OF CONTRACTUAL RIGHTS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of accumulated amortization: 2005 - $30,729; 2004 - $26,974)</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82,016</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85,771</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 AND DEFERRED COSTS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of accumulated amortization: 2005 - $1,282; 2004 - $1,193)</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1,002</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12"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128,528</w:t>
            </w:r>
          </w:p>
        </w:tc>
        <w:tc>
          <w:tcPr>
            <w:tcW w:w="209" w:type="dxa"/>
            <w:tcBorders/>
            <w:shd w:fill="auto" w:val="clear"/>
            <w:vAlign w:val="bottom"/>
          </w:tcPr>
          <w:p>
            <w:pPr>
              <w:pStyle w:val="TableContents"/>
              <w:spacing w:before="0" w:after="0"/>
              <w:ind w:left="0" w:right="0" w:hanging="0"/>
              <w:rPr/>
            </w:pPr>
            <w:r>
              <w:rPr/>
              <w:t> </w:t>
            </w:r>
          </w:p>
        </w:tc>
        <w:tc>
          <w:tcPr>
            <w:tcW w:w="112"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135,110</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SHAREHOLDERS EQUITY</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07"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3,677</w:t>
            </w:r>
          </w:p>
        </w:tc>
        <w:tc>
          <w:tcPr>
            <w:tcW w:w="209"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3,446</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Accrued expenses and other current liabilities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23,052</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23,772</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Subordinated Notes - current portion</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3,009</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4,858</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29,738</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32,076</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DEFERRED INCOME TAX LIABILITY</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8,807</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8,191</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LONG TERM LIABILITIES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SENIOR SUBORDINATED NOTES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63,902</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72,930</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SHAREHOLDERS EQUITY:</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Preferred stock, $1 par value; 5,000,000 shares authorized, none issued</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stock, $0.01 par value; 10,000,000 shares authorized, 5,460,668 and 5,390,679 shares issued and outstanding at July 2, 2005 and January 1, 2005.</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5" w:type="dxa"/>
            <w:tcBorders/>
            <w:shd w:fill="auto" w:val="clear"/>
            <w:vAlign w:val="bottom"/>
          </w:tcPr>
          <w:p>
            <w:pPr>
              <w:pStyle w:val="TableContents"/>
              <w:spacing w:before="0" w:after="0"/>
              <w:ind w:left="0" w:right="0" w:hanging="0"/>
              <w:rPr/>
            </w:pPr>
            <w:r>
              <w:rPr/>
              <w:t> </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Additional paid-in capital</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25,910</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25,592</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stock compensation</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Retained earnings (deficit)</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(3,557</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loss</w:t>
            </w:r>
          </w:p>
        </w:tc>
        <w:tc>
          <w:tcPr>
            <w:tcW w:w="207"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shareholders equity</w:t>
            </w:r>
          </w:p>
        </w:tc>
        <w:tc>
          <w:tcPr>
            <w:tcW w:w="207"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25,513</w:t>
            </w:r>
          </w:p>
        </w:tc>
        <w:tc>
          <w:tcPr>
            <w:tcW w:w="209"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21,422</w:t>
            </w:r>
          </w:p>
        </w:tc>
        <w:tc>
          <w:tcPr>
            <w:tcW w:w="115" w:type="dxa"/>
            <w:tcBorders/>
            <w:shd w:fill="CCEEFF" w:val="clear"/>
            <w:vAlign w:val="bottom"/>
          </w:tcPr>
          <w:p>
            <w:pPr>
              <w:pStyle w:val="TableContents"/>
              <w:spacing w:before="0" w:after="0"/>
              <w:ind w:left="0" w:right="0" w:hanging="0"/>
              <w:rPr/>
            </w:pPr>
            <w:r>
              <w:rPr/>
              <w:t> </w:t>
            </w:r>
          </w:p>
        </w:tc>
      </w:tr>
      <w:tr>
        <w:trPr/>
        <w:tc>
          <w:tcPr>
            <w:tcW w:w="710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12"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128,528</w:t>
            </w:r>
          </w:p>
        </w:tc>
        <w:tc>
          <w:tcPr>
            <w:tcW w:w="209" w:type="dxa"/>
            <w:tcBorders/>
            <w:shd w:fill="auto" w:val="clear"/>
            <w:vAlign w:val="bottom"/>
          </w:tcPr>
          <w:p>
            <w:pPr>
              <w:pStyle w:val="TableContents"/>
              <w:spacing w:before="0" w:after="0"/>
              <w:ind w:left="0" w:right="0" w:hanging="0"/>
              <w:rPr/>
            </w:pPr>
            <w:r>
              <w:rPr/>
              <w:t> </w:t>
            </w:r>
          </w:p>
        </w:tc>
        <w:tc>
          <w:tcPr>
            <w:tcW w:w="112"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135,110</w:t>
            </w:r>
          </w:p>
        </w:tc>
        <w:tc>
          <w:tcPr>
            <w:tcW w:w="11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1305</Words>
  <CharactersWithSpaces>8583</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