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May 15, 2018</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15, 2018, National Vision Holdings, Inc. (“National Vision”) issued a press release announcing financial results for the quarter ended March 31, 2018. A copy of the release is furnished herewith as Exhibit 99.1 and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2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48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2"/>
              </w:rPr>
              <w:t>National Vision Holdings, Inc. Press Release dated May 15, 2018.</w:t>
            </w:r>
          </w:p>
        </w:tc>
      </w:tr>
    </w:tbl>
    <w:p>
      <w:pPr>
        <w:sectPr>
          <w:pgSz w:w="11900" w:h="16838" w:orient="portrait"/>
          <w:cols w:equalWidth="0" w:num="1">
            <w:col w:w="10159"/>
          </w:cols>
          <w:pgMar w:left="300" w:top="580"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960" w:type="dxa"/>
            <w:vAlign w:val="bottom"/>
          </w:tcPr>
          <w:p>
            <w:pPr>
              <w:spacing w:after="0"/>
              <w:rPr>
                <w:sz w:val="20"/>
                <w:szCs w:val="20"/>
                <w:color w:val="auto"/>
              </w:rPr>
            </w:pPr>
            <w:r>
              <w:rPr>
                <w:rFonts w:ascii="Arial" w:cs="Arial" w:eastAsia="Arial" w:hAnsi="Arial"/>
                <w:sz w:val="18"/>
                <w:szCs w:val="18"/>
                <w:color w:val="auto"/>
              </w:rPr>
              <w:t>Date: May 15, 2018</w:t>
            </w:r>
          </w:p>
        </w:tc>
        <w:tc>
          <w:tcPr>
            <w:tcW w:w="2880" w:type="dxa"/>
            <w:vAlign w:val="bottom"/>
          </w:tcPr>
          <w:p>
            <w:pPr>
              <w:ind w:left="154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Patrick R. Moore</w:t>
            </w:r>
          </w:p>
        </w:tc>
      </w:tr>
      <w:tr>
        <w:trPr>
          <w:trHeight w:val="27"/>
        </w:trPr>
        <w:tc>
          <w:tcPr>
            <w:tcW w:w="29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880" w:type="dxa"/>
            <w:vAlign w:val="bottom"/>
          </w:tcPr>
          <w:p>
            <w:pPr>
              <w:ind w:left="154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70"/>
        </w:trPr>
        <w:tc>
          <w:tcPr>
            <w:tcW w:w="2960" w:type="dxa"/>
            <w:vAlign w:val="bottom"/>
          </w:tcPr>
          <w:p>
            <w:pPr>
              <w:spacing w:after="0"/>
              <w:rPr>
                <w:sz w:val="23"/>
                <w:szCs w:val="23"/>
                <w:color w:val="auto"/>
              </w:rPr>
            </w:pPr>
          </w:p>
        </w:tc>
        <w:tc>
          <w:tcPr>
            <w:tcW w:w="2880" w:type="dxa"/>
            <w:vAlign w:val="bottom"/>
          </w:tcPr>
          <w:p>
            <w:pPr>
              <w:ind w:left="154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bl>
    <w:p>
      <w:pPr>
        <w:sectPr>
          <w:pgSz w:w="11900" w:h="16838" w:orient="portrait"/>
          <w:cols w:equalWidth="0" w:num="1">
            <w:col w:w="11320"/>
          </w:cols>
          <w:pgMar w:left="240" w:top="58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left="300" w:right="340"/>
        <w:spacing w:after="0" w:line="282" w:lineRule="auto"/>
        <w:rPr>
          <w:sz w:val="20"/>
          <w:szCs w:val="20"/>
          <w:color w:val="auto"/>
        </w:rPr>
      </w:pPr>
      <w:r>
        <w:rPr>
          <w:rFonts w:ascii="Arial" w:cs="Arial" w:eastAsia="Arial" w:hAnsi="Arial"/>
          <w:sz w:val="25"/>
          <w:szCs w:val="25"/>
          <w:b w:val="1"/>
          <w:bCs w:val="1"/>
          <w:color w:val="auto"/>
        </w:rPr>
        <w:t>National Vision Holdings, Inc. Reports First Quarter 2018 Financial Results; Reaffirms Fiscal 2018 Outlook</w:t>
      </w:r>
    </w:p>
    <w:p>
      <w:pPr>
        <w:spacing w:after="0" w:line="35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10.3% to $408.0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4.6%; Adjusted comparable store sales growth of 4.6%</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65th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increased 46.7% to $25.0 million; Adjusted net income increased 15.5% to $26.9 million</w:t>
      </w:r>
    </w:p>
    <w:p>
      <w:pPr>
        <w:spacing w:after="0" w:line="9" w:lineRule="exact"/>
        <w:rPr>
          <w:rFonts w:ascii="Arial" w:cs="Arial" w:eastAsia="Arial" w:hAnsi="Arial"/>
          <w:sz w:val="18"/>
          <w:szCs w:val="18"/>
          <w:i w:val="1"/>
          <w:iCs w:val="1"/>
          <w:color w:val="auto"/>
        </w:rPr>
      </w:pPr>
    </w:p>
    <w:p>
      <w:pPr>
        <w:ind w:left="340" w:right="60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3.7% to $61.1 million, which included an approximately $3.0 million, or 500 basis points, impact from certain items described below</w:t>
      </w: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of $0.32; Adjusted diluted EPS of $0.35</w:t>
      </w:r>
    </w:p>
    <w:p>
      <w:pPr>
        <w:spacing w:after="0" w:line="200" w:lineRule="exact"/>
        <w:rPr>
          <w:sz w:val="20"/>
          <w:szCs w:val="20"/>
          <w:color w:val="auto"/>
        </w:rPr>
      </w:pPr>
    </w:p>
    <w:p>
      <w:pPr>
        <w:spacing w:after="0" w:line="30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15, 2018 </w:t>
      </w:r>
      <w:r>
        <w:rPr>
          <w:rFonts w:ascii="Arial" w:cs="Arial" w:eastAsia="Arial" w:hAnsi="Arial"/>
          <w:sz w:val="18"/>
          <w:szCs w:val="18"/>
          <w:color w:val="auto"/>
        </w:rPr>
        <w:t>-- National Vision Holdings, Inc. (NASDAQ: EYE) (“National Vision” or the “Company”) today reported its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ended March 31, 2018.</w:t>
      </w:r>
    </w:p>
    <w:p>
      <w:pPr>
        <w:spacing w:after="0" w:line="11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Reade Fahs, chief executive officer, stated, “We are pleased to report our team delivered its 65th consecutive quarter of positive comparable store sales growth. We opened 15 stores during the first quarter, including locations in the greater New York metropolitan area, and continue to see a long runway for store growth. Our optometrists and associates remain committed to making quality eye exams and eyewear more affordable throughout the United States. Importantly, we remain on track to achieve the financial targets we established at the beginning of the year.”</w:t>
      </w:r>
    </w:p>
    <w:p>
      <w:pPr>
        <w:spacing w:after="0" w:line="3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Highlights</w:t>
      </w:r>
    </w:p>
    <w:p>
      <w:pPr>
        <w:spacing w:after="0" w:line="2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10.3% to $408.0 million from $369.9 million for the first quarter of 2017.</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of 4.6% and adjusted comparable store sales growth of 4.6% were driven by increases in both customer transactions and average ticket.</w:t>
      </w:r>
    </w:p>
    <w:p>
      <w:pPr>
        <w:ind w:left="340" w:right="3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15 new stores, closed one store and ended the quarter with 1,027 stores. Overall, store count grew 6.8% from April 1, 2017 to March 31, 2018.</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changes in California law, in the third quarter of 2017, the Legacy segment began providing eye examination services that previously had been provided by FirstSight Vision Services, Inc. (“FirstSight”), the Company's HMO subsidiary, increasing Legacy comparable store sales growth by 205 basis points in the first quarter. Also, in the fourth quarter of 2017, FirstSight ceased the sale of vision care products in Walmart locations that are not operated by the Company, reducing its net revenue and associated costs by approximately $1.8 million, with an immaterial impact on income from operations.</w:t>
      </w:r>
    </w:p>
    <w:p>
      <w:pPr>
        <w:spacing w:after="0" w:line="2" w:lineRule="exact"/>
        <w:rPr>
          <w:rFonts w:ascii="Arial" w:cs="Arial" w:eastAsia="Arial" w:hAnsi="Arial"/>
          <w:sz w:val="18"/>
          <w:szCs w:val="18"/>
          <w:color w:val="auto"/>
        </w:rPr>
      </w:pPr>
    </w:p>
    <w:p>
      <w:pPr>
        <w:jc w:val="both"/>
        <w:ind w:left="340" w:right="360" w:hanging="332"/>
        <w:spacing w:after="0" w:line="26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applicable to revenue increased 8.8% to $180.5 million from $165.8 million for the first quarter of 2017. As a percentage of net revenue, costs applicable to revenue decreased 60 basis points to 44.2% from 44.8% for the first quarter of 2017. This decrease as a percentage of net revenue was primarily driven by a $2.0 million inventory write-off in the first quarter of 2017, partially offset by higher optometrist costs.</w:t>
      </w:r>
    </w:p>
    <w:p>
      <w:pPr>
        <w:ind w:left="340" w:right="4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13.5% to $170.1 million from $149.8 million for the first quarter of 2017. As a percentage of net revenue, SG&amp;A increased 120 basis points to 41.7% from 40.5% for the first quarter of 2017. This increase as a percentage of net revenue was primarily driven by store payroll, and, to a lesser extent, incremental corporate payroll as a result of becoming a public company, advertising, occupancy, and performance-based incentive compensation.</w:t>
      </w:r>
    </w:p>
    <w:p>
      <w:pPr>
        <w:spacing w:after="0" w:line="1"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and amortization expense increased 22.4% to $17.7 million from $14.4 million for the first quarter of 2017, primarily driven by new store openings, as well as investments in optical laboratories, distribution centers and information technology infrastructure.</w:t>
      </w:r>
    </w:p>
    <w:p>
      <w:pPr>
        <w:sectPr>
          <w:pgSz w:w="11900" w:h="16838" w:orient="portrait"/>
          <w:cols w:equalWidth="0" w:num="1">
            <w:col w:w="11380"/>
          </w:cols>
          <w:pgMar w:left="240" w:top="1440" w:right="279" w:bottom="1440" w:gutter="0" w:footer="0" w:header="0"/>
        </w:sectPr>
      </w:pPr>
    </w:p>
    <w:bookmarkStart w:id="5" w:name="page6"/>
    <w:bookmarkEnd w:id="5"/>
    <w:p>
      <w:pPr>
        <w:ind w:left="340" w:right="80" w:hanging="332"/>
        <w:spacing w:after="0" w:line="28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expense, net, decreased $2.2 million compared to the first quarter of 2017, driven by a $3.4 million decrease resulting from the payoff of the $125.0 million in second lien term loans and $235.0 million in outstanding amount of first lien term loans during the fourth quarter of fiscal year 2017, partially offset by a $1.5 million increase related to interest payments due to counterparties associated with the Company’s derivative cash flow hedges.</w:t>
      </w: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effective tax rate was 17.4% compared to 33.1% for the first quarter of 2017. The decrease in our effective tax rate was primarily due to the reduced federal statutory rate as part of the Tax Cuts and Jobs Act of 2017 as well as an 8.9% reduction due to a $2.7 million income tax benefit resulting from stock option exercises.</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was $25.0 million compared to $17.1 million for the first quarter of 2017. Net margin increased 150 basis points to 6.1% from 4.6% for the first quarter of 2017. Diluted EPS was $0.32 compared to $0.29 for the first quarter of 2017.</w:t>
      </w:r>
    </w:p>
    <w:p>
      <w:pPr>
        <w:ind w:left="340" w:right="5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was $26.9 million compared to $23.3 million for the first quarter of 2017. Adjusted diluted EPS was $0.35 per diluted share compared to $0.40 per diluted share for the first quarter of 2017.</w:t>
      </w:r>
    </w:p>
    <w:p>
      <w:pPr>
        <w:ind w:left="340" w:right="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3.7% to $61.1 million compared to $58.9 million for the first quarter of 2017. Adjusted EBITDA margin declined 90 basis points to 15.0% from 15.9% for the first quarter of 2017. Adjusted EBITDA was impacted by approximately $3.0 million from the net change in margin on unearned revenue, new public company related expenses, and higher performance-based incentive compensation, which impacted year-over-year adjusted EBITDA growth by approximately 500 basis points.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revenue and adjusted EBITDA results above do not include the $4.3 million net increase in deferred revenue in the first quarter of 2018.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March 31, 2018</w:t>
      </w:r>
    </w:p>
    <w:p>
      <w:pPr>
        <w:spacing w:after="0" w:line="27" w:lineRule="exact"/>
        <w:rPr>
          <w:sz w:val="20"/>
          <w:szCs w:val="20"/>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cash balance was $58.4 million as of March 31, 2018. The Company had no borrowings under its $100 million first lien revolving credit facility, exclusive of letters of credit of $5.5 million.</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was $569.3 million as of March 31, 2018, consisting of outstanding first lien term loans and capital lease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quarter of 2018 were $77.8 million compared to $46.5 million for the same period of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for the first quarter of 2018 totaled $22.8 million compared to $20.7 million for the same period of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reaffirms its outlook for the fiscal year ending December 29, 2018, as follows:</w:t>
      </w:r>
    </w:p>
    <w:p>
      <w:pPr>
        <w:spacing w:after="0" w:line="369" w:lineRule="exact"/>
        <w:rPr>
          <w:sz w:val="20"/>
          <w:szCs w:val="20"/>
          <w:color w:val="auto"/>
        </w:rPr>
      </w:pPr>
    </w:p>
    <w:tbl>
      <w:tblPr>
        <w:tblLayout w:type="fixed"/>
        <w:tblInd w:w="28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Fiscal 2018 Outlook</w:t>
            </w:r>
          </w:p>
        </w:tc>
      </w:tr>
      <w:tr>
        <w:trPr>
          <w:trHeight w:val="27"/>
        </w:trPr>
        <w:tc>
          <w:tcPr>
            <w:tcW w:w="3160" w:type="dxa"/>
            <w:vAlign w:val="bottom"/>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r>
      <w:tr>
        <w:trPr>
          <w:trHeight w:val="237"/>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0"/>
              </w:rPr>
              <w:t>New Stores</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0"/>
              </w:rPr>
              <w:t>~75 New Stores</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90"/>
              </w:rPr>
              <w:t>Adjusted Comparable Store Sales Growth</w:t>
            </w:r>
          </w:p>
        </w:tc>
        <w:tc>
          <w:tcPr>
            <w:tcW w:w="1040" w:type="dxa"/>
            <w:vAlign w:val="bottom"/>
          </w:tcPr>
          <w:p>
            <w:pPr>
              <w:spacing w:after="0"/>
              <w:rPr>
                <w:sz w:val="23"/>
                <w:szCs w:val="23"/>
                <w:color w:val="auto"/>
              </w:rPr>
            </w:pPr>
          </w:p>
        </w:tc>
        <w:tc>
          <w:tcPr>
            <w:tcW w:w="1740" w:type="dxa"/>
            <w:vAlign w:val="bottom"/>
          </w:tcPr>
          <w:p>
            <w:pPr>
              <w:jc w:val="right"/>
              <w:ind w:right="1070"/>
              <w:spacing w:after="0"/>
              <w:rPr>
                <w:sz w:val="20"/>
                <w:szCs w:val="20"/>
                <w:color w:val="auto"/>
              </w:rPr>
            </w:pPr>
            <w:r>
              <w:rPr>
                <w:rFonts w:ascii="Arial" w:cs="Arial" w:eastAsia="Arial" w:hAnsi="Arial"/>
                <w:sz w:val="18"/>
                <w:szCs w:val="18"/>
                <w:color w:val="auto"/>
              </w:rPr>
              <w:t>3 - 5%</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89"/>
              </w:rPr>
              <w:t>Net Revenue</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2"/>
              </w:rPr>
              <w:t>$1.485 - $1.515 billion</w:t>
            </w:r>
          </w:p>
        </w:tc>
      </w:tr>
      <w:tr>
        <w:trPr>
          <w:trHeight w:val="27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7"/>
              </w:rPr>
              <w:t>Adjusted EBITDA</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740" w:type="dxa"/>
            <w:vAlign w:val="bottom"/>
          </w:tcPr>
          <w:p>
            <w:pPr>
              <w:ind w:left="20"/>
              <w:spacing w:after="0"/>
              <w:rPr>
                <w:sz w:val="20"/>
                <w:szCs w:val="20"/>
                <w:color w:val="auto"/>
              </w:rPr>
            </w:pPr>
            <w:r>
              <w:rPr>
                <w:rFonts w:ascii="Arial" w:cs="Arial" w:eastAsia="Arial" w:hAnsi="Arial"/>
                <w:sz w:val="18"/>
                <w:szCs w:val="18"/>
                <w:color w:val="auto"/>
              </w:rPr>
              <w:t>- $177 million</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92"/>
              </w:rPr>
              <w:t>Adjusted 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740" w:type="dxa"/>
            <w:vAlign w:val="bottom"/>
          </w:tcPr>
          <w:p>
            <w:pPr>
              <w:ind w:left="20"/>
              <w:spacing w:after="0"/>
              <w:rPr>
                <w:sz w:val="20"/>
                <w:szCs w:val="20"/>
                <w:color w:val="auto"/>
              </w:rPr>
            </w:pPr>
            <w:r>
              <w:rPr>
                <w:rFonts w:ascii="Arial" w:cs="Arial" w:eastAsia="Arial" w:hAnsi="Arial"/>
                <w:sz w:val="18"/>
                <w:szCs w:val="18"/>
                <w:color w:val="auto"/>
              </w:rPr>
              <w:t>- $56 million</w:t>
            </w:r>
          </w:p>
        </w:tc>
      </w:tr>
      <w:tr>
        <w:trPr>
          <w:trHeight w:val="27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2"/>
              </w:rPr>
              <w:t>Depreciation and Amortization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740" w:type="dxa"/>
            <w:vAlign w:val="bottom"/>
          </w:tcPr>
          <w:p>
            <w:pPr>
              <w:ind w:left="20"/>
              <w:spacing w:after="0"/>
              <w:rPr>
                <w:sz w:val="20"/>
                <w:szCs w:val="20"/>
                <w:color w:val="auto"/>
              </w:rPr>
            </w:pPr>
            <w:r>
              <w:rPr>
                <w:rFonts w:ascii="Arial" w:cs="Arial" w:eastAsia="Arial" w:hAnsi="Arial"/>
                <w:sz w:val="18"/>
                <w:szCs w:val="18"/>
                <w:color w:val="auto"/>
              </w:rPr>
              <w:t>- $73 million</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740" w:type="dxa"/>
            <w:vAlign w:val="bottom"/>
          </w:tcPr>
          <w:p>
            <w:pPr>
              <w:ind w:left="20"/>
              <w:spacing w:after="0"/>
              <w:rPr>
                <w:sz w:val="20"/>
                <w:szCs w:val="20"/>
                <w:color w:val="auto"/>
              </w:rPr>
            </w:pPr>
            <w:r>
              <w:rPr>
                <w:rFonts w:ascii="Arial" w:cs="Arial" w:eastAsia="Arial" w:hAnsi="Arial"/>
                <w:sz w:val="18"/>
                <w:szCs w:val="18"/>
                <w:color w:val="auto"/>
              </w:rPr>
              <w:t>- $38 million</w:t>
            </w:r>
          </w:p>
        </w:tc>
      </w:tr>
      <w:tr>
        <w:trPr>
          <w:trHeight w:val="31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85"/>
              </w:rPr>
              <w:t>Tax Rate</w:t>
            </w:r>
            <w:r>
              <w:rPr>
                <w:rFonts w:ascii="Arial" w:cs="Arial" w:eastAsia="Arial" w:hAnsi="Arial"/>
                <w:sz w:val="25"/>
                <w:szCs w:val="25"/>
                <w:color w:val="auto"/>
                <w:w w:val="85"/>
                <w:vertAlign w:val="superscript"/>
              </w:rPr>
              <w:t>1</w:t>
            </w:r>
          </w:p>
        </w:tc>
        <w:tc>
          <w:tcPr>
            <w:tcW w:w="1040" w:type="dxa"/>
            <w:vAlign w:val="bottom"/>
          </w:tcPr>
          <w:p>
            <w:pPr>
              <w:spacing w:after="0"/>
              <w:rPr>
                <w:sz w:val="24"/>
                <w:szCs w:val="24"/>
                <w:color w:val="auto"/>
              </w:rPr>
            </w:pPr>
          </w:p>
        </w:tc>
        <w:tc>
          <w:tcPr>
            <w:tcW w:w="1740" w:type="dxa"/>
            <w:vAlign w:val="bottom"/>
          </w:tcPr>
          <w:p>
            <w:pPr>
              <w:jc w:val="right"/>
              <w:ind w:right="1030"/>
              <w:spacing w:after="0"/>
              <w:rPr>
                <w:sz w:val="20"/>
                <w:szCs w:val="20"/>
                <w:color w:val="auto"/>
              </w:rPr>
            </w:pPr>
            <w:r>
              <w:rPr>
                <w:rFonts w:ascii="Arial" w:cs="Arial" w:eastAsia="Arial" w:hAnsi="Arial"/>
                <w:sz w:val="18"/>
                <w:szCs w:val="18"/>
                <w:color w:val="auto"/>
                <w:w w:val="97"/>
              </w:rPr>
              <w:t>~26.0%</w:t>
            </w:r>
          </w:p>
        </w:tc>
      </w:tr>
      <w:tr>
        <w:trPr>
          <w:trHeight w:val="23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1"/>
              </w:rPr>
              <w:t>Capital Expenditures</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 $105 million</w:t>
            </w:r>
          </w:p>
        </w:tc>
      </w:tr>
    </w:tbl>
    <w:p>
      <w:pPr>
        <w:spacing w:after="0" w:line="280" w:lineRule="exact"/>
        <w:rPr>
          <w:sz w:val="20"/>
          <w:szCs w:val="20"/>
          <w:color w:val="auto"/>
        </w:rPr>
      </w:pPr>
    </w:p>
    <w:p>
      <w:pPr>
        <w:ind w:left="2820" w:hanging="104"/>
        <w:spacing w:after="0"/>
        <w:tabs>
          <w:tab w:leader="none" w:pos="2820" w:val="left"/>
        </w:tabs>
        <w:numPr>
          <w:ilvl w:val="0"/>
          <w:numId w:val="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Excluding the impact of stock option exercises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fiscal 2018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ectPr>
          <w:pgSz w:w="11900" w:h="16838" w:orient="portrait"/>
          <w:cols w:equalWidth="0" w:num="1">
            <w:col w:w="11340"/>
          </w:cols>
          <w:pgMar w:left="240" w:top="584" w:right="319" w:bottom="1440" w:gutter="0" w:footer="0" w:header="0"/>
        </w:sectPr>
      </w:pPr>
    </w:p>
    <w:bookmarkStart w:id="6" w:name="page7"/>
    <w:bookmarkEnd w:id="6"/>
    <w:p>
      <w:pPr>
        <w:ind w:right="40"/>
        <w:spacing w:after="0" w:line="279" w:lineRule="auto"/>
        <w:rPr>
          <w:sz w:val="20"/>
          <w:szCs w:val="20"/>
          <w:color w:val="auto"/>
        </w:rPr>
      </w:pPr>
      <w:r>
        <w:rPr>
          <w:rFonts w:ascii="Arial" w:cs="Arial" w:eastAsia="Arial" w:hAnsi="Arial"/>
          <w:sz w:val="17"/>
          <w:szCs w:val="17"/>
          <w:i w:val="1"/>
          <w:iCs w:val="1"/>
          <w:color w:val="auto"/>
        </w:rPr>
        <w:t>The fiscal 2018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2018 outlook. The Company uses these forward looking metrics internally to assess and benchmark its results and strategic plans.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 conference call to discuss the first quarter 2018 financial results is scheduled for today, May 15, 2018, at 11:00 a.m. Eastern Time. The U.S. toll free dial-in for the conference call is 866-754-6931 and the international dial-in is 636-812-6625. The conference passcode is 5373875. A live audio webcast of the conference call will be available on the “Investors” section of the Company’s website </w:t>
      </w:r>
      <w:r>
        <w:rPr>
          <w:rFonts w:ascii="Arial" w:cs="Arial" w:eastAsia="Arial" w:hAnsi="Arial"/>
          <w:sz w:val="18"/>
          <w:szCs w:val="18"/>
          <w:u w:val="single" w:color="auto"/>
          <w:color w:val="0000EE"/>
        </w:rPr>
        <w:t>www.nationalvision.com/investors</w:t>
      </w:r>
      <w:r>
        <w:rPr>
          <w:rFonts w:ascii="Arial" w:cs="Arial" w:eastAsia="Arial" w:hAnsi="Arial"/>
          <w:sz w:val="18"/>
          <w:szCs w:val="18"/>
          <w:color w:val="auto"/>
        </w:rPr>
        <w:t>, where presentation materials will be posted prior to the conference call.</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Tuesday, May 22, 2018, by dialing 855-859-2056 from the U.S. or 404-537-3406 from international locations, and entering conference passcode 5373875. A replay of the audio webcast will also be archived on the “Investors” section of the Company’s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1,000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made above under Fiscal 2018 Outlook and those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maintain sufficient levels of cash flow from our operations to grow; our ability to recruit and retain vision care professionals for our stores; state, local and federal vision care and healthcare laws and regulations; our relationships with managed vision care companies, vision insurance providers and other third-party payors; our operating relationships with our host and legacy partners; the risk of loss or disruption in our distribution centers and optical laboratories; risks associated with vendors from whom our products are sourced; competition in the optical retail industry; our dependence on a limited number of suppliers; risks associated with information technology systems and the security of personal information and payment card data collected by us and our vendors; macroeconomic factors and other factors impacting consumer spending beyond the Company’s control;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product liability, product recall or personal injury issues; our compliance with managed vision care laws and regulations; our reliance on third-party reimbursements; our ability to manage our inventory balances and inventory shrinkage; risks associated with our e-commerce business; seasonal fluctuations in our operating results and inventory levels; technological advances that may reduce the demand for our products, and future vision correction alternatives and drug development for the correction of vision-related problems; risks of losses arising from our investments in technological innovators in the optical retail industry; our failure to comply with, or changes in, laws, regulations, enforcement activities and other requirements; impact of any adverse judgments or settlements resulting from legal proceedings; our ability to adequately protect our intellectual property; our leverage; restrictions in our credit agreement that limits our flexibility in operating our business; our ability to generate sufficient cash flow to satisfy our debt service obligations; our dependence on our subsidiaries to fund all of our operations and expenses; risks associated with maintaining the requirements of being a public company; our ability to comply with requirements to design, implement and maintain effective internal controls; and risks related to being a “controlled company.” Additional factors that could cause National Vision’s results to differ materially from those described in the forward-looking statements can be found under the heading entitled Part I, Item 1A - “Risk Factors” in the Company’s Annual Report on Form 10-K for the year ended December 30, 2017 (the “2017 Annual Report”), as filed with the Securities and Exchange</w:t>
      </w:r>
    </w:p>
    <w:p>
      <w:pPr>
        <w:sectPr>
          <w:pgSz w:w="11900" w:h="16838" w:orient="portrait"/>
          <w:cols w:equalWidth="0" w:num="1">
            <w:col w:w="11420"/>
          </w:cols>
          <w:pgMar w:left="240" w:top="584" w:right="2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t>Commission (“SEC”), as such factors may be updated from time to time in our periodic filings with the SEC, which are accessible on the SEC’s website 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and “Adjusted Diluted EPS.” We believe EBITDA, Adjusted EBITDA, Adjusted EBITDA Margin, Adjusted Net Income and Adjusted Diluted EPS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We define Adjusted EBITDA as EBITDA, further adjusted to exclude stock compensation expense, costs associated with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non-cash inventory write-offs, new store pre-opening expenses, non-cash rent, secondary offering expenses, and other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divided by net revenue.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Adjusted Net Income: </w:t>
      </w:r>
      <w:r>
        <w:rPr>
          <w:rFonts w:ascii="Arial" w:cs="Arial" w:eastAsia="Arial" w:hAnsi="Arial"/>
          <w:sz w:val="17"/>
          <w:szCs w:val="17"/>
          <w:color w:val="auto"/>
        </w:rPr>
        <w:t>We define Adjusted Net Income as net income, plus stock compensation expense, costs associated with debt refinancing, non-cash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write-offs, new store pre-opening expenses, non-cash rent, secondary offering expenses, other expenses, amortization of acquisition intangibles and deferred financing costs, and tax benefit of stock option exercises, less the tax effect of these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Adjusted Net Income divided by diluted weighted average common shares outstanding.</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ectPr>
          <w:pgSz w:w="11900" w:h="16838" w:orient="portrait"/>
          <w:cols w:equalWidth="0" w:num="1">
            <w:col w:w="11380"/>
          </w:cols>
          <w:pgMar w:left="240" w:top="584" w:right="279" w:bottom="1440" w:gutter="0" w:footer="0" w:header="0"/>
        </w:sectPr>
      </w:pPr>
    </w:p>
    <w:bookmarkStart w:id="8" w:name="page9"/>
    <w:bookmarkEnd w:id="8"/>
    <w:p>
      <w:pPr>
        <w:spacing w:after="0" w:line="290" w:lineRule="auto"/>
        <w:rPr>
          <w:sz w:val="20"/>
          <w:szCs w:val="20"/>
          <w:color w:val="auto"/>
        </w:rPr>
      </w:pPr>
      <w:r>
        <w:rPr>
          <w:rFonts w:ascii="Arial" w:cs="Arial" w:eastAsia="Arial" w:hAnsi="Arial"/>
          <w:sz w:val="16"/>
          <w:szCs w:val="16"/>
          <w:color w:val="auto"/>
        </w:rPr>
        <w:t>EBITDA, Adjusted EBITDA, Adjusted EBITDA Margin, Adjusted Net Income, Adjusted Diluted EPS and Adjusted Comparable Store Sales Growth are not recognized terms under GAAP and should not be considered as an alternative to net income (loss), the ratio of net income (loss) to net revenue, or diluted earnings per share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8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As of March 31,</w:t>
            </w:r>
          </w:p>
        </w:tc>
        <w:tc>
          <w:tcPr>
            <w:tcW w:w="200" w:type="dxa"/>
            <w:vAlign w:val="bottom"/>
          </w:tcPr>
          <w:p>
            <w:pPr>
              <w:spacing w:after="0"/>
              <w:rPr>
                <w:sz w:val="18"/>
                <w:szCs w:val="18"/>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color w:val="auto"/>
                <w:w w:val="95"/>
              </w:rPr>
              <w:t>As of December 30,</w:t>
            </w:r>
          </w:p>
        </w:tc>
        <w:tc>
          <w:tcPr>
            <w:tcW w:w="0" w:type="dxa"/>
            <w:vAlign w:val="bottom"/>
          </w:tcPr>
          <w:p>
            <w:pPr>
              <w:spacing w:after="0"/>
              <w:rPr>
                <w:sz w:val="1"/>
                <w:szCs w:val="1"/>
                <w:color w:val="auto"/>
              </w:rPr>
            </w:pPr>
          </w:p>
        </w:tc>
      </w:tr>
      <w:tr>
        <w:trPr>
          <w:trHeight w:val="122"/>
        </w:trPr>
        <w:tc>
          <w:tcPr>
            <w:tcW w:w="72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vMerge w:val="restart"/>
          </w:tcPr>
          <w:p>
            <w:pPr>
              <w:jc w:val="right"/>
              <w:ind w:right="7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vMerge w:val="restart"/>
          </w:tcPr>
          <w:p>
            <w:pPr>
              <w:jc w:val="right"/>
              <w:ind w:right="7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58,433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93,678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218,627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310,964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1,425,927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1,421,314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46,126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73,648</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other non-current liabilities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149,614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200,000 shares authorized; 75,103 and 74,654 shares issued</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 as of March 31, 2018 and December 30,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635,637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81,219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Treasury stock, at cost; 53 and 28 shares as of March 31, 2018 and December 30, 2017,</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711,275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line="259" w:lineRule="auto"/>
        <w:rPr>
          <w:sz w:val="20"/>
          <w:szCs w:val="20"/>
          <w:color w:val="auto"/>
        </w:rPr>
      </w:pPr>
      <w:r>
        <w:rPr>
          <w:rFonts w:ascii="Arial" w:cs="Arial" w:eastAsia="Arial" w:hAnsi="Arial"/>
          <w:sz w:val="18"/>
          <w:szCs w:val="18"/>
          <w:b w:val="1"/>
          <w:bCs w:val="1"/>
          <w:color w:val="auto"/>
        </w:rPr>
        <w:t xml:space="preserve">National Vision Holdings, Inc. and Subsidiaries Condensed Consolidated Statements of Operations and Comprehensive Income For the Three Months Ended March 31, 2018 and April 1, 2017 </w:t>
      </w:r>
      <w:r>
        <w:rPr>
          <w:rFonts w:ascii="Arial" w:cs="Arial" w:eastAsia="Arial" w:hAnsi="Arial"/>
          <w:sz w:val="18"/>
          <w:szCs w:val="18"/>
          <w:i w:val="1"/>
          <w:iCs w:val="1"/>
          <w:color w:val="auto"/>
        </w:rPr>
        <w:t xml:space="preserve">In Thousands, Except Per Share Information </w:t>
      </w: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4"/>
          </w:tcPr>
          <w:p>
            <w:pPr>
              <w:jc w:val="right"/>
              <w:ind w:right="790"/>
              <w:spacing w:after="0"/>
              <w:rPr>
                <w:sz w:val="20"/>
                <w:szCs w:val="20"/>
                <w:color w:val="auto"/>
              </w:rPr>
            </w:pPr>
            <w:r>
              <w:rPr>
                <w:rFonts w:ascii="Arial" w:cs="Arial" w:eastAsia="Arial" w:hAnsi="Arial"/>
                <w:sz w:val="18"/>
                <w:szCs w:val="18"/>
                <w:color w:val="auto"/>
              </w:rPr>
              <w:t>Three Months Ended</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March 31, 2018</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April 1, 2017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338,777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306,584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407,975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369,859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130,878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121,033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180,454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165,808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170,102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149,804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164,329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39,722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8,458</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56,261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57,934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8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 in unrealized gain (loss) on hedge instruments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(provision) benefit of change in unrealized gain (loss) on hedge instruments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16,866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April 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4"/>
          </w:tcPr>
          <w:p>
            <w:pPr>
              <w:jc w:val="right"/>
              <w:ind w:right="1250"/>
              <w:spacing w:after="0"/>
              <w:rPr>
                <w:sz w:val="20"/>
                <w:szCs w:val="20"/>
                <w:color w:val="auto"/>
              </w:rPr>
            </w:pPr>
            <w:r>
              <w:rPr>
                <w:rFonts w:ascii="Arial" w:cs="Arial" w:eastAsia="Arial" w:hAnsi="Arial"/>
                <w:sz w:val="18"/>
                <w:szCs w:val="18"/>
                <w:color w:val="auto"/>
              </w:rPr>
              <w:t>Three Months Ended</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34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April 1, 2017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25,047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17,070</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Depreciation of 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12,314</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Amortization of loan costs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Non-cash stock option compensation</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inventory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(7,645)</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5,857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(20,703)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(20,703)</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173,712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(2,079)</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treasury stock</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Payments on capital lease obligations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Dividend to stockholders</w:t>
            </w:r>
          </w:p>
        </w:tc>
        <w:tc>
          <w:tcPr>
            <w:tcW w:w="3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(170,983)</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54,810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25,427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60,003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31,114</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4"/>
          </w:tcPr>
          <w:p>
            <w:pPr>
              <w:jc w:val="right"/>
              <w:ind w:right="1250"/>
              <w:spacing w:after="0"/>
              <w:rPr>
                <w:sz w:val="20"/>
                <w:szCs w:val="20"/>
                <w:color w:val="auto"/>
              </w:rPr>
            </w:pPr>
            <w:r>
              <w:rPr>
                <w:rFonts w:ascii="Arial" w:cs="Arial" w:eastAsia="Arial" w:hAnsi="Arial"/>
                <w:sz w:val="18"/>
                <w:szCs w:val="18"/>
                <w:color w:val="auto"/>
              </w:rPr>
              <w:t>Three Months Ended</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c>
          <w:tcPr>
            <w:tcW w:w="34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April 1, 2017</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31,114</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Adjusted EBITDA, Adjusted Net Income and Adjusted Diluted EPS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April 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6"/>
          </w:tcPr>
          <w:p>
            <w:pPr>
              <w:jc w:val="right"/>
              <w:ind w:right="450"/>
              <w:spacing w:after="0"/>
              <w:rPr>
                <w:sz w:val="20"/>
                <w:szCs w:val="20"/>
                <w:color w:val="auto"/>
              </w:rPr>
            </w:pPr>
            <w:r>
              <w:rPr>
                <w:rFonts w:ascii="Arial" w:cs="Arial" w:eastAsia="Arial" w:hAnsi="Arial"/>
                <w:sz w:val="18"/>
                <w:szCs w:val="18"/>
                <w:color w:val="auto"/>
                <w:w w:val="90"/>
              </w:rPr>
              <w:t>Three Months Ended</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1"/>
              </w:rPr>
              <w:t>March 31, 2018</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April 1, 2017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6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4.6%</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9,313</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11,492</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6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8,458</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17,654</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14,423</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3.9%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57,297</w:t>
            </w:r>
          </w:p>
        </w:tc>
        <w:tc>
          <w:tcPr>
            <w:tcW w:w="6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51,443</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6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(c)</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(d)</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(e)</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(f)</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1,191</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20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auto"/>
            </w:tcBorders>
            <w:shd w:val="clear" w:color="auto" w:fill="CCEEFF"/>
          </w:tcPr>
          <w:p>
            <w:pPr>
              <w:spacing w:after="0"/>
              <w:rPr>
                <w:sz w:val="23"/>
                <w:szCs w:val="23"/>
                <w:color w:val="auto"/>
              </w:rPr>
            </w:pPr>
          </w:p>
        </w:tc>
        <w:tc>
          <w:tcPr>
            <w:tcW w:w="5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57"/>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Adjusted EBITDA/ Adjusted EBITDA Margin</w:t>
            </w:r>
          </w:p>
        </w:tc>
        <w:tc>
          <w:tcPr>
            <w:tcW w:w="2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61,089</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58,906</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4"/>
                <w:szCs w:val="14"/>
                <w:color w:val="auto"/>
              </w:rPr>
              <w:t>Note: Percentages reflect line item as a percentage of net revenue</w:t>
            </w:r>
          </w:p>
        </w:tc>
        <w:tc>
          <w:tcPr>
            <w:tcW w:w="2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0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gridSpan w:val="6"/>
            <w:vMerge w:val="restart"/>
          </w:tcPr>
          <w:p>
            <w:pPr>
              <w:jc w:val="right"/>
              <w:ind w:right="430"/>
              <w:spacing w:after="0"/>
              <w:rPr>
                <w:sz w:val="20"/>
                <w:szCs w:val="20"/>
                <w:color w:val="auto"/>
              </w:rPr>
            </w:pPr>
            <w:r>
              <w:rPr>
                <w:rFonts w:ascii="Arial" w:cs="Arial" w:eastAsia="Arial" w:hAnsi="Arial"/>
                <w:sz w:val="18"/>
                <w:szCs w:val="18"/>
                <w:color w:val="auto"/>
                <w:w w:val="91"/>
              </w:rPr>
              <w:t>Three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5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gridSpan w:val="6"/>
            <w:vMerge w:val="continue"/>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8"/>
                <w:szCs w:val="18"/>
                <w:color w:val="auto"/>
                <w:w w:val="99"/>
              </w:rPr>
              <w:t>March 31, 2018</w:t>
            </w:r>
          </w:p>
        </w:tc>
        <w:tc>
          <w:tcPr>
            <w:tcW w:w="120" w:type="dxa"/>
            <w:vAlign w:val="bottom"/>
          </w:tcPr>
          <w:p>
            <w:pPr>
              <w:spacing w:after="0"/>
              <w:rPr>
                <w:sz w:val="20"/>
                <w:szCs w:val="20"/>
                <w:color w:val="auto"/>
              </w:rPr>
            </w:pPr>
          </w:p>
        </w:tc>
        <w:tc>
          <w:tcPr>
            <w:tcW w:w="1800" w:type="dxa"/>
            <w:vAlign w:val="bottom"/>
            <w:gridSpan w:val="2"/>
          </w:tcPr>
          <w:p>
            <w:pPr>
              <w:jc w:val="right"/>
              <w:ind w:right="330"/>
              <w:spacing w:after="0"/>
              <w:rPr>
                <w:sz w:val="20"/>
                <w:szCs w:val="20"/>
                <w:color w:val="auto"/>
              </w:rPr>
            </w:pPr>
            <w:r>
              <w:rPr>
                <w:rFonts w:ascii="Arial" w:cs="Arial" w:eastAsia="Arial" w:hAnsi="Arial"/>
                <w:sz w:val="18"/>
                <w:szCs w:val="18"/>
                <w:color w:val="auto"/>
              </w:rPr>
              <w:t>April 1, 2017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CCEEFF"/>
            </w:tcBorders>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25,047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(c)</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(d)</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474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(e)</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(f)</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231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5"/>
              </w:rPr>
              <w:t xml:space="preserve">Amortization of acquisition intangibles and deferred financing costs </w:t>
            </w:r>
            <w:r>
              <w:rPr>
                <w:rFonts w:ascii="Arial" w:cs="Arial" w:eastAsia="Arial" w:hAnsi="Arial"/>
                <w:sz w:val="25"/>
                <w:szCs w:val="25"/>
                <w:color w:val="auto"/>
                <w:w w:val="95"/>
                <w:vertAlign w:val="superscript"/>
              </w:rPr>
              <w:t>(h)</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(i)</w:t>
            </w:r>
          </w:p>
        </w:tc>
        <w:tc>
          <w:tcPr>
            <w:tcW w:w="2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(2,695) —</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(j)</w:t>
            </w:r>
          </w:p>
        </w:tc>
        <w:tc>
          <w:tcPr>
            <w:tcW w:w="2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(1,555)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57"/>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230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26,870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23,263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40" w:type="dxa"/>
            <w:vAlign w:val="bottom"/>
            <w:vMerge w:val="restart"/>
          </w:tcPr>
          <w:p>
            <w:pPr>
              <w:jc w:val="right"/>
              <w:ind w:right="1610"/>
              <w:spacing w:after="0"/>
              <w:rPr>
                <w:sz w:val="20"/>
                <w:szCs w:val="20"/>
                <w:color w:val="auto"/>
              </w:rPr>
            </w:pPr>
            <w:r>
              <w:rPr>
                <w:rFonts w:ascii="Arial" w:cs="Arial" w:eastAsia="Arial" w:hAnsi="Arial"/>
                <w:sz w:val="18"/>
                <w:szCs w:val="18"/>
                <w:color w:val="auto"/>
              </w:rPr>
              <w:t>`</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4"/>
          </w:tcPr>
          <w:p>
            <w:pPr>
              <w:jc w:val="right"/>
              <w:ind w:right="1010"/>
              <w:spacing w:after="0"/>
              <w:rPr>
                <w:sz w:val="20"/>
                <w:szCs w:val="20"/>
                <w:color w:val="auto"/>
              </w:rPr>
            </w:pPr>
            <w:r>
              <w:rPr>
                <w:rFonts w:ascii="Arial" w:cs="Arial" w:eastAsia="Arial" w:hAnsi="Arial"/>
                <w:sz w:val="18"/>
                <w:szCs w:val="18"/>
                <w:color w:val="auto"/>
              </w:rPr>
              <w:t>Three Months Ended</w:t>
            </w:r>
          </w:p>
        </w:tc>
      </w:tr>
      <w:tr>
        <w:trPr>
          <w:trHeight w:val="27"/>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March 31, 2018</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April 1, 2017</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(c)</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(e)</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(f)</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(g)</w:t>
            </w:r>
          </w:p>
        </w:tc>
        <w:tc>
          <w:tcPr>
            <w:tcW w:w="24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(h)</w:t>
            </w:r>
          </w:p>
        </w:tc>
        <w:tc>
          <w:tcPr>
            <w:tcW w:w="2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(i)</w:t>
            </w: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(j)</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9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r>
      <w:tr>
        <w:trPr>
          <w:trHeight w:val="311"/>
        </w:trPr>
        <w:tc>
          <w:tcPr>
            <w:tcW w:w="7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Weighted average diluted shares outstanding</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57,934</w:t>
            </w:r>
          </w:p>
        </w:tc>
      </w:tr>
    </w:tbl>
    <w:p>
      <w:pPr>
        <w:spacing w:after="0" w:line="224" w:lineRule="exact"/>
        <w:rPr>
          <w:sz w:val="20"/>
          <w:szCs w:val="20"/>
          <w:color w:val="auto"/>
        </w:rPr>
      </w:pPr>
    </w:p>
    <w:p>
      <w:pPr>
        <w:ind w:left="580" w:hanging="491"/>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580" w:hanging="491"/>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580" w:hanging="491"/>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jc w:val="both"/>
        <w:ind w:left="580" w:hanging="491"/>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1" w:lineRule="exact"/>
        <w:rPr>
          <w:rFonts w:ascii="Arial" w:cs="Arial" w:eastAsia="Arial" w:hAnsi="Arial"/>
          <w:sz w:val="14"/>
          <w:szCs w:val="14"/>
          <w:color w:val="auto"/>
        </w:rPr>
      </w:pPr>
    </w:p>
    <w:p>
      <w:pPr>
        <w:jc w:val="both"/>
        <w:ind w:left="580" w:hanging="491"/>
        <w:spacing w:after="0" w:line="260" w:lineRule="auto"/>
        <w:tabs>
          <w:tab w:leader="none" w:pos="5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ind w:left="580" w:hanging="491"/>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Expenses related to our secondary public offering for the three months ended March 31, 2018.</w:t>
      </w:r>
    </w:p>
    <w:p>
      <w:pPr>
        <w:spacing w:after="0" w:line="1" w:lineRule="exact"/>
        <w:rPr>
          <w:rFonts w:ascii="Arial" w:cs="Arial" w:eastAsia="Arial" w:hAnsi="Arial"/>
          <w:sz w:val="14"/>
          <w:szCs w:val="14"/>
          <w:color w:val="auto"/>
        </w:rPr>
      </w:pPr>
    </w:p>
    <w:p>
      <w:pPr>
        <w:jc w:val="both"/>
        <w:ind w:left="580" w:hanging="491"/>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including our share of losses on equity method investments of $0.2 million and $0.1 million for the three months ended March 31, 2018 and April 1, 2017, respectively; management fees of $0.3 million paid to Kohlberg Kravis Roberts &amp; Co. L.P. (“KKR”) and Berkshire Partners LLC (“Berkshire”) in accordance with our monitoring agreement for the three months ended April 1, 2017 that was terminated automatically in accordance with its terms upon the consummation of the initial public offering (the “IPO”) in October 2017; the amortization impact of adjustments related to the acquisition of the Company by affiliates of KKR in March 2014 (“the KKR Acquisition”)(e.g., fair value of leasehold interests) of $17 thousand and $(0.1) million for the three months ended March 31, 2018 and April 1, 2017, respectively, related to prior acquisitions; expenses related to preparation for being an SEC registrant that were not directly attributable to the IPO and therefore not charged to equity of $0.5 million for the three months ended April 1, 2017; differences between the timing of expense versus cash payments related to contributions to charitable organizations of $(0.3) million during each of the three months ended March 31, 2018 and April 1, 2017; costs of severance and relocation of $0.2 million and $16 thousand for the three months ended March 31, 2018 and April 1, 2017, respectively; and other expenses and adjustments totaling $0.1 million and $0.1 million for the three months ended March 31, 2018 and April 1, 2017, respectively.</w:t>
      </w:r>
    </w:p>
    <w:p>
      <w:pPr>
        <w:spacing w:after="0" w:line="3" w:lineRule="exact"/>
        <w:rPr>
          <w:rFonts w:ascii="Arial" w:cs="Arial" w:eastAsia="Arial" w:hAnsi="Arial"/>
          <w:sz w:val="14"/>
          <w:szCs w:val="14"/>
          <w:color w:val="auto"/>
        </w:rPr>
      </w:pPr>
    </w:p>
    <w:p>
      <w:pPr>
        <w:jc w:val="both"/>
        <w:ind w:left="580" w:hanging="491"/>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$1.9 million for each of the three months ended March 31, 2018 and April 1, 2017.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and the November 2017 first lien term loan refinancing, aggregating to $0.4 million and $1.0 million for the three months ended March 31, 2018 and April 1, 2017, respectively.</w:t>
      </w:r>
    </w:p>
    <w:p>
      <w:pPr>
        <w:spacing w:after="0" w:line="1" w:lineRule="exact"/>
        <w:rPr>
          <w:rFonts w:ascii="Arial" w:cs="Arial" w:eastAsia="Arial" w:hAnsi="Arial"/>
          <w:sz w:val="14"/>
          <w:szCs w:val="14"/>
          <w:color w:val="auto"/>
        </w:rPr>
      </w:pPr>
    </w:p>
    <w:p>
      <w:pPr>
        <w:ind w:left="580" w:hanging="491"/>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580" w:hanging="491"/>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normalized effective tax rate.</w:t>
      </w:r>
    </w:p>
    <w:p>
      <w:pPr>
        <w:sectPr>
          <w:pgSz w:w="11900" w:h="16838" w:orient="portrait"/>
          <w:cols w:equalWidth="0" w:num="1">
            <w:col w:w="11420"/>
          </w:cols>
          <w:pgMar w:left="240" w:top="746" w:right="239" w:bottom="1440" w:gutter="0" w:footer="0" w:header="0"/>
        </w:sectPr>
      </w:pPr>
    </w:p>
    <w:bookmarkStart w:id="14" w:name="page15"/>
    <w:bookmarkEnd w:id="14"/>
    <w:p>
      <w:pPr>
        <w:jc w:val="center"/>
        <w:ind w:left="40" w:right="40"/>
        <w:spacing w:after="0" w:line="275" w:lineRule="auto"/>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 For the Three Months Ended March 31, 2018 and April 1, 2017 (Unaudited)</w:t>
      </w:r>
    </w:p>
    <w:p>
      <w:pPr>
        <w:spacing w:after="0" w:line="34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-18415</wp:posOffset>
            </wp:positionV>
            <wp:extent cx="326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tbl>
      <w:tblPr>
        <w:tblLayout w:type="fixed"/>
        <w:tblInd w:w="6280" w:type="dxa"/>
        <w:tblCellMar>
          <w:top w:w="0" w:type="dxa"/>
          <w:left w:w="0" w:type="dxa"/>
          <w:bottom w:w="0" w:type="dxa"/>
          <w:right w:w="0" w:type="dxa"/>
        </w:tblCellMar>
      </w:tblPr>
      <w:tr>
        <w:trPr>
          <w:trHeight w:val="207"/>
        </w:trPr>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580" w:type="dxa"/>
            <w:vAlign w:val="bottom"/>
          </w:tcPr>
          <w:p>
            <w:pPr>
              <w:spacing w:after="0"/>
              <w:rPr>
                <w:sz w:val="17"/>
                <w:szCs w:val="17"/>
                <w:color w:val="auto"/>
              </w:rPr>
            </w:pPr>
          </w:p>
        </w:tc>
      </w:tr>
      <w:tr>
        <w:trPr>
          <w:trHeight w:val="230"/>
        </w:trPr>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31, 2018</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April 1, 2017</w:t>
            </w:r>
          </w:p>
        </w:tc>
        <w:tc>
          <w:tcPr>
            <w:tcW w:w="1580" w:type="dxa"/>
            <w:vAlign w:val="bottom"/>
          </w:tcPr>
          <w:p>
            <w:pPr>
              <w:ind w:left="300"/>
              <w:spacing w:after="0"/>
              <w:rPr>
                <w:sz w:val="20"/>
                <w:szCs w:val="20"/>
                <w:color w:val="auto"/>
              </w:rPr>
            </w:pPr>
            <w:r>
              <w:rPr>
                <w:rFonts w:ascii="Arial" w:cs="Arial" w:eastAsia="Arial" w:hAnsi="Arial"/>
                <w:sz w:val="18"/>
                <w:szCs w:val="18"/>
                <w:color w:val="auto"/>
              </w:rPr>
              <w:t>2018 Outlook</w:t>
            </w:r>
          </w:p>
        </w:tc>
      </w:tr>
      <w:tr>
        <w:trPr>
          <w:trHeight w:val="27"/>
        </w:trPr>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Owned &amp; host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America’s Best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Eyeglass World</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Military</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Fred Meyer</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Legacy segment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comparable store sales growth</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comparable store sales growth</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6.9 %</w:t>
      </w:r>
    </w:p>
    <w:p>
      <w:pPr>
        <w:spacing w:after="0" w:line="26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31750</wp:posOffset>
            </wp:positionV>
            <wp:extent cx="72466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4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(8.3)%</w:t>
      </w:r>
    </w:p>
    <w:p>
      <w:pPr>
        <w:spacing w:after="0" w:line="2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31750</wp:posOffset>
            </wp:positionV>
            <wp:extent cx="72466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4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238125</wp:posOffset>
            </wp:positionV>
            <wp:extent cx="72466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ind w:right="610"/>
              <w:spacing w:after="0"/>
              <w:rPr>
                <w:sz w:val="20"/>
                <w:szCs w:val="20"/>
                <w:color w:val="auto"/>
              </w:rPr>
            </w:pPr>
            <w:r>
              <w:rPr>
                <w:rFonts w:ascii="Arial" w:cs="Arial" w:eastAsia="Arial" w:hAnsi="Arial"/>
                <w:sz w:val="18"/>
                <w:szCs w:val="18"/>
                <w:color w:val="auto"/>
                <w:w w:val="87"/>
              </w:rPr>
              <w:t>4.6%</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5.7 %</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- 5.5%</w:t>
            </w:r>
          </w:p>
        </w:tc>
      </w:tr>
      <w:tr>
        <w:trPr>
          <w:trHeight w:val="270"/>
        </w:trPr>
        <w:tc>
          <w:tcPr>
            <w:tcW w:w="1080" w:type="dxa"/>
            <w:vAlign w:val="bottom"/>
          </w:tcPr>
          <w:p>
            <w:pPr>
              <w:jc w:val="right"/>
              <w:ind w:right="610"/>
              <w:spacing w:after="0"/>
              <w:rPr>
                <w:sz w:val="20"/>
                <w:szCs w:val="20"/>
                <w:color w:val="auto"/>
              </w:rPr>
            </w:pPr>
            <w:r>
              <w:rPr>
                <w:rFonts w:ascii="Arial" w:cs="Arial" w:eastAsia="Arial" w:hAnsi="Arial"/>
                <w:sz w:val="18"/>
                <w:szCs w:val="18"/>
                <w:color w:val="auto"/>
                <w:w w:val="87"/>
              </w:rPr>
              <w:t>4.6%</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4.4 %</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ind w:left="20"/>
              <w:spacing w:after="0"/>
              <w:rPr>
                <w:sz w:val="20"/>
                <w:szCs w:val="20"/>
                <w:color w:val="auto"/>
              </w:rPr>
            </w:pPr>
            <w:r>
              <w:rPr>
                <w:rFonts w:ascii="Arial" w:cs="Arial" w:eastAsia="Arial" w:hAnsi="Arial"/>
                <w:sz w:val="18"/>
                <w:szCs w:val="18"/>
                <w:color w:val="auto"/>
              </w:rPr>
              <w:t>- 5%</w:t>
            </w:r>
          </w:p>
        </w:tc>
      </w:tr>
    </w:tbl>
    <w:p>
      <w:pPr>
        <w:spacing w:after="0" w:line="200" w:lineRule="exact"/>
        <w:rPr>
          <w:sz w:val="20"/>
          <w:szCs w:val="20"/>
          <w:color w:val="auto"/>
        </w:rPr>
      </w:pPr>
    </w:p>
    <w:p>
      <w:pPr>
        <w:sectPr>
          <w:pgSz w:w="11900" w:h="16838" w:orient="portrait"/>
          <w:cols w:equalWidth="0" w:num="2">
            <w:col w:w="6780" w:space="720"/>
            <w:col w:w="3920"/>
          </w:cols>
          <w:pgMar w:left="240" w:top="580" w:right="239" w:bottom="1440" w:gutter="0" w:footer="0" w:header="0"/>
          <w:type w:val="continuous"/>
        </w:sectPr>
      </w:pPr>
    </w:p>
    <w:p>
      <w:pPr>
        <w:spacing w:after="0" w:line="24" w:lineRule="exact"/>
        <w:rPr>
          <w:sz w:val="20"/>
          <w:szCs w:val="20"/>
          <w:color w:val="auto"/>
        </w:rPr>
      </w:pPr>
    </w:p>
    <w:p>
      <w:pPr>
        <w:jc w:val="both"/>
        <w:ind w:left="400" w:hanging="392"/>
        <w:spacing w:after="0" w:line="245"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comparable store sales calculated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Comparable store sales growth for America's Best, Eyeglass World, Military, and Fred Meyer is calculated based on cash basis revenues consistent with what the Chief Operating Decision Maker reviews, and consistent with reportable segment revenues presented in Note 8. "Segment Reporting" in our condensed consolidated financial statements, with the exception of the legacy segment, which is adjusted as noted in (b) (ii) below.</w:t>
      </w:r>
    </w:p>
    <w:p>
      <w:pPr>
        <w:jc w:val="both"/>
        <w:ind w:left="400" w:hanging="392"/>
        <w:spacing w:after="0" w:line="268" w:lineRule="auto"/>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0.8% from total comparable store sales growth based on consolidated net revenue for the three months ended March 31, 2018 and April 1, 2017, respectively, and (ii) adjusted comparable store sales growth includes retail sales to the legacy partner’s customers (rather than the revenues recognized consistent with the management &amp; services agreement), resulting in an increase of 0.1% and a decrease of 0.5% from total comparable store sales growth based on consolidated net revenue for the three months ended March 31, 2018 and April 1, 2017,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Mann, CFA, Vice President of Investor Relations</w:t>
      </w:r>
    </w:p>
    <w:p>
      <w:pPr>
        <w:spacing w:after="0" w:line="9" w:lineRule="exact"/>
        <w:rPr>
          <w:sz w:val="20"/>
          <w:szCs w:val="20"/>
          <w:color w:val="auto"/>
        </w:rPr>
      </w:pPr>
    </w:p>
    <w:p>
      <w:pPr>
        <w:ind w:right="864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88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448-2355 Kristina.gross@nationalvision.com</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470"/>
    </w:lvl>
  </w:abstractNum>
  <w:abstractNum w:abstractNumId="10">
    <w:nsid w:val="1F16E9E8"/>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2019-12-28T22:22:01Z</dcterms:created>
  <dcterms:modified xsi:type="dcterms:W3CDTF">2019-12-28T22:22:01Z</dcterms:modified>
</cp:coreProperties>
</file>