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217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21728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PEELER D RANDOLPH</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National Vision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EYE</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80" w:type="dxa"/>
            <w:vAlign w:val="bottom"/>
          </w:tcPr>
          <w:p>
            <w:pPr>
              <w:spacing w:after="0"/>
              <w:rPr>
                <w:sz w:val="9"/>
                <w:szCs w:val="9"/>
                <w:color w:val="auto"/>
              </w:rPr>
            </w:pPr>
          </w:p>
        </w:tc>
        <w:tc>
          <w:tcPr>
            <w:tcW w:w="146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60" w:type="dxa"/>
            <w:vAlign w:val="bottom"/>
            <w:gridSpan w:val="5"/>
            <w:vMerge w:val="continue"/>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380" w:type="dxa"/>
            <w:vAlign w:val="bottom"/>
          </w:tcPr>
          <w:p>
            <w:pPr>
              <w:spacing w:after="0"/>
              <w:rPr>
                <w:sz w:val="2"/>
                <w:szCs w:val="2"/>
                <w:color w:val="auto"/>
              </w:rPr>
            </w:pPr>
          </w:p>
        </w:tc>
        <w:tc>
          <w:tcPr>
            <w:tcW w:w="1600" w:type="dxa"/>
            <w:vAlign w:val="bottom"/>
            <w:gridSpan w:val="4"/>
            <w:vMerge w:val="restart"/>
          </w:tcPr>
          <w:p>
            <w:pPr>
              <w:ind w:left="4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16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Borders>
              <w:top w:val="single" w:sz="8" w:color="0000EE"/>
            </w:tcBorders>
          </w:tcPr>
          <w:p>
            <w:pPr>
              <w:spacing w:after="0"/>
              <w:rPr>
                <w:sz w:val="8"/>
                <w:szCs w:val="8"/>
                <w:color w:val="auto"/>
              </w:rPr>
            </w:pPr>
          </w:p>
        </w:tc>
        <w:tc>
          <w:tcPr>
            <w:tcW w:w="740" w:type="dxa"/>
            <w:vAlign w:val="bottom"/>
            <w:tcBorders>
              <w:top w:val="single" w:sz="8" w:color="0000EE"/>
            </w:tcBorders>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380" w:type="dxa"/>
            <w:vAlign w:val="bottom"/>
          </w:tcPr>
          <w:p>
            <w:pPr>
              <w:spacing w:after="0"/>
              <w:rPr>
                <w:sz w:val="8"/>
                <w:szCs w:val="8"/>
                <w:color w:val="auto"/>
              </w:rPr>
            </w:pPr>
          </w:p>
        </w:tc>
        <w:tc>
          <w:tcPr>
            <w:tcW w:w="16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580" w:type="dxa"/>
            <w:vAlign w:val="bottom"/>
            <w:gridSpan w:val="3"/>
            <w:vMerge w:val="restart"/>
          </w:tcPr>
          <w:p>
            <w:pPr>
              <w:ind w:left="360"/>
              <w:spacing w:after="0"/>
              <w:rPr>
                <w:sz w:val="20"/>
                <w:szCs w:val="20"/>
                <w:color w:val="auto"/>
              </w:rPr>
            </w:pPr>
            <w:r>
              <w:rPr>
                <w:rFonts w:ascii="Arial" w:cs="Arial" w:eastAsia="Arial" w:hAnsi="Arial"/>
                <w:sz w:val="14"/>
                <w:szCs w:val="14"/>
                <w:color w:val="auto"/>
              </w:rPr>
              <w:t>Officer (give title</w:t>
            </w:r>
          </w:p>
        </w:tc>
        <w:tc>
          <w:tcPr>
            <w:tcW w:w="1600" w:type="dxa"/>
            <w:vAlign w:val="bottom"/>
            <w:gridSpan w:val="4"/>
            <w:vMerge w:val="restart"/>
          </w:tcPr>
          <w:p>
            <w:pPr>
              <w:ind w:left="4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580" w:type="dxa"/>
            <w:vAlign w:val="bottom"/>
            <w:gridSpan w:val="3"/>
            <w:vMerge w:val="continue"/>
          </w:tcPr>
          <w:p>
            <w:pPr>
              <w:spacing w:after="0" w:line="20" w:lineRule="exact"/>
              <w:rPr>
                <w:sz w:val="1"/>
                <w:szCs w:val="1"/>
                <w:color w:val="auto"/>
              </w:rPr>
            </w:pPr>
          </w:p>
        </w:tc>
        <w:tc>
          <w:tcPr>
            <w:tcW w:w="16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7"/>
            <w:vMerge w:val="restart"/>
          </w:tcPr>
          <w:p>
            <w:pPr>
              <w:spacing w:after="0"/>
              <w:rPr>
                <w:sz w:val="20"/>
                <w:szCs w:val="20"/>
                <w:color w:val="auto"/>
              </w:rPr>
            </w:pPr>
            <w:r>
              <w:rPr>
                <w:rFonts w:ascii="Arial" w:cs="Arial" w:eastAsia="Arial" w:hAnsi="Arial"/>
                <w:sz w:val="14"/>
                <w:szCs w:val="14"/>
                <w:color w:val="auto"/>
                <w:w w:val="95"/>
              </w:rPr>
              <w:t>3. Date of Earliest Transaction (Month/Day/Year)</w:t>
            </w: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1580" w:type="dxa"/>
            <w:vAlign w:val="bottom"/>
            <w:gridSpan w:val="3"/>
            <w:vMerge w:val="continue"/>
          </w:tcPr>
          <w:p>
            <w:pPr>
              <w:spacing w:after="0"/>
              <w:rPr>
                <w:sz w:val="4"/>
                <w:szCs w:val="4"/>
                <w:color w:val="auto"/>
              </w:rPr>
            </w:pPr>
          </w:p>
        </w:tc>
        <w:tc>
          <w:tcPr>
            <w:tcW w:w="16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(Last)</w:t>
            </w:r>
          </w:p>
        </w:tc>
        <w:tc>
          <w:tcPr>
            <w:tcW w:w="1820" w:type="dxa"/>
            <w:vAlign w:val="bottom"/>
            <w:gridSpan w:val="3"/>
          </w:tcPr>
          <w:p>
            <w:pPr>
              <w:ind w:left="56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20" w:type="dxa"/>
            <w:vAlign w:val="bottom"/>
            <w:gridSpan w:val="7"/>
            <w:vMerge w:val="continue"/>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2"/>
          </w:tcPr>
          <w:p>
            <w:pPr>
              <w:ind w:left="360"/>
              <w:spacing w:after="0"/>
              <w:rPr>
                <w:sz w:val="20"/>
                <w:szCs w:val="20"/>
                <w:color w:val="auto"/>
              </w:rPr>
            </w:pPr>
            <w:r>
              <w:rPr>
                <w:rFonts w:ascii="Arial" w:cs="Arial" w:eastAsia="Arial" w:hAnsi="Arial"/>
                <w:sz w:val="14"/>
                <w:szCs w:val="14"/>
                <w:color w:val="auto"/>
              </w:rPr>
              <w:t>below)</w:t>
            </w:r>
          </w:p>
        </w:tc>
        <w:tc>
          <w:tcPr>
            <w:tcW w:w="380" w:type="dxa"/>
            <w:vAlign w:val="bottom"/>
          </w:tcPr>
          <w:p>
            <w:pPr>
              <w:spacing w:after="0"/>
              <w:rPr>
                <w:sz w:val="14"/>
                <w:szCs w:val="14"/>
                <w:color w:val="auto"/>
              </w:rPr>
            </w:pPr>
          </w:p>
        </w:tc>
        <w:tc>
          <w:tcPr>
            <w:tcW w:w="840" w:type="dxa"/>
            <w:vAlign w:val="bottom"/>
            <w:gridSpan w:val="2"/>
          </w:tcPr>
          <w:p>
            <w:pPr>
              <w:ind w:left="42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6"/>
            <w:vMerge w:val="restart"/>
          </w:tcPr>
          <w:p>
            <w:pPr>
              <w:spacing w:after="0"/>
              <w:rPr>
                <w:sz w:val="20"/>
                <w:szCs w:val="20"/>
                <w:color w:val="auto"/>
              </w:rPr>
            </w:pPr>
            <w:r>
              <w:rPr>
                <w:rFonts w:ascii="Arial" w:cs="Arial" w:eastAsia="Arial" w:hAnsi="Arial"/>
                <w:sz w:val="18"/>
                <w:szCs w:val="18"/>
                <w:color w:val="0000FF"/>
              </w:rPr>
              <w:t>C/O BERKSHIRE PARTNERS LLC</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0000FF"/>
              </w:rPr>
              <w:t>08/02/2018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6"/>
            <w:vMerge w:val="restart"/>
          </w:tcPr>
          <w:p>
            <w:pPr>
              <w:spacing w:after="0"/>
              <w:rPr>
                <w:sz w:val="20"/>
                <w:szCs w:val="20"/>
                <w:color w:val="auto"/>
              </w:rPr>
            </w:pPr>
            <w:r>
              <w:rPr>
                <w:rFonts w:ascii="Arial" w:cs="Arial" w:eastAsia="Arial" w:hAnsi="Arial"/>
                <w:sz w:val="18"/>
                <w:szCs w:val="18"/>
                <w:color w:val="0000FF"/>
              </w:rPr>
              <w:t>200 CLARENDON STREET, 35TH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6"/>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restart"/>
          </w:tcPr>
          <w:p>
            <w:pPr>
              <w:spacing w:after="0"/>
              <w:rPr>
                <w:sz w:val="20"/>
                <w:szCs w:val="20"/>
                <w:color w:val="auto"/>
              </w:rPr>
            </w:pPr>
            <w:r>
              <w:rPr>
                <w:rFonts w:ascii="Arial" w:cs="Arial" w:eastAsia="Arial" w:hAnsi="Arial"/>
                <w:sz w:val="14"/>
                <w:szCs w:val="14"/>
                <w:color w:val="auto"/>
                <w:w w:val="95"/>
              </w:rPr>
              <w:t>4. If Amendment, Date of Original Filed (Month/Day/Year)</w:t>
            </w:r>
          </w:p>
        </w:tc>
        <w:tc>
          <w:tcPr>
            <w:tcW w:w="480" w:type="dxa"/>
            <w:vAlign w:val="bottom"/>
          </w:tcPr>
          <w:p>
            <w:pPr>
              <w:spacing w:after="0"/>
              <w:rPr>
                <w:sz w:val="9"/>
                <w:szCs w:val="9"/>
                <w:color w:val="auto"/>
              </w:rPr>
            </w:pPr>
          </w:p>
        </w:tc>
        <w:tc>
          <w:tcPr>
            <w:tcW w:w="34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480" w:type="dxa"/>
            <w:vAlign w:val="bottom"/>
          </w:tcPr>
          <w:p>
            <w:pPr>
              <w:spacing w:after="0"/>
              <w:rPr>
                <w:sz w:val="8"/>
                <w:szCs w:val="8"/>
                <w:color w:val="auto"/>
              </w:rPr>
            </w:pPr>
          </w:p>
        </w:tc>
        <w:tc>
          <w:tcPr>
            <w:tcW w:w="34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vMerge w:val="restart"/>
          </w:tcPr>
          <w:p>
            <w:pPr>
              <w:spacing w:after="0"/>
              <w:rPr>
                <w:sz w:val="5"/>
                <w:szCs w:val="5"/>
                <w:color w:val="auto"/>
              </w:rPr>
            </w:pPr>
          </w:p>
        </w:tc>
        <w:tc>
          <w:tcPr>
            <w:tcW w:w="940" w:type="dxa"/>
            <w:vAlign w:val="bottom"/>
            <w:gridSpan w:val="4"/>
            <w:vMerge w:val="restart"/>
          </w:tcPr>
          <w:p>
            <w:pPr>
              <w:ind w:left="80"/>
              <w:spacing w:after="0"/>
              <w:rPr>
                <w:sz w:val="20"/>
                <w:szCs w:val="20"/>
                <w:color w:val="auto"/>
              </w:rPr>
            </w:pPr>
            <w:r>
              <w:rPr>
                <w:rFonts w:ascii="Arial" w:cs="Arial" w:eastAsia="Arial" w:hAnsi="Arial"/>
                <w:sz w:val="14"/>
                <w:szCs w:val="14"/>
                <w:color w:val="auto"/>
              </w:rPr>
              <w:t>Line)</w:t>
            </w:r>
          </w:p>
        </w:tc>
        <w:tc>
          <w:tcPr>
            <w:tcW w:w="520" w:type="dxa"/>
            <w:vAlign w:val="bottom"/>
          </w:tcPr>
          <w:p>
            <w:pPr>
              <w:spacing w:after="0"/>
              <w:rPr>
                <w:sz w:val="5"/>
                <w:szCs w:val="5"/>
                <w:color w:val="auto"/>
              </w:rPr>
            </w:pPr>
          </w:p>
        </w:tc>
        <w:tc>
          <w:tcPr>
            <w:tcW w:w="3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940" w:type="dxa"/>
            <w:vAlign w:val="bottom"/>
            <w:gridSpan w:val="4"/>
            <w:vMerge w:val="continue"/>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180" w:type="dxa"/>
            <w:vAlign w:val="bottom"/>
            <w:gridSpan w:val="7"/>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r>
              <w:rPr>
                <w:rFonts w:ascii="Arial" w:cs="Arial" w:eastAsia="Arial" w:hAnsi="Arial"/>
                <w:sz w:val="18"/>
                <w:szCs w:val="18"/>
                <w:color w:val="0000FF"/>
                <w:w w:val="92"/>
              </w:rPr>
              <w:t>BOSTON</w:t>
            </w:r>
          </w:p>
        </w:tc>
        <w:tc>
          <w:tcPr>
            <w:tcW w:w="1820" w:type="dxa"/>
            <w:vAlign w:val="bottom"/>
            <w:gridSpan w:val="3"/>
          </w:tcPr>
          <w:p>
            <w:pPr>
              <w:ind w:left="560"/>
              <w:spacing w:after="0"/>
              <w:rPr>
                <w:sz w:val="20"/>
                <w:szCs w:val="20"/>
                <w:color w:val="auto"/>
              </w:rPr>
            </w:pPr>
            <w:r>
              <w:rPr>
                <w:rFonts w:ascii="Arial" w:cs="Arial" w:eastAsia="Arial" w:hAnsi="Arial"/>
                <w:sz w:val="18"/>
                <w:szCs w:val="18"/>
                <w:color w:val="0000FF"/>
              </w:rPr>
              <w:t>MA</w:t>
            </w:r>
          </w:p>
        </w:tc>
        <w:tc>
          <w:tcPr>
            <w:tcW w:w="1200" w:type="dxa"/>
            <w:vAlign w:val="bottom"/>
          </w:tcPr>
          <w:p>
            <w:pPr>
              <w:spacing w:after="0"/>
              <w:rPr>
                <w:sz w:val="20"/>
                <w:szCs w:val="20"/>
                <w:color w:val="auto"/>
              </w:rPr>
            </w:pPr>
            <w:r>
              <w:rPr>
                <w:rFonts w:ascii="Arial" w:cs="Arial" w:eastAsia="Arial" w:hAnsi="Arial"/>
                <w:sz w:val="18"/>
                <w:szCs w:val="18"/>
                <w:color w:val="0000FF"/>
              </w:rPr>
              <w:t>02116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180" w:type="dxa"/>
            <w:vAlign w:val="bottom"/>
            <w:gridSpan w:val="7"/>
          </w:tcPr>
          <w:p>
            <w:pPr>
              <w:ind w:left="3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gridSpan w:val="2"/>
          </w:tcPr>
          <w:p>
            <w:pPr>
              <w:ind w:left="380"/>
              <w:spacing w:after="0" w:line="136" w:lineRule="exact"/>
              <w:rPr>
                <w:sz w:val="20"/>
                <w:szCs w:val="20"/>
                <w:color w:val="auto"/>
              </w:rPr>
            </w:pPr>
            <w:r>
              <w:rPr>
                <w:rFonts w:ascii="Arial" w:cs="Arial" w:eastAsia="Arial" w:hAnsi="Arial"/>
                <w:sz w:val="14"/>
                <w:szCs w:val="14"/>
                <w:color w:val="auto"/>
              </w:rPr>
              <w:t>Person</w:t>
            </w: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(City)</w:t>
            </w:r>
          </w:p>
        </w:tc>
        <w:tc>
          <w:tcPr>
            <w:tcW w:w="1820" w:type="dxa"/>
            <w:vAlign w:val="bottom"/>
            <w:gridSpan w:val="3"/>
          </w:tcPr>
          <w:p>
            <w:pPr>
              <w:ind w:left="56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3"/>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126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080" w:type="dxa"/>
            <w:vAlign w:val="bottom"/>
            <w:tcBorders>
              <w:top w:val="single" w:sz="8" w:color="2C2C2C"/>
            </w:tcBorders>
            <w:gridSpan w:val="19"/>
          </w:tcPr>
          <w:p>
            <w:pPr>
              <w:jc w:val="center"/>
              <w:ind w:right="31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8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6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5"/>
                <w:szCs w:val="15"/>
                <w:color w:val="auto"/>
              </w:rPr>
            </w:pPr>
          </w:p>
        </w:tc>
        <w:tc>
          <w:tcPr>
            <w:tcW w:w="214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3"/>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9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20" w:type="dxa"/>
            <w:vAlign w:val="bottom"/>
            <w:gridSpan w:val="4"/>
          </w:tcPr>
          <w:p>
            <w:pPr>
              <w:ind w:left="3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8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9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gridSpan w:val="3"/>
          </w:tcPr>
          <w:p>
            <w:pPr>
              <w:ind w:left="60"/>
              <w:spacing w:after="0"/>
              <w:rPr>
                <w:sz w:val="20"/>
                <w:szCs w:val="20"/>
                <w:color w:val="auto"/>
              </w:rPr>
            </w:pPr>
            <w:r>
              <w:rPr>
                <w:rFonts w:ascii="Arial" w:cs="Arial" w:eastAsia="Arial" w:hAnsi="Arial"/>
                <w:sz w:val="18"/>
                <w:szCs w:val="18"/>
                <w:color w:val="0000FF"/>
                <w:w w:val="97"/>
              </w:rPr>
              <w:t>By Berkshire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3"/>
            <w:vMerge w:val="restart"/>
          </w:tcPr>
          <w:p>
            <w:pPr>
              <w:ind w:left="480"/>
              <w:spacing w:after="0"/>
              <w:rPr>
                <w:sz w:val="20"/>
                <w:szCs w:val="20"/>
                <w:color w:val="auto"/>
              </w:rPr>
            </w:pPr>
            <w:r>
              <w:rPr>
                <w:rFonts w:ascii="Arial" w:cs="Arial" w:eastAsia="Arial" w:hAnsi="Arial"/>
                <w:sz w:val="18"/>
                <w:szCs w:val="18"/>
                <w:color w:val="0000FF"/>
                <w:w w:val="93"/>
              </w:rPr>
              <w:t>08/02/2018</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vMerge w:val="restart"/>
          </w:tcPr>
          <w:p>
            <w:pPr>
              <w:ind w:left="120"/>
              <w:spacing w:after="0"/>
              <w:rPr>
                <w:sz w:val="20"/>
                <w:szCs w:val="20"/>
                <w:color w:val="auto"/>
              </w:rPr>
            </w:pPr>
            <w:r>
              <w:rPr>
                <w:rFonts w:ascii="Arial" w:cs="Arial" w:eastAsia="Arial" w:hAnsi="Arial"/>
                <w:sz w:val="14"/>
                <w:szCs w:val="14"/>
                <w:color w:val="0000FF"/>
                <w:w w:val="85"/>
              </w:rPr>
              <w:t>S</w:t>
            </w:r>
          </w:p>
        </w:tc>
        <w:tc>
          <w:tcPr>
            <w:tcW w:w="520" w:type="dxa"/>
            <w:vAlign w:val="bottom"/>
          </w:tcPr>
          <w:p>
            <w:pPr>
              <w:spacing w:after="0"/>
              <w:rPr>
                <w:sz w:val="18"/>
                <w:szCs w:val="18"/>
                <w:color w:val="auto"/>
              </w:rPr>
            </w:pPr>
          </w:p>
        </w:tc>
        <w:tc>
          <w:tcPr>
            <w:tcW w:w="940" w:type="dxa"/>
            <w:vAlign w:val="bottom"/>
            <w:gridSpan w:val="2"/>
            <w:vMerge w:val="restart"/>
          </w:tcPr>
          <w:p>
            <w:pPr>
              <w:jc w:val="center"/>
              <w:ind w:right="40"/>
              <w:spacing w:after="0"/>
              <w:rPr>
                <w:sz w:val="20"/>
                <w:szCs w:val="20"/>
                <w:color w:val="auto"/>
              </w:rPr>
            </w:pPr>
            <w:r>
              <w:rPr>
                <w:rFonts w:ascii="Arial" w:cs="Arial" w:eastAsia="Arial" w:hAnsi="Arial"/>
                <w:sz w:val="18"/>
                <w:szCs w:val="18"/>
                <w:color w:val="0000FF"/>
                <w:w w:val="84"/>
              </w:rPr>
              <w:t>400,243</w:t>
            </w:r>
            <w:r>
              <w:rPr>
                <w:rFonts w:ascii="Arial" w:cs="Arial" w:eastAsia="Arial" w:hAnsi="Arial"/>
                <w:sz w:val="22"/>
                <w:szCs w:val="22"/>
                <w:color w:val="008000"/>
                <w:w w:val="84"/>
                <w:vertAlign w:val="superscript"/>
              </w:rPr>
              <w:t>(1)</w:t>
            </w:r>
          </w:p>
        </w:tc>
        <w:tc>
          <w:tcPr>
            <w:tcW w:w="500" w:type="dxa"/>
            <w:vAlign w:val="bottom"/>
            <w:vMerge w:val="restart"/>
          </w:tcPr>
          <w:p>
            <w:pPr>
              <w:ind w:left="120"/>
              <w:spacing w:after="0"/>
              <w:rPr>
                <w:sz w:val="20"/>
                <w:szCs w:val="20"/>
                <w:color w:val="auto"/>
              </w:rPr>
            </w:pPr>
            <w:r>
              <w:rPr>
                <w:rFonts w:ascii="Arial" w:cs="Arial" w:eastAsia="Arial" w:hAnsi="Arial"/>
                <w:sz w:val="18"/>
                <w:szCs w:val="18"/>
                <w:color w:val="0000FF"/>
              </w:rPr>
              <w:t>D</w:t>
            </w:r>
          </w:p>
        </w:tc>
        <w:tc>
          <w:tcPr>
            <w:tcW w:w="700" w:type="dxa"/>
            <w:vAlign w:val="bottom"/>
            <w:gridSpan w:val="3"/>
            <w:vMerge w:val="restart"/>
          </w:tcPr>
          <w:p>
            <w:pP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38.2594</w:t>
            </w:r>
          </w:p>
        </w:tc>
        <w:tc>
          <w:tcPr>
            <w:tcW w:w="124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4,410,211</w:t>
            </w:r>
          </w:p>
        </w:tc>
        <w:tc>
          <w:tcPr>
            <w:tcW w:w="380" w:type="dxa"/>
            <w:vAlign w:val="bottom"/>
          </w:tcPr>
          <w:p>
            <w:pPr>
              <w:spacing w:after="0"/>
              <w:rPr>
                <w:sz w:val="18"/>
                <w:szCs w:val="18"/>
                <w:color w:val="auto"/>
              </w:rPr>
            </w:pPr>
          </w:p>
        </w:tc>
        <w:tc>
          <w:tcPr>
            <w:tcW w:w="52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1080" w:type="dxa"/>
            <w:vAlign w:val="bottom"/>
            <w:gridSpan w:val="3"/>
          </w:tcPr>
          <w:p>
            <w:pPr>
              <w:ind w:left="60"/>
              <w:spacing w:after="0"/>
              <w:rPr>
                <w:sz w:val="20"/>
                <w:szCs w:val="20"/>
                <w:color w:val="auto"/>
              </w:rPr>
            </w:pPr>
            <w:r>
              <w:rPr>
                <w:rFonts w:ascii="Arial" w:cs="Arial" w:eastAsia="Arial" w:hAnsi="Arial"/>
                <w:sz w:val="18"/>
                <w:szCs w:val="18"/>
                <w:color w:val="0000FF"/>
              </w:rPr>
              <w:t>Fund VI,</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gridSpan w:val="3"/>
            <w:vMerge w:val="restart"/>
          </w:tcPr>
          <w:p>
            <w:pPr>
              <w:ind w:left="60"/>
              <w:spacing w:after="0"/>
              <w:rPr>
                <w:sz w:val="20"/>
                <w:szCs w:val="20"/>
                <w:color w:val="auto"/>
              </w:rPr>
            </w:pPr>
            <w:r>
              <w:rPr>
                <w:rFonts w:ascii="Arial" w:cs="Arial" w:eastAsia="Arial" w:hAnsi="Arial"/>
                <w:sz w:val="18"/>
                <w:szCs w:val="18"/>
                <w:color w:val="0000FF"/>
              </w:rPr>
              <w:t>Limited</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89"/>
              </w:rPr>
              <w:t>Partnership</w:t>
            </w:r>
            <w:r>
              <w:rPr>
                <w:rFonts w:ascii="Arial" w:cs="Arial" w:eastAsia="Arial" w:hAnsi="Arial"/>
                <w:sz w:val="22"/>
                <w:szCs w:val="22"/>
                <w:color w:val="008000"/>
                <w:w w:val="89"/>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gridSpan w:val="3"/>
          </w:tcPr>
          <w:p>
            <w:pPr>
              <w:ind w:left="60"/>
              <w:spacing w:after="0"/>
              <w:rPr>
                <w:sz w:val="20"/>
                <w:szCs w:val="20"/>
                <w:color w:val="auto"/>
              </w:rPr>
            </w:pPr>
            <w:r>
              <w:rPr>
                <w:rFonts w:ascii="Arial" w:cs="Arial" w:eastAsia="Arial" w:hAnsi="Arial"/>
                <w:sz w:val="18"/>
                <w:szCs w:val="18"/>
                <w:color w:val="0000FF"/>
                <w:w w:val="97"/>
              </w:rPr>
              <w:t>By Berkshire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3"/>
          </w:tcPr>
          <w:p>
            <w:pPr>
              <w:ind w:left="480"/>
              <w:spacing w:after="0"/>
              <w:rPr>
                <w:sz w:val="20"/>
                <w:szCs w:val="20"/>
                <w:color w:val="auto"/>
              </w:rPr>
            </w:pPr>
            <w:r>
              <w:rPr>
                <w:rFonts w:ascii="Arial" w:cs="Arial" w:eastAsia="Arial" w:hAnsi="Arial"/>
                <w:sz w:val="18"/>
                <w:szCs w:val="18"/>
                <w:color w:val="0000FF"/>
                <w:w w:val="93"/>
              </w:rPr>
              <w:t>08/02/2018</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ind w:left="120"/>
              <w:spacing w:after="0"/>
              <w:rPr>
                <w:sz w:val="20"/>
                <w:szCs w:val="20"/>
                <w:color w:val="auto"/>
              </w:rPr>
            </w:pPr>
            <w:r>
              <w:rPr>
                <w:rFonts w:ascii="Arial" w:cs="Arial" w:eastAsia="Arial" w:hAnsi="Arial"/>
                <w:sz w:val="14"/>
                <w:szCs w:val="14"/>
                <w:color w:val="0000FF"/>
                <w:w w:val="85"/>
              </w:rPr>
              <w:t>S</w:t>
            </w:r>
          </w:p>
        </w:tc>
        <w:tc>
          <w:tcPr>
            <w:tcW w:w="520" w:type="dxa"/>
            <w:vAlign w:val="bottom"/>
          </w:tcPr>
          <w:p>
            <w:pPr>
              <w:spacing w:after="0"/>
              <w:rPr>
                <w:sz w:val="18"/>
                <w:szCs w:val="18"/>
                <w:color w:val="auto"/>
              </w:rPr>
            </w:pPr>
          </w:p>
        </w:tc>
        <w:tc>
          <w:tcPr>
            <w:tcW w:w="940" w:type="dxa"/>
            <w:vAlign w:val="bottom"/>
            <w:gridSpan w:val="2"/>
          </w:tcPr>
          <w:p>
            <w:pPr>
              <w:jc w:val="center"/>
              <w:ind w:right="60"/>
              <w:spacing w:after="0" w:line="217" w:lineRule="exact"/>
              <w:rPr>
                <w:sz w:val="20"/>
                <w:szCs w:val="20"/>
                <w:color w:val="auto"/>
              </w:rPr>
            </w:pPr>
            <w:r>
              <w:rPr>
                <w:rFonts w:ascii="Arial" w:cs="Arial" w:eastAsia="Arial" w:hAnsi="Arial"/>
                <w:sz w:val="18"/>
                <w:szCs w:val="18"/>
                <w:color w:val="0000FF"/>
                <w:w w:val="82"/>
              </w:rPr>
              <w:t>5,200</w:t>
            </w:r>
            <w:r>
              <w:rPr>
                <w:rFonts w:ascii="Arial" w:cs="Arial" w:eastAsia="Arial" w:hAnsi="Arial"/>
                <w:sz w:val="22"/>
                <w:szCs w:val="22"/>
                <w:color w:val="008000"/>
                <w:w w:val="82"/>
                <w:vertAlign w:val="superscript"/>
              </w:rPr>
              <w:t>(1)</w:t>
            </w:r>
          </w:p>
        </w:tc>
        <w:tc>
          <w:tcPr>
            <w:tcW w:w="500" w:type="dxa"/>
            <w:vAlign w:val="bottom"/>
          </w:tcPr>
          <w:p>
            <w:pPr>
              <w:ind w:left="120"/>
              <w:spacing w:after="0"/>
              <w:rPr>
                <w:sz w:val="20"/>
                <w:szCs w:val="20"/>
                <w:color w:val="auto"/>
              </w:rPr>
            </w:pPr>
            <w:r>
              <w:rPr>
                <w:rFonts w:ascii="Arial" w:cs="Arial" w:eastAsia="Arial" w:hAnsi="Arial"/>
                <w:sz w:val="18"/>
                <w:szCs w:val="18"/>
                <w:color w:val="0000FF"/>
              </w:rPr>
              <w:t>D</w:t>
            </w:r>
          </w:p>
        </w:tc>
        <w:tc>
          <w:tcPr>
            <w:tcW w:w="700" w:type="dxa"/>
            <w:vAlign w:val="bottom"/>
            <w:gridSpan w:val="3"/>
          </w:tcPr>
          <w:p>
            <w:pP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38.2594</w:t>
            </w:r>
          </w:p>
        </w:tc>
        <w:tc>
          <w:tcPr>
            <w:tcW w:w="1240" w:type="dxa"/>
            <w:vAlign w:val="bottom"/>
            <w:gridSpan w:val="3"/>
          </w:tcPr>
          <w:p>
            <w:pPr>
              <w:jc w:val="center"/>
              <w:spacing w:after="0"/>
              <w:rPr>
                <w:sz w:val="20"/>
                <w:szCs w:val="20"/>
                <w:color w:val="auto"/>
              </w:rPr>
            </w:pPr>
            <w:r>
              <w:rPr>
                <w:rFonts w:ascii="Arial" w:cs="Arial" w:eastAsia="Arial" w:hAnsi="Arial"/>
                <w:sz w:val="18"/>
                <w:szCs w:val="18"/>
                <w:color w:val="0000FF"/>
                <w:w w:val="87"/>
              </w:rPr>
              <w:t>57,299</w:t>
            </w:r>
          </w:p>
        </w:tc>
        <w:tc>
          <w:tcPr>
            <w:tcW w:w="380" w:type="dxa"/>
            <w:vAlign w:val="bottom"/>
          </w:tcPr>
          <w:p>
            <w:pPr>
              <w:spacing w:after="0"/>
              <w:rPr>
                <w:sz w:val="18"/>
                <w:szCs w:val="18"/>
                <w:color w:val="auto"/>
              </w:rPr>
            </w:pPr>
          </w:p>
        </w:tc>
        <w:tc>
          <w:tcPr>
            <w:tcW w:w="520" w:type="dxa"/>
            <w:vAlign w:val="bottom"/>
          </w:tcPr>
          <w:p>
            <w:pPr>
              <w:ind w:left="20"/>
              <w:spacing w:after="0"/>
              <w:rPr>
                <w:sz w:val="20"/>
                <w:szCs w:val="20"/>
                <w:color w:val="auto"/>
              </w:rPr>
            </w:pPr>
            <w:r>
              <w:rPr>
                <w:rFonts w:ascii="Arial" w:cs="Arial" w:eastAsia="Arial" w:hAnsi="Arial"/>
                <w:sz w:val="18"/>
                <w:szCs w:val="18"/>
                <w:color w:val="0000FF"/>
              </w:rPr>
              <w:t>I</w:t>
            </w:r>
          </w:p>
        </w:tc>
        <w:tc>
          <w:tcPr>
            <w:tcW w:w="1080" w:type="dxa"/>
            <w:vAlign w:val="bottom"/>
            <w:gridSpan w:val="3"/>
          </w:tcPr>
          <w:p>
            <w:pPr>
              <w:ind w:left="60"/>
              <w:spacing w:after="0"/>
              <w:rPr>
                <w:sz w:val="20"/>
                <w:szCs w:val="20"/>
                <w:color w:val="auto"/>
              </w:rPr>
            </w:pPr>
            <w:r>
              <w:rPr>
                <w:rFonts w:ascii="Arial" w:cs="Arial" w:eastAsia="Arial" w:hAnsi="Arial"/>
                <w:sz w:val="18"/>
                <w:szCs w:val="18"/>
                <w:color w:val="0000FF"/>
              </w:rPr>
              <w:t>Investors</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LLC</w:t>
            </w:r>
            <w:r>
              <w:rPr>
                <w:rFonts w:ascii="Arial" w:cs="Arial" w:eastAsia="Arial" w:hAnsi="Arial"/>
                <w:sz w:val="22"/>
                <w:szCs w:val="22"/>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gridSpan w:val="3"/>
          </w:tcPr>
          <w:p>
            <w:pPr>
              <w:ind w:left="60"/>
              <w:spacing w:after="0"/>
              <w:rPr>
                <w:sz w:val="20"/>
                <w:szCs w:val="20"/>
                <w:color w:val="auto"/>
              </w:rPr>
            </w:pPr>
            <w:r>
              <w:rPr>
                <w:rFonts w:ascii="Arial" w:cs="Arial" w:eastAsia="Arial" w:hAnsi="Arial"/>
                <w:sz w:val="18"/>
                <w:szCs w:val="18"/>
                <w:color w:val="0000FF"/>
                <w:w w:val="97"/>
              </w:rPr>
              <w:t>By Berkshire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3"/>
          </w:tcPr>
          <w:p>
            <w:pPr>
              <w:ind w:left="480"/>
              <w:spacing w:after="0"/>
              <w:rPr>
                <w:sz w:val="20"/>
                <w:szCs w:val="20"/>
                <w:color w:val="auto"/>
              </w:rPr>
            </w:pPr>
            <w:r>
              <w:rPr>
                <w:rFonts w:ascii="Arial" w:cs="Arial" w:eastAsia="Arial" w:hAnsi="Arial"/>
                <w:sz w:val="18"/>
                <w:szCs w:val="18"/>
                <w:color w:val="0000FF"/>
                <w:w w:val="93"/>
              </w:rPr>
              <w:t>08/02/2018</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ind w:left="120"/>
              <w:spacing w:after="0"/>
              <w:rPr>
                <w:sz w:val="20"/>
                <w:szCs w:val="20"/>
                <w:color w:val="auto"/>
              </w:rPr>
            </w:pPr>
            <w:r>
              <w:rPr>
                <w:rFonts w:ascii="Arial" w:cs="Arial" w:eastAsia="Arial" w:hAnsi="Arial"/>
                <w:sz w:val="14"/>
                <w:szCs w:val="14"/>
                <w:color w:val="0000FF"/>
                <w:w w:val="85"/>
              </w:rPr>
              <w:t>S</w:t>
            </w:r>
          </w:p>
        </w:tc>
        <w:tc>
          <w:tcPr>
            <w:tcW w:w="520" w:type="dxa"/>
            <w:vAlign w:val="bottom"/>
          </w:tcPr>
          <w:p>
            <w:pPr>
              <w:spacing w:after="0"/>
              <w:rPr>
                <w:sz w:val="18"/>
                <w:szCs w:val="18"/>
                <w:color w:val="auto"/>
              </w:rPr>
            </w:pPr>
          </w:p>
        </w:tc>
        <w:tc>
          <w:tcPr>
            <w:tcW w:w="940" w:type="dxa"/>
            <w:vAlign w:val="bottom"/>
            <w:gridSpan w:val="2"/>
          </w:tcPr>
          <w:p>
            <w:pPr>
              <w:jc w:val="center"/>
              <w:ind w:right="60"/>
              <w:spacing w:after="0" w:line="217" w:lineRule="exact"/>
              <w:rPr>
                <w:sz w:val="20"/>
                <w:szCs w:val="20"/>
                <w:color w:val="auto"/>
              </w:rPr>
            </w:pPr>
            <w:r>
              <w:rPr>
                <w:rFonts w:ascii="Arial" w:cs="Arial" w:eastAsia="Arial" w:hAnsi="Arial"/>
                <w:sz w:val="18"/>
                <w:szCs w:val="18"/>
                <w:color w:val="0000FF"/>
                <w:w w:val="82"/>
              </w:rPr>
              <w:t>2,118</w:t>
            </w:r>
            <w:r>
              <w:rPr>
                <w:rFonts w:ascii="Arial" w:cs="Arial" w:eastAsia="Arial" w:hAnsi="Arial"/>
                <w:sz w:val="22"/>
                <w:szCs w:val="22"/>
                <w:color w:val="008000"/>
                <w:w w:val="82"/>
                <w:vertAlign w:val="superscript"/>
              </w:rPr>
              <w:t>(1)</w:t>
            </w:r>
          </w:p>
        </w:tc>
        <w:tc>
          <w:tcPr>
            <w:tcW w:w="500" w:type="dxa"/>
            <w:vAlign w:val="bottom"/>
          </w:tcPr>
          <w:p>
            <w:pPr>
              <w:ind w:left="120"/>
              <w:spacing w:after="0"/>
              <w:rPr>
                <w:sz w:val="20"/>
                <w:szCs w:val="20"/>
                <w:color w:val="auto"/>
              </w:rPr>
            </w:pPr>
            <w:r>
              <w:rPr>
                <w:rFonts w:ascii="Arial" w:cs="Arial" w:eastAsia="Arial" w:hAnsi="Arial"/>
                <w:sz w:val="18"/>
                <w:szCs w:val="18"/>
                <w:color w:val="0000FF"/>
              </w:rPr>
              <w:t>D</w:t>
            </w:r>
          </w:p>
        </w:tc>
        <w:tc>
          <w:tcPr>
            <w:tcW w:w="700" w:type="dxa"/>
            <w:vAlign w:val="bottom"/>
            <w:gridSpan w:val="3"/>
          </w:tcPr>
          <w:p>
            <w:pP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38.2594</w:t>
            </w:r>
          </w:p>
        </w:tc>
        <w:tc>
          <w:tcPr>
            <w:tcW w:w="1240" w:type="dxa"/>
            <w:vAlign w:val="bottom"/>
            <w:gridSpan w:val="3"/>
          </w:tcPr>
          <w:p>
            <w:pPr>
              <w:jc w:val="center"/>
              <w:spacing w:after="0"/>
              <w:rPr>
                <w:sz w:val="20"/>
                <w:szCs w:val="20"/>
                <w:color w:val="auto"/>
              </w:rPr>
            </w:pPr>
            <w:r>
              <w:rPr>
                <w:rFonts w:ascii="Arial" w:cs="Arial" w:eastAsia="Arial" w:hAnsi="Arial"/>
                <w:sz w:val="18"/>
                <w:szCs w:val="18"/>
                <w:color w:val="0000FF"/>
                <w:w w:val="87"/>
              </w:rPr>
              <w:t>23,340</w:t>
            </w:r>
          </w:p>
        </w:tc>
        <w:tc>
          <w:tcPr>
            <w:tcW w:w="380" w:type="dxa"/>
            <w:vAlign w:val="bottom"/>
          </w:tcPr>
          <w:p>
            <w:pPr>
              <w:spacing w:after="0"/>
              <w:rPr>
                <w:sz w:val="18"/>
                <w:szCs w:val="18"/>
                <w:color w:val="auto"/>
              </w:rPr>
            </w:pPr>
          </w:p>
        </w:tc>
        <w:tc>
          <w:tcPr>
            <w:tcW w:w="520" w:type="dxa"/>
            <w:vAlign w:val="bottom"/>
          </w:tcPr>
          <w:p>
            <w:pPr>
              <w:ind w:left="20"/>
              <w:spacing w:after="0"/>
              <w:rPr>
                <w:sz w:val="20"/>
                <w:szCs w:val="20"/>
                <w:color w:val="auto"/>
              </w:rPr>
            </w:pPr>
            <w:r>
              <w:rPr>
                <w:rFonts w:ascii="Arial" w:cs="Arial" w:eastAsia="Arial" w:hAnsi="Arial"/>
                <w:sz w:val="18"/>
                <w:szCs w:val="18"/>
                <w:color w:val="0000FF"/>
              </w:rPr>
              <w:t>I</w:t>
            </w:r>
          </w:p>
        </w:tc>
        <w:tc>
          <w:tcPr>
            <w:tcW w:w="1080" w:type="dxa"/>
            <w:vAlign w:val="bottom"/>
            <w:gridSpan w:val="3"/>
          </w:tcPr>
          <w:p>
            <w:pPr>
              <w:ind w:left="60"/>
              <w:spacing w:after="0"/>
              <w:rPr>
                <w:sz w:val="20"/>
                <w:szCs w:val="20"/>
                <w:color w:val="auto"/>
              </w:rPr>
            </w:pPr>
            <w:r>
              <w:rPr>
                <w:rFonts w:ascii="Arial" w:cs="Arial" w:eastAsia="Arial" w:hAnsi="Arial"/>
                <w:sz w:val="18"/>
                <w:szCs w:val="18"/>
                <w:color w:val="0000FF"/>
              </w:rPr>
              <w:t>Investors III</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LLC</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6560" w:type="dxa"/>
            <w:vAlign w:val="bottom"/>
            <w:tcBorders>
              <w:top w:val="single" w:sz="8" w:color="2C2C2C"/>
            </w:tcBorders>
            <w:gridSpan w:val="18"/>
          </w:tcPr>
          <w:p>
            <w:pPr>
              <w:jc w:val="center"/>
              <w:ind w:left="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2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540" w:type="dxa"/>
            <w:vAlign w:val="bottom"/>
            <w:gridSpan w:val="15"/>
          </w:tcPr>
          <w:p>
            <w:pPr>
              <w:jc w:val="center"/>
              <w:ind w:left="50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620" w:type="dxa"/>
            <w:vAlign w:val="bottom"/>
          </w:tcPr>
          <w:p>
            <w:pPr>
              <w:spacing w:after="0"/>
              <w:rPr>
                <w:sz w:val="15"/>
                <w:szCs w:val="15"/>
                <w:color w:val="auto"/>
              </w:rPr>
            </w:pPr>
          </w:p>
        </w:tc>
        <w:tc>
          <w:tcPr>
            <w:tcW w:w="8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4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Price of</w:t>
            </w: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620" w:type="dxa"/>
            <w:vAlign w:val="bottom"/>
          </w:tcPr>
          <w:p>
            <w:pPr>
              <w:spacing w:after="0"/>
              <w:rPr>
                <w:sz w:val="11"/>
                <w:szCs w:val="11"/>
                <w:color w:val="auto"/>
              </w:rPr>
            </w:pP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Acquired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80" w:type="dxa"/>
            <w:vAlign w:val="bottom"/>
          </w:tcPr>
          <w:p>
            <w:pPr>
              <w:spacing w:after="0"/>
              <w:rPr>
                <w:sz w:val="11"/>
                <w:szCs w:val="11"/>
                <w:color w:val="auto"/>
              </w:rPr>
            </w:pPr>
          </w:p>
        </w:tc>
        <w:tc>
          <w:tcPr>
            <w:tcW w:w="8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gridSpan w:val="3"/>
          </w:tcPr>
          <w:p>
            <w:pPr>
              <w:ind w:left="8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940" w:type="dxa"/>
            <w:vAlign w:val="bottom"/>
            <w:gridSpan w:val="2"/>
          </w:tcPr>
          <w:p>
            <w:pPr>
              <w:ind w:left="3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7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3"/>
          </w:tcPr>
          <w:p>
            <w:pPr>
              <w:ind w:left="8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40" w:firstLine="9"/>
        <w:spacing w:after="0" w:line="273"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 connection with the secondary offering of common stock, par value $0.01 per share (the "Common Stock") of the Issuer by certain selling shareholders to Merrill Lynch, Pierce, Fenner &amp; Smith Incorporated, Citigroup Global Markets Inc., Goldman Sachs &amp; Co. LLC, Jefferies LLC, KKR Capital Markets LLC, Morgan Stanley &amp; Co. LLC, UBS Securities LLC, Wells Fargo Securities, LLC, Barclays Capital Inc., Guggenheim Securities, LLC, Mizuho Securities USA LLC and Macquarie Capital (USA) Inc. pursuant to an underwriting agreement and final prospectus supplement, each dated July 25, 2018, and an over-allotment option (the "Over-Allotment Option"), Fund VI (as defined below), Berkshire Investors (as defined below) and Berkshire Investors III (as defined below), as selling shareholders, sold 400,243, 5,200 and 2,118 shares of Common Stock, respectively. The Over-Allotment Option closed on August 2, 2018.</w:t>
      </w:r>
    </w:p>
    <w:p>
      <w:pPr>
        <w:spacing w:after="0" w:line="11" w:lineRule="exact"/>
        <w:rPr>
          <w:rFonts w:ascii="Arial" w:cs="Arial" w:eastAsia="Arial" w:hAnsi="Arial"/>
          <w:sz w:val="12"/>
          <w:szCs w:val="12"/>
          <w:color w:val="008000"/>
        </w:rPr>
      </w:pPr>
    </w:p>
    <w:p>
      <w:pPr>
        <w:ind w:left="40" w:right="180" w:firstLine="9"/>
        <w:spacing w:after="0" w:line="273"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shares held by Berkshire Fund VI, Limited Partnership ("Fund VI"). Sixth Berkshire Associates LLC ("6BA") is the general partner of Fund VI, and Berkshire Partners LLC ("Berkshire Partners") is the investment adviser to Fund VI. Berkshire Partners Holdings LLC ("BPH") is the general partner of BPSP, L.P. ("BPSP"), which is the managing member of Berkshire Partners. The Reporting Person was previously a managing member of each of BPH, BPSP, Berkshire Partners and 6BA. By virtue of the relationships described above, the Reporting Person may be deemed to share beneficial ownership with respect to the shares of Common Stock held by Fund VI. The Reporting Person disclaims beneficial ownership of the shares held by Fund VI, except to the extent of its pecuniary interest therein, and the inclusion of these securities in this report shall not be deemed an admission of beneficial ownership of the reported securities for purposes of Section 16 or for any other purpose.</w:t>
      </w:r>
    </w:p>
    <w:p>
      <w:pPr>
        <w:spacing w:after="0" w:line="11" w:lineRule="exact"/>
        <w:rPr>
          <w:rFonts w:ascii="Arial" w:cs="Arial" w:eastAsia="Arial" w:hAnsi="Arial"/>
          <w:sz w:val="12"/>
          <w:szCs w:val="12"/>
          <w:color w:val="008000"/>
        </w:rPr>
      </w:pPr>
    </w:p>
    <w:p>
      <w:pPr>
        <w:jc w:val="both"/>
        <w:ind w:left="40" w:right="10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held by Berkshire Investors LLC ("Berkshire Investors"). The Reporting Person was previously a managing member of Berkshire Investors. By virtue of the relationships described above, the Reporting Person may be deemed to share beneficial ownership with respect to the shares of Common Stock held by Berkshire Investors. The Reporting Person disclaims beneficial ownership of the shares held by Berkshire Investors, except to the extent of its pecuniary interest therein, and the inclusion of these securities in this report shall not be deemed an admission of beneficial ownership of the reported securities for purposes of Section 16 or for any other purpose.</w:t>
      </w:r>
    </w:p>
    <w:p>
      <w:pPr>
        <w:spacing w:after="0" w:line="31" w:lineRule="exact"/>
        <w:rPr>
          <w:rFonts w:ascii="Arial" w:cs="Arial" w:eastAsia="Arial" w:hAnsi="Arial"/>
          <w:sz w:val="14"/>
          <w:szCs w:val="14"/>
          <w:color w:val="008000"/>
        </w:rPr>
      </w:pPr>
    </w:p>
    <w:p>
      <w:pPr>
        <w:ind w:left="40" w:right="28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held by Berkshire Investors III LLC ("Berkshire Investors III"). The Reporting Person was previously a managing member of Berkshire Investors III. By virtue of the relationships described above, the Reporting Person may be deemed to share beneficial ownership with respect to the shares of Common Stock held by Berkshire Investors III. The Reporting Person disclaims beneficial ownership of the shares held by Berkshire Investors III, except to the extent of its pecuniary interest therein, and the inclusion of these securities in this report shall not be deemed an admission of beneficial ownership of the reported securities for purposes of Section 16 or for any other purpose.</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600" w:type="dxa"/>
            <w:vAlign w:val="bottom"/>
          </w:tcPr>
          <w:p>
            <w:pPr>
              <w:spacing w:after="0"/>
              <w:rPr>
                <w:sz w:val="20"/>
                <w:szCs w:val="20"/>
                <w:color w:val="auto"/>
              </w:rPr>
            </w:pPr>
            <w:r>
              <w:rPr>
                <w:rFonts w:ascii="Arial" w:cs="Arial" w:eastAsia="Arial" w:hAnsi="Arial"/>
                <w:sz w:val="18"/>
                <w:szCs w:val="18"/>
                <w:color w:val="0000FF"/>
                <w:w w:val="87"/>
              </w:rPr>
              <w:t>/s/ D. Randolph Peeler</w:t>
            </w:r>
          </w:p>
        </w:tc>
        <w:tc>
          <w:tcPr>
            <w:tcW w:w="520" w:type="dxa"/>
            <w:vAlign w:val="bottom"/>
          </w:tcPr>
          <w:p>
            <w:pPr>
              <w:spacing w:after="0"/>
              <w:rPr>
                <w:sz w:val="17"/>
                <w:szCs w:val="17"/>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08/06/2018</w:t>
            </w:r>
          </w:p>
        </w:tc>
      </w:tr>
      <w:tr>
        <w:trPr>
          <w:trHeight w:val="20"/>
        </w:trPr>
        <w:tc>
          <w:tcPr>
            <w:tcW w:w="1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5729" TargetMode="External"/><Relationship Id="rId13"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2019-12-23T16:25:00Z</dcterms:created>
  <dcterms:modified xsi:type="dcterms:W3CDTF">2019-12-23T16:25:00Z</dcterms:modified>
</cp:coreProperties>
</file>