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333-226287</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7"/>
        <w:spacing w:after="0"/>
        <w:rPr>
          <w:sz w:val="20"/>
          <w:szCs w:val="20"/>
          <w:color w:val="auto"/>
        </w:rPr>
      </w:pPr>
      <w:r>
        <w:rPr>
          <w:rFonts w:ascii="Arial" w:cs="Arial" w:eastAsia="Arial" w:hAnsi="Arial"/>
          <w:sz w:val="18"/>
          <w:szCs w:val="18"/>
          <w:b w:val="1"/>
          <w:bCs w:val="1"/>
          <w:color w:val="auto"/>
        </w:rPr>
        <w:t>PROSPECTUS</w:t>
      </w:r>
    </w:p>
    <w:p>
      <w:pPr>
        <w:spacing w:after="0" w:line="216"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14,447,698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148590</wp:posOffset>
            </wp:positionV>
            <wp:extent cx="1346200" cy="1037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1037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National Vision Holdings, Inc.</w:t>
      </w:r>
    </w:p>
    <w:p>
      <w:pPr>
        <w:spacing w:after="0" w:line="221"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4"/>
          <w:szCs w:val="24"/>
          <w:color w:val="auto"/>
        </w:rPr>
      </w:pPr>
    </w:p>
    <w:p>
      <w:pPr>
        <w:ind w:left="7" w:right="720" w:firstLine="360"/>
        <w:spacing w:after="0" w:line="308" w:lineRule="auto"/>
        <w:rPr>
          <w:sz w:val="20"/>
          <w:szCs w:val="20"/>
          <w:color w:val="auto"/>
        </w:rPr>
      </w:pPr>
      <w:r>
        <w:rPr>
          <w:rFonts w:ascii="Arial" w:cs="Arial" w:eastAsia="Arial" w:hAnsi="Arial"/>
          <w:sz w:val="17"/>
          <w:szCs w:val="17"/>
          <w:color w:val="auto"/>
        </w:rPr>
        <w:t>The selling stockholders named in this prospectus are offering 14,447,698 shares of common stock of National Vision Holdings, Inc. We will not receive any proceeds from the sale of our common stock by the selling stockholders.</w:t>
      </w:r>
    </w:p>
    <w:p>
      <w:pPr>
        <w:spacing w:after="0" w:line="147" w:lineRule="exact"/>
        <w:rPr>
          <w:sz w:val="24"/>
          <w:szCs w:val="24"/>
          <w:color w:val="auto"/>
        </w:rPr>
      </w:pPr>
    </w:p>
    <w:p>
      <w:pPr>
        <w:ind w:left="7" w:right="60"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“EYE.” On July 25, 2018, the closing sales price of our common stock as reported on the NASDAQ was $40.59 per share.</w:t>
      </w:r>
    </w:p>
    <w:p>
      <w:pPr>
        <w:spacing w:after="0" w:line="170" w:lineRule="exact"/>
        <w:rPr>
          <w:sz w:val="24"/>
          <w:szCs w:val="24"/>
          <w:color w:val="auto"/>
        </w:rPr>
      </w:pPr>
    </w:p>
    <w:p>
      <w:pPr>
        <w:ind w:left="7" w:right="140" w:firstLine="360"/>
        <w:spacing w:after="0" w:line="257" w:lineRule="auto"/>
        <w:rPr>
          <w:sz w:val="20"/>
          <w:szCs w:val="20"/>
          <w:color w:val="auto"/>
        </w:rPr>
      </w:pPr>
      <w:r>
        <w:rPr>
          <w:rFonts w:ascii="Arial" w:cs="Arial" w:eastAsia="Arial" w:hAnsi="Arial"/>
          <w:sz w:val="18"/>
          <w:szCs w:val="18"/>
          <w:color w:val="auto"/>
        </w:rPr>
        <w:t>To the extent that the underwriters sell more than 14,447,698 shares of our common stock, the underwriters have the option to purchase up to an additional 2,167,154 shares from certain of the selling stockholders at the public offering price, 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188" w:lineRule="exact"/>
        <w:rPr>
          <w:sz w:val="24"/>
          <w:szCs w:val="24"/>
          <w:color w:val="auto"/>
        </w:rPr>
      </w:pPr>
    </w:p>
    <w:p>
      <w:pPr>
        <w:ind w:left="7" w:right="260" w:firstLine="3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in our common stock involves risk. See “Risk Factors” beginning on page </w:t>
      </w:r>
      <w:hyperlink w:anchor="page30">
        <w:r>
          <w:rPr>
            <w:rFonts w:ascii="Arial" w:cs="Arial" w:eastAsia="Arial" w:hAnsi="Arial"/>
            <w:sz w:val="18"/>
            <w:szCs w:val="18"/>
            <w:b w:val="1"/>
            <w:bCs w:val="1"/>
            <w:i w:val="1"/>
            <w:iCs w:val="1"/>
            <w:u w:val="single" w:color="auto"/>
            <w:color w:val="0000EE"/>
          </w:rPr>
          <w:t>21</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b w:val="1"/>
          <w:bCs w:val="1"/>
          <w:i w:val="1"/>
          <w:iCs w:val="1"/>
          <w:color w:val="auto"/>
        </w:rPr>
        <w:t>of this prospectus and the risk factors in the documents incorporated by reference in this prospectus to read about factors you should consider before buying shares of our common stock.</w:t>
      </w:r>
    </w:p>
    <w:p>
      <w:pPr>
        <w:spacing w:after="0" w:line="181" w:lineRule="exact"/>
        <w:rPr>
          <w:sz w:val="24"/>
          <w:szCs w:val="24"/>
          <w:color w:val="auto"/>
        </w:rPr>
      </w:pPr>
    </w:p>
    <w:p>
      <w:pPr>
        <w:ind w:left="7" w:right="60" w:firstLine="360"/>
        <w:spacing w:after="0" w:line="264" w:lineRule="auto"/>
        <w:rPr>
          <w:sz w:val="20"/>
          <w:szCs w:val="20"/>
          <w:color w:val="auto"/>
        </w:rPr>
      </w:pPr>
      <w:r>
        <w:rPr>
          <w:rFonts w:ascii="Arial" w:cs="Arial" w:eastAsia="Arial" w:hAnsi="Arial"/>
          <w:sz w:val="18"/>
          <w:szCs w:val="18"/>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38" w:lineRule="exact"/>
        <w:rPr>
          <w:sz w:val="24"/>
          <w:szCs w:val="24"/>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574,295,996</w:t>
            </w:r>
          </w:p>
        </w:tc>
        <w:tc>
          <w:tcPr>
            <w:tcW w:w="60" w:type="dxa"/>
            <w:vAlign w:val="bottom"/>
            <w:shd w:val="clear" w:color="auto" w:fill="CCEEFF"/>
          </w:tcPr>
          <w:p>
            <w:pPr>
              <w:spacing w:after="0"/>
              <w:rPr>
                <w:sz w:val="21"/>
                <w:szCs w:val="21"/>
                <w:color w:val="auto"/>
              </w:rPr>
            </w:pPr>
          </w:p>
        </w:tc>
      </w:tr>
      <w:tr>
        <w:trPr>
          <w:trHeight w:val="237"/>
        </w:trPr>
        <w:tc>
          <w:tcPr>
            <w:tcW w:w="6440" w:type="dxa"/>
            <w:vAlign w:val="bottom"/>
            <w:gridSpan w:val="3"/>
          </w:tcPr>
          <w:p>
            <w:pPr>
              <w:spacing w:after="0"/>
              <w:rPr>
                <w:sz w:val="20"/>
                <w:szCs w:val="20"/>
                <w:color w:val="auto"/>
              </w:rPr>
            </w:pPr>
            <w:r>
              <w:rPr>
                <w:rFonts w:ascii="Arial" w:cs="Arial" w:eastAsia="Arial" w:hAnsi="Arial"/>
                <w:sz w:val="18"/>
                <w:szCs w:val="18"/>
                <w:color w:val="auto"/>
              </w:rPr>
              <w:t>Underwriting discounts and commissions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160" w:type="dxa"/>
            <w:vAlign w:val="bottom"/>
          </w:tcPr>
          <w:p>
            <w:pPr>
              <w:spacing w:after="0"/>
              <w:rPr>
                <w:sz w:val="20"/>
                <w:szCs w:val="20"/>
                <w:color w:val="auto"/>
              </w:rPr>
            </w:pPr>
          </w:p>
        </w:tc>
        <w:tc>
          <w:tcPr>
            <w:tcW w:w="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21,535,739</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Proceeds, before expenses, to the selling stockholders</w:t>
            </w:r>
            <w:r>
              <w:rPr>
                <w:rFonts w:ascii="Arial" w:cs="Arial" w:eastAsia="Arial" w:hAnsi="Arial"/>
                <w:sz w:val="28"/>
                <w:szCs w:val="28"/>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38.2594</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552,760,257</w:t>
            </w:r>
          </w:p>
        </w:tc>
        <w:tc>
          <w:tcPr>
            <w:tcW w:w="6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103"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08" w:lineRule="exact"/>
        <w:rPr>
          <w:sz w:val="24"/>
          <w:szCs w:val="24"/>
          <w:color w:val="auto"/>
        </w:rPr>
      </w:pPr>
    </w:p>
    <w:p>
      <w:pPr>
        <w:ind w:left="367"/>
        <w:spacing w:after="0"/>
        <w:rPr>
          <w:sz w:val="20"/>
          <w:szCs w:val="20"/>
          <w:color w:val="auto"/>
        </w:rPr>
      </w:pPr>
      <w:r>
        <w:rPr>
          <w:rFonts w:ascii="Arial" w:cs="Arial" w:eastAsia="Arial" w:hAnsi="Arial"/>
          <w:sz w:val="18"/>
          <w:szCs w:val="18"/>
          <w:color w:val="auto"/>
        </w:rPr>
        <w:t>The underwriters expect to deliver the shares against payment in New York, New York on or about July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152400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6"/>
        <w:spacing w:after="0"/>
        <w:rPr>
          <w:sz w:val="20"/>
          <w:szCs w:val="20"/>
          <w:color w:val="auto"/>
        </w:rPr>
      </w:pPr>
      <w:r>
        <w:rPr>
          <w:rFonts w:ascii="Arial" w:cs="Arial" w:eastAsia="Arial" w:hAnsi="Arial"/>
          <w:sz w:val="18"/>
          <w:szCs w:val="18"/>
          <w:i w:val="1"/>
          <w:iCs w:val="1"/>
          <w:color w:val="auto"/>
        </w:rPr>
        <w:t>Joint Book-Running Managers</w:t>
      </w:r>
    </w:p>
    <w:p>
      <w:pPr>
        <w:spacing w:after="0" w:line="64" w:lineRule="exact"/>
        <w:rPr>
          <w:sz w:val="24"/>
          <w:szCs w:val="24"/>
          <w:color w:val="auto"/>
        </w:rPr>
      </w:pPr>
    </w:p>
    <w:p>
      <w:pPr>
        <w:ind w:left="7"/>
        <w:spacing w:after="0"/>
        <w:tabs>
          <w:tab w:leader="none" w:pos="2466" w:val="left"/>
          <w:tab w:leader="none" w:pos="4126" w:val="left"/>
          <w:tab w:leader="none" w:pos="7426" w:val="left"/>
          <w:tab w:leader="none" w:pos="9046"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KKR</w:t>
      </w:r>
    </w:p>
    <w:p>
      <w:pPr>
        <w:spacing w:after="0" w:line="71" w:lineRule="exact"/>
        <w:rPr>
          <w:sz w:val="24"/>
          <w:szCs w:val="24"/>
          <w:color w:val="auto"/>
        </w:rPr>
      </w:pPr>
    </w:p>
    <w:p>
      <w:pPr>
        <w:ind w:left="7"/>
        <w:spacing w:after="0"/>
        <w:tabs>
          <w:tab w:leader="none" w:pos="2446" w:val="left"/>
          <w:tab w:leader="none" w:pos="5406" w:val="left"/>
          <w:tab w:leader="none" w:pos="8746" w:val="left"/>
        </w:tabs>
        <w:rPr>
          <w:sz w:val="20"/>
          <w:szCs w:val="20"/>
          <w:color w:val="auto"/>
        </w:rPr>
      </w:pP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22"/>
          <w:szCs w:val="22"/>
          <w:b w:val="1"/>
          <w:bCs w:val="1"/>
          <w:color w:val="auto"/>
        </w:rPr>
        <w:t>Wells Fargo Securities</w:t>
      </w:r>
      <w:r>
        <w:rPr>
          <w:sz w:val="20"/>
          <w:szCs w:val="20"/>
          <w:color w:val="auto"/>
        </w:rPr>
        <w:tab/>
      </w:r>
      <w:r>
        <w:rPr>
          <w:rFonts w:ascii="Arial" w:cs="Arial" w:eastAsia="Arial" w:hAnsi="Arial"/>
          <w:sz w:val="19"/>
          <w:szCs w:val="19"/>
          <w:b w:val="1"/>
          <w:bCs w:val="1"/>
          <w:color w:val="auto"/>
        </w:rPr>
        <w:t>Barclays</w:t>
      </w:r>
    </w:p>
    <w:p>
      <w:pPr>
        <w:spacing w:after="0" w:line="125" w:lineRule="exact"/>
        <w:rPr>
          <w:sz w:val="24"/>
          <w:szCs w:val="24"/>
          <w:color w:val="auto"/>
        </w:rPr>
      </w:pPr>
    </w:p>
    <w:p>
      <w:pPr>
        <w:jc w:val="center"/>
        <w:ind w:right="-6"/>
        <w:spacing w:after="0"/>
        <w:rPr>
          <w:sz w:val="20"/>
          <w:szCs w:val="20"/>
          <w:color w:val="auto"/>
        </w:rPr>
      </w:pPr>
      <w:r>
        <w:rPr>
          <w:rFonts w:ascii="Arial" w:cs="Arial" w:eastAsia="Arial" w:hAnsi="Arial"/>
          <w:sz w:val="18"/>
          <w:szCs w:val="18"/>
          <w:i w:val="1"/>
          <w:iCs w:val="1"/>
          <w:color w:val="auto"/>
        </w:rPr>
        <w:t>Co-Managers</w:t>
      </w:r>
    </w:p>
    <w:p>
      <w:pPr>
        <w:spacing w:after="0" w:line="73" w:lineRule="exact"/>
        <w:rPr>
          <w:sz w:val="24"/>
          <w:szCs w:val="24"/>
          <w:color w:val="auto"/>
        </w:rPr>
      </w:pPr>
    </w:p>
    <w:p>
      <w:pPr>
        <w:ind w:left="587"/>
        <w:spacing w:after="0"/>
        <w:tabs>
          <w:tab w:leader="none" w:pos="3986" w:val="left"/>
          <w:tab w:leader="none" w:pos="7246" w:val="left"/>
        </w:tabs>
        <w:rPr>
          <w:sz w:val="20"/>
          <w:szCs w:val="20"/>
          <w:color w:val="auto"/>
        </w:rPr>
      </w:pPr>
      <w:r>
        <w:rPr>
          <w:rFonts w:ascii="Arial" w:cs="Arial" w:eastAsia="Arial" w:hAnsi="Arial"/>
          <w:sz w:val="18"/>
          <w:szCs w:val="18"/>
          <w:b w:val="1"/>
          <w:bCs w:val="1"/>
          <w:color w:val="auto"/>
        </w:rPr>
        <w:t>Guggenheim Securities</w:t>
      </w:r>
      <w:r>
        <w:rPr>
          <w:sz w:val="20"/>
          <w:szCs w:val="20"/>
          <w:color w:val="auto"/>
        </w:rPr>
        <w:tab/>
      </w:r>
      <w:r>
        <w:rPr>
          <w:rFonts w:ascii="Arial" w:cs="Arial" w:eastAsia="Arial" w:hAnsi="Arial"/>
          <w:sz w:val="18"/>
          <w:szCs w:val="18"/>
          <w:b w:val="1"/>
          <w:bCs w:val="1"/>
          <w:color w:val="auto"/>
        </w:rPr>
        <w:t>Mizuho Securities</w:t>
      </w:r>
      <w:r>
        <w:rPr>
          <w:sz w:val="20"/>
          <w:szCs w:val="20"/>
          <w:color w:val="auto"/>
        </w:rPr>
        <w:tab/>
      </w:r>
      <w:r>
        <w:rPr>
          <w:rFonts w:ascii="Arial" w:cs="Arial" w:eastAsia="Arial" w:hAnsi="Arial"/>
          <w:sz w:val="17"/>
          <w:szCs w:val="17"/>
          <w:b w:val="1"/>
          <w:bCs w:val="1"/>
          <w:color w:val="auto"/>
        </w:rPr>
        <w:t>Macquarie Capital</w:t>
      </w:r>
    </w:p>
    <w:p>
      <w:pPr>
        <w:sectPr>
          <w:pgSz w:w="11900" w:h="16838" w:orient="portrait"/>
          <w:cols w:equalWidth="0" w:num="1">
            <w:col w:w="9567"/>
          </w:cols>
          <w:pgMar w:left="1173" w:top="238" w:right="1159" w:bottom="1440" w:gutter="0" w:footer="0" w:header="0"/>
        </w:sectPr>
      </w:pPr>
    </w:p>
    <w:p>
      <w:pPr>
        <w:spacing w:after="0" w:line="200" w:lineRule="exact"/>
        <w:rPr>
          <w:sz w:val="24"/>
          <w:szCs w:val="24"/>
          <w:color w:val="auto"/>
        </w:rPr>
      </w:pPr>
    </w:p>
    <w:p>
      <w:pPr>
        <w:spacing w:after="0" w:line="309"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Prospectus dated July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322580</wp:posOffset>
            </wp:positionV>
            <wp:extent cx="607187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18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8198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819848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8189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1870" cy="818959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6646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6646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or in any free writing prospectus that we authorize to be delivered to you. We, the selling stockholders and the underwriters have not authorized anyone to provide any information or to make any representations other than those contained, or incorporated by reference, in this prospectus or in any free writing prospectuses we have prepared. We, the selling stockholders and the underwriters take no responsibility for, and can provide no assurance as to the reliability of, any other information that others may provide you. The selling stockholders and the underwriters are offering to sell, and seeking offers to buy, these securities only in jurisdictions where offers and sales are permitted. You should assume that the information contained, or incorporated by reference, in this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56" w:lineRule="exact"/>
        <w:rPr>
          <w:sz w:val="20"/>
          <w:szCs w:val="20"/>
          <w:color w:val="auto"/>
        </w:rPr>
      </w:pPr>
    </w:p>
    <w:p>
      <w:pPr>
        <w:ind w:right="80" w:firstLine="360"/>
        <w:spacing w:after="0" w:line="295" w:lineRule="auto"/>
        <w:rPr>
          <w:sz w:val="20"/>
          <w:szCs w:val="20"/>
          <w:color w:val="auto"/>
        </w:rPr>
      </w:pPr>
      <w:r>
        <w:rPr>
          <w:rFonts w:ascii="Arial" w:cs="Arial" w:eastAsia="Arial" w:hAnsi="Arial"/>
          <w:sz w:val="16"/>
          <w:szCs w:val="16"/>
          <w:b w:val="1"/>
          <w:bCs w:val="1"/>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Market, Ranking, and Other Industry Data</w:t>
              </w:r>
            </w:hyperlink>
          </w:p>
        </w:tc>
        <w:tc>
          <w:tcPr>
            <w:tcW w:w="200" w:type="dxa"/>
            <w:vAlign w:val="bottom"/>
            <w:tcBorders>
              <w:left w:val="single" w:sz="8" w:color="CCEEFF"/>
            </w:tcBorders>
            <w:gridSpan w:val="2"/>
            <w:shd w:val="clear" w:color="auto" w:fill="CCEEFF"/>
          </w:tcPr>
          <w:p>
            <w:pPr>
              <w:jc w:val="right"/>
              <w:ind w:right="100"/>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Trademarks, Service Marks and Tradenames</w:t>
              </w:r>
            </w:hyperlink>
          </w:p>
        </w:tc>
        <w:tc>
          <w:tcPr>
            <w:tcW w:w="200" w:type="dxa"/>
            <w:vAlign w:val="bottom"/>
            <w:gridSpan w:val="2"/>
          </w:tcPr>
          <w:p>
            <w:pPr>
              <w:jc w:val="right"/>
              <w:ind w:right="100"/>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7"/>
            <w:shd w:val="clear" w:color="auto" w:fill="CCEEFF"/>
          </w:tcPr>
          <w:p>
            <w:pPr>
              <w:spacing w:after="0" w:line="189"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Basis of Presentation</w:t>
              </w:r>
            </w:hyperlink>
          </w:p>
        </w:tc>
        <w:tc>
          <w:tcPr>
            <w:tcW w:w="7840" w:type="dxa"/>
            <w:vAlign w:val="bottom"/>
            <w:tcBorders>
              <w:right w:val="single" w:sz="8" w:color="CCEEFF"/>
            </w:tcBorders>
            <w:gridSpan w:val="13"/>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7"/>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Glossary</w:t>
              </w:r>
            </w:hyperlink>
          </w:p>
        </w:tc>
        <w:tc>
          <w:tcPr>
            <w:tcW w:w="7840" w:type="dxa"/>
            <w:vAlign w:val="bottom"/>
            <w:gridSpan w:val="13"/>
          </w:tcPr>
          <w:p>
            <w:pPr>
              <w:spacing w:after="0"/>
              <w:rPr>
                <w:sz w:val="16"/>
                <w:szCs w:val="16"/>
                <w:color w:val="auto"/>
              </w:rPr>
            </w:pPr>
          </w:p>
        </w:tc>
        <w:tc>
          <w:tcPr>
            <w:tcW w:w="200" w:type="dxa"/>
            <w:vAlign w:val="bottom"/>
            <w:gridSpan w:val="2"/>
          </w:tcPr>
          <w:p>
            <w:pPr>
              <w:jc w:val="right"/>
              <w:ind w:right="100"/>
              <w:spacing w:after="0" w:line="189" w:lineRule="exact"/>
              <w:rPr>
                <w:rFonts w:ascii="Arial" w:cs="Arial" w:eastAsia="Arial" w:hAnsi="Arial"/>
                <w:sz w:val="17"/>
                <w:szCs w:val="17"/>
                <w:color w:val="0000EE"/>
                <w:w w:val="70"/>
              </w:rPr>
            </w:pPr>
            <w:hyperlink w:anchor="page8">
              <w:r>
                <w:rPr>
                  <w:rFonts w:ascii="Arial" w:cs="Arial" w:eastAsia="Arial" w:hAnsi="Arial"/>
                  <w:sz w:val="17"/>
                  <w:szCs w:val="17"/>
                  <w:color w:val="0000EE"/>
                  <w:w w:val="70"/>
                </w:rPr>
                <w:t>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Non-GAAP Financial Measures</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5"/>
                <w:szCs w:val="15"/>
                <w:color w:val="0000EE"/>
                <w:w w:val="73"/>
              </w:rPr>
            </w:pPr>
            <w:hyperlink w:anchor="page9">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gridSpan w:val="12"/>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Prospectus Summary</w:t>
              </w:r>
            </w:hyperlink>
          </w:p>
        </w:tc>
        <w:tc>
          <w:tcPr>
            <w:tcW w:w="7060" w:type="dxa"/>
            <w:vAlign w:val="bottom"/>
            <w:gridSpan w:val="8"/>
          </w:tcPr>
          <w:p>
            <w:pPr>
              <w:spacing w:after="0"/>
              <w:rPr>
                <w:sz w:val="16"/>
                <w:szCs w:val="16"/>
                <w:color w:val="auto"/>
              </w:rPr>
            </w:pPr>
          </w:p>
        </w:tc>
        <w:tc>
          <w:tcPr>
            <w:tcW w:w="200" w:type="dxa"/>
            <w:vAlign w:val="bottom"/>
            <w:gridSpan w:val="2"/>
          </w:tcPr>
          <w:p>
            <w:pPr>
              <w:jc w:val="right"/>
              <w:ind w:right="100"/>
              <w:spacing w:after="0" w:line="189"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8460" w:type="dxa"/>
            <w:vAlign w:val="bottom"/>
            <w:tcBorders>
              <w:right w:val="single" w:sz="8" w:color="CCEEFF"/>
            </w:tcBorders>
            <w:gridSpan w:val="17"/>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30">
              <w:r>
                <w:rPr>
                  <w:rFonts w:ascii="Arial" w:cs="Arial" w:eastAsia="Arial" w:hAnsi="Arial"/>
                  <w:sz w:val="10"/>
                  <w:szCs w:val="10"/>
                  <w:color w:val="0000EE"/>
                  <w:w w:val="71"/>
                </w:rPr>
                <w:t>21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Special Note Regarding Forward-Looking Statements</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28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39">
              <w:r>
                <w:rPr>
                  <w:rFonts w:ascii="Arial" w:cs="Arial" w:eastAsia="Arial" w:hAnsi="Arial"/>
                  <w:sz w:val="10"/>
                  <w:szCs w:val="10"/>
                  <w:color w:val="0000EE"/>
                  <w:w w:val="71"/>
                </w:rPr>
                <w:t>30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Dividend Policy</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40">
              <w:r>
                <w:rPr>
                  <w:rFonts w:ascii="Arial" w:cs="Arial" w:eastAsia="Arial" w:hAnsi="Arial"/>
                  <w:sz w:val="10"/>
                  <w:szCs w:val="10"/>
                  <w:color w:val="0000EE"/>
                  <w:w w:val="71"/>
                </w:rPr>
                <w:t>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1"/>
            <w:shd w:val="clear" w:color="auto" w:fill="CCEEFF"/>
          </w:tcPr>
          <w:p>
            <w:pPr>
              <w:spacing w:after="0" w:line="189"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Price Range of Common Stock</w:t>
              </w:r>
            </w:hyperlink>
          </w:p>
        </w:tc>
        <w:tc>
          <w:tcPr>
            <w:tcW w:w="7120" w:type="dxa"/>
            <w:vAlign w:val="bottom"/>
            <w:tcBorders>
              <w:right w:val="single" w:sz="8" w:color="CCEEFF"/>
            </w:tcBorders>
            <w:gridSpan w:val="9"/>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1">
              <w:r>
                <w:rPr>
                  <w:rFonts w:ascii="Arial" w:cs="Arial" w:eastAsia="Arial" w:hAnsi="Arial"/>
                  <w:sz w:val="10"/>
                  <w:szCs w:val="10"/>
                  <w:color w:val="0000EE"/>
                  <w:w w:val="71"/>
                </w:rPr>
                <w:t>32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1"/>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Capitalization</w:t>
              </w:r>
            </w:hyperlink>
          </w:p>
        </w:tc>
        <w:tc>
          <w:tcPr>
            <w:tcW w:w="7120" w:type="dxa"/>
            <w:vAlign w:val="bottom"/>
            <w:gridSpan w:val="9"/>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42">
              <w:r>
                <w:rPr>
                  <w:rFonts w:ascii="Arial" w:cs="Arial" w:eastAsia="Arial" w:hAnsi="Arial"/>
                  <w:sz w:val="10"/>
                  <w:szCs w:val="10"/>
                  <w:color w:val="0000EE"/>
                  <w:w w:val="71"/>
                </w:rPr>
                <w:t>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shd w:val="clear" w:color="auto" w:fill="CCEEFF"/>
          </w:tcPr>
          <w:p>
            <w:pPr>
              <w:spacing w:after="0" w:line="189"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Certain Relationships and Related Party Transactions</w:t>
              </w:r>
            </w:hyperlink>
          </w:p>
        </w:tc>
        <w:tc>
          <w:tcPr>
            <w:tcW w:w="5520" w:type="dxa"/>
            <w:vAlign w:val="bottom"/>
            <w:tcBorders>
              <w:right w:val="single" w:sz="8" w:color="CCEEFF"/>
            </w:tcBorders>
            <w:gridSpan w:val="3"/>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3">
              <w:r>
                <w:rPr>
                  <w:rFonts w:ascii="Arial" w:cs="Arial" w:eastAsia="Arial" w:hAnsi="Arial"/>
                  <w:sz w:val="10"/>
                  <w:szCs w:val="10"/>
                  <w:color w:val="0000EE"/>
                  <w:w w:val="71"/>
                </w:rPr>
                <w:t>34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Selling Stockholders</w:t>
              </w:r>
            </w:hyperlink>
          </w:p>
        </w:tc>
        <w:tc>
          <w:tcPr>
            <w:tcW w:w="5520" w:type="dxa"/>
            <w:vAlign w:val="bottom"/>
            <w:gridSpan w:val="3"/>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46">
              <w:r>
                <w:rPr>
                  <w:rFonts w:ascii="Arial" w:cs="Arial" w:eastAsia="Arial" w:hAnsi="Arial"/>
                  <w:sz w:val="10"/>
                  <w:szCs w:val="10"/>
                  <w:color w:val="0000EE"/>
                  <w:w w:val="71"/>
                </w:rPr>
                <w:t>37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Capital Stock</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8">
              <w:r>
                <w:rPr>
                  <w:rFonts w:ascii="Arial" w:cs="Arial" w:eastAsia="Arial" w:hAnsi="Arial"/>
                  <w:sz w:val="10"/>
                  <w:szCs w:val="10"/>
                  <w:color w:val="0000EE"/>
                  <w:w w:val="71"/>
                </w:rPr>
                <w:t>39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Shares Eligible for Future Sale</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55">
              <w:r>
                <w:rPr>
                  <w:rFonts w:ascii="Arial" w:cs="Arial" w:eastAsia="Arial" w:hAnsi="Arial"/>
                  <w:sz w:val="10"/>
                  <w:szCs w:val="10"/>
                  <w:color w:val="0000EE"/>
                  <w:w w:val="71"/>
                </w:rPr>
                <w:t>46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Material United States Federal Income and Estate Tax Consequences to Non-U.S. Holders</w:t>
              </w:r>
            </w:hyperlink>
          </w:p>
        </w:tc>
        <w:tc>
          <w:tcPr>
            <w:tcW w:w="28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57">
              <w:r>
                <w:rPr>
                  <w:rFonts w:ascii="Arial" w:cs="Arial" w:eastAsia="Arial" w:hAnsi="Arial"/>
                  <w:sz w:val="10"/>
                  <w:szCs w:val="10"/>
                  <w:color w:val="0000EE"/>
                  <w:w w:val="71"/>
                </w:rPr>
                <w:t>48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0000EE"/>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Underwriting (Conflicts of Interest)</w:t>
              </w:r>
            </w:hyperlink>
          </w:p>
        </w:tc>
        <w:tc>
          <w:tcPr>
            <w:tcW w:w="2860" w:type="dxa"/>
            <w:vAlign w:val="bottom"/>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0">
              <w:r>
                <w:rPr>
                  <w:rFonts w:ascii="Arial" w:cs="Arial" w:eastAsia="Arial" w:hAnsi="Arial"/>
                  <w:sz w:val="10"/>
                  <w:szCs w:val="10"/>
                  <w:color w:val="0000EE"/>
                  <w:w w:val="71"/>
                </w:rPr>
                <w:t>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shd w:val="clear" w:color="auto" w:fill="CCEEFF"/>
          </w:tcPr>
          <w:p>
            <w:pPr>
              <w:spacing w:after="0" w:line="189"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Legal Matters</w:t>
              </w:r>
            </w:hyperlink>
          </w:p>
        </w:tc>
        <w:tc>
          <w:tcPr>
            <w:tcW w:w="8360" w:type="dxa"/>
            <w:vAlign w:val="bottom"/>
            <w:tcBorders>
              <w:right w:val="single" w:sz="8" w:color="CCEEFF"/>
            </w:tcBorders>
            <w:gridSpan w:val="16"/>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67">
              <w:r>
                <w:rPr>
                  <w:rFonts w:ascii="Arial" w:cs="Arial" w:eastAsia="Arial" w:hAnsi="Arial"/>
                  <w:sz w:val="10"/>
                  <w:szCs w:val="10"/>
                  <w:color w:val="0000EE"/>
                  <w:w w:val="71"/>
                </w:rPr>
                <w:t>58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8"/>
                <w:szCs w:val="18"/>
                <w:color w:val="0000EE"/>
              </w:rPr>
            </w:pPr>
            <w:hyperlink w:anchor="page67">
              <w:r>
                <w:rPr>
                  <w:rFonts w:ascii="Arial" w:cs="Arial" w:eastAsia="Arial" w:hAnsi="Arial"/>
                  <w:sz w:val="18"/>
                  <w:szCs w:val="18"/>
                  <w:color w:val="0000EE"/>
                </w:rPr>
                <w:t>Experts</w:t>
              </w:r>
            </w:hyperlink>
          </w:p>
        </w:tc>
        <w:tc>
          <w:tcPr>
            <w:tcW w:w="8360" w:type="dxa"/>
            <w:vAlign w:val="bottom"/>
            <w:gridSpan w:val="16"/>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7">
              <w:r>
                <w:rPr>
                  <w:rFonts w:ascii="Arial" w:cs="Arial" w:eastAsia="Arial" w:hAnsi="Arial"/>
                  <w:sz w:val="10"/>
                  <w:szCs w:val="10"/>
                  <w:color w:val="0000EE"/>
                  <w:w w:val="71"/>
                </w:rPr>
                <w:t>58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4"/>
            <w:shd w:val="clear" w:color="auto" w:fill="CCEEFF"/>
          </w:tcPr>
          <w:p>
            <w:pPr>
              <w:spacing w:after="0" w:line="189"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Where You Can Find More Information</w:t>
              </w:r>
            </w:hyperlink>
          </w:p>
        </w:tc>
        <w:tc>
          <w:tcPr>
            <w:tcW w:w="6500" w:type="dxa"/>
            <w:vAlign w:val="bottom"/>
            <w:tcBorders>
              <w:right w:val="single" w:sz="8" w:color="CCEEFF"/>
            </w:tcBorders>
            <w:gridSpan w:val="6"/>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67">
              <w:r>
                <w:rPr>
                  <w:rFonts w:ascii="Arial" w:cs="Arial" w:eastAsia="Arial" w:hAnsi="Arial"/>
                  <w:sz w:val="10"/>
                  <w:szCs w:val="10"/>
                  <w:color w:val="0000EE"/>
                  <w:w w:val="71"/>
                </w:rPr>
                <w:t>58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gridSpan w:val="8"/>
          </w:tcPr>
          <w:p>
            <w:pPr>
              <w:spacing w:after="0" w:line="189"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Incorporation by Reference</w:t>
              </w:r>
            </w:hyperlink>
          </w:p>
        </w:tc>
        <w:tc>
          <w:tcPr>
            <w:tcW w:w="880" w:type="dxa"/>
            <w:vAlign w:val="bottom"/>
            <w:gridSpan w:val="6"/>
          </w:tcPr>
          <w:p>
            <w:pPr>
              <w:spacing w:after="0"/>
              <w:rPr>
                <w:sz w:val="16"/>
                <w:szCs w:val="16"/>
                <w:color w:val="auto"/>
              </w:rPr>
            </w:pPr>
          </w:p>
        </w:tc>
        <w:tc>
          <w:tcPr>
            <w:tcW w:w="6500" w:type="dxa"/>
            <w:vAlign w:val="bottom"/>
            <w:gridSpan w:val="6"/>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8">
              <w:r>
                <w:rPr>
                  <w:rFonts w:ascii="Arial" w:cs="Arial" w:eastAsia="Arial" w:hAnsi="Arial"/>
                  <w:sz w:val="10"/>
                  <w:szCs w:val="10"/>
                  <w:color w:val="0000EE"/>
                  <w:w w:val="71"/>
                </w:rPr>
                <w:t>59</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6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“Risk Factors” and “Management’s Discussion and Analysis of Financial Condition and Results of Operations” in our Annual Report (as defined herein) and “Management’s Discussion and Analysis of Financial Condition and Results of Operations” in our Quarterly Report (as defined herein), each of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4" w:lineRule="auto"/>
        <w:rPr>
          <w:sz w:val="20"/>
          <w:szCs w:val="20"/>
          <w:color w:val="auto"/>
        </w:rPr>
      </w:pPr>
      <w:r>
        <w:rPr>
          <w:rFonts w:ascii="Arial" w:cs="Arial" w:eastAsia="Arial" w:hAnsi="Arial"/>
          <w:sz w:val="16"/>
          <w:szCs w:val="16"/>
          <w:color w:val="auto"/>
        </w:rPr>
        <w:t xml:space="preserve">We own a number of registered and common law trademarks and pending applications for trademark registrations in the United States, primarily through our subsidiaries, including: America’s Best, America’s Best &amp; design, America’s Best Contacts &amp; Eyeglasses, America’s Best Contacts &amp; Eyeglasses &amp; design, America’s Best Vision Plan, America’s Best owl mascot image, the slogan, “It’s not just a better deal. It’s America’s Best.,” Eyeglass World, Eyeglass World logos, the slogans, “See yourself smile. See yourself save.,” “The world’s best way to buy glasses.” and “The world’s best way to buy contacts.,” the Eyeglass World mast image Mr. World, AC Lens, FirstSight, Vista Optical, Eyecare Club, Sofmed, Digimax, Neverglare, Neverglare Advantage and Neverglare Advantage &amp; design. Solely for convenience, the trademarks, service marks and tradenames referred to in this prospectus (or in documents we have incorporated by reference) are presented without the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t>
      </w:r>
      <w:r>
        <w:rPr>
          <w:rFonts w:ascii="Arial" w:cs="Arial" w:eastAsia="Arial" w:hAnsi="Arial"/>
          <w:sz w:val="24"/>
          <w:szCs w:val="24"/>
          <w:b w:val="1"/>
          <w:bCs w:val="1"/>
          <w:color w:val="auto"/>
          <w:vertAlign w:val="superscript"/>
        </w:rPr>
        <w:t>SM</w:t>
      </w:r>
      <w:r>
        <w:rPr>
          <w:rFonts w:ascii="Arial" w:cs="Arial" w:eastAsia="Arial" w:hAnsi="Arial"/>
          <w:sz w:val="16"/>
          <w:szCs w:val="16"/>
          <w:color w:val="auto"/>
        </w:rPr>
        <w:t xml:space="preserve">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(or in documents we have incorporated by reference) are the property of their respective owners.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40" w:firstLine="360"/>
        <w:spacing w:after="0" w:line="255" w:lineRule="auto"/>
        <w:rPr>
          <w:sz w:val="20"/>
          <w:szCs w:val="20"/>
          <w:color w:val="auto"/>
        </w:rPr>
      </w:pPr>
      <w:r>
        <w:rPr>
          <w:rFonts w:ascii="Arial" w:cs="Arial" w:eastAsia="Arial" w:hAnsi="Arial"/>
          <w:sz w:val="18"/>
          <w:szCs w:val="18"/>
          <w:color w:val="auto"/>
        </w:rPr>
        <w:t>Unless otherwise indicated or the context otherwise requires, financial data included, or incorporated by reference,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References to “fiscal year 2015,” “fiscal year 2016” and “fiscal year 2017” relate to our fiscal year ended January 2, 2016, our fiscal year ended December 31, 2016 and our fiscal year ended December 30, 2017, respectively.</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Amounts in this prospectus and the audited consolidated financial statements incorporated by reference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have been consistently applied to all periods presented.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29" w:lineRule="exact"/>
        <w:rPr>
          <w:sz w:val="20"/>
          <w:szCs w:val="20"/>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 Lens” means Arlington Contact Lens Service, Inc., our wholly-owned subsidiary.</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December 30, 2017, filed on March 8, 2018.</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“Berkshire” means Berkshire Partners LLC.</w:t>
      </w:r>
    </w:p>
    <w:p>
      <w:pPr>
        <w:spacing w:after="0" w:line="117" w:lineRule="exact"/>
        <w:rPr>
          <w:rFonts w:ascii="Arial" w:cs="Arial" w:eastAsia="Arial" w:hAnsi="Arial"/>
          <w:sz w:val="18"/>
          <w:szCs w:val="18"/>
          <w:color w:val="auto"/>
        </w:rPr>
      </w:pPr>
    </w:p>
    <w:p>
      <w:pPr>
        <w:ind w:left="700" w:right="180" w:hanging="356"/>
        <w:spacing w:after="0" w:line="308"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38" w:lineRule="exact"/>
        <w:rPr>
          <w:rFonts w:ascii="Arial" w:cs="Arial" w:eastAsia="Arial" w:hAnsi="Arial"/>
          <w:sz w:val="17"/>
          <w:szCs w:val="17"/>
          <w:color w:val="auto"/>
        </w:rPr>
      </w:pPr>
    </w:p>
    <w:p>
      <w:pPr>
        <w:ind w:left="700" w:hanging="356"/>
        <w:spacing w:after="0" w:line="312"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8" w:lineRule="exact"/>
        <w:rPr>
          <w:rFonts w:ascii="Arial" w:cs="Arial" w:eastAsia="Arial" w:hAnsi="Arial"/>
          <w:sz w:val="16"/>
          <w:szCs w:val="16"/>
          <w:color w:val="auto"/>
        </w:rPr>
      </w:pPr>
    </w:p>
    <w:p>
      <w:pPr>
        <w:ind w:left="700" w:right="140" w:hanging="356"/>
        <w:spacing w:after="0" w:line="342"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“Eye care practitioners” means optometrists and ophthalmologists.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“FirstSight” means FirstSight Vision Services, Inc., our wholly-owned subsidiary.</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“Host brands” means the Vista Optical brands we operate in Fred Meyer stores and on U.S. Army and Air Force military bases.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“Host partners” means Fred Meyer, Inc., or Fred Meyer, and the U.S. Army and Air Force Exchange Service.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Acquisition” means the acquisition of the Company by affiliates of KKR Sponsor in March 2014.</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Sponsor” means Kohlberg Kravis Roberts &amp; Co. L.P.</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brand” means the Vision Center brand we operate in Walmart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partner” means Walmart.</w:t>
      </w:r>
    </w:p>
    <w:p>
      <w:pPr>
        <w:spacing w:after="0" w:line="117"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five years.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60" w:hanging="356"/>
        <w:spacing w:after="0" w:line="276"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“Omni-channel platform” means the technology supporting many of our physical and online retail functionalities and services, including online frame browsing and virtual frame try-on, scheduling of appointments, ship to customer programs, geolocation of our retail locations and online ordering of optical goods. As of March 31, 2018, our omni-channel platform serves our America’s Best Contacts &amp; Eyeglasses, or America’s Best, stores, Eyeglass World stores and Vista Optical operations on U.S. Army and Air Force military bases.</w:t>
      </w:r>
    </w:p>
    <w:p>
      <w:pPr>
        <w:spacing w:after="0" w:line="64" w:lineRule="exact"/>
        <w:rPr>
          <w:rFonts w:ascii="Arial" w:cs="Arial" w:eastAsia="Arial" w:hAnsi="Arial"/>
          <w:sz w:val="17"/>
          <w:szCs w:val="17"/>
          <w:color w:val="auto"/>
        </w:rPr>
      </w:pPr>
    </w:p>
    <w:p>
      <w:pPr>
        <w:ind w:left="700" w:hanging="35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“Owned brands” or “owned stores” mean our America’s Best and Eyeglass World brands or stores, as applicable.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 brands” means our host and legacy brands, collectively.</w:t>
      </w:r>
    </w:p>
    <w:p>
      <w:pPr>
        <w:spacing w:after="0" w:line="117" w:lineRule="exact"/>
        <w:rPr>
          <w:rFonts w:ascii="Arial" w:cs="Arial" w:eastAsia="Arial" w:hAnsi="Arial"/>
          <w:sz w:val="18"/>
          <w:szCs w:val="18"/>
          <w:color w:val="auto"/>
        </w:rPr>
      </w:pPr>
    </w:p>
    <w:p>
      <w:pPr>
        <w:ind w:left="700" w:right="26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means our Quarterly Report on Form 10-Q for the quarterly period ended March 31, 2018, filed on May 15, 2018.</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“Sponsors” means affiliates of KKR Sponsor and private equity funds managed by Berkshire.</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 segment” or “value segment of the U.S. optical retail industry” consists of the Company, Walmart, Costco Wholesale and Eyemart Express, Ltd.</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“Vision care professionals” means optometrists (including optometrists employed by us or by professional corporations owned by eye care practitioners with which we have arrangements) and opticians.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This prospectus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w:t>
      </w:r>
    </w:p>
    <w:p>
      <w:pPr>
        <w:spacing w:after="0" w:line="6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483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2825" cy="5483860"/>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00" w:firstLine="360"/>
        <w:spacing w:after="0" w:line="269"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and it includes information contained elsewhere in this prospectus or incorporated by reference in this prospectus from our filings with the SEC listed under “Incorporation by Reference.” This summary is not complete and does not contain all of the information that you should consider before making your investment decision. You should carefully read this entire prospectus and the information incorporated by reference in this prospectus, including any free writing prospectus prepared by us or on our behalf, including the sections entitled “Special Note Regarding Forward-Looking Statements” and “Risk Factors” included in this prospectus, the sections entitled “Risk Factors” and “Management’s Discussion and Analysis of Financial Condition and Results of Operations” and the audited consolidated financial statements and related notes thereto in our Annual Report, and the section entitled “Management’s Discussion and Analysis of Financial Condition and Results of Operations” and the unaudited condensed consolidated financial statements and related notes thereto in our Quarterly Report, each of which is incorporated by reference in this prospectus, before you decide to invest in shares of our common stock.</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00" w:right="40" w:firstLine="360"/>
        <w:spacing w:after="0" w:line="253" w:lineRule="auto"/>
        <w:rPr>
          <w:sz w:val="20"/>
          <w:szCs w:val="20"/>
          <w:color w:val="auto"/>
        </w:rPr>
      </w:pPr>
      <w:r>
        <w:rPr>
          <w:rFonts w:ascii="Arial" w:cs="Arial" w:eastAsia="Arial" w:hAnsi="Arial"/>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9" w:lineRule="exact"/>
        <w:rPr>
          <w:sz w:val="20"/>
          <w:szCs w:val="20"/>
          <w:color w:val="auto"/>
        </w:rPr>
      </w:pPr>
    </w:p>
    <w:p>
      <w:pPr>
        <w:ind w:left="100" w:firstLine="360"/>
        <w:spacing w:after="0" w:line="268" w:lineRule="auto"/>
        <w:rPr>
          <w:sz w:val="20"/>
          <w:szCs w:val="20"/>
          <w:color w:val="auto"/>
        </w:rPr>
      </w:pPr>
      <w:r>
        <w:rPr>
          <w:rFonts w:ascii="Arial" w:cs="Arial" w:eastAsia="Arial" w:hAnsi="Arial"/>
          <w:sz w:val="17"/>
          <w:szCs w:val="17"/>
          <w:color w:val="auto"/>
        </w:rPr>
        <w:t>We are well positioned to serve our new and existing customers through a diverse portfolio of 1,027 retail stores across five brands and 20 consumer websites as of March 31, 2018.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which is licensed as a single-service health plan under California law, issues individual vision care benefit plans in connection with our America’s Best operations in California and provides, or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82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2825" cy="6882130"/>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 of Our Brands and Omni-channel &amp; E-commerce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March 31, 2018. SKU figures refer to eyeglass frame SKUs. ODs are Doctors of Optometry.</w:t>
      </w:r>
    </w:p>
    <w:p>
      <w:pPr>
        <w:spacing w:after="0" w:line="109" w:lineRule="exact"/>
        <w:rPr>
          <w:sz w:val="20"/>
          <w:szCs w:val="20"/>
          <w:color w:val="auto"/>
        </w:rPr>
      </w:pPr>
    </w:p>
    <w:p>
      <w:pPr>
        <w:ind w:left="460" w:hanging="353"/>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100" w:lineRule="exact"/>
        <w:rPr>
          <w:sz w:val="20"/>
          <w:szCs w:val="20"/>
          <w:color w:val="auto"/>
        </w:rPr>
      </w:pPr>
    </w:p>
    <w:p>
      <w:pPr>
        <w:ind w:left="100" w:right="140" w:firstLine="360"/>
        <w:spacing w:after="0" w:line="297"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900,000 individuals to see and have indirectly helped improve the vision of approximately 15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0" w:lineRule="exact"/>
        <w:rPr>
          <w:sz w:val="20"/>
          <w:szCs w:val="20"/>
          <w:color w:val="auto"/>
        </w:rPr>
      </w:pPr>
    </w:p>
    <w:p>
      <w:pPr>
        <w:jc w:val="both"/>
        <w:ind w:left="100" w:right="60" w:firstLine="360"/>
        <w:spacing w:after="0" w:line="286" w:lineRule="auto"/>
        <w:rPr>
          <w:sz w:val="20"/>
          <w:szCs w:val="20"/>
          <w:color w:val="auto"/>
        </w:rPr>
      </w:pPr>
      <w:r>
        <w:rPr>
          <w:rFonts w:ascii="Arial" w:cs="Arial" w:eastAsia="Arial" w:hAnsi="Arial"/>
          <w:sz w:val="17"/>
          <w:szCs w:val="17"/>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57" w:lineRule="exact"/>
        <w:rPr>
          <w:sz w:val="20"/>
          <w:szCs w:val="20"/>
          <w:color w:val="auto"/>
        </w:rPr>
      </w:pPr>
    </w:p>
    <w:p>
      <w:pPr>
        <w:ind w:left="800" w:hanging="342"/>
        <w:spacing w:after="0" w:line="255"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and Defensible Value Proposition. </w:t>
      </w:r>
      <w:r>
        <w:rPr>
          <w:rFonts w:ascii="Arial" w:cs="Arial" w:eastAsia="Arial" w:hAnsi="Arial"/>
          <w:sz w:val="18"/>
          <w:szCs w:val="18"/>
          <w:color w:val="auto"/>
        </w:rPr>
        <w:t>We believe our success is driven by our low prices, convenient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for America’s Best allows us to communicate this value proposition to a meaningfully greater number of current and potential customers.</w:t>
      </w:r>
    </w:p>
    <w:p>
      <w:pPr>
        <w:spacing w:after="0" w:line="81" w:lineRule="exact"/>
        <w:rPr>
          <w:rFonts w:ascii="Arial" w:cs="Arial" w:eastAsia="Arial" w:hAnsi="Arial"/>
          <w:sz w:val="18"/>
          <w:szCs w:val="18"/>
          <w:color w:val="auto"/>
        </w:rPr>
      </w:pPr>
    </w:p>
    <w:p>
      <w:pPr>
        <w:ind w:left="800" w:right="40" w:hanging="342"/>
        <w:spacing w:after="0" w:line="273"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63% of total customers in fiscal year 2017 and new customers representing the remaining 37% of total customers in fiscal year 2017.</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70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2825" cy="7370445"/>
                    </a:xfrm>
                    <a:prstGeom prst="rect">
                      <a:avLst/>
                    </a:prstGeom>
                    <a:noFill/>
                  </pic:spPr>
                </pic:pic>
              </a:graphicData>
            </a:graphic>
          </wp:anchor>
        </w:drawing>
      </w:r>
    </w:p>
    <w:p>
      <w:pPr>
        <w:spacing w:after="0" w:line="246" w:lineRule="exact"/>
        <w:rPr>
          <w:sz w:val="20"/>
          <w:szCs w:val="20"/>
          <w:color w:val="auto"/>
        </w:rPr>
      </w:pPr>
    </w:p>
    <w:p>
      <w:pPr>
        <w:ind w:left="800" w:hanging="342"/>
        <w:spacing w:after="0" w:line="269"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Store Economics and Embedded Earnings Growth. </w:t>
      </w:r>
      <w:r>
        <w:rPr>
          <w:rFonts w:ascii="Arial" w:cs="Arial" w:eastAsia="Arial" w:hAnsi="Arial"/>
          <w:sz w:val="17"/>
          <w:szCs w:val="17"/>
          <w:color w:val="auto"/>
        </w:rPr>
        <w:t>Our store economics are based on low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steady ramping of sales in new locations, low operating costs and consistent sales volume and earnings growth in mature stores, which result in attractive returns on capital. Historically, on average, 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2"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By targeting the high-growth value segment, we have grown revenue at three times the rate of the U.S. optical retail industry over the past five years, gained significant market share and generated a record 65 consecutive quarters of positive comparable store sales growth.</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65 Consecutive Quarters of Positive Comparable Store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right="120" w:hanging="353"/>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66" w:lineRule="exact"/>
        <w:rPr>
          <w:sz w:val="20"/>
          <w:szCs w:val="20"/>
          <w:color w:val="auto"/>
        </w:rPr>
      </w:pPr>
    </w:p>
    <w:p>
      <w:pPr>
        <w:ind w:left="460" w:right="60" w:hanging="353"/>
        <w:spacing w:after="0" w:line="273"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57"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color w:val="auto"/>
        </w:rPr>
        <w:t>For fiscal years 2015, 2016 and 2017, we generated total net revenue of $1.1 billion, $1.2 billion and $1.4 billion, respectively, representing a compound annual growth rate, or CAGR, of approximately 13.7% from fiscal year 2015 to fiscal year 2017. Our net income for these same periods was $4 million, $15 million and $46 million, respectively. Our Adjusted EBITDA for these same periods was $113 million, $138 million and $160 million, respectively, representing a CAGR of approximately</w:t>
      </w:r>
    </w:p>
    <w:p>
      <w:pPr>
        <w:spacing w:after="0" w:line="2" w:lineRule="exact"/>
        <w:rPr>
          <w:sz w:val="20"/>
          <w:szCs w:val="20"/>
          <w:color w:val="auto"/>
        </w:rPr>
      </w:pPr>
    </w:p>
    <w:p>
      <w:pPr>
        <w:ind w:left="100" w:right="160"/>
        <w:spacing w:after="0" w:line="273" w:lineRule="auto"/>
        <w:rPr>
          <w:sz w:val="20"/>
          <w:szCs w:val="20"/>
          <w:color w:val="auto"/>
        </w:rPr>
      </w:pPr>
      <w:r>
        <w:rPr>
          <w:rFonts w:ascii="Arial" w:cs="Arial" w:eastAsia="Arial" w:hAnsi="Arial"/>
          <w:sz w:val="17"/>
          <w:szCs w:val="17"/>
          <w:color w:val="auto"/>
        </w:rPr>
        <w:t>19.0% from fiscal year 2015 to fiscal year 2017. Our Adjusted Net Income for these same periods was $26 million, $33 million and $33 million, respectively, representing a CAGR of approximately 13.1% from fiscal year 2015 to fiscal year 2017. For definitions of Adjusted EBITDA and Adjusted Net Income and a reconciliation of Adjusted EBITDA and Adjusted Net Income to net income, see “―Summary Historical Consolidated Financial and Other Data.”</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5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2825" cy="765365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00" w:right="20" w:firstLine="360"/>
        <w:spacing w:after="0" w:line="289" w:lineRule="auto"/>
        <w:rPr>
          <w:sz w:val="20"/>
          <w:szCs w:val="20"/>
          <w:color w:val="auto"/>
        </w:rPr>
      </w:pPr>
      <w:r>
        <w:rPr>
          <w:rFonts w:ascii="Arial" w:cs="Arial" w:eastAsia="Arial" w:hAnsi="Arial"/>
          <w:sz w:val="16"/>
          <w:szCs w:val="16"/>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2017, the industry grew from $26 billion to $35 billion in annual sales, representing a CAGR of 3.1%. The industry experienced only a modest decline of approximately 3.8% during the 2008 to 2009 recession and rebounded with robust post-recession sales growth of 4.0% CAGR from 2009 to 2017,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Size of U.S. Optical Retail Market ($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U.S. optical retail industry:</w:t>
      </w:r>
    </w:p>
    <w:p>
      <w:pPr>
        <w:spacing w:after="0" w:line="103" w:lineRule="exact"/>
        <w:rPr>
          <w:sz w:val="20"/>
          <w:szCs w:val="20"/>
          <w:color w:val="auto"/>
        </w:rPr>
      </w:pPr>
    </w:p>
    <w:p>
      <w:pPr>
        <w:ind w:left="800" w:hanging="342"/>
        <w:spacing w:after="0" w:line="25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Population. </w:t>
      </w:r>
      <w:r>
        <w:rPr>
          <w:rFonts w:ascii="Arial" w:cs="Arial" w:eastAsia="Arial" w:hAnsi="Arial"/>
          <w:sz w:val="18"/>
          <w:szCs w:val="18"/>
          <w:color w:val="auto"/>
        </w:rPr>
        <w:t>According to The Vision Council, approximately 76% of adults in the United States used some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vision correction as of March 2018. At age 45, the need for vision correction begins to increase significantly, with approximately 88% of adults in the United States between the ages of 45 and 54 and approximately 90%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6" w:lineRule="exact"/>
        <w:rPr>
          <w:rFonts w:ascii="Arial" w:cs="Arial" w:eastAsia="Arial" w:hAnsi="Arial"/>
          <w:sz w:val="18"/>
          <w:szCs w:val="18"/>
          <w:color w:val="auto"/>
        </w:rPr>
      </w:pPr>
    </w:p>
    <w:p>
      <w:pPr>
        <w:ind w:left="800" w:right="40" w:hanging="342"/>
        <w:spacing w:after="0" w:line="271"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Frequent Replacement Cycle. </w:t>
      </w:r>
      <w:r>
        <w:rPr>
          <w:rFonts w:ascii="Arial" w:cs="Arial" w:eastAsia="Arial" w:hAnsi="Arial"/>
          <w:sz w:val="17"/>
          <w:szCs w:val="17"/>
          <w:color w:val="auto"/>
        </w:rPr>
        <w:t>The repetitive and predictable nature of customer behavior results in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192 million people in the United States using vision correction devices in 2017 received nearly 115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44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2825" cy="6444615"/>
                    </a:xfrm>
                    <a:prstGeom prst="rect">
                      <a:avLst/>
                    </a:prstGeom>
                    <a:noFill/>
                  </pic:spPr>
                </pic:pic>
              </a:graphicData>
            </a:graphic>
          </wp:anchor>
        </w:drawing>
      </w:r>
    </w:p>
    <w:p>
      <w:pPr>
        <w:spacing w:after="0" w:line="246" w:lineRule="exact"/>
        <w:rPr>
          <w:sz w:val="20"/>
          <w:szCs w:val="20"/>
          <w:color w:val="auto"/>
        </w:rPr>
      </w:pPr>
    </w:p>
    <w:p>
      <w:pPr>
        <w:ind w:left="800" w:right="260" w:hanging="342"/>
        <w:spacing w:after="0" w:line="297"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Usage of Computer and Mobile Screens. </w:t>
      </w:r>
      <w:r>
        <w:rPr>
          <w:rFonts w:ascii="Arial" w:cs="Arial" w:eastAsia="Arial" w:hAnsi="Arial"/>
          <w:sz w:val="16"/>
          <w:szCs w:val="16"/>
          <w:color w:val="auto"/>
        </w:rPr>
        <w:t>Due to the proliferation of smartphones, laptops and tablets,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50" w:lineRule="exact"/>
        <w:rPr>
          <w:rFonts w:ascii="Arial" w:cs="Arial" w:eastAsia="Arial" w:hAnsi="Arial"/>
          <w:sz w:val="16"/>
          <w:szCs w:val="16"/>
          <w:color w:val="auto"/>
        </w:rPr>
      </w:pPr>
    </w:p>
    <w:p>
      <w:pPr>
        <w:ind w:left="800" w:right="40" w:hanging="342"/>
        <w:spacing w:after="0" w:line="270"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Growing Focus on Health and Wellness. </w:t>
      </w:r>
      <w:r>
        <w:rPr>
          <w:rFonts w:ascii="Arial" w:cs="Arial" w:eastAsia="Arial" w:hAnsi="Arial"/>
          <w:sz w:val="17"/>
          <w:szCs w:val="17"/>
          <w:color w:val="auto"/>
        </w:rPr>
        <w:t>The optical retail industry is poised to benefit from expansive trends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underlying 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Value Chains Gaining Market Share in Optical Retail Industry</w:t>
      </w:r>
    </w:p>
    <w:p>
      <w:pPr>
        <w:spacing w:after="0" w:line="121" w:lineRule="exact"/>
        <w:rPr>
          <w:sz w:val="20"/>
          <w:szCs w:val="20"/>
          <w:color w:val="auto"/>
        </w:rPr>
      </w:pPr>
    </w:p>
    <w:p>
      <w:pPr>
        <w:ind w:left="100" w:firstLine="360"/>
        <w:spacing w:after="0" w:line="290"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which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key factors drive the changing dynamics across the optical retail market:</w:t>
      </w:r>
    </w:p>
    <w:p>
      <w:pPr>
        <w:spacing w:after="0" w:line="117" w:lineRule="exact"/>
        <w:rPr>
          <w:sz w:val="20"/>
          <w:szCs w:val="20"/>
          <w:color w:val="auto"/>
        </w:rPr>
      </w:pPr>
    </w:p>
    <w:p>
      <w:pPr>
        <w:ind w:left="800" w:right="60" w:hanging="342"/>
        <w:spacing w:after="0" w:line="293"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Retail Chains Gaining Market Share From Independents. </w:t>
      </w:r>
      <w:r>
        <w:rPr>
          <w:rFonts w:ascii="Arial" w:cs="Arial" w:eastAsia="Arial" w:hAnsi="Arial"/>
          <w:sz w:val="16"/>
          <w:szCs w:val="16"/>
          <w:color w:val="auto"/>
        </w:rPr>
        <w:t>As a result of customers’ desire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convenience of a one-stop shop with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33% in 2017,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56" w:lineRule="exact"/>
        <w:rPr>
          <w:rFonts w:ascii="Arial" w:cs="Arial" w:eastAsia="Arial" w:hAnsi="Arial"/>
          <w:sz w:val="16"/>
          <w:szCs w:val="16"/>
          <w:color w:val="auto"/>
        </w:rPr>
      </w:pPr>
    </w:p>
    <w:p>
      <w:pPr>
        <w:ind w:left="800" w:right="380" w:hanging="342"/>
        <w:spacing w:after="0" w:line="276"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Value Chains Are Growing Faster Than Industry. </w:t>
      </w:r>
      <w:r>
        <w:rPr>
          <w:rFonts w:ascii="Arial" w:cs="Arial" w:eastAsia="Arial" w:hAnsi="Arial"/>
          <w:sz w:val="17"/>
          <w:szCs w:val="17"/>
          <w:color w:val="auto"/>
        </w:rPr>
        <w:t>According to Vision Monday estimates, from 2007 to 2017,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segment of the U.S. optical retail industry grew at a CAGR of 6.7%, more than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64" w:lineRule="exact"/>
        <w:rPr>
          <w:rFonts w:ascii="Arial" w:cs="Arial" w:eastAsia="Arial" w:hAnsi="Arial"/>
          <w:sz w:val="17"/>
          <w:szCs w:val="17"/>
          <w:color w:val="auto"/>
        </w:rPr>
      </w:pPr>
    </w:p>
    <w:p>
      <w:pPr>
        <w:ind w:left="800" w:right="40" w:hanging="342"/>
        <w:spacing w:after="0" w:line="25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E-commerce. </w:t>
      </w:r>
      <w:r>
        <w:rPr>
          <w:rFonts w:ascii="Arial" w:cs="Arial" w:eastAsia="Arial" w:hAnsi="Arial"/>
          <w:sz w:val="18"/>
          <w:szCs w:val="18"/>
          <w:color w:val="auto"/>
        </w:rPr>
        <w:t>The optical retail industry is underpenetrated in the e-commerce channel relative to other categories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02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2825" cy="760222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100" w:right="140" w:firstLine="360"/>
        <w:spacing w:after="0" w:line="264"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73" w:lineRule="exact"/>
        <w:rPr>
          <w:sz w:val="20"/>
          <w:szCs w:val="20"/>
          <w:color w:val="auto"/>
        </w:rPr>
      </w:pPr>
    </w:p>
    <w:p>
      <w:pPr>
        <w:ind w:left="800" w:right="60" w:hanging="342"/>
        <w:spacing w:after="0" w:line="287"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Highly-differentiated and Defensible Value Proposition.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2016 study of leading optical retailers and based on these bundled offers, we believe that America’s Best and Eyeglass World’s opening price points for eyeglasses and an eye exam are 74% and 37% lower on a per-pair basis than the next lowest retailer surveyed and 82% and 56% lower than the average of independent retailers surveyed, respectively, each as indicated in the chart below:</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20" w:right="360"/>
        <w:spacing w:after="0" w:line="273"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00"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80" w:lineRule="exact"/>
        <w:rPr>
          <w:sz w:val="20"/>
          <w:szCs w:val="20"/>
          <w:color w:val="auto"/>
        </w:rPr>
      </w:pPr>
    </w:p>
    <w:p>
      <w:pPr>
        <w:ind w:left="820" w:right="280"/>
        <w:spacing w:after="0" w:line="277" w:lineRule="auto"/>
        <w:rPr>
          <w:sz w:val="20"/>
          <w:szCs w:val="20"/>
          <w:color w:val="auto"/>
        </w:rPr>
      </w:pPr>
      <w:r>
        <w:rPr>
          <w:rFonts w:ascii="Arial" w:cs="Arial" w:eastAsia="Arial" w:hAnsi="Arial"/>
          <w:sz w:val="18"/>
          <w:szCs w:val="18"/>
          <w:color w:val="auto"/>
        </w:rPr>
        <w:t>Our optical retail offerings are also more defensible to potential e-commerce pressure relative to other categories of retail. This is due to inherent penetration barriers that make optical retail better suited for</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24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spacing w:after="0" w:line="138" w:lineRule="exact"/>
        <w:rPr>
          <w:sz w:val="20"/>
          <w:szCs w:val="20"/>
          <w:color w:val="auto"/>
        </w:rPr>
      </w:pPr>
    </w:p>
    <w:p>
      <w:pPr>
        <w:ind w:left="820"/>
        <w:spacing w:after="0" w:line="276" w:lineRule="auto"/>
        <w:rPr>
          <w:sz w:val="20"/>
          <w:szCs w:val="20"/>
          <w:color w:val="auto"/>
        </w:rPr>
      </w:pPr>
      <w:r>
        <w:rPr>
          <w:rFonts w:ascii="Arial" w:cs="Arial" w:eastAsia="Arial" w:hAnsi="Arial"/>
          <w:sz w:val="17"/>
          <w:szCs w:val="17"/>
          <w:color w:val="auto"/>
        </w:rPr>
        <w:t>omni-channel offerings rather than pure e-commerce. Eye exams typically involve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64" w:lineRule="exact"/>
        <w:rPr>
          <w:sz w:val="20"/>
          <w:szCs w:val="20"/>
          <w:color w:val="auto"/>
        </w:rPr>
      </w:pPr>
    </w:p>
    <w:p>
      <w:pPr>
        <w:ind w:left="800" w:right="120" w:hanging="342"/>
        <w:spacing w:after="0" w:line="25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Low-cost Operating Model. </w:t>
      </w:r>
      <w:r>
        <w:rPr>
          <w:rFonts w:ascii="Arial" w:cs="Arial" w:eastAsia="Arial" w:hAnsi="Arial"/>
          <w:sz w:val="18"/>
          <w:szCs w:val="18"/>
          <w:color w:val="auto"/>
        </w:rPr>
        <w:t>Our low-cost structure allows us to maintain our low prices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and reduced the cost per job. This has allowed us to maintain our introductory offer of two-pairs of eyeglasses and an eye exam for $69.95 at America’s Best for over ten years.</w:t>
      </w:r>
    </w:p>
    <w:p>
      <w:pPr>
        <w:spacing w:after="0" w:line="84" w:lineRule="exact"/>
        <w:rPr>
          <w:rFonts w:ascii="Arial" w:cs="Arial" w:eastAsia="Arial" w:hAnsi="Arial"/>
          <w:sz w:val="18"/>
          <w:szCs w:val="18"/>
          <w:color w:val="auto"/>
        </w:rPr>
      </w:pPr>
    </w:p>
    <w:p>
      <w:pPr>
        <w:jc w:val="both"/>
        <w:ind w:left="820" w:right="80"/>
        <w:spacing w:after="0" w:line="286" w:lineRule="auto"/>
        <w:rPr>
          <w:rFonts w:ascii="Arial" w:cs="Arial" w:eastAsia="Arial" w:hAnsi="Arial"/>
          <w:sz w:val="18"/>
          <w:szCs w:val="18"/>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57" w:lineRule="exact"/>
        <w:rPr>
          <w:rFonts w:ascii="Arial" w:cs="Arial" w:eastAsia="Arial" w:hAnsi="Arial"/>
          <w:sz w:val="18"/>
          <w:szCs w:val="18"/>
          <w:color w:val="auto"/>
        </w:rPr>
      </w:pPr>
    </w:p>
    <w:p>
      <w:pPr>
        <w:ind w:left="800" w:right="100" w:hanging="342"/>
        <w:spacing w:after="0" w:line="270"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Best-in-class Management Team with Deep Optical Experience. </w:t>
      </w:r>
      <w:r>
        <w:rPr>
          <w:rFonts w:ascii="Arial" w:cs="Arial" w:eastAsia="Arial" w:hAnsi="Arial"/>
          <w:sz w:val="17"/>
          <w:szCs w:val="17"/>
          <w:color w:val="auto"/>
        </w:rPr>
        <w:t>Our company is led by a highly-accomplished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proven management team with deep expertise. The current team is one of the longest-tenured in the optical retail industry, averaging over 20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9" w:lineRule="exact"/>
        <w:rPr>
          <w:rFonts w:ascii="Arial" w:cs="Arial" w:eastAsia="Arial" w:hAnsi="Arial"/>
          <w:sz w:val="17"/>
          <w:szCs w:val="17"/>
          <w:color w:val="auto"/>
        </w:rPr>
      </w:pPr>
    </w:p>
    <w:p>
      <w:pPr>
        <w:ind w:left="800" w:right="60" w:hanging="342"/>
        <w:spacing w:after="0" w:line="270"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Diverse Portfolio of Attractive Brands. </w:t>
      </w:r>
      <w:r>
        <w:rPr>
          <w:rFonts w:ascii="Arial" w:cs="Arial" w:eastAsia="Arial" w:hAnsi="Arial"/>
          <w:sz w:val="17"/>
          <w:szCs w:val="17"/>
          <w:color w:val="auto"/>
        </w:rPr>
        <w:t>We have a differentiated collection of five complementary brands, four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deliver several customer convenience capabilities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73" w:lineRule="exact"/>
        <w:rPr>
          <w:rFonts w:ascii="Arial" w:cs="Arial" w:eastAsia="Arial" w:hAnsi="Arial"/>
          <w:sz w:val="17"/>
          <w:szCs w:val="17"/>
          <w:color w:val="auto"/>
        </w:rPr>
      </w:pPr>
    </w:p>
    <w:p>
      <w:pPr>
        <w:ind w:left="800" w:right="40" w:hanging="342"/>
        <w:spacing w:after="0" w:line="272"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Real Estate Site Selection Process. </w:t>
      </w:r>
      <w:r>
        <w:rPr>
          <w:rFonts w:ascii="Arial" w:cs="Arial" w:eastAsia="Arial" w:hAnsi="Arial"/>
          <w:sz w:val="17"/>
          <w:szCs w:val="17"/>
          <w:color w:val="auto"/>
        </w:rPr>
        <w:t>We locate our owned stores in highly-desirable retail developments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March 31, 2018.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9" w:lineRule="exact"/>
        <w:rPr>
          <w:rFonts w:ascii="Arial" w:cs="Arial" w:eastAsia="Arial" w:hAnsi="Arial"/>
          <w:sz w:val="17"/>
          <w:szCs w:val="17"/>
          <w:color w:val="auto"/>
        </w:rPr>
      </w:pPr>
    </w:p>
    <w:p>
      <w:pPr>
        <w:ind w:left="800" w:right="140" w:hanging="342"/>
        <w:spacing w:after="0" w:line="259"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Partnerships with Retail Partners and Vendors. </w:t>
      </w:r>
      <w:r>
        <w:rPr>
          <w:rFonts w:ascii="Arial" w:cs="Arial" w:eastAsia="Arial" w:hAnsi="Arial"/>
          <w:sz w:val="18"/>
          <w:szCs w:val="18"/>
          <w:color w:val="auto"/>
        </w:rPr>
        <w:t>We have developed extensive and long-term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with our frame and lens suppliers, our host and legacy partners and managed vision care companies. Our highly-experienced procurement team leverages long-standing relationships with our vendors to source all of our products. Our strong vendor relationships and scale allow us to</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138"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74" w:lineRule="exact"/>
        <w:rPr>
          <w:sz w:val="20"/>
          <w:szCs w:val="20"/>
          <w:color w:val="auto"/>
        </w:rPr>
      </w:pPr>
    </w:p>
    <w:p>
      <w:pPr>
        <w:ind w:left="800" w:right="20" w:hanging="342"/>
        <w:spacing w:after="0" w:line="255"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with the Regulatory Complexity of the Optical Industry. </w:t>
      </w:r>
      <w:r>
        <w:rPr>
          <w:rFonts w:ascii="Arial" w:cs="Arial" w:eastAsia="Arial" w:hAnsi="Arial"/>
          <w:sz w:val="18"/>
          <w:szCs w:val="18"/>
          <w:color w:val="auto"/>
        </w:rPr>
        <w:t>There are extensive and diverse sets of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We believe that we have the right strategy and execution capabilities to capitalize on the substantial growth opportunities afforded by our business model. We intend to further drive growth from five distinct sources:</w:t>
      </w:r>
    </w:p>
    <w:p>
      <w:pPr>
        <w:spacing w:after="0" w:line="62" w:lineRule="exact"/>
        <w:rPr>
          <w:sz w:val="20"/>
          <w:szCs w:val="20"/>
          <w:color w:val="auto"/>
        </w:rPr>
      </w:pPr>
    </w:p>
    <w:p>
      <w:pPr>
        <w:ind w:left="800" w:right="20" w:hanging="342"/>
        <w:spacing w:after="0" w:line="286"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512 stores on a net basis (opened 581 new stores and closed 69 stores) since 2006 and, in the past three years, we have increased our new store growth to approximately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inclusive of those already open. We believe that these two brands can accordingly grow from 715 stores as of March 31, 2018 to a total of at least 1,850 stores, with similar economics to the existing store base. We believe that our consistent track record of successfully opening stores across vintages, geographies and markets demonstrates our ability to further increase our store count and, as a result, we believe that our current level of new store growth of approximately 75 stores per annum is sustainable for the foreseeable future.</w:t>
      </w:r>
    </w:p>
    <w:p>
      <w:pPr>
        <w:spacing w:after="0" w:line="66" w:lineRule="exact"/>
        <w:rPr>
          <w:rFonts w:ascii="Arial" w:cs="Arial" w:eastAsia="Arial" w:hAnsi="Arial"/>
          <w:sz w:val="16"/>
          <w:szCs w:val="16"/>
          <w:color w:val="auto"/>
        </w:rPr>
      </w:pPr>
    </w:p>
    <w:p>
      <w:pPr>
        <w:ind w:left="800" w:right="20" w:hanging="342"/>
        <w:spacing w:after="0" w:line="289"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Comparable Store Sales Growth. </w:t>
      </w:r>
      <w:r>
        <w:rPr>
          <w:rFonts w:ascii="Arial" w:cs="Arial" w:eastAsia="Arial" w:hAnsi="Arial"/>
          <w:sz w:val="16"/>
          <w:szCs w:val="16"/>
          <w:color w:val="auto"/>
        </w:rPr>
        <w:t>We expect that our value proposition will generate profitable comparable store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growth. The vast majority of our comparable store sales growth over the past five years has been driven by increased traffic. The typical eyewear replacement cycle, which we estimate is two to three years, creates substantial opportunity for us to increase sales from our existing customer base. We continually strive to improve our in-store shopping experience and to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initiatives collectively will help us to attract new customers to our stores and increase the frequency of purchases by our existing customers.</w:t>
      </w:r>
    </w:p>
    <w:p>
      <w:pPr>
        <w:spacing w:after="0" w:line="58" w:lineRule="exact"/>
        <w:rPr>
          <w:rFonts w:ascii="Arial" w:cs="Arial" w:eastAsia="Arial" w:hAnsi="Arial"/>
          <w:sz w:val="16"/>
          <w:szCs w:val="16"/>
          <w:color w:val="auto"/>
        </w:rPr>
      </w:pPr>
    </w:p>
    <w:p>
      <w:pPr>
        <w:ind w:left="800" w:right="220" w:hanging="342"/>
        <w:spacing w:after="0" w:line="25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Operating Productivity. </w:t>
      </w:r>
      <w:r>
        <w:rPr>
          <w:rFonts w:ascii="Arial" w:cs="Arial" w:eastAsia="Arial" w:hAnsi="Arial"/>
          <w:sz w:val="18"/>
          <w:szCs w:val="18"/>
          <w:color w:val="auto"/>
        </w:rPr>
        <w:t>We believe that our continued growth will provide further opportunities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margin over time. Growth, both in revenue and stores, will enable us to leverage corporate overhead, our centralized laboratory network and our advertising spend. We expect to benefit from our national network television advertising campaign for America’s Best, which we believe is more cost effective than local market campaigns. This national campaign has helped raise</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13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2825" cy="7113270"/>
                    </a:xfrm>
                    <a:prstGeom prst="rect">
                      <a:avLst/>
                    </a:prstGeom>
                    <a:noFill/>
                  </pic:spPr>
                </pic:pic>
              </a:graphicData>
            </a:graphic>
          </wp:anchor>
        </w:drawing>
      </w:r>
    </w:p>
    <w:p>
      <w:pPr>
        <w:spacing w:after="0" w:line="138" w:lineRule="exact"/>
        <w:rPr>
          <w:sz w:val="20"/>
          <w:szCs w:val="20"/>
          <w:color w:val="auto"/>
        </w:rPr>
      </w:pPr>
    </w:p>
    <w:p>
      <w:pPr>
        <w:ind w:left="820" w:right="520"/>
        <w:spacing w:after="0" w:line="264" w:lineRule="auto"/>
        <w:rPr>
          <w:sz w:val="20"/>
          <w:szCs w:val="20"/>
          <w:color w:val="auto"/>
        </w:rPr>
      </w:pPr>
      <w:r>
        <w:rPr>
          <w:rFonts w:ascii="Arial" w:cs="Arial" w:eastAsia="Arial" w:hAnsi="Arial"/>
          <w:sz w:val="18"/>
          <w:szCs w:val="18"/>
          <w:color w:val="auto"/>
        </w:rPr>
        <w:t>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73" w:lineRule="exact"/>
        <w:rPr>
          <w:sz w:val="20"/>
          <w:szCs w:val="20"/>
          <w:color w:val="auto"/>
        </w:rPr>
      </w:pPr>
    </w:p>
    <w:p>
      <w:pPr>
        <w:ind w:left="820" w:right="20"/>
        <w:spacing w:after="0" w:line="272" w:lineRule="auto"/>
        <w:rPr>
          <w:sz w:val="20"/>
          <w:szCs w:val="20"/>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0" w:lineRule="exact"/>
        <w:rPr>
          <w:sz w:val="20"/>
          <w:szCs w:val="20"/>
          <w:color w:val="auto"/>
        </w:rPr>
      </w:pPr>
    </w:p>
    <w:p>
      <w:pPr>
        <w:ind w:left="800" w:hanging="342"/>
        <w:spacing w:after="0" w:line="287"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Technology to Optimize and Expand the Business. </w:t>
      </w:r>
      <w:r>
        <w:rPr>
          <w:rFonts w:ascii="Arial" w:cs="Arial" w:eastAsia="Arial" w:hAnsi="Arial"/>
          <w:sz w:val="16"/>
          <w:szCs w:val="16"/>
          <w:color w:val="auto"/>
        </w:rPr>
        <w:t>Our experienced management team has consistently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leveraged innovative strategies to grow our business and remain at the forefront of technological development in the optical retail industry. We have invested significantly in technological improvements to position us for future growth. We plan to continue investing in software solutions that further develop our omni-channel platform and enhance our customer engagement capabilities, and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64" w:lineRule="exact"/>
        <w:rPr>
          <w:rFonts w:ascii="Arial" w:cs="Arial" w:eastAsia="Arial" w:hAnsi="Arial"/>
          <w:sz w:val="16"/>
          <w:szCs w:val="16"/>
          <w:color w:val="auto"/>
        </w:rPr>
      </w:pPr>
    </w:p>
    <w:p>
      <w:pPr>
        <w:ind w:left="800" w:right="200" w:hanging="342"/>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Opportunities. </w:t>
      </w:r>
      <w:r>
        <w:rPr>
          <w:rFonts w:ascii="Arial" w:cs="Arial" w:eastAsia="Arial" w:hAnsi="Arial"/>
          <w:sz w:val="18"/>
          <w:szCs w:val="18"/>
          <w:color w:val="auto"/>
        </w:rPr>
        <w:t>We will selectively evaluate strategic acquisition opportunities from time to time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our growth strategy.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Preliminary, Unaudited Estimates of Consolidated Financial Results as of and for the Six Months Ended June 30, 2018</w:t>
      </w:r>
    </w:p>
    <w:p>
      <w:pPr>
        <w:spacing w:after="0" w:line="115" w:lineRule="exact"/>
        <w:rPr>
          <w:sz w:val="20"/>
          <w:szCs w:val="20"/>
          <w:color w:val="auto"/>
        </w:rPr>
      </w:pPr>
    </w:p>
    <w:p>
      <w:pPr>
        <w:ind w:left="100" w:right="40" w:firstLine="360"/>
        <w:spacing w:after="0" w:line="271" w:lineRule="auto"/>
        <w:rPr>
          <w:sz w:val="20"/>
          <w:szCs w:val="20"/>
          <w:color w:val="auto"/>
        </w:rPr>
      </w:pPr>
      <w:r>
        <w:rPr>
          <w:rFonts w:ascii="Arial" w:cs="Arial" w:eastAsia="Arial" w:hAnsi="Arial"/>
          <w:sz w:val="17"/>
          <w:szCs w:val="17"/>
          <w:color w:val="auto"/>
        </w:rPr>
        <w:t>The unaudited estimated consolidated financial results set forth below are preliminary, based upon our estimates and currently available information and are subject to revision based upon, among other things, our financial closing procedures and the completion of our interim consolidated financial statements and other operational procedures. The preliminary results as of and for the six months ended June 30, 2018 presented below should not be viewed as a substitute for interim consolidated financial statements prepared in accordance with GAAP. Our actual results may be materially different from our estimates, which should not be regarded as a representation by us, our management or the underwriters as to our actual results as of and for the six months ended June 30, 2018. You should not place undue reliance on these estimates. See “Special Note Regarding Forward-Looking Statements” and “Risk Factors.”</w:t>
      </w:r>
    </w:p>
    <w:p>
      <w:pPr>
        <w:spacing w:after="0" w:line="71" w:lineRule="exact"/>
        <w:rPr>
          <w:sz w:val="20"/>
          <w:szCs w:val="20"/>
          <w:color w:val="auto"/>
        </w:rPr>
      </w:pPr>
    </w:p>
    <w:p>
      <w:pPr>
        <w:jc w:val="both"/>
        <w:ind w:left="100" w:firstLine="360"/>
        <w:spacing w:after="0" w:line="264" w:lineRule="auto"/>
        <w:rPr>
          <w:sz w:val="20"/>
          <w:szCs w:val="20"/>
          <w:color w:val="auto"/>
        </w:rPr>
      </w:pPr>
      <w:r>
        <w:rPr>
          <w:rFonts w:ascii="Arial" w:cs="Arial" w:eastAsia="Arial" w:hAnsi="Arial"/>
          <w:sz w:val="18"/>
          <w:szCs w:val="18"/>
          <w:color w:val="auto"/>
        </w:rPr>
        <w:t>All of the data presented below has been prepared by and is the responsibility of management. Our independent accountants, Deloitte &amp; Touche LLP, have not audited, reviewed, compiled or performed any procedures, and do not express an opinion or any other form of assurance with respect to any of such data.</w:t>
      </w:r>
    </w:p>
    <w:p>
      <w:pPr>
        <w:spacing w:after="0" w:line="73" w:lineRule="exact"/>
        <w:rPr>
          <w:sz w:val="20"/>
          <w:szCs w:val="20"/>
          <w:color w:val="auto"/>
        </w:rPr>
      </w:pPr>
    </w:p>
    <w:p>
      <w:pPr>
        <w:ind w:left="100" w:right="80" w:firstLine="360"/>
        <w:spacing w:after="0" w:line="259" w:lineRule="auto"/>
        <w:rPr>
          <w:sz w:val="20"/>
          <w:szCs w:val="20"/>
          <w:color w:val="auto"/>
        </w:rPr>
      </w:pPr>
      <w:r>
        <w:rPr>
          <w:rFonts w:ascii="Arial" w:cs="Arial" w:eastAsia="Arial" w:hAnsi="Arial"/>
          <w:sz w:val="18"/>
          <w:szCs w:val="18"/>
          <w:color w:val="auto"/>
        </w:rPr>
        <w:t>As of June 30, 2018, we operated 1,050 stores, compared to 980 stores as of July 1, 2017. We estimate that our comparable store sales growth will be in the range of 6.9% and 7.1% and our adjusted comparable store sales growth will be in the range of 6.2% and 6.4% for the six months ended June 30, 2018, compared to 7.0% and 6.5%, respectively, for the six months ended July 1, 2017.</w:t>
      </w:r>
    </w:p>
    <w:p>
      <w:pPr>
        <w:spacing w:after="0" w:line="79" w:lineRule="exact"/>
        <w:rPr>
          <w:sz w:val="20"/>
          <w:szCs w:val="20"/>
          <w:color w:val="auto"/>
        </w:rPr>
      </w:pPr>
    </w:p>
    <w:p>
      <w:pPr>
        <w:ind w:left="100" w:right="280" w:firstLine="360"/>
        <w:spacing w:after="0" w:line="308" w:lineRule="auto"/>
        <w:rPr>
          <w:sz w:val="20"/>
          <w:szCs w:val="20"/>
          <w:color w:val="auto"/>
        </w:rPr>
      </w:pPr>
      <w:r>
        <w:rPr>
          <w:rFonts w:ascii="Arial" w:cs="Arial" w:eastAsia="Arial" w:hAnsi="Arial"/>
          <w:sz w:val="17"/>
          <w:szCs w:val="17"/>
          <w:color w:val="auto"/>
        </w:rPr>
        <w:t>For the six months ended June 30, 2018, we estimate that our consolidated net revenue will range from $790.5 million to $792.5 million, compared to consolidated net revenue of $707.4 million for the six months ended July 1, 2017.</w:t>
      </w:r>
    </w:p>
    <w:p>
      <w:pPr>
        <w:spacing w:after="0" w:line="38" w:lineRule="exact"/>
        <w:rPr>
          <w:sz w:val="20"/>
          <w:szCs w:val="20"/>
          <w:color w:val="auto"/>
        </w:rPr>
      </w:pPr>
    </w:p>
    <w:p>
      <w:pPr>
        <w:ind w:left="100" w:right="240" w:firstLine="360"/>
        <w:spacing w:after="0" w:line="264" w:lineRule="auto"/>
        <w:rPr>
          <w:sz w:val="20"/>
          <w:szCs w:val="20"/>
          <w:color w:val="auto"/>
        </w:rPr>
      </w:pPr>
      <w:r>
        <w:rPr>
          <w:rFonts w:ascii="Arial" w:cs="Arial" w:eastAsia="Arial" w:hAnsi="Arial"/>
          <w:sz w:val="18"/>
          <w:szCs w:val="18"/>
          <w:color w:val="auto"/>
        </w:rPr>
        <w:t>We estimate that our net income will be between $36.4 million and $37.4 million for the six months ended June 30, 2018, compared to net income of $15.6 million for the six months ended July 1, 2017. For the six months ended June 30, 2018, we estimate that our Adjusted EBITDA will range from $106.1 million to</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91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2825" cy="7491095"/>
                    </a:xfrm>
                    <a:prstGeom prst="rect">
                      <a:avLst/>
                    </a:prstGeom>
                    <a:noFill/>
                  </pic:spPr>
                </pic:pic>
              </a:graphicData>
            </a:graphic>
          </wp:anchor>
        </w:drawing>
      </w:r>
    </w:p>
    <w:p>
      <w:pPr>
        <w:spacing w:after="0" w:line="138" w:lineRule="exact"/>
        <w:rPr>
          <w:sz w:val="20"/>
          <w:szCs w:val="20"/>
          <w:color w:val="auto"/>
        </w:rPr>
      </w:pPr>
    </w:p>
    <w:p>
      <w:pPr>
        <w:jc w:val="both"/>
        <w:ind w:left="100" w:right="520"/>
        <w:spacing w:after="0" w:line="264" w:lineRule="auto"/>
        <w:rPr>
          <w:sz w:val="20"/>
          <w:szCs w:val="20"/>
          <w:color w:val="auto"/>
        </w:rPr>
      </w:pPr>
      <w:r>
        <w:rPr>
          <w:rFonts w:ascii="Arial" w:cs="Arial" w:eastAsia="Arial" w:hAnsi="Arial"/>
          <w:sz w:val="18"/>
          <w:szCs w:val="18"/>
          <w:color w:val="auto"/>
        </w:rPr>
        <w:t>$107.1 million, compared to Adjusted EBITDA of $98.5 million for the six months ended July 1, 2017. We estimate that our Adjusted Net Income will be between $41.2 million and $42.2 million for the six months ended June 30, 2018, compared to Adjusted Net Income of $30.2 million for the six months ended July 1, 2017.</w:t>
      </w:r>
    </w:p>
    <w:p>
      <w:pPr>
        <w:spacing w:after="0" w:line="73" w:lineRule="exact"/>
        <w:rPr>
          <w:sz w:val="20"/>
          <w:szCs w:val="20"/>
          <w:color w:val="auto"/>
        </w:rPr>
      </w:pPr>
    </w:p>
    <w:p>
      <w:pPr>
        <w:ind w:left="100" w:right="160" w:firstLine="360"/>
        <w:spacing w:after="0" w:line="273" w:lineRule="auto"/>
        <w:rPr>
          <w:sz w:val="20"/>
          <w:szCs w:val="20"/>
          <w:color w:val="auto"/>
        </w:rPr>
      </w:pPr>
      <w:r>
        <w:rPr>
          <w:rFonts w:ascii="Arial" w:cs="Arial" w:eastAsia="Arial" w:hAnsi="Arial"/>
          <w:sz w:val="17"/>
          <w:szCs w:val="17"/>
          <w:color w:val="auto"/>
        </w:rPr>
        <w:t>Our results in the six months ended June 30, 2018 compared to the same period in 2017 benefited from net revenue growth driven by comparable store sales growth, new stores, order volume in our AC Lens e-commerce business, and timing of unearned revenues. The primary drivers for the increase in comparable store sales growth from the three months ended March 31, 2018 were customer traffic that benefited from an extended peak selling season and traffic shift due to inclement March weather conditions. For the six months ended June 30, 2018, Adjusted EBITDA grew at a slower rate than net revenue primarily due to higher optometrist costs, advertising, and public company expenses.</w:t>
      </w:r>
    </w:p>
    <w:p>
      <w:pPr>
        <w:spacing w:after="0" w:line="70" w:lineRule="exact"/>
        <w:rPr>
          <w:sz w:val="20"/>
          <w:szCs w:val="20"/>
          <w:color w:val="auto"/>
        </w:rPr>
      </w:pPr>
    </w:p>
    <w:p>
      <w:pPr>
        <w:ind w:left="100" w:right="460" w:firstLine="360"/>
        <w:spacing w:after="0" w:line="277" w:lineRule="auto"/>
        <w:rPr>
          <w:sz w:val="20"/>
          <w:szCs w:val="20"/>
          <w:color w:val="auto"/>
        </w:rPr>
      </w:pPr>
      <w:r>
        <w:rPr>
          <w:rFonts w:ascii="Arial" w:cs="Arial" w:eastAsia="Arial" w:hAnsi="Arial"/>
          <w:sz w:val="18"/>
          <w:szCs w:val="18"/>
          <w:color w:val="auto"/>
        </w:rPr>
        <w:t>As of June 30, 2018, we estimate that we had cash and cash equivalents of approximately $34.6 million and total debt of approximately $574.3 million.</w:t>
      </w:r>
    </w:p>
    <w:p>
      <w:pPr>
        <w:spacing w:after="0" w:line="62" w:lineRule="exact"/>
        <w:rPr>
          <w:sz w:val="20"/>
          <w:szCs w:val="20"/>
          <w:color w:val="auto"/>
        </w:rPr>
      </w:pPr>
    </w:p>
    <w:p>
      <w:pPr>
        <w:ind w:left="100" w:right="300" w:firstLine="360"/>
        <w:spacing w:after="0" w:line="257" w:lineRule="auto"/>
        <w:rPr>
          <w:sz w:val="20"/>
          <w:szCs w:val="20"/>
          <w:color w:val="auto"/>
        </w:rPr>
      </w:pPr>
      <w:r>
        <w:rPr>
          <w:rFonts w:ascii="Arial" w:cs="Arial" w:eastAsia="Arial" w:hAnsi="Arial"/>
          <w:sz w:val="18"/>
          <w:szCs w:val="18"/>
          <w:color w:val="auto"/>
        </w:rPr>
        <w:t>Please see below for a reconciliation of net income to EBITDA, Adjusted EBITDA and Adjusted Net Income for the six months ended June 30, 2018 (at the low end and high end of the estimated net income range set forth above) and the six months ended July 1, 2017. In addition, please see “—Summary Historical Consolidated Financial and Other Data” for how we define EBITDA, Adjusted EBITDA and Adjusted Net Income, the reasons why we include these measures and certain limitations to their use.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10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July 1, 2017</w:t>
            </w:r>
          </w:p>
        </w:tc>
        <w:tc>
          <w:tcPr>
            <w:tcW w:w="220" w:type="dxa"/>
            <w:vAlign w:val="bottom"/>
            <w:gridSpan w:val="3"/>
          </w:tcPr>
          <w:p>
            <w:pPr>
              <w:spacing w:after="0"/>
              <w:rPr>
                <w:sz w:val="15"/>
                <w:szCs w:val="15"/>
                <w:color w:val="auto"/>
              </w:rPr>
            </w:pPr>
          </w:p>
        </w:tc>
      </w:tr>
      <w:tr>
        <w:trPr>
          <w:trHeight w:val="196"/>
        </w:trPr>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color w:val="auto"/>
              </w:rPr>
              <w:t>Low</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4"/>
                <w:szCs w:val="14"/>
                <w:color w:val="auto"/>
              </w:rPr>
              <w:t>High</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color w:val="auto"/>
              </w:rPr>
              <w:t>Actual</w:t>
            </w: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18,700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18,700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6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99,700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(j)</w:t>
            </w:r>
          </w:p>
        </w:tc>
        <w:tc>
          <w:tcPr>
            <w:tcW w:w="2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64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Adjusted EBITDA</w:t>
            </w:r>
          </w:p>
        </w:tc>
        <w:tc>
          <w:tcPr>
            <w:tcW w:w="2360" w:type="dxa"/>
            <w:vAlign w:val="bottom"/>
            <w:gridSpan w:val="4"/>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107,100</w:t>
            </w:r>
          </w:p>
        </w:tc>
        <w:tc>
          <w:tcPr>
            <w:tcW w:w="140" w:type="dxa"/>
            <w:vAlign w:val="bottom"/>
            <w:gridSpan w:val="2"/>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3"/>
        </w:trPr>
        <w:tc>
          <w:tcPr>
            <w:tcW w:w="10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4"/>
              </w:rPr>
              <w:t>July 1, 2017</w:t>
            </w:r>
          </w:p>
        </w:tc>
        <w:tc>
          <w:tcPr>
            <w:tcW w:w="220" w:type="dxa"/>
            <w:vAlign w:val="bottom"/>
            <w:gridSpan w:val="3"/>
          </w:tcPr>
          <w:p>
            <w:pPr>
              <w:spacing w:after="0"/>
              <w:rPr>
                <w:sz w:val="15"/>
                <w:szCs w:val="15"/>
                <w:color w:val="auto"/>
              </w:rPr>
            </w:pPr>
          </w:p>
        </w:tc>
      </w:tr>
      <w:tr>
        <w:trPr>
          <w:trHeight w:val="196"/>
        </w:trPr>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32"/>
              <w:spacing w:after="0"/>
              <w:rPr>
                <w:sz w:val="20"/>
                <w:szCs w:val="20"/>
                <w:color w:val="auto"/>
              </w:rPr>
            </w:pPr>
            <w:r>
              <w:rPr>
                <w:rFonts w:ascii="Arial" w:cs="Arial" w:eastAsia="Arial" w:hAnsi="Arial"/>
                <w:sz w:val="14"/>
                <w:szCs w:val="14"/>
                <w:color w:val="auto"/>
              </w:rPr>
              <w:t>Low</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4"/>
                <w:szCs w:val="14"/>
                <w:color w:val="auto"/>
                <w:w w:val="90"/>
              </w:rPr>
              <w:t>High</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4"/>
                <w:szCs w:val="14"/>
                <w:color w:val="auto"/>
                <w:w w:val="97"/>
              </w:rPr>
              <w:t>Actual</w:t>
            </w: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4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37,400</w:t>
            </w: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2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90"/>
        </w:trPr>
        <w:tc>
          <w:tcPr>
            <w:tcW w:w="1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Secondary offering expenses</w:t>
            </w:r>
            <w:r>
              <w:rPr>
                <w:rFonts w:ascii="Arial" w:cs="Arial" w:eastAsia="Arial" w:hAnsi="Arial"/>
                <w:sz w:val="29"/>
                <w:szCs w:val="29"/>
                <w:color w:val="auto"/>
                <w:vertAlign w:val="superscript"/>
              </w:rPr>
              <w:t>(i)</w:t>
            </w: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10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429"/>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40" w:type="dxa"/>
            <w:vAlign w:val="bottom"/>
          </w:tcPr>
          <w:p>
            <w:pPr>
              <w:jc w:val="right"/>
              <w:ind w:right="8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5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56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2825" cy="6256020"/>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July 1, 2017</w:t>
            </w:r>
          </w:p>
        </w:tc>
        <w:tc>
          <w:tcPr>
            <w:tcW w:w="80" w:type="dxa"/>
            <w:vAlign w:val="bottom"/>
          </w:tcPr>
          <w:p>
            <w:pPr>
              <w:spacing w:after="0"/>
              <w:rPr>
                <w:sz w:val="15"/>
                <w:szCs w:val="15"/>
                <w:color w:val="auto"/>
              </w:rPr>
            </w:pPr>
          </w:p>
        </w:tc>
      </w:tr>
      <w:tr>
        <w:trPr>
          <w:trHeight w:val="196"/>
        </w:trPr>
        <w:tc>
          <w:tcPr>
            <w:tcW w:w="14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Low</w:t>
            </w:r>
          </w:p>
        </w:tc>
        <w:tc>
          <w:tcPr>
            <w:tcW w:w="360" w:type="dxa"/>
            <w:vAlign w:val="bottom"/>
          </w:tcPr>
          <w:p>
            <w:pPr>
              <w:spacing w:after="0"/>
              <w:rPr>
                <w:sz w:val="17"/>
                <w:szCs w:val="17"/>
                <w:color w:val="auto"/>
              </w:rPr>
            </w:pPr>
          </w:p>
        </w:tc>
        <w:tc>
          <w:tcPr>
            <w:tcW w:w="760" w:type="dxa"/>
            <w:vAlign w:val="bottom"/>
            <w:gridSpan w:val="3"/>
          </w:tcPr>
          <w:p>
            <w:pPr>
              <w:jc w:val="right"/>
              <w:ind w:right="480"/>
              <w:spacing w:after="0"/>
              <w:rPr>
                <w:sz w:val="20"/>
                <w:szCs w:val="20"/>
                <w:color w:val="auto"/>
              </w:rPr>
            </w:pPr>
            <w:r>
              <w:rPr>
                <w:rFonts w:ascii="Arial" w:cs="Arial" w:eastAsia="Arial" w:hAnsi="Arial"/>
                <w:sz w:val="14"/>
                <w:szCs w:val="14"/>
                <w:color w:val="auto"/>
                <w:w w:val="90"/>
              </w:rPr>
              <w:t>High</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Actual</w:t>
            </w:r>
          </w:p>
        </w:tc>
      </w:tr>
      <w:tr>
        <w:trPr>
          <w:trHeight w:val="243"/>
        </w:trPr>
        <w:tc>
          <w:tcPr>
            <w:tcW w:w="56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(j)</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21"/>
                <w:szCs w:val="21"/>
                <w:color w:val="auto"/>
              </w:rPr>
            </w:pPr>
          </w:p>
        </w:tc>
      </w:tr>
      <w:tr>
        <w:trPr>
          <w:trHeight w:val="243"/>
        </w:trPr>
        <w:tc>
          <w:tcPr>
            <w:tcW w:w="5680" w:type="dxa"/>
            <w:vAlign w:val="bottom"/>
            <w:gridSpan w:val="2"/>
          </w:tcPr>
          <w:p>
            <w:pPr>
              <w:spacing w:after="0" w:line="243" w:lineRule="exact"/>
              <w:rPr>
                <w:sz w:val="20"/>
                <w:szCs w:val="20"/>
                <w:color w:val="auto"/>
              </w:rPr>
            </w:pPr>
            <w:r>
              <w:rPr>
                <w:rFonts w:ascii="Arial" w:cs="Arial" w:eastAsia="Arial" w:hAnsi="Arial"/>
                <w:sz w:val="17"/>
                <w:szCs w:val="17"/>
                <w:color w:val="auto"/>
              </w:rPr>
              <w:t>Amortization of acquisition intangibles and deferred financing costs</w:t>
            </w:r>
            <w:r>
              <w:rPr>
                <w:rFonts w:ascii="Arial" w:cs="Arial" w:eastAsia="Arial" w:hAnsi="Arial"/>
                <w:sz w:val="28"/>
                <w:szCs w:val="28"/>
                <w:color w:val="auto"/>
                <w:vertAlign w:val="superscript"/>
              </w:rPr>
              <w:t>(k)</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5,744</w:t>
            </w:r>
          </w:p>
        </w:tc>
        <w:tc>
          <w:tcPr>
            <w:tcW w:w="80" w:type="dxa"/>
            <w:vAlign w:val="bottom"/>
          </w:tcPr>
          <w:p>
            <w:pPr>
              <w:spacing w:after="0"/>
              <w:rPr>
                <w:sz w:val="21"/>
                <w:szCs w:val="21"/>
                <w:color w:val="auto"/>
              </w:rPr>
            </w:pPr>
          </w:p>
        </w:tc>
      </w:tr>
      <w:tr>
        <w:trPr>
          <w:trHeight w:val="243"/>
        </w:trPr>
        <w:tc>
          <w:tcPr>
            <w:tcW w:w="56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(l)</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(4,100)</w:t>
            </w:r>
          </w:p>
        </w:tc>
        <w:tc>
          <w:tcPr>
            <w:tcW w:w="3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(4,100)</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gridSpan w:val="2"/>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(m)</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(3,100)</w:t>
            </w:r>
          </w:p>
        </w:tc>
        <w:tc>
          <w:tcPr>
            <w:tcW w:w="36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(3,100)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(9,770)</w:t>
            </w:r>
          </w:p>
        </w:tc>
      </w:tr>
      <w:tr>
        <w:trPr>
          <w:trHeight w:val="277"/>
        </w:trPr>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42,200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4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460" w:hanging="353"/>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460" w:right="120" w:hanging="353"/>
        <w:spacing w:after="0" w:line="273"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$2.7 million of fees associated with the borrowing of $175.0 million in additional principal under our first lien credit agreement in the six months ended July 1, 2017.</w:t>
      </w:r>
    </w:p>
    <w:p>
      <w:pPr>
        <w:spacing w:after="0" w:line="65" w:lineRule="exact"/>
        <w:rPr>
          <w:rFonts w:ascii="Arial" w:cs="Arial" w:eastAsia="Arial" w:hAnsi="Arial"/>
          <w:sz w:val="14"/>
          <w:szCs w:val="14"/>
          <w:color w:val="auto"/>
        </w:rPr>
      </w:pPr>
    </w:p>
    <w:p>
      <w:pPr>
        <w:ind w:left="460" w:hanging="353"/>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write-off of a cost basis investment for the six months ended July 1, 2017.</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460" w:right="220" w:hanging="353"/>
        <w:spacing w:after="0" w:line="273"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(as defined below).</w:t>
      </w:r>
    </w:p>
    <w:p>
      <w:pPr>
        <w:spacing w:after="0" w:line="65" w:lineRule="exact"/>
        <w:rPr>
          <w:rFonts w:ascii="Arial" w:cs="Arial" w:eastAsia="Arial" w:hAnsi="Arial"/>
          <w:sz w:val="14"/>
          <w:szCs w:val="14"/>
          <w:color w:val="auto"/>
        </w:rPr>
      </w:pPr>
    </w:p>
    <w:p>
      <w:pPr>
        <w:ind w:left="460" w:right="40" w:hanging="353"/>
        <w:spacing w:after="0" w:line="249"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83" w:lineRule="exact"/>
        <w:rPr>
          <w:rFonts w:ascii="Arial" w:cs="Arial" w:eastAsia="Arial" w:hAnsi="Arial"/>
          <w:sz w:val="14"/>
          <w:szCs w:val="14"/>
          <w:color w:val="auto"/>
        </w:rPr>
      </w:pPr>
    </w:p>
    <w:p>
      <w:pPr>
        <w:ind w:left="460" w:hanging="353"/>
        <w:spacing w:after="0" w:line="252"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and “Legal Proceedings” and Note 7 in our unaudited condensed consolidated financial statements, each in our Quarterly Report, each of which is incorporated by reference in this prospectus, for further details.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Expenses related to secondary public offerings of our common stock incurred during the six months ended June 30, 2018.</w:t>
      </w:r>
    </w:p>
    <w:p>
      <w:pPr>
        <w:spacing w:after="0" w:line="109" w:lineRule="exact"/>
        <w:rPr>
          <w:rFonts w:ascii="Arial" w:cs="Arial" w:eastAsia="Arial" w:hAnsi="Arial"/>
          <w:sz w:val="14"/>
          <w:szCs w:val="14"/>
          <w:color w:val="auto"/>
        </w:rPr>
      </w:pPr>
    </w:p>
    <w:p>
      <w:pPr>
        <w:ind w:left="460" w:hanging="353"/>
        <w:spacing w:after="0" w:line="245"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$0.6 million and $0.3 million for the six months ended June 30, 2018 and July 1, 2017, respectively; the amortization impact of the KKR Acquisition-related adjustments (e.g., fair value of leasehold interests) of $69,000 and $(0.2) million for the six months ended June 30, 2018 and July 1, 2017, respectively; expenses related to preparation for being an SEC registrant that were not directly attributable to the IPO and therefore not charged to equity of $1.2 million for the six months ended July 1, 2017; differences between the timing of expense versus cash payments related to contributions to charitable organizations of $(0.5) million for each of the six months ended June 30, 2018 and July 1, 2017; costs of severance and relocation of $0.5 million and $0.3 million for the six months ended June 30, 2018 and July 1, 2017, respectively; and other expenses and adjustments totaling $0.5 million and $71,000 for the six months ended June 30, 2018 and July 1, 2017, respectively.</w:t>
      </w:r>
    </w:p>
    <w:p>
      <w:pPr>
        <w:spacing w:after="0" w:line="87" w:lineRule="exact"/>
        <w:rPr>
          <w:rFonts w:ascii="Arial" w:cs="Arial" w:eastAsia="Arial" w:hAnsi="Arial"/>
          <w:sz w:val="14"/>
          <w:szCs w:val="14"/>
          <w:color w:val="auto"/>
        </w:rPr>
      </w:pPr>
    </w:p>
    <w:p>
      <w:pPr>
        <w:ind w:left="460" w:right="260" w:hanging="353"/>
        <w:spacing w:after="0" w:line="273" w:lineRule="auto"/>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Amortization of acquisition intangibles related to the increase in the carrying values of definite-lived intangible assets resulting from the application of purchase accounting to the KKR Acquisition of $3.7 million for each of the six months ended June 30, 2018 and July 1, 2017.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$0.8 million and $2.0 million for the six months ended June 30, 2018 and July 1, 2017, respectively.</w:t>
      </w:r>
    </w:p>
    <w:p>
      <w:pPr>
        <w:spacing w:after="0" w:line="68" w:lineRule="exact"/>
        <w:rPr>
          <w:rFonts w:ascii="Arial" w:cs="Arial" w:eastAsia="Arial" w:hAnsi="Arial"/>
          <w:sz w:val="13"/>
          <w:szCs w:val="13"/>
          <w:color w:val="auto"/>
        </w:rPr>
      </w:pPr>
    </w:p>
    <w:p>
      <w:pPr>
        <w:ind w:left="460" w:right="340" w:hanging="353"/>
        <w:spacing w:after="0" w:line="312" w:lineRule="auto"/>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43" w:lineRule="exact"/>
        <w:rPr>
          <w:rFonts w:ascii="Arial" w:cs="Arial" w:eastAsia="Arial" w:hAnsi="Arial"/>
          <w:sz w:val="13"/>
          <w:szCs w:val="13"/>
          <w:color w:val="auto"/>
        </w:rPr>
      </w:pPr>
    </w:p>
    <w:p>
      <w:pPr>
        <w:ind w:left="460" w:hanging="353"/>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statutory effective tax rate.</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62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2825" cy="7362190"/>
                    </a:xfrm>
                    <a:prstGeom prst="rect">
                      <a:avLst/>
                    </a:prstGeom>
                    <a:noFill/>
                  </pic:spPr>
                </pic:pic>
              </a:graphicData>
            </a:graphic>
          </wp:anchor>
        </w:drawing>
      </w:r>
    </w:p>
    <w:p>
      <w:pPr>
        <w:spacing w:after="0" w:line="246" w:lineRule="exact"/>
        <w:rPr>
          <w:sz w:val="20"/>
          <w:szCs w:val="20"/>
          <w:color w:val="auto"/>
        </w:rPr>
      </w:pPr>
    </w:p>
    <w:p>
      <w:pPr>
        <w:ind w:left="100" w:right="60" w:firstLine="360"/>
        <w:spacing w:after="0" w:line="255" w:lineRule="auto"/>
        <w:rPr>
          <w:sz w:val="20"/>
          <w:szCs w:val="20"/>
          <w:color w:val="auto"/>
        </w:rPr>
      </w:pPr>
      <w:r>
        <w:rPr>
          <w:rFonts w:ascii="Arial" w:cs="Arial" w:eastAsia="Arial" w:hAnsi="Arial"/>
          <w:sz w:val="18"/>
          <w:szCs w:val="18"/>
          <w:color w:val="auto"/>
        </w:rPr>
        <w:t>Please see below for a reconciliation of adjusted comparable store sales growth to comparable store sales growth (at the low end and high end of the estimated comparable store sales growth range set forth above). In addition, please see “Management’s Discussion and Analysis of Financial Condition and Results of Operations—How We Assess the Performance of our Business— Adjusted Comparable Store Sales Growth” in the Annual Report and Quarterly Report, each of which is incorporated herein by reference, for how we calculate adjusted comparable store sales growth, the reasons why we include it and certain limitations to its use.</w:t>
      </w:r>
    </w:p>
    <w:p>
      <w:pPr>
        <w:spacing w:after="0" w:line="50"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5720" w:type="dxa"/>
            <w:vAlign w:val="bottom"/>
          </w:tcPr>
          <w:p>
            <w:pPr>
              <w:spacing w:after="0"/>
              <w:rPr>
                <w:sz w:val="15"/>
                <w:szCs w:val="15"/>
                <w:color w:val="auto"/>
              </w:rPr>
            </w:pPr>
          </w:p>
        </w:tc>
        <w:tc>
          <w:tcPr>
            <w:tcW w:w="19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July 1, 2017</w:t>
            </w:r>
          </w:p>
        </w:tc>
        <w:tc>
          <w:tcPr>
            <w:tcW w:w="80" w:type="dxa"/>
            <w:vAlign w:val="bottom"/>
          </w:tcPr>
          <w:p>
            <w:pPr>
              <w:spacing w:after="0"/>
              <w:rPr>
                <w:sz w:val="15"/>
                <w:szCs w:val="15"/>
                <w:color w:val="auto"/>
              </w:rPr>
            </w:pPr>
          </w:p>
        </w:tc>
      </w:tr>
      <w:tr>
        <w:trPr>
          <w:trHeight w:val="196"/>
        </w:trPr>
        <w:tc>
          <w:tcPr>
            <w:tcW w:w="572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w w:val="93"/>
              </w:rPr>
              <w:t>Low</w:t>
            </w:r>
          </w:p>
        </w:tc>
        <w:tc>
          <w:tcPr>
            <w:tcW w:w="540" w:type="dxa"/>
            <w:vAlign w:val="bottom"/>
          </w:tcPr>
          <w:p>
            <w:pPr>
              <w:spacing w:after="0"/>
              <w:rPr>
                <w:sz w:val="17"/>
                <w:szCs w:val="17"/>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color w:val="auto"/>
              </w:rPr>
              <w:t>High</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Actual</w:t>
            </w:r>
          </w:p>
        </w:tc>
      </w:tr>
      <w:tr>
        <w:trPr>
          <w:trHeight w:val="243"/>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Comparable store sales growth</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6.9%</w:t>
            </w:r>
          </w:p>
        </w:tc>
        <w:tc>
          <w:tcPr>
            <w:tcW w:w="1040" w:type="dxa"/>
            <w:vAlign w:val="bottom"/>
            <w:gridSpan w:val="2"/>
            <w:shd w:val="clear" w:color="auto" w:fill="CCEEFF"/>
          </w:tcPr>
          <w:p>
            <w:pPr>
              <w:jc w:val="center"/>
              <w:ind w:left="379"/>
              <w:spacing w:after="0"/>
              <w:rPr>
                <w:sz w:val="20"/>
                <w:szCs w:val="20"/>
                <w:color w:val="auto"/>
              </w:rPr>
            </w:pPr>
            <w:r>
              <w:rPr>
                <w:rFonts w:ascii="Arial" w:cs="Arial" w:eastAsia="Arial" w:hAnsi="Arial"/>
                <w:sz w:val="18"/>
                <w:szCs w:val="18"/>
                <w:color w:val="auto"/>
                <w:w w:val="92"/>
              </w:rPr>
              <w:t>7.1%</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390"/>
        </w:trPr>
        <w:tc>
          <w:tcPr>
            <w:tcW w:w="6300" w:type="dxa"/>
            <w:vAlign w:val="bottom"/>
            <w:gridSpan w:val="2"/>
          </w:tcPr>
          <w:p>
            <w:pPr>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9"/>
                <w:szCs w:val="29"/>
                <w:color w:val="auto"/>
                <w:vertAlign w:val="superscript"/>
              </w:rPr>
              <w:t>(1)</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92"/>
              </w:rPr>
              <w:t>6.2%</w:t>
            </w:r>
          </w:p>
        </w:tc>
        <w:tc>
          <w:tcPr>
            <w:tcW w:w="1040" w:type="dxa"/>
            <w:vAlign w:val="bottom"/>
            <w:gridSpan w:val="2"/>
          </w:tcPr>
          <w:p>
            <w:pPr>
              <w:jc w:val="center"/>
              <w:ind w:left="379"/>
              <w:spacing w:after="0"/>
              <w:rPr>
                <w:sz w:val="20"/>
                <w:szCs w:val="20"/>
                <w:color w:val="auto"/>
              </w:rPr>
            </w:pPr>
            <w:r>
              <w:rPr>
                <w:rFonts w:ascii="Arial" w:cs="Arial" w:eastAsia="Arial" w:hAnsi="Arial"/>
                <w:sz w:val="18"/>
                <w:szCs w:val="18"/>
                <w:color w:val="auto"/>
                <w:w w:val="92"/>
              </w:rPr>
              <w:t>6.4%</w:t>
            </w: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bl>
    <w:p>
      <w:pPr>
        <w:spacing w:after="0" w:line="145" w:lineRule="exact"/>
        <w:rPr>
          <w:sz w:val="20"/>
          <w:szCs w:val="20"/>
          <w:color w:val="auto"/>
        </w:rPr>
      </w:pPr>
    </w:p>
    <w:p>
      <w:pPr>
        <w:ind w:left="460" w:right="80" w:hanging="353"/>
        <w:spacing w:after="0" w:line="247"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 decrease of 0.7% and 0.1% from total comparable store sales growth based on consolidated net revenue for the six months ended June 30, 2018 and July 1, 2017, respectively, and (ii) adjusted comparable store sales growth includes retail sales to the legacy partner’s customers (rather than the revenues recognized consistent with the management and services agreement), resulting in a decrease of 0.4% from total comparable store sales growth based on consolidated net revenue for the six months ended July 1, 2017.</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00" w:firstLine="360"/>
        <w:spacing w:after="0" w:line="271" w:lineRule="auto"/>
        <w:rPr>
          <w:sz w:val="20"/>
          <w:szCs w:val="20"/>
          <w:color w:val="auto"/>
        </w:rPr>
      </w:pPr>
      <w:r>
        <w:rPr>
          <w:rFonts w:ascii="Arial" w:cs="Arial" w:eastAsia="Arial" w:hAnsi="Arial"/>
          <w:sz w:val="17"/>
          <w:szCs w:val="17"/>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We intend to continue to defend the litigation vigorously. We believe that the claims alleged are without merit.</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100" w:right="120" w:firstLine="360"/>
        <w:spacing w:after="0" w:line="264" w:lineRule="auto"/>
        <w:rPr>
          <w:sz w:val="20"/>
          <w:szCs w:val="20"/>
          <w:color w:val="auto"/>
        </w:rPr>
      </w:pPr>
      <w:r>
        <w:rPr>
          <w:rFonts w:ascii="Arial" w:cs="Arial" w:eastAsia="Arial" w:hAnsi="Arial"/>
          <w:sz w:val="18"/>
          <w:szCs w:val="18"/>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73" w:lineRule="exact"/>
        <w:rPr>
          <w:sz w:val="20"/>
          <w:szCs w:val="20"/>
          <w:color w:val="auto"/>
        </w:rPr>
      </w:pPr>
    </w:p>
    <w:p>
      <w:pPr>
        <w:ind w:left="800" w:hanging="342"/>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sz w:val="20"/>
          <w:szCs w:val="20"/>
          <w:color w:val="auto"/>
        </w:rPr>
      </w:pPr>
    </w:p>
    <w:p>
      <w:pPr>
        <w:ind w:left="100" w:right="40" w:firstLine="360"/>
        <w:spacing w:after="0" w:line="277" w:lineRule="auto"/>
        <w:rPr>
          <w:sz w:val="20"/>
          <w:szCs w:val="20"/>
          <w:color w:val="auto"/>
        </w:rPr>
      </w:pPr>
      <w:r>
        <w:rPr>
          <w:rFonts w:ascii="Arial" w:cs="Arial" w:eastAsia="Arial" w:hAnsi="Arial"/>
          <w:sz w:val="18"/>
          <w:szCs w:val="18"/>
          <w:color w:val="auto"/>
        </w:rPr>
        <w:t>Any of the factors set forth under “Risk Factors” in this prospectus and under “Risk Factors” in our Annual Report, which is incorporated herein by reference, may limit our ability to successfully execute our</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209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2825" cy="5209540"/>
                    </a:xfrm>
                    <a:prstGeom prst="rect">
                      <a:avLst/>
                    </a:prstGeom>
                    <a:noFill/>
                  </pic:spPr>
                </pic:pic>
              </a:graphicData>
            </a:graphic>
          </wp:anchor>
        </w:drawing>
      </w:r>
    </w:p>
    <w:p>
      <w:pPr>
        <w:spacing w:after="0" w:line="138" w:lineRule="exact"/>
        <w:rPr>
          <w:sz w:val="20"/>
          <w:szCs w:val="20"/>
          <w:color w:val="auto"/>
        </w:rPr>
      </w:pPr>
    </w:p>
    <w:p>
      <w:pPr>
        <w:jc w:val="both"/>
        <w:ind w:left="100" w:right="140"/>
        <w:spacing w:after="0" w:line="312" w:lineRule="auto"/>
        <w:rPr>
          <w:sz w:val="20"/>
          <w:szCs w:val="20"/>
          <w:color w:val="auto"/>
        </w:rPr>
      </w:pPr>
      <w:r>
        <w:rPr>
          <w:rFonts w:ascii="Arial" w:cs="Arial" w:eastAsia="Arial" w:hAnsi="Arial"/>
          <w:sz w:val="16"/>
          <w:szCs w:val="16"/>
          <w:color w:val="auto"/>
        </w:rPr>
        <w:t>business strategy. You should carefully consider all of the information set forth, or incorporated by reference, in this prospectus and, in particular, should evaluate the specific factors set forth under “Risk Factors” in this prospectus and under “Risk Factors” in our Annual Report, which is incorporated herein by reference, in deciding whether to invest in our common stock.</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100" w:right="120" w:firstLine="360"/>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79" w:lineRule="exact"/>
        <w:rPr>
          <w:sz w:val="20"/>
          <w:szCs w:val="20"/>
          <w:color w:val="auto"/>
        </w:rPr>
      </w:pPr>
    </w:p>
    <w:p>
      <w:pPr>
        <w:ind w:left="100" w:right="80" w:firstLine="360"/>
        <w:spacing w:after="0" w:line="257" w:lineRule="auto"/>
        <w:rPr>
          <w:sz w:val="20"/>
          <w:szCs w:val="20"/>
          <w:color w:val="auto"/>
        </w:rPr>
      </w:pPr>
      <w:r>
        <w:rPr>
          <w:rFonts w:ascii="Arial" w:cs="Arial" w:eastAsia="Arial" w:hAnsi="Arial"/>
          <w:sz w:val="18"/>
          <w:szCs w:val="18"/>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0" w:lineRule="exact"/>
        <w:rPr>
          <w:sz w:val="20"/>
          <w:szCs w:val="20"/>
          <w:color w:val="auto"/>
        </w:rPr>
      </w:pPr>
    </w:p>
    <w:p>
      <w:pPr>
        <w:ind w:left="100" w:right="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KKR &amp; Co.</w:t>
      </w:r>
    </w:p>
    <w:p>
      <w:pPr>
        <w:spacing w:after="0" w:line="121"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KKR &amp; Co. Inc., which, together with its subsidiaries, we refer to as KKR &amp; Co., is a leading global investment firm that manages multiple alternative asset classes including private equity, energy, infrastructure, real estate and credit, with its strategic manager partnerships that manage hedge funds. KKR &amp; Co. aims to generate attractive investment returns for its fund investors by following a patient and disciplined investment approach, employing world-class people, and driving growth and value creation with its portfolio companies. KKR &amp; Co. invests its own capital alongside the capital it manages for fund investors and provides financing solutions and investment opportunities through its capital markets business. KKR &amp; Co. Inc. is listed on The New York Stock Exchange (NYSE: KKR).</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Berkshire</w:t>
      </w:r>
    </w:p>
    <w:p>
      <w:pPr>
        <w:spacing w:after="0" w:line="121" w:lineRule="exact"/>
        <w:rPr>
          <w:sz w:val="20"/>
          <w:szCs w:val="20"/>
          <w:color w:val="auto"/>
        </w:rPr>
      </w:pPr>
    </w:p>
    <w:p>
      <w:pPr>
        <w:ind w:left="100" w:right="280" w:firstLine="360"/>
        <w:spacing w:after="0" w:line="257" w:lineRule="auto"/>
        <w:rPr>
          <w:sz w:val="20"/>
          <w:szCs w:val="20"/>
          <w:color w:val="auto"/>
        </w:rPr>
      </w:pPr>
      <w:r>
        <w:rPr>
          <w:rFonts w:ascii="Arial" w:cs="Arial" w:eastAsia="Arial" w:hAnsi="Arial"/>
          <w:sz w:val="18"/>
          <w:szCs w:val="18"/>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35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offered by the selling stockholders</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14,447,698 shares.</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w w:val="95"/>
              </w:rPr>
              <w:t>Underwriters’ option to purchase additional shares of</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4"/>
              </w:rPr>
              <w:t>Certain of the selling stockholders have granted the underwriters a</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4"/>
              </w:rPr>
              <w:t>30-day option to purchase up to 2,167,154 additional shares of our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common stock at the public offering price, less underwriting</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discounts and commissions.</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75,333,782 shares (as of June 30, 2018).</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Use of proceeds</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We will not receive any proceeds from the sale of shares being sold in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this offering, including from any exercise by the underwriters of their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6"/>
              </w:rPr>
              <w:t>option to purchase additional shares. The selling stockholders will</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receive all of the net proceeds and bear all commissions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discounts, if any, from the sale of our common stock pursuant to this</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284"/>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5340" w:type="dxa"/>
            <w:vAlign w:val="bottom"/>
            <w:gridSpan w:val="3"/>
          </w:tcPr>
          <w:p>
            <w:pPr>
              <w:ind w:left="300"/>
              <w:spacing w:after="0"/>
              <w:rPr>
                <w:rFonts w:ascii="Arial" w:cs="Arial" w:eastAsia="Arial" w:hAnsi="Arial"/>
                <w:sz w:val="18"/>
                <w:szCs w:val="18"/>
                <w:color w:val="auto"/>
                <w:w w:val="99"/>
              </w:rPr>
            </w:pPr>
            <w:r>
              <w:rPr>
                <w:rFonts w:ascii="Arial" w:cs="Arial" w:eastAsia="Arial" w:hAnsi="Arial"/>
                <w:sz w:val="18"/>
                <w:szCs w:val="18"/>
                <w:color w:val="auto"/>
                <w:w w:val="99"/>
              </w:rPr>
              <w:t xml:space="preserve">See “Risk Factors” beginning on page </w:t>
            </w:r>
            <w:hyperlink w:anchor="page30">
              <w:r>
                <w:rPr>
                  <w:rFonts w:ascii="Arial" w:cs="Arial" w:eastAsia="Arial" w:hAnsi="Arial"/>
                  <w:sz w:val="18"/>
                  <w:szCs w:val="18"/>
                  <w:color w:val="0000EE"/>
                  <w:w w:val="99"/>
                </w:rPr>
                <w:t>21</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and other information</w:t>
            </w:r>
          </w:p>
        </w:tc>
      </w:tr>
      <w:tr>
        <w:trPr>
          <w:trHeight w:val="20"/>
        </w:trPr>
        <w:tc>
          <w:tcPr>
            <w:tcW w:w="4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2"/>
        </w:trPr>
        <w:tc>
          <w:tcPr>
            <w:tcW w:w="4020" w:type="dxa"/>
            <w:vAlign w:val="bottom"/>
          </w:tcPr>
          <w:p>
            <w:pPr>
              <w:spacing w:after="0"/>
              <w:rPr>
                <w:sz w:val="19"/>
                <w:szCs w:val="19"/>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8"/>
              </w:rPr>
              <w:t>included, and incorporated by reference, in this prospectus for a</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1"/>
              </w:rPr>
              <w:t>discussion of factors you should carefully consider before deciding to</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invest in our common stock.</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Dividend policy</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We do not currently anticipate paying any dividends on our common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stock and currently expect to retain all future earnings for use in the</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operation and expansion of our business. Any decision to declare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pay dividends in the future will be made at the sole discretion of our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board of directors, or Board of Directors, and will depend on various</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factors. See “Dividend Policy.”</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Conflicts of Interest</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Affiliates of KKR Sponsor beneficially own (through investment in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KKR Vision Aggregator L.P.) in excess of 10% of our issued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outstanding common stock. Because KKR Capital Markets LLC, an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8"/>
              </w:rPr>
              <w:t>affiliate of KKR Sponsor, is an underwriter in this offering and its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affiliates own in excess of 10% of our issued and outstanding</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common stock, KKR Capital Markets LLC is deemed to have a</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“conflict of interest” under Rule 5121, or Rule 5121, of the Financial</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Industry Regulatory Authority, Inc., or FINRA. Accordingly, this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4"/>
              </w:rPr>
              <w:t>offering is being made in compliance with the requirements of Rule</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5121. Pursuant to that rule, the appointment of a “qualified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independent underwriter” is not required in connection with this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offering as a bona fide public market exists in the shares, as that term</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6"/>
              </w:rPr>
              <w:t>is defined in Rule 5121. See “Underwriting (Conflicts of Interest).”</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NASDAQ ticker symbol</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“EYE”</w:t>
            </w:r>
          </w:p>
        </w:tc>
      </w:tr>
    </w:tbl>
    <w:p>
      <w:pPr>
        <w:spacing w:after="0" w:line="94" w:lineRule="exact"/>
        <w:rPr>
          <w:sz w:val="20"/>
          <w:szCs w:val="20"/>
          <w:color w:val="auto"/>
        </w:rPr>
      </w:pPr>
    </w:p>
    <w:p>
      <w:pPr>
        <w:ind w:left="100" w:right="260" w:firstLine="360"/>
        <w:spacing w:after="0" w:line="277" w:lineRule="auto"/>
        <w:rPr>
          <w:sz w:val="20"/>
          <w:szCs w:val="20"/>
          <w:color w:val="auto"/>
        </w:rPr>
      </w:pPr>
      <w:r>
        <w:rPr>
          <w:rFonts w:ascii="Arial" w:cs="Arial" w:eastAsia="Arial" w:hAnsi="Arial"/>
          <w:sz w:val="18"/>
          <w:szCs w:val="18"/>
          <w:color w:val="auto"/>
        </w:rPr>
        <w:t>Unless we indicate otherwise or the context otherwise requires, all information in this prospectus reflects and assumes no exercise of the underwriters’ option to purchase 2,167,154 additional shares of our common stock.</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562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2825" cy="3562985"/>
                    </a:xfrm>
                    <a:prstGeom prst="rect">
                      <a:avLst/>
                    </a:prstGeom>
                    <a:noFill/>
                  </pic:spPr>
                </pic:pic>
              </a:graphicData>
            </a:graphic>
          </wp:anchor>
        </w:drawing>
      </w:r>
    </w:p>
    <w:p>
      <w:pPr>
        <w:spacing w:after="0" w:line="246" w:lineRule="exact"/>
        <w:rPr>
          <w:sz w:val="20"/>
          <w:szCs w:val="20"/>
          <w:color w:val="auto"/>
        </w:rPr>
      </w:pPr>
    </w:p>
    <w:p>
      <w:pPr>
        <w:ind w:left="100" w:right="100" w:firstLine="360"/>
        <w:spacing w:after="0" w:line="264" w:lineRule="auto"/>
        <w:rPr>
          <w:sz w:val="20"/>
          <w:szCs w:val="20"/>
          <w:color w:val="auto"/>
        </w:rPr>
      </w:pPr>
      <w:r>
        <w:rPr>
          <w:rFonts w:ascii="Arial" w:cs="Arial" w:eastAsia="Arial" w:hAnsi="Arial"/>
          <w:sz w:val="18"/>
          <w:szCs w:val="18"/>
          <w:color w:val="auto"/>
        </w:rPr>
        <w:t>Additionally, the number of shares of our common stock to be outstanding after this offering is based on 75,333,782 shares of our common stock outstanding as of June 30, 2018, including 11,353 shares of restricted stock outstanding, and does not reflect:</w:t>
      </w:r>
    </w:p>
    <w:p>
      <w:pPr>
        <w:spacing w:after="0" w:line="73" w:lineRule="exact"/>
        <w:rPr>
          <w:sz w:val="20"/>
          <w:szCs w:val="20"/>
          <w:color w:val="auto"/>
        </w:rPr>
      </w:pPr>
    </w:p>
    <w:p>
      <w:pPr>
        <w:ind w:left="800" w:hanging="342"/>
        <w:spacing w:after="0" w:line="270"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9,555,877 shares of common stock issuable upon the exercise of options outstanding as of June 30, 2018, (1) of which 1,857,713 were then vested and exercisable and (2) of which 3,322,615 were time-based options and 6,233,262 were performance-based options. The performance-based options (other than 217,390 performance-based options held by Jeff McAllister, which have different vesting terms and 43,478 of which have vested) have not previously vested and are eligible to vest only upon affiliates of KKR Sponsor achieving certain internal rate of return threshold and multiples of invested capital. We expect that certain performance-based options will vest upon the consummation of this offering. See “Executive Compensation—Narrative to Summary Compensation Table and 2017 Grants of Plan-Based Awards— Equity Awards” in our Annual Report, which is incorporated herein by reference, for additional details around vesting terms;</w:t>
      </w:r>
    </w:p>
    <w:p>
      <w:pPr>
        <w:spacing w:after="0" w:line="73" w:lineRule="exact"/>
        <w:rPr>
          <w:rFonts w:ascii="Arial" w:cs="Arial" w:eastAsia="Arial" w:hAnsi="Arial"/>
          <w:sz w:val="17"/>
          <w:szCs w:val="17"/>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172,682 restricted stock units outstanding as of June 30, 2018;</w:t>
      </w:r>
    </w:p>
    <w:p>
      <w:pPr>
        <w:spacing w:after="0" w:line="117" w:lineRule="exact"/>
        <w:rPr>
          <w:rFonts w:ascii="Arial" w:cs="Arial" w:eastAsia="Arial" w:hAnsi="Arial"/>
          <w:sz w:val="18"/>
          <w:szCs w:val="18"/>
          <w:color w:val="auto"/>
        </w:rPr>
      </w:pPr>
    </w:p>
    <w:p>
      <w:pPr>
        <w:ind w:left="800" w:right="120" w:hanging="342"/>
        <w:spacing w:after="0" w:line="277"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4,151,748 shares of common stock available for issuance under our 2014 Stock Incentive Plan and our 2017 Omnibus Incentive Plan;</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850,000 shares of common stock available for issuance under our 2018 Associate Stock Purchase Plan; and</w:t>
      </w:r>
    </w:p>
    <w:p>
      <w:pPr>
        <w:spacing w:after="0" w:line="128" w:lineRule="exact"/>
        <w:rPr>
          <w:rFonts w:ascii="Arial" w:cs="Arial" w:eastAsia="Arial" w:hAnsi="Arial"/>
          <w:sz w:val="17"/>
          <w:szCs w:val="17"/>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exercises of vested options by the management selling stockholders in connection with this offering.</w:t>
      </w:r>
    </w:p>
    <w:p>
      <w:pPr>
        <w:spacing w:after="0" w:line="117" w:lineRule="exact"/>
        <w:rPr>
          <w:sz w:val="20"/>
          <w:szCs w:val="20"/>
          <w:color w:val="auto"/>
        </w:rPr>
      </w:pPr>
    </w:p>
    <w:p>
      <w:pPr>
        <w:ind w:left="100" w:right="200" w:firstLine="360"/>
        <w:spacing w:after="0" w:line="302" w:lineRule="auto"/>
        <w:rPr>
          <w:sz w:val="20"/>
          <w:szCs w:val="20"/>
          <w:color w:val="auto"/>
        </w:rPr>
      </w:pPr>
      <w:r>
        <w:rPr>
          <w:rFonts w:ascii="Arial" w:cs="Arial" w:eastAsia="Arial" w:hAnsi="Arial"/>
          <w:sz w:val="16"/>
          <w:szCs w:val="16"/>
          <w:color w:val="auto"/>
        </w:rPr>
        <w:t>As noted above, we expect that certain performance-based options will vest upon the consummation of this offering. In connection with this vesting event, we expect to incur between $8.5 million to $10.5 million of stock-based compensation expense. We also expect to incur a cash expense of between $4.0 million to $5.0 million relating to the payment, in connection with this offering, of cash-based compensation pursuant to an incentive plan for non-executive management.</w:t>
      </w: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24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right="20" w:firstLine="360"/>
        <w:spacing w:after="0" w:line="286"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December 31, 2016 and December 30, 2017 and for the years ended January 2, 2016, December 31, 2016 and December 30, 2017 has been derived from our audited consolidated financial statements and related notes thereto incorporated by reference in this prospectus, and the summary historical financial data as of January 2, 2016 has been derived from our audited consolidated financial statements and related notes thereto not included or incorporated by reference in this prospectus. The summary historical financial data as of March 31, 2018 and for the three months ended April 1, 2017 and March 31, 2018 has been derived from our unaudited condensed consolidated financial statements and related notes thereto incorporated by reference in this prospectus, and the summary historical financial data as of April 1, 2017 has been derived from our unaudited condensed consolidated financial statements and related notes thereto not included or incorporated by reference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61" w:lineRule="exact"/>
        <w:rPr>
          <w:sz w:val="20"/>
          <w:szCs w:val="20"/>
          <w:color w:val="auto"/>
        </w:rPr>
      </w:pPr>
    </w:p>
    <w:p>
      <w:pPr>
        <w:ind w:left="100" w:right="20" w:firstLine="360"/>
        <w:spacing w:after="0" w:line="273" w:lineRule="auto"/>
        <w:rPr>
          <w:sz w:val="20"/>
          <w:szCs w:val="20"/>
          <w:color w:val="auto"/>
        </w:rPr>
      </w:pPr>
      <w:r>
        <w:rPr>
          <w:rFonts w:ascii="Arial" w:cs="Arial" w:eastAsia="Arial" w:hAnsi="Arial"/>
          <w:sz w:val="17"/>
          <w:szCs w:val="17"/>
          <w:color w:val="auto"/>
        </w:rPr>
        <w:t>The summary historical consolidated financial and other data should be read in conjunction with, and are qualified by reference to, “Capitalization” in this prospectus, as well as the section entitled “Selected Financial Data” and “Management’s Discussion and Analysis of Financial Condition and Results of Operations” and our audited consolidated financial statements and related notes thereto in the Annual Report and “Management’s Discussion and Analysis of Financial Condition and Results of Operations” and our unaudited condensed consolidated financial statements and related notes thereto in the Quarterly Report, each of which is incorporated by reference in this prospectus.</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January 2,</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Ended April 1,</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Ended March 31,</w:t>
            </w:r>
          </w:p>
        </w:tc>
      </w:tr>
      <w:tr>
        <w:trPr>
          <w:trHeight w:val="16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w w:val="95"/>
              </w:rPr>
              <w:t>(In thousands, except per share amounts and store data)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color w:val="auto"/>
                <w:w w:val="90"/>
              </w:rPr>
              <w:t>(Unaudited)</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color w:val="auto"/>
                <w:w w:val="90"/>
              </w:rPr>
              <w:t>(Unaudited)</w:t>
            </w:r>
          </w:p>
        </w:tc>
        <w:tc>
          <w:tcPr>
            <w:tcW w:w="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Net revenue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1,062,528</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1,196,195</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1,375,308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369,859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407,975</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Costs applicable to revenue</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491,100</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544,781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636,966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165,808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180,454</w:t>
            </w:r>
          </w:p>
        </w:tc>
        <w:tc>
          <w:tcPr>
            <w:tcW w:w="80" w:type="dxa"/>
            <w:vAlign w:val="bottom"/>
            <w:shd w:val="clear" w:color="auto" w:fill="CCEEFF"/>
          </w:tcPr>
          <w:p>
            <w:pPr>
              <w:spacing w:after="0"/>
              <w:rPr>
                <w:sz w:val="20"/>
                <w:szCs w:val="20"/>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526,751</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585,030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671,106</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164,329</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187,878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44,677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66,384</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67,236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39,722</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39,643</w:t>
            </w:r>
          </w:p>
        </w:tc>
        <w:tc>
          <w:tcPr>
            <w:tcW w:w="80" w:type="dxa"/>
            <w:vAlign w:val="bottom"/>
            <w:shd w:val="clear" w:color="auto" w:fill="CCEEFF"/>
          </w:tcPr>
          <w:p>
            <w:pPr>
              <w:spacing w:after="0"/>
              <w:rPr>
                <w:sz w:val="19"/>
                <w:szCs w:val="19"/>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36,741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55,536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9,313</w:t>
            </w:r>
          </w:p>
        </w:tc>
        <w:tc>
          <w:tcPr>
            <w:tcW w:w="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Debt issuance costs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Earnings before income taxes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30,330</w:t>
            </w:r>
          </w:p>
        </w:tc>
        <w:tc>
          <w:tcPr>
            <w:tcW w:w="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(38,647)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8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14,758</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45,820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17,070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25,047</w:t>
            </w:r>
          </w:p>
        </w:tc>
        <w:tc>
          <w:tcPr>
            <w:tcW w:w="8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6"/>
                <w:szCs w:val="16"/>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55,962</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56,185</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59,895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56,261</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74,714</w:t>
            </w:r>
          </w:p>
        </w:tc>
        <w:tc>
          <w:tcPr>
            <w:tcW w:w="8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55,962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57,001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62,035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77,837</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Cash Flow Data:</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83,131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97,588</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90,252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46,505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77,787</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600" w:type="dxa"/>
            <w:vAlign w:val="bottom"/>
            <w:shd w:val="clear" w:color="auto" w:fill="CCEEFF"/>
          </w:tcPr>
          <w:p>
            <w:pPr>
              <w:spacing w:after="0" w:line="249" w:lineRule="exact"/>
              <w:rPr>
                <w:sz w:val="20"/>
                <w:szCs w:val="20"/>
                <w:color w:val="auto"/>
              </w:rPr>
            </w:pPr>
            <w:r>
              <w:rPr>
                <w:rFonts w:ascii="Arial" w:cs="Arial" w:eastAsia="Arial" w:hAnsi="Arial"/>
                <w:sz w:val="16"/>
                <w:szCs w:val="16"/>
                <w:color w:val="auto"/>
              </w:rPr>
              <w:t>Net cash used for investing activities</w:t>
            </w:r>
            <w:r>
              <w:rPr>
                <w:rFonts w:ascii="Arial" w:cs="Arial" w:eastAsia="Arial" w:hAnsi="Arial"/>
                <w:sz w:val="27"/>
                <w:szCs w:val="27"/>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(90,972)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(94,584)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(20,703)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(22,676)</w:t>
            </w:r>
          </w:p>
        </w:tc>
      </w:tr>
      <w:tr>
        <w:trPr>
          <w:trHeight w:val="210"/>
        </w:trPr>
        <w:tc>
          <w:tcPr>
            <w:tcW w:w="3620" w:type="dxa"/>
            <w:vAlign w:val="bottom"/>
            <w:gridSpan w:val="2"/>
          </w:tcPr>
          <w:p>
            <w:pPr>
              <w:spacing w:after="0"/>
              <w:rPr>
                <w:sz w:val="20"/>
                <w:szCs w:val="20"/>
                <w:color w:val="auto"/>
              </w:rPr>
            </w:pPr>
            <w:r>
              <w:rPr>
                <w:rFonts w:ascii="Arial" w:cs="Arial" w:eastAsia="Arial" w:hAnsi="Arial"/>
                <w:sz w:val="16"/>
                <w:szCs w:val="16"/>
                <w:color w:val="auto"/>
              </w:rPr>
              <w:t>Net cash (used for) provided by financing activities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(4,317)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(6,574)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3,838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(375)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(301)</w:t>
            </w:r>
          </w:p>
        </w:tc>
      </w:tr>
    </w:tbl>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306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2825" cy="6830695"/>
                    </a:xfrm>
                    <a:prstGeom prst="rect">
                      <a:avLst/>
                    </a:prstGeom>
                    <a:noFill/>
                  </pic:spPr>
                </pic:pic>
              </a:graphicData>
            </a:graphic>
          </wp:anchor>
        </w:drawing>
      </w:r>
    </w:p>
    <w:p>
      <w:pPr>
        <w:spacing w:after="0" w:line="19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January 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Ended April 1,</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Ended March 31,</w:t>
            </w:r>
          </w:p>
        </w:tc>
      </w:tr>
      <w:tr>
        <w:trPr>
          <w:trHeight w:val="161"/>
        </w:trPr>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 thousands, except per share amounts and store data)</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4"/>
                <w:szCs w:val="14"/>
                <w:color w:val="auto"/>
              </w:rPr>
            </w:pPr>
          </w:p>
        </w:tc>
      </w:tr>
      <w:tr>
        <w:trPr>
          <w:trHeight w:val="182"/>
        </w:trPr>
        <w:tc>
          <w:tcPr>
            <w:tcW w:w="1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(Unaudited)</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(Unaudited)</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Sheet Data (at period end):</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5,595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4,945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4,208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29,912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58,433</w:t>
            </w: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1,475,595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1,531,117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1,583,791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1,568,859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1,644,554</w:t>
            </w: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747,825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745,625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569,238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920,020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569,326</w:t>
            </w: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386,230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401,887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659,588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249,965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711,275</w:t>
            </w: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Other Financial Data (unaudited)</w:t>
            </w: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Number of stores open at period end</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80" w:type="dxa"/>
            <w:vAlign w:val="bottom"/>
            <w:shd w:val="clear" w:color="auto" w:fill="CCEEFF"/>
          </w:tcPr>
          <w:p>
            <w:pPr>
              <w:spacing w:after="0"/>
              <w:rPr>
                <w:sz w:val="20"/>
                <w:szCs w:val="20"/>
                <w:color w:val="auto"/>
              </w:rPr>
            </w:pPr>
          </w:p>
        </w:tc>
      </w:tr>
      <w:tr>
        <w:trPr>
          <w:trHeight w:val="230"/>
        </w:trPr>
        <w:tc>
          <w:tcPr>
            <w:tcW w:w="3620" w:type="dxa"/>
            <w:vAlign w:val="bottom"/>
            <w:gridSpan w:val="2"/>
          </w:tcPr>
          <w:p>
            <w:pPr>
              <w:spacing w:after="0" w:line="230"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112,585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137,774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159,721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58,906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61,089</w:t>
            </w:r>
          </w:p>
        </w:tc>
        <w:tc>
          <w:tcPr>
            <w:tcW w:w="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Adjusted Net Income</w:t>
            </w:r>
            <w:r>
              <w:rPr>
                <w:rFonts w:ascii="Arial" w:cs="Arial" w:eastAsia="Arial" w:hAnsi="Arial"/>
                <w:sz w:val="26"/>
                <w:szCs w:val="26"/>
                <w:color w:val="auto"/>
                <w:vertAlign w:val="superscript"/>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26,184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23,263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26,870</w:t>
            </w:r>
          </w:p>
        </w:tc>
        <w:tc>
          <w:tcPr>
            <w:tcW w:w="80" w:type="dxa"/>
            <w:vAlign w:val="bottom"/>
            <w:shd w:val="clear" w:color="auto" w:fill="CCEEFF"/>
          </w:tcPr>
          <w:p>
            <w:pPr>
              <w:spacing w:after="0"/>
              <w:rPr>
                <w:sz w:val="19"/>
                <w:szCs w:val="19"/>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460" w:right="20" w:hanging="353"/>
        <w:spacing w:after="0" w:line="247"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November 2016, the FASB issued ASU No. 2016-18, Restricted Cash, which requires that a statement of cash flows explain the change during the period in the total of cash, cash equivalents, and amounts generally described as restricted cash or restricted cash equivalents. This new guidance is effective in fiscal years, including interim periods, beginning after December 15, 2017 and should be applied using a retrospective transition method to each period presented. We adopted this new guidance during the first quarter of 2018, which resulted in an immaterial decrease in net cash used for investing activities of $692,000 and $243,000 for years ended December 31, 2016 and December 30, 2017, respectively. The adoption of this new guidance did not have a material effect on our financial condition or results of operations.</w:t>
      </w:r>
    </w:p>
    <w:p>
      <w:pPr>
        <w:spacing w:after="0" w:line="86" w:lineRule="exact"/>
        <w:rPr>
          <w:rFonts w:ascii="Arial" w:cs="Arial" w:eastAsia="Arial" w:hAnsi="Arial"/>
          <w:sz w:val="14"/>
          <w:szCs w:val="14"/>
          <w:color w:val="auto"/>
        </w:rPr>
      </w:pPr>
    </w:p>
    <w:p>
      <w:pPr>
        <w:ind w:left="460" w:hanging="353"/>
        <w:spacing w:after="0" w:line="267" w:lineRule="auto"/>
        <w:tabs>
          <w:tab w:leader="none" w:pos="4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define EBITDA as net income, plus interest expense, income tax (benefit)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secondary offering expenses and other expenses. We describe these adjustments reconciling 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secondary offering expenses, amortization of acquisition intangibles and deferred financing costs, other expenses, tax legislation adjustments, tax benefit of stock option exercises, less the tax effect of these adjustments. We describe these adjustments reconciling net income to Adjusted Net Income in the tables below.</w:t>
      </w:r>
    </w:p>
    <w:p>
      <w:pPr>
        <w:spacing w:after="0" w:line="65" w:lineRule="exact"/>
        <w:rPr>
          <w:sz w:val="20"/>
          <w:szCs w:val="20"/>
          <w:color w:val="auto"/>
        </w:rPr>
      </w:pPr>
    </w:p>
    <w:p>
      <w:pPr>
        <w:ind w:left="100" w:firstLine="360"/>
        <w:spacing w:after="0" w:line="287" w:lineRule="auto"/>
        <w:rPr>
          <w:sz w:val="20"/>
          <w:szCs w:val="20"/>
          <w:color w:val="auto"/>
        </w:rPr>
      </w:pPr>
      <w:r>
        <w:rPr>
          <w:rFonts w:ascii="Arial" w:cs="Arial" w:eastAsia="Arial" w:hAnsi="Arial"/>
          <w:sz w:val="16"/>
          <w:szCs w:val="16"/>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5" w:lineRule="exact"/>
        <w:rPr>
          <w:sz w:val="20"/>
          <w:szCs w:val="20"/>
          <w:color w:val="auto"/>
        </w:rPr>
      </w:pPr>
    </w:p>
    <w:p>
      <w:pPr>
        <w:ind w:left="100" w:right="20" w:firstLine="360"/>
        <w:spacing w:after="0" w:line="287"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52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2825" cy="6521450"/>
                    </a:xfrm>
                    <a:prstGeom prst="rect">
                      <a:avLst/>
                    </a:prstGeom>
                    <a:noFill/>
                  </pic:spPr>
                </pic:pic>
              </a:graphicData>
            </a:graphic>
          </wp:anchor>
        </w:drawing>
      </w:r>
    </w:p>
    <w:p>
      <w:pPr>
        <w:spacing w:after="0" w:line="246" w:lineRule="exact"/>
        <w:rPr>
          <w:sz w:val="20"/>
          <w:szCs w:val="20"/>
          <w:color w:val="auto"/>
        </w:rPr>
      </w:pPr>
    </w:p>
    <w:p>
      <w:pPr>
        <w:ind w:left="100" w:right="440" w:firstLine="360"/>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800" w:hanging="342"/>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800" w:right="620" w:hanging="342"/>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spacing w:after="0" w:line="62" w:lineRule="exact"/>
        <w:rPr>
          <w:rFonts w:ascii="Arial" w:cs="Arial" w:eastAsia="Arial" w:hAnsi="Arial"/>
          <w:sz w:val="18"/>
          <w:szCs w:val="18"/>
          <w:color w:val="auto"/>
        </w:rPr>
      </w:pPr>
    </w:p>
    <w:p>
      <w:pPr>
        <w:ind w:left="800" w:right="660" w:hanging="342"/>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EBITDA and Adjusted EBITDA do not reflect period to period changes in taxes, income tax expense or the cash necessary to pay income taxes;</w:t>
      </w:r>
    </w:p>
    <w:p>
      <w:pPr>
        <w:spacing w:after="0" w:line="62" w:lineRule="exact"/>
        <w:rPr>
          <w:rFonts w:ascii="Arial" w:cs="Arial" w:eastAsia="Arial" w:hAnsi="Arial"/>
          <w:sz w:val="18"/>
          <w:szCs w:val="18"/>
          <w:color w:val="auto"/>
        </w:rPr>
      </w:pPr>
    </w:p>
    <w:p>
      <w:pPr>
        <w:ind w:left="800" w:right="480" w:hanging="342"/>
        <w:spacing w:after="0" w:line="264"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3" w:lineRule="exact"/>
        <w:rPr>
          <w:rFonts w:ascii="Arial" w:cs="Arial" w:eastAsia="Arial" w:hAnsi="Arial"/>
          <w:sz w:val="18"/>
          <w:szCs w:val="18"/>
          <w:color w:val="auto"/>
        </w:rPr>
      </w:pPr>
    </w:p>
    <w:p>
      <w:pPr>
        <w:ind w:left="800" w:right="520" w:hanging="342"/>
        <w:spacing w:after="0" w:line="264"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3" w:lineRule="exact"/>
        <w:rPr>
          <w:rFonts w:ascii="Arial" w:cs="Arial" w:eastAsia="Arial" w:hAnsi="Arial"/>
          <w:sz w:val="18"/>
          <w:szCs w:val="18"/>
          <w:color w:val="auto"/>
        </w:rPr>
      </w:pPr>
    </w:p>
    <w:p>
      <w:pPr>
        <w:ind w:left="800" w:right="680" w:hanging="342"/>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2"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Because of these limitations, EBITDA, Adjusted EBITDA and Adjusted Net Income should not be considered as measures of discretionary cash available to invest in business growth or to reduce indebtedness.</w:t>
      </w:r>
    </w:p>
    <w:p>
      <w:pPr>
        <w:spacing w:after="0" w:line="62" w:lineRule="exact"/>
        <w:rPr>
          <w:sz w:val="20"/>
          <w:szCs w:val="20"/>
          <w:color w:val="auto"/>
        </w:rPr>
      </w:pPr>
    </w:p>
    <w:p>
      <w:pPr>
        <w:ind w:left="100" w:right="500" w:firstLine="360"/>
        <w:spacing w:after="0" w:line="277" w:lineRule="auto"/>
        <w:rPr>
          <w:sz w:val="20"/>
          <w:szCs w:val="20"/>
          <w:color w:val="auto"/>
        </w:rPr>
      </w:pPr>
      <w:r>
        <w:rPr>
          <w:rFonts w:ascii="Arial" w:cs="Arial" w:eastAsia="Arial" w:hAnsi="Arial"/>
          <w:sz w:val="18"/>
          <w:szCs w:val="18"/>
          <w:color w:val="auto"/>
        </w:rPr>
        <w:t>The following tables reconcile our net income to EBITDA, Adjusted EBITDA and Adjusted Net Income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5"/>
              </w:rPr>
              <w:t>January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Ended April 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Ended March 31,</w:t>
            </w:r>
          </w:p>
        </w:tc>
      </w:tr>
      <w:tr>
        <w:trPr>
          <w:trHeight w:val="178"/>
        </w:trPr>
        <w:tc>
          <w:tcPr>
            <w:tcW w:w="100" w:type="dxa"/>
            <w:vAlign w:val="bottom"/>
          </w:tcPr>
          <w:p>
            <w:pPr>
              <w:spacing w:after="0"/>
              <w:rPr>
                <w:sz w:val="15"/>
                <w:szCs w:val="15"/>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39,092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38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51,993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14,423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118,377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51,443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57,297</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280" w:type="dxa"/>
            <w:vAlign w:val="bottom"/>
            <w:tcBorders>
              <w:bottom w:val="single" w:sz="8" w:color="CCEEFF"/>
            </w:tcBorders>
            <w:shd w:val="clear" w:color="auto" w:fill="CCEEFF"/>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(j)</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112,585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137,774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159,721</w:t>
            </w:r>
          </w:p>
        </w:tc>
        <w:tc>
          <w:tcPr>
            <w:tcW w:w="1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58,906</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61,089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4"/>
        </w:trPr>
        <w:tc>
          <w:tcPr>
            <w:tcW w:w="10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592"/>
              <w:spacing w:after="0"/>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3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92825" cy="7636510"/>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January 2,</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30,</w:t>
            </w: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Ended April 1,</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1"/>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(j)</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tcPr>
          <w:p>
            <w:pPr>
              <w:spacing w:after="0" w:line="206" w:lineRule="exact"/>
              <w:rPr>
                <w:sz w:val="20"/>
                <w:szCs w:val="20"/>
                <w:color w:val="auto"/>
              </w:rPr>
            </w:pPr>
            <w:r>
              <w:rPr>
                <w:rFonts w:ascii="Arial" w:cs="Arial" w:eastAsia="Arial" w:hAnsi="Arial"/>
                <w:sz w:val="18"/>
                <w:szCs w:val="18"/>
                <w:color w:val="auto"/>
                <w:w w:val="96"/>
              </w:rPr>
              <w:t>Amortization of acquisition intangibles and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60" w:type="dxa"/>
            <w:vAlign w:val="bottom"/>
            <w:gridSpan w:val="2"/>
          </w:tcPr>
          <w:p>
            <w:pPr>
              <w:ind w:left="160"/>
              <w:spacing w:after="0" w:line="253"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(k)</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11,221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11,311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14,481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legislation adjustments</w:t>
            </w:r>
            <w:r>
              <w:rPr>
                <w:rFonts w:ascii="Arial" w:cs="Arial" w:eastAsia="Arial" w:hAnsi="Arial"/>
                <w:sz w:val="28"/>
                <w:szCs w:val="28"/>
                <w:color w:val="auto"/>
                <w:vertAlign w:val="superscript"/>
              </w:rPr>
              <w:t>(l)</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(42,965)</w:t>
            </w: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(m)</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(n)</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(15,044)</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(12,283)</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(20,152)</w:t>
            </w: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26,184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33,183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33,081</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23,263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353"/>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460" w:right="60" w:hanging="353"/>
        <w:spacing w:after="0" w:line="286" w:lineRule="auto"/>
        <w:tabs>
          <w:tab w:leader="none" w:pos="4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$2.6 million of fees associated with the borrowing of $150.0 million in additional principal under our first lien credit agreement during the second fiscal quarter of 2015, $2.7 million of fees associated with the borrowing of $175.0 million in additional principal under our first lien credit agreement in the first quarter of 2017 and $1.8 million of fees associated with the refinancing of our first lien credit agreement in the fourth quarter of 2017.</w:t>
      </w:r>
    </w:p>
    <w:p>
      <w:pPr>
        <w:spacing w:after="0" w:line="59" w:lineRule="exact"/>
        <w:rPr>
          <w:rFonts w:ascii="Arial" w:cs="Arial" w:eastAsia="Arial" w:hAnsi="Arial"/>
          <w:sz w:val="13"/>
          <w:szCs w:val="13"/>
          <w:color w:val="auto"/>
        </w:rPr>
      </w:pPr>
    </w:p>
    <w:p>
      <w:pPr>
        <w:ind w:left="460" w:right="40" w:hanging="353"/>
        <w:spacing w:after="0" w:line="257"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Vista Optical in Fred Meyer brand and our AC Lens business during fiscal years 2015 and 2016. Reflects write-off of a cost basis investment, and write-off of capitalized software and property and equipment for the fiscal year 2017.</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460" w:right="160" w:hanging="353"/>
        <w:spacing w:after="0" w:line="257"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and we paid termination fees of approximately $3.6 million and $0.8 million to KKR Sponsor and Berkshire, respectively.</w:t>
      </w:r>
    </w:p>
    <w:p>
      <w:pPr>
        <w:spacing w:after="0" w:line="77" w:lineRule="exact"/>
        <w:rPr>
          <w:rFonts w:ascii="Arial" w:cs="Arial" w:eastAsia="Arial" w:hAnsi="Arial"/>
          <w:sz w:val="14"/>
          <w:szCs w:val="14"/>
          <w:color w:val="auto"/>
        </w:rPr>
      </w:pPr>
    </w:p>
    <w:p>
      <w:pPr>
        <w:ind w:left="460" w:right="40" w:hanging="353"/>
        <w:spacing w:after="0" w:line="249"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83" w:lineRule="exact"/>
        <w:rPr>
          <w:rFonts w:ascii="Arial" w:cs="Arial" w:eastAsia="Arial" w:hAnsi="Arial"/>
          <w:sz w:val="14"/>
          <w:szCs w:val="14"/>
          <w:color w:val="auto"/>
        </w:rPr>
      </w:pPr>
    </w:p>
    <w:p>
      <w:pPr>
        <w:ind w:left="460" w:hanging="353"/>
        <w:spacing w:after="0" w:line="252"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and “Legal Proceedings” and Note 7 in our unaudited condensed consolidated financial statements, each in our Quarterly Report, each of which is incorporated by reference in this prospectus, for further details.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Expenses related to secondary public offering of our common stock during the three months ended March 31, 2018.</w:t>
      </w:r>
    </w:p>
    <w:p>
      <w:pPr>
        <w:spacing w:after="0" w:line="109" w:lineRule="exact"/>
        <w:rPr>
          <w:rFonts w:ascii="Arial" w:cs="Arial" w:eastAsia="Arial" w:hAnsi="Arial"/>
          <w:sz w:val="14"/>
          <w:szCs w:val="14"/>
          <w:color w:val="auto"/>
        </w:rPr>
      </w:pPr>
    </w:p>
    <w:p>
      <w:pPr>
        <w:ind w:left="460" w:hanging="353"/>
        <w:spacing w:after="0" w:line="244"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$0.9 million, $1.4 million, $1.0 million, $0.1 million and $0.2 million for fiscal years 2015, 2016 and 2017 and the three months ended April 1, 2017 and March 31, 2018, respectively; the amortization impact of the KKR Acquisition-related adjustments (e.g., fair value of leasehold interests) of $(1.3) million, $(0.7) million, $(0.3) million, $(0.1) million and $17,000 for fiscal years 2015, 2016 and 2017 and the three months ended April 1, 2017 and March 31, 2018, respectively; expenses related to preparation for being an SEC registrant that were not directly attributable to the IPO and therefore not charged to equity of $0.5 million, $2.0 million, $1.8 million and $0.5 million for fiscal years 2015, 2016 and 2017 and the three months ended April 1, 2017, respectively; differences between the timing of expense versus cash payments related to contributions to charitable organizations of $3.0 million, $(1.0) million, $(1.0) million, $(0.3) million and $(0.3) million for fiscal years 2015, 2016 and 2017 and the three months ended April 1, 2017 and March 31, 2018, respectively; costs of severance and relocation of $0.5 million, $1.1 million, $1.4 million, $16,000 and $0.2 million for fiscal years 2015, 2016 and 2017 and the three months ended April 1, 2017 and March 31, 2018, respectively; non-cash write-down</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2293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92825" cy="2293620"/>
                    </a:xfrm>
                    <a:prstGeom prst="rect">
                      <a:avLst/>
                    </a:prstGeom>
                    <a:noFill/>
                  </pic:spPr>
                </pic:pic>
              </a:graphicData>
            </a:graphic>
          </wp:anchor>
        </w:drawing>
      </w:r>
    </w:p>
    <w:p>
      <w:pPr>
        <w:spacing w:after="0" w:line="255" w:lineRule="exact"/>
        <w:rPr>
          <w:sz w:val="20"/>
          <w:szCs w:val="20"/>
          <w:color w:val="auto"/>
        </w:rPr>
      </w:pPr>
    </w:p>
    <w:p>
      <w:pPr>
        <w:ind w:left="460"/>
        <w:spacing w:after="0" w:line="257" w:lineRule="auto"/>
        <w:rPr>
          <w:sz w:val="20"/>
          <w:szCs w:val="20"/>
          <w:color w:val="auto"/>
        </w:rPr>
      </w:pPr>
      <w:r>
        <w:rPr>
          <w:rFonts w:ascii="Arial" w:cs="Arial" w:eastAsia="Arial" w:hAnsi="Arial"/>
          <w:sz w:val="14"/>
          <w:szCs w:val="14"/>
          <w:color w:val="auto"/>
        </w:rPr>
        <w:t>of property and equipment of $0.2 million, $0.2 million and $0.4 million for fiscal years 2015, 2016 and 2017, respectively; and other expenses and adjustments totaling $0.8 million, $0.6 million, $0.6 million, $0.1 million and $0.1 million for fiscal years 2015, 2016 and 2017 and the three months ended April 1, 2017 and March 31, 2018, respectively.</w:t>
      </w:r>
    </w:p>
    <w:p>
      <w:pPr>
        <w:spacing w:after="0" w:line="77" w:lineRule="exact"/>
        <w:rPr>
          <w:sz w:val="20"/>
          <w:szCs w:val="20"/>
          <w:color w:val="auto"/>
        </w:rPr>
      </w:pPr>
    </w:p>
    <w:p>
      <w:pPr>
        <w:ind w:left="460" w:hanging="353"/>
        <w:spacing w:after="0" w:line="246"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increase in the carrying values of definite-lived intangible assets resulting from the application of purchase accounting to the KKR Acquisition of $7.4 million for each of fiscal years 2015, 2016 and 2017 and $1.9 million for each of the three months ended April 1, 2017 and March 31, 2018.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$3.8 million, $3.9 million and $7.1 million for fiscal years 2015, 2016 and 2017, respectively, and $1.0 million and $0.4 million for the three months ended April 1, 2017 and March 31, 2018, respectively. The $7.1 million amortization of deferred financing costs in 2017 includes $3.3 million of the write-off of debt discounts associated with the repayment of all outstanding $125 million of second lien term loans in November 2017.</w:t>
      </w:r>
    </w:p>
    <w:p>
      <w:pPr>
        <w:spacing w:after="0" w:line="84" w:lineRule="exact"/>
        <w:rPr>
          <w:rFonts w:ascii="Arial" w:cs="Arial" w:eastAsia="Arial" w:hAnsi="Arial"/>
          <w:sz w:val="14"/>
          <w:szCs w:val="14"/>
          <w:color w:val="auto"/>
        </w:rPr>
      </w:pPr>
    </w:p>
    <w:p>
      <w:pPr>
        <w:ind w:left="460" w:right="60" w:hanging="353"/>
        <w:spacing w:after="0" w:line="257"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audited consolidated financial statements incorporated by reference in this prospectus for additional information regarding the 2017 Tax Cuts and Jobs Act.</w:t>
      </w:r>
    </w:p>
    <w:p>
      <w:pPr>
        <w:spacing w:after="0" w:line="77" w:lineRule="exact"/>
        <w:rPr>
          <w:rFonts w:ascii="Arial" w:cs="Arial" w:eastAsia="Arial" w:hAnsi="Arial"/>
          <w:sz w:val="14"/>
          <w:szCs w:val="14"/>
          <w:color w:val="auto"/>
        </w:rPr>
      </w:pPr>
    </w:p>
    <w:p>
      <w:pPr>
        <w:ind w:left="460" w:right="320" w:hanging="353"/>
        <w:spacing w:after="0" w:line="312" w:lineRule="auto"/>
        <w:tabs>
          <w:tab w:leader="none" w:pos="4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43" w:lineRule="exact"/>
        <w:rPr>
          <w:rFonts w:ascii="Arial" w:cs="Arial" w:eastAsia="Arial" w:hAnsi="Arial"/>
          <w:sz w:val="13"/>
          <w:szCs w:val="13"/>
          <w:color w:val="auto"/>
        </w:rPr>
      </w:pPr>
    </w:p>
    <w:p>
      <w:pPr>
        <w:ind w:left="460" w:hanging="353"/>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statutory effective tax rate.</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i w:val="1"/>
          <w:iCs w:val="1"/>
          <w:color w:val="auto"/>
        </w:rPr>
        <w:t>An investment in our common stock involves risk. You should carefully consider the risks and uncertainties described below, together with all of the other information included or incorporated by reference in this prospectus, including the risks and uncertainties discussed under “Prospectus Summary—Summary Historical Consolidated Financial and Other Data” contained elsewhere in this prospectus, “Risk Factors,” “Management’s Discussion and Analysis of Financial Condition and Results of Operations” and our audited consolidated financial statements and related notes thereto in our Annual Report and “Management’s Discussion and Analysis of Financial Condition and Results of Operations” and our unaudited condensed consolidated financial statements and related notes thereto in our Quarterly Report, each of which is incorporated by reference in this prospectus, before investing in our common stock. Any of the following risks could materially and adversely affect our business, financial condition, or results of operations. The selected risks described below or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08"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spacing w:after="0" w:line="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We completed our IPO in October 2017. Since our IPO, the price of our common stock, as reported on NASDAQ, has ranged from a low of $27.19 on October 26, 2017 to a high of $43.80 on January 19, 2018. The trading price of our common stock may be volatile and may be adversely affected due to a number of factors, most of which we cannot control, including those listed under “Risk Factors” in our Annual Report, which is incorporated by reference in this prospectus, and the following:</w:t>
      </w:r>
    </w:p>
    <w:p>
      <w:pPr>
        <w:spacing w:after="0" w:line="46"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75"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5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7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4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7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7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5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As disclosed in the final prospectus for our IPO,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8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6"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5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75"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9"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color w:val="auto"/>
        </w:rPr>
        <w:t>Upon the consummation of this offering, we will have a total of 75,333,782 shares of our common stock outstanding. Of the outstanding shares, the 46,417,698 shares sold in the IPO, in the secondary offering of our common stock in March 2018 and in this offering (or 48,584,852 shares if the underwriters exercise in full their option to purchase additional shares in this offering) will be freely tradable without restriction or further registration under the Securities Act of 1933, as amended, or the Securities Act. Additionally, in connection with this offering, our Board of Directors will, pursuant to the management stockholder’s agreements and director stockholder’s agreements, elect to waive the transfer restrictions with respect to the number of shares of our common stock that management stockholders and director stockholders not participating in this offering would have been eligible to sell in this offering if they had exercised their piggyback registration rights. Of these shares, 995,033 shares (or 1,144,288 shares if the underwriters exercise in full their option to purchase additional shares in this offering) are held by non-executive officers and non-directors and, as such, may be sold during the 60-day lock-up period after this offering, subject to compliance with our securities trading policy and applicable securities laws. In addition, two of our executive officers, Reade Fahs and Jeff Busbee, will have the transfer restrictions in their management stockholder’s agreements waived with respect to 30,000 shares and 3,750 shares, respectively, which shares may be transferred during the 60-day lock-up period after this offering, subject to compliance with our securities trading policy and applicable securities laws.</w:t>
      </w:r>
    </w:p>
    <w:p>
      <w:pPr>
        <w:spacing w:after="0" w:line="7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The 27,224,611 shares of common stock (or 25,057,457 shares if the underwriters exercise in full their option to purchase additional shares) held by affiliates of KKR Sponsor, affiliates of Berkshire and our directors and executive officers after this offering, representing 36.1% (or 33.3% if the underwriters exercise in full their option to purchase additional shares)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8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In connection with this offering, we, our directors and executive officers and the selling stockholders have signed lock-up agreements with the underwriters that, subject to certain exceptions, restrict the disposition of, or hedging with respect to, the shares of our common stock or securities convertible into or exchangeable for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common stock, each held by them for 60 days following the date of this prospectus, except with the prior written consent of any two of Merrill Lynch, Pierce, Fenner &amp; Smith Incorporated, Citigroup Global Markets Inc. and Goldman Sachs &amp; Co. LLC. See “Underwriting (Conflicts of Interest)” for a description of these lock-up agreements.</w:t>
      </w:r>
    </w:p>
    <w:p>
      <w:pPr>
        <w:spacing w:after="0" w:line="73"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We expect that KKR Sponsor and certain of its affiliates will be considered an affiliate upon the expiration of the lock-up period based on their expected share ownership, as well as their board nomination rights. We also expect that Berkshire and certain of its affiliates will be considered an affiliate upon the expiration of the lock-up period based on their expected share ownership, as well as their board nomination rights. Certain other of our stockholders may also be considered affiliates at that time.</w:t>
      </w:r>
    </w:p>
    <w:p>
      <w:pPr>
        <w:spacing w:after="0" w:line="46"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In addition, pursuant to a registration rights agreement, each of the Sponsors has the right, subject to certain conditions, to require us to register the sale of their shares of our common stock under the Securities Act. By 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37.9% of our total common stock outstanding (or 34.9%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5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June 30, 2018, there were stock options outstanding to purchase a total of 9,555,877 shares of our common stock and 172,682 shares of our common stock subject to restricted stock units. In addition, as of June 30, 2018, 4,151,748 shares of our common stock were reserved for future issuance under our incentive plans. In addition, our Board of Directors and stockholders have approved the adoption of our 2018 Associate Stock Purchase Plan, and we have reserved a total of 850,000 shares of our common stock for issuance thereunder. We have filed a registration statement on Form S-8 to register such shares and any shares purchased under our 2018 Associate Stock Purchase Plan will be available for sale in the open market, unless such shares are subject to Rule 144 limitations applicable to affiliates.</w:t>
      </w:r>
    </w:p>
    <w:p>
      <w:pPr>
        <w:spacing w:after="0" w:line="7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After the completion of this offering, we will no longer qualify as a “controlled company” within the meaning of NASDAQ rules and the rules of the SEC. As a result, we must comply with certain corporate governance requirements within one year or less of the completion of this offering but will remain exempt from those requirements during the interim period.</w:t>
      </w:r>
    </w:p>
    <w:p>
      <w:pPr>
        <w:spacing w:after="0" w:line="5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After completion of this offering, our Sponsors will no longer control a majority of the voting power of our outstanding common stock. As a result, we will no longer be a “controlled company” within the meaning of the corporate governance standards of NASDAQ and we will be required to comply with certain corporate governance requirements within one year or less of the completion of this offering, including the requirements that:</w:t>
      </w:r>
    </w:p>
    <w:p>
      <w:pPr>
        <w:spacing w:after="0" w:line="79"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700" w:right="12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60" w:hanging="356"/>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a majority of our independent directors or by a nominations committee that is composed entirely of independent directors and that we adopt a written charter or board resolution addressing the nominations process.</w:t>
      </w:r>
    </w:p>
    <w:p>
      <w:pPr>
        <w:spacing w:after="0" w:line="73"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Currently, we do not have a majority of independent directors, our compensation committee does not consist entirely of independent directors and our director nominations are not made, or recommended to the full Board of Directors, by a majority of our independent directors and we do not have a nominating/corporate governance committee. Accordingly, until this interim period is completed, you will not have the same protections afforded to stockholders of companies that are subject to all of the corporate governance requirements of NASDAQ.</w:t>
      </w:r>
    </w:p>
    <w:p>
      <w:pPr>
        <w:spacing w:after="0" w:line="18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Our Sponsors have the ability to exert substantial influence over us and their interests may conflict with ours or yours in the future.</w:t>
      </w:r>
    </w:p>
    <w:p>
      <w:pPr>
        <w:spacing w:after="0" w:line="61"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Immediately following this offering, the Sponsors will beneficially own 34.3% of our common stock, or 31.5% if the underwriters exercise in full their option to purchase additional shares. As a result, the Sponsors will have the ability to exert substantial influence on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use their influence to have us pursue acquisitions that increase our indebtedness or sales of revenue-generating assets.</w:t>
      </w:r>
    </w:p>
    <w:p>
      <w:pPr>
        <w:spacing w:after="0" w:line="5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Our Sponsors and their affiliates are in the business of making investments in companies and may from time to time acquire and hold interests in businesses that compete directly or indirectly with us. Our amended and restated certificate of incorporation provides that none of the Sponsors, any of their affiliates or any director who is not employed by us (including any non-employee director who serves as one of our officers in both his director and officer capacities) or his or her affiliates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7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the Sponsors and their affiliates will be able to significantly influence the outcome of all matters requiring stockholder approval, including the election of our Board of Directors and potential acquisitions of our company. This concentration of voting power could deprive you of an opportunity to receive a premium for your shares of common stock as part of a sale of our company and ultimately might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ind w:left="700" w:right="20" w:hanging="356"/>
        <w:spacing w:after="0" w:line="228"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shares of common stock entitled to vote generally in the election of directors if the Sponsors and their affiliates cease to beneficially own at least 40% of shares of common stock entitled to vote generally in the election of directors, which we expect to occur upon the completion of this offering; and</w:t>
      </w:r>
    </w:p>
    <w:p>
      <w:pPr>
        <w:spacing w:after="0" w:line="87" w:lineRule="exact"/>
        <w:rPr>
          <w:rFonts w:ascii="Arial" w:cs="Arial" w:eastAsia="Arial" w:hAnsi="Arial"/>
          <w:sz w:val="18"/>
          <w:szCs w:val="18"/>
          <w:color w:val="auto"/>
        </w:rPr>
      </w:pPr>
    </w:p>
    <w:p>
      <w:pPr>
        <w:ind w:left="700" w:right="80" w:hanging="356"/>
        <w:spacing w:after="0" w:line="228"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shares of common stock entitled to vote generally in the election of directors if the Sponsors and their affiliates cease to beneficially own at least 40% of shares of common stock entitled to vote generally in the election of directors, which we expect to occur upon the completion of this offering.</w:t>
      </w:r>
    </w:p>
    <w:p>
      <w:pPr>
        <w:spacing w:after="0" w:line="9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Certain matters we discuss in this prospectus and in the documents we incorporate by reference 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Such risks, uncertainties, and other important factors include, among others, the risks, uncertainties and factors set forth under “Risk Factors” in this prospectus and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There may be other factors that could cause our actual results to differ materially from the forward-looking statements, including factors disclosed under “Risk Factors” in this prospectus and under “Risk Factors” and “Management’s Discussion and Analysis of Financial Condition and Results of Operations” in our Annual Report and “Management’s Discussion and Analysis of Financial Condition and Results of Operations” in our Quarterly Report, which are incorporated herein by reference. You should evaluate all forward-looking statements made, or incorporated by reference, in this prospectus in the context of these risks and uncertainties.</w:t>
      </w:r>
    </w:p>
    <w:p>
      <w:pPr>
        <w:spacing w:after="0" w:line="85"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we will bear the remaining expenses. See “Selling Stockholders.”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 See “Management’s Discussion and Analysis of Financial Condition and Results of Operations—Liquidity and Capital Resources— Debt” in our Annual Report, which is incorporated by reference in this prospectus, for a description of the restrictions on our ability to pay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common stock began trading publicly on NASDAQ under the symbol “EYE” as of October 26, 2017. Prior to that time, there was no public market for our common stock. As of June 30, 2018, there were 45 holders of record of our common stock. This stockholder figure does not include a substantially greater number of holders whose shares are held of record by banks, brokers, and other financial institutions. The following table sets forth the high and low intra-day sale prices per share for our common stock as reported on the NASDAQ for the period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Stock Price</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Low</w:t>
            </w:r>
          </w:p>
        </w:tc>
      </w:tr>
      <w:tr>
        <w:trPr>
          <w:trHeight w:val="243"/>
        </w:trPr>
        <w:tc>
          <w:tcPr>
            <w:tcW w:w="20" w:type="dxa"/>
            <w:vAlign w:val="bottom"/>
          </w:tcPr>
          <w:p>
            <w:pPr>
              <w:spacing w:after="0"/>
              <w:rPr>
                <w:sz w:val="21"/>
                <w:szCs w:val="21"/>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30, 2017:</w:t>
            </w:r>
          </w:p>
        </w:tc>
        <w:tc>
          <w:tcPr>
            <w:tcW w:w="2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Fourth Quarter ended December 30, 2017 (from October 26, 2017)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40.76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27.19</w:t>
            </w:r>
          </w:p>
        </w:tc>
      </w:tr>
      <w:tr>
        <w:trPr>
          <w:trHeight w:val="256"/>
        </w:trPr>
        <w:tc>
          <w:tcPr>
            <w:tcW w:w="20" w:type="dxa"/>
            <w:vAlign w:val="bottom"/>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29, 2018:</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First Quarter ended March 31, 2018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43.80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31.49</w:t>
            </w:r>
          </w:p>
        </w:tc>
      </w:tr>
      <w:tr>
        <w:trPr>
          <w:trHeight w:val="249"/>
        </w:trPr>
        <w:tc>
          <w:tcPr>
            <w:tcW w:w="20" w:type="dxa"/>
            <w:vAlign w:val="bottom"/>
          </w:tcPr>
          <w:p>
            <w:pPr>
              <w:spacing w:after="0"/>
              <w:rPr>
                <w:sz w:val="21"/>
                <w:szCs w:val="21"/>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 ended June 30, 2018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29.55</w:t>
            </w:r>
          </w:p>
        </w:tc>
      </w:t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Third Quarter ending September 29, 2018 (through July 25, 2018)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35.87</w:t>
            </w:r>
          </w:p>
        </w:tc>
      </w:tr>
    </w:tbl>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closing sale price per share of our common stock, as reported on the NASDAQ, on July 25, 2018 was $40.59.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2018.</w:t>
      </w:r>
    </w:p>
    <w:p>
      <w:pPr>
        <w:spacing w:after="0" w:line="117" w:lineRule="exact"/>
        <w:rPr>
          <w:sz w:val="20"/>
          <w:szCs w:val="20"/>
          <w:color w:val="auto"/>
        </w:rPr>
      </w:pPr>
    </w:p>
    <w:p>
      <w:pPr>
        <w:ind w:left="7" w:right="100" w:firstLine="360"/>
        <w:spacing w:after="0" w:line="279" w:lineRule="auto"/>
        <w:rPr>
          <w:sz w:val="20"/>
          <w:szCs w:val="20"/>
          <w:color w:val="auto"/>
        </w:rPr>
      </w:pPr>
      <w:r>
        <w:rPr>
          <w:rFonts w:ascii="Arial" w:cs="Arial" w:eastAsia="Arial" w:hAnsi="Arial"/>
          <w:sz w:val="17"/>
          <w:szCs w:val="17"/>
          <w:color w:val="auto"/>
        </w:rPr>
        <w:t>You should read this table in conjunction with the information contained in “Prospectus Summary—Summary Historical Consolidated Financial and Other Data” included elsewhere in this prospectus, as well as “Management’s Discussion and Analysis of Financial Condition and Results of Operations” and our unaudited condensed consolidated financial statements and related notes thereto in our Quarterly Report, which is incorporated by reference in the prospectus.</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79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par value)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8"/>
                <w:szCs w:val="28"/>
                <w:color w:val="auto"/>
                <w:vertAlign w:val="superscript"/>
              </w:rPr>
              <w:t>(1)</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567,150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8"/>
                <w:szCs w:val="28"/>
                <w:color w:val="auto"/>
                <w:vertAlign w:val="superscript"/>
              </w:rPr>
              <w:t>(2)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leases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Unamortized debt transaction costs and prepayment premiums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(10,893)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569,326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Common stock, $0.01 par value (200,000 shares authorized and 75,103 shares issued and outstanding)</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635,637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81,219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(53 shares)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711,275</w:t>
            </w: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capitalization</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1,280,601</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65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120" w:hanging="347"/>
        <w:spacing w:after="0" w:line="257"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The first lien term loans mature on November 20, 2024. For a further description of our first lien credit agreement, see “Management’s Discussion and Analysis of Financial Condition and Results of Operations—Liquidity and Capital Resources— Debt” in our Annual Report, which is incorporated herein by reference.</w:t>
      </w:r>
    </w:p>
    <w:p>
      <w:pPr>
        <w:spacing w:after="0" w:line="77" w:lineRule="exact"/>
        <w:rPr>
          <w:rFonts w:ascii="Arial" w:cs="Arial" w:eastAsia="Arial" w:hAnsi="Arial"/>
          <w:sz w:val="14"/>
          <w:szCs w:val="14"/>
          <w:color w:val="auto"/>
        </w:rPr>
      </w:pPr>
    </w:p>
    <w:p>
      <w:pPr>
        <w:jc w:val="both"/>
        <w:ind w:left="347" w:right="180" w:hanging="347"/>
        <w:spacing w:after="0" w:line="286" w:lineRule="auto"/>
        <w:tabs>
          <w:tab w:leader="none" w:pos="347" w:val="left"/>
        </w:tabs>
        <w:numPr>
          <w:ilvl w:val="0"/>
          <w:numId w:val="33"/>
        </w:numPr>
        <w:rPr>
          <w:rFonts w:ascii="Arial" w:cs="Arial" w:eastAsia="Arial" w:hAnsi="Arial"/>
          <w:sz w:val="13"/>
          <w:szCs w:val="13"/>
          <w:color w:val="auto"/>
        </w:rPr>
      </w:pPr>
      <w:r>
        <w:rPr>
          <w:rFonts w:ascii="Arial" w:cs="Arial" w:eastAsia="Arial" w:hAnsi="Arial"/>
          <w:sz w:val="13"/>
          <w:szCs w:val="13"/>
          <w:color w:val="auto"/>
        </w:rPr>
        <w:t>As of March 31, 2018, we had no outstanding borrowings and $5.5 million in outstanding letters of credit under our first lien revolving credit facility, which matures on October 15, 2022. For a further description of our first lien credit agreement, see “Management’s Discussion and Analysis of Financial Condition and Results of Operations—Liquidity and Capital Resources—Debt” in our Annual Report, which is incorporated herein by reference.</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Persons Transaction Policy</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firstLine="360"/>
        <w:spacing w:after="0" w:line="278"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In connection with our IPO, we entered into a stockholders agreement with the Sponsors.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grants the Sponsors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7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the stockholders agreement grants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79"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After the completion of this offering, we expect that affiliates of KKR Sponsor and affiliates of Berkshire will hold 27.8% and 6.5%, respectively (or 25.5% and 6.0%, respectively, if the underwriters exercise in full their option to purchase additional shares) of the total outstanding shares of our common stock following this offering.</w:t>
      </w:r>
    </w:p>
    <w:p>
      <w:pPr>
        <w:spacing w:after="0" w:line="7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Registration Rights Agreement. </w:t>
      </w:r>
      <w:r>
        <w:rPr>
          <w:rFonts w:ascii="Arial" w:cs="Arial" w:eastAsia="Arial" w:hAnsi="Arial"/>
          <w:sz w:val="18"/>
          <w:szCs w:val="18"/>
          <w:color w:val="auto"/>
        </w:rPr>
        <w:t>In connection with the KKR Acquisition, we entered into a registration rights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Sponsors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5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Monitoring Agreement. </w:t>
      </w:r>
      <w:r>
        <w:rPr>
          <w:rFonts w:ascii="Arial" w:cs="Arial" w:eastAsia="Arial" w:hAnsi="Arial"/>
          <w:sz w:val="18"/>
          <w:szCs w:val="18"/>
          <w:color w:val="auto"/>
        </w:rPr>
        <w:t>In connection with the KKR Acquisition, NVI entered into a monitoring agreement (the “Monitoring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KKR Sponsor and Berkshire pursuant to which the Sponsors provide management and advisory services to NVI and receive fees and reimbursements of related out-of-pocket expenses. The Monitoring Agreement was terminated automatically in accordance with its terms upon the consummation of the IPO and we paid termination fees of approximately $3.6 million and $0.8 million to KKR Sponsor and Berkshire, respectively.</w:t>
      </w:r>
    </w:p>
    <w:p>
      <w:pPr>
        <w:spacing w:after="0" w:line="8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also recorded the following expenses related to management and/or advisory fees: we paid management and/or advisory fees of $0.7 million to KKR Sponsor and $0.2 million to Berkshire in fiscal year 2017 prior to the termination of the Monitoring Agreement in October 2017, $0.8 million to KKR Sponsor and $0.2 million to Berkshire in fiscal year 2016, $3.5 million to KKR Sponsor and $0.2 million to Berkshire in fiscal year 2015.</w:t>
      </w:r>
    </w:p>
    <w:p>
      <w:pPr>
        <w:spacing w:after="0" w:line="79"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Fees paid to KKR Sponsor and Berkshire included retainer fees and certain other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and $2.3 million in fees paid to KKR Sponsor and its affiliates for expenses related to debt issuance costs in fiscal year 2017, which are recorded in debt issuance costs in our consolidated statements of operating and comprehensive income (loss).</w:t>
      </w:r>
    </w:p>
    <w:p>
      <w:pPr>
        <w:spacing w:after="0" w:line="85"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Agreement with KKR Sponsor and Berkshire. </w:t>
      </w:r>
      <w:r>
        <w:rPr>
          <w:rFonts w:ascii="Arial" w:cs="Arial" w:eastAsia="Arial" w:hAnsi="Arial"/>
          <w:sz w:val="18"/>
          <w:szCs w:val="18"/>
          <w:color w:val="auto"/>
        </w:rPr>
        <w:t>In connection with the KKR Acquisition, we and certain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entered into an indemnification agreement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w:t>
      </w:r>
    </w:p>
    <w:p>
      <w:pPr>
        <w:spacing w:after="0" w:line="80" w:lineRule="exact"/>
        <w:rPr>
          <w:sz w:val="20"/>
          <w:szCs w:val="20"/>
          <w:color w:val="auto"/>
        </w:rPr>
      </w:pPr>
    </w:p>
    <w:p>
      <w:pPr>
        <w:jc w:val="both"/>
        <w:ind w:right="440" w:firstLine="360"/>
        <w:spacing w:after="0" w:line="312" w:lineRule="auto"/>
        <w:rPr>
          <w:sz w:val="20"/>
          <w:szCs w:val="20"/>
          <w:color w:val="auto"/>
        </w:rPr>
      </w:pPr>
      <w:r>
        <w:rPr>
          <w:rFonts w:ascii="Arial" w:cs="Arial" w:eastAsia="Arial" w:hAnsi="Arial"/>
          <w:sz w:val="16"/>
          <w:szCs w:val="16"/>
          <w:b w:val="1"/>
          <w:bCs w:val="1"/>
          <w:i w:val="1"/>
          <w:iCs w:val="1"/>
          <w:color w:val="auto"/>
        </w:rPr>
        <w:t xml:space="preserve">Relationship with KKR Capital Markets. </w:t>
      </w:r>
      <w:r>
        <w:rPr>
          <w:rFonts w:ascii="Arial" w:cs="Arial" w:eastAsia="Arial" w:hAnsi="Arial"/>
          <w:sz w:val="16"/>
          <w:szCs w:val="16"/>
          <w:color w:val="auto"/>
        </w:rPr>
        <w:t>KKR Capital Markets LLC (“KCM”), an affiliate of KKR Sponsor, acted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arranger and bookrunner for various financing transactions under our first lien and second lien credit agreements, and received underwriter and transaction fees totaling approximately $2.6 million in fiscal year 2017 and $2.0 million in fiscal year 2015.</w:t>
      </w:r>
    </w:p>
    <w:p>
      <w:pPr>
        <w:spacing w:after="0" w:line="39"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KCM acted as an underwriter in our IPO and received underwriting discounts and commissions of $4.8 million. KCM also acted as an underwriter in connection with the secondary offering of our common stock in March 2018 and received fees of approximately $3.0 million.</w:t>
      </w:r>
    </w:p>
    <w:p>
      <w:pPr>
        <w:spacing w:after="0" w:line="73"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KKR Corporate Lending LLC, an affiliate of KCM, has been a participating lender under our revolving credit facility since 2014, and as of March 31, 2018, had received interest payments of approximately $0.9 million.</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Relationship with KKR Credit. </w:t>
      </w:r>
      <w:r>
        <w:rPr>
          <w:rFonts w:ascii="Arial" w:cs="Arial" w:eastAsia="Arial" w:hAnsi="Arial"/>
          <w:sz w:val="18"/>
          <w:szCs w:val="18"/>
          <w:color w:val="auto"/>
        </w:rPr>
        <w:t>Investment funds or accounts managed or advised by the global credit business of KKR &amp; 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“KKR Credit”) have been participating lenders under our first lien and second lien credit agreements since 2014, and as of December 30, 2017, had received aggregate principal payments of approximately $15.4 million and interest or other associated payments relating to their holdings of debt of approximately $2.4 million. As of December 30, 2017, investment funds or accounts managed or advised by KKR Credit held a portion of our outstanding principal balance of our first lien term loans. As of March 31, 2018, investments funds or accounts managed or advised by KKR Credit no longer held our term loans and have received no principal or interest payments.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agreements, or Management Stockholder’s Agreements, with certain of our senior executive officers and other employees who made an equity investment in us or were granted equity based awards.</w:t>
      </w:r>
    </w:p>
    <w:p>
      <w:pPr>
        <w:spacing w:after="0" w:line="73"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58"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Sale Participation Agreements. </w:t>
      </w:r>
      <w:r>
        <w:rPr>
          <w:rFonts w:ascii="Arial" w:cs="Arial" w:eastAsia="Arial" w:hAnsi="Arial"/>
          <w:sz w:val="18"/>
          <w:szCs w:val="18"/>
          <w:color w:val="auto"/>
        </w:rPr>
        <w:t>The Sale Participation Agreements granted management stockholders the right to participate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private direct or indirect sale of shares of common stock by certain affiliates of KKR Sponsor (such right being referred to herein as the “Tag-Along Right”), and required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Sale Participation Agreements were terminated in accordance with their terms upon the consummation of the IPO.</w:t>
      </w:r>
    </w:p>
    <w:p>
      <w:pPr>
        <w:spacing w:after="0" w:line="81"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b w:val="1"/>
          <w:bCs w:val="1"/>
          <w:i w:val="1"/>
          <w:iCs w:val="1"/>
          <w:color w:val="auto"/>
        </w:rPr>
        <w:t xml:space="preserve">Agreements with Directors and Officers. </w:t>
      </w:r>
      <w:r>
        <w:rPr>
          <w:rFonts w:ascii="Arial" w:cs="Arial" w:eastAsia="Arial" w:hAnsi="Arial"/>
          <w:sz w:val="17"/>
          <w:szCs w:val="17"/>
          <w:color w:val="auto"/>
        </w:rPr>
        <w:t>In addition, we have certain agreements with our directors and officers which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in Part III. Item 11. “Executive Compensation” of our Annual Report incorporated by reference herein.</w:t>
      </w:r>
    </w:p>
    <w:p>
      <w:pPr>
        <w:spacing w:after="0" w:line="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connection with our IPO, we entered into indemnification agreements with our directors.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the selling stockholders, the number of shares of our common stock offered hereby by the selling stockholders and information with respect to shares to be beneficially owned by the selling stockholders after completion of this offering.</w:t>
      </w:r>
    </w:p>
    <w:p>
      <w:pPr>
        <w:spacing w:after="0" w:line="73" w:lineRule="exact"/>
        <w:rPr>
          <w:sz w:val="20"/>
          <w:szCs w:val="20"/>
          <w:color w:val="auto"/>
        </w:rPr>
      </w:pPr>
    </w:p>
    <w:p>
      <w:pPr>
        <w:ind w:left="7" w:right="160" w:firstLine="360"/>
        <w:spacing w:after="0" w:line="264"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June 30, 2018 and are based on 75,333,782 shares of our common stock, par value $0.01 per share, outstanding as of June 30, 2018.</w:t>
      </w:r>
    </w:p>
    <w:p>
      <w:pPr>
        <w:spacing w:after="0" w:line="73"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42"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p>
      <w:pPr>
        <w:spacing w:after="0" w:line="16"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73" w:lineRule="exact"/>
        <w:rPr>
          <w:sz w:val="20"/>
          <w:szCs w:val="20"/>
          <w:color w:val="auto"/>
        </w:rPr>
      </w:pPr>
    </w:p>
    <w:p>
      <w:pPr>
        <w:ind w:left="7" w:right="360" w:firstLine="360"/>
        <w:spacing w:after="0" w:line="277"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9"/>
              </w:rPr>
              <w:t>Shares to be Sold in this Offering</w:t>
            </w:r>
          </w:p>
        </w:tc>
        <w:tc>
          <w:tcPr>
            <w:tcW w:w="180" w:type="dxa"/>
            <w:vAlign w:val="bottom"/>
          </w:tcPr>
          <w:p>
            <w:pPr>
              <w:spacing w:after="0"/>
              <w:rPr>
                <w:sz w:val="14"/>
                <w:szCs w:val="14"/>
                <w:color w:val="auto"/>
              </w:rPr>
            </w:pPr>
          </w:p>
        </w:tc>
        <w:tc>
          <w:tcPr>
            <w:tcW w:w="3360" w:type="dxa"/>
            <w:vAlign w:val="bottom"/>
            <w:tcBorders>
              <w:bottom w:val="single" w:sz="8" w:color="auto"/>
            </w:tcBorders>
            <w:gridSpan w:val="7"/>
          </w:tcPr>
          <w:p>
            <w:pPr>
              <w:jc w:val="right"/>
              <w:ind w:right="292"/>
              <w:spacing w:after="0"/>
              <w:rPr>
                <w:sz w:val="20"/>
                <w:szCs w:val="20"/>
                <w:color w:val="auto"/>
              </w:rPr>
            </w:pPr>
            <w:r>
              <w:rPr>
                <w:rFonts w:ascii="Arial" w:cs="Arial" w:eastAsia="Arial" w:hAnsi="Arial"/>
                <w:sz w:val="14"/>
                <w:szCs w:val="14"/>
                <w:b w:val="1"/>
                <w:bCs w:val="1"/>
                <w:color w:val="auto"/>
                <w:w w:val="99"/>
              </w:rPr>
              <w:t>Shares Beneficially Owned After the Offering</w:t>
            </w:r>
          </w:p>
        </w:tc>
        <w:tc>
          <w:tcPr>
            <w:tcW w:w="100" w:type="dxa"/>
            <w:vAlign w:val="bottom"/>
          </w:tcPr>
          <w:p>
            <w:pPr>
              <w:spacing w:after="0"/>
              <w:rPr>
                <w:sz w:val="14"/>
                <w:szCs w:val="14"/>
                <w:color w:val="auto"/>
              </w:rPr>
            </w:pPr>
          </w:p>
        </w:tc>
      </w:tr>
      <w:tr>
        <w:trPr>
          <w:trHeight w:val="156"/>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4"/>
              </w:rPr>
              <w:t>Assuming No</w:t>
            </w:r>
          </w:p>
        </w:tc>
        <w:tc>
          <w:tcPr>
            <w:tcW w:w="16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7"/>
              </w:rPr>
              <w:t>Assuming Full</w:t>
            </w:r>
          </w:p>
        </w:tc>
        <w:tc>
          <w:tcPr>
            <w:tcW w:w="180" w:type="dxa"/>
            <w:vAlign w:val="bottom"/>
          </w:tcPr>
          <w:p>
            <w:pPr>
              <w:spacing w:after="0"/>
              <w:rPr>
                <w:sz w:val="13"/>
                <w:szCs w:val="13"/>
                <w:color w:val="auto"/>
              </w:rPr>
            </w:pPr>
          </w:p>
        </w:tc>
        <w:tc>
          <w:tcPr>
            <w:tcW w:w="1780" w:type="dxa"/>
            <w:vAlign w:val="bottom"/>
            <w:gridSpan w:val="4"/>
          </w:tcPr>
          <w:p>
            <w:pPr>
              <w:jc w:val="center"/>
              <w:ind w:right="180"/>
              <w:spacing w:after="0" w:line="156" w:lineRule="exact"/>
              <w:rPr>
                <w:sz w:val="20"/>
                <w:szCs w:val="20"/>
                <w:color w:val="auto"/>
              </w:rPr>
            </w:pPr>
            <w:r>
              <w:rPr>
                <w:rFonts w:ascii="Arial" w:cs="Arial" w:eastAsia="Arial" w:hAnsi="Arial"/>
                <w:sz w:val="14"/>
                <w:szCs w:val="14"/>
                <w:b w:val="1"/>
                <w:bCs w:val="1"/>
                <w:color w:val="auto"/>
                <w:w w:val="84"/>
              </w:rPr>
              <w:t>Assuming No</w:t>
            </w:r>
          </w:p>
        </w:tc>
        <w:tc>
          <w:tcPr>
            <w:tcW w:w="1680" w:type="dxa"/>
            <w:vAlign w:val="bottom"/>
            <w:gridSpan w:val="4"/>
          </w:tcPr>
          <w:p>
            <w:pPr>
              <w:jc w:val="right"/>
              <w:ind w:right="460"/>
              <w:spacing w:after="0" w:line="156" w:lineRule="exact"/>
              <w:rPr>
                <w:sz w:val="20"/>
                <w:szCs w:val="20"/>
                <w:color w:val="auto"/>
              </w:rPr>
            </w:pPr>
            <w:r>
              <w:rPr>
                <w:rFonts w:ascii="Arial" w:cs="Arial" w:eastAsia="Arial" w:hAnsi="Arial"/>
                <w:sz w:val="14"/>
                <w:szCs w:val="14"/>
                <w:b w:val="1"/>
                <w:bCs w:val="1"/>
                <w:color w:val="auto"/>
              </w:rPr>
              <w:t>Assuming Full</w:t>
            </w: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80" w:type="dxa"/>
            <w:vAlign w:val="bottom"/>
          </w:tcPr>
          <w:p>
            <w:pPr>
              <w:spacing w:after="0"/>
              <w:rPr>
                <w:sz w:val="12"/>
                <w:szCs w:val="12"/>
                <w:color w:val="auto"/>
              </w:rPr>
            </w:pPr>
          </w:p>
        </w:tc>
        <w:tc>
          <w:tcPr>
            <w:tcW w:w="17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68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Exercise of the</w:t>
            </w: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80" w:type="dxa"/>
            <w:vAlign w:val="bottom"/>
          </w:tcPr>
          <w:p>
            <w:pPr>
              <w:spacing w:after="0"/>
              <w:rPr>
                <w:sz w:val="12"/>
                <w:szCs w:val="12"/>
                <w:color w:val="auto"/>
              </w:rPr>
            </w:pPr>
          </w:p>
        </w:tc>
        <w:tc>
          <w:tcPr>
            <w:tcW w:w="17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168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rPr>
              <w:t>Underwriters’</w:t>
            </w:r>
          </w:p>
        </w:tc>
      </w:t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the Offering</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r>
      <w:tr>
        <w:trPr>
          <w:trHeight w:val="156"/>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84"/>
              </w:rPr>
              <w:t>Percentage</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84"/>
              </w:rPr>
              <w:t>Percentage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of Total</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Total</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68"/>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r>
      <w:tr>
        <w:trPr>
          <w:trHeight w:val="189"/>
        </w:trPr>
        <w:tc>
          <w:tcPr>
            <w:tcW w:w="2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Selling Stockholders:</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060" w:type="dxa"/>
            <w:vAlign w:val="bottom"/>
            <w:gridSpan w:val="2"/>
          </w:tcPr>
          <w:p>
            <w:pPr>
              <w:spacing w:after="0" w:line="189" w:lineRule="exact"/>
              <w:rPr>
                <w:sz w:val="20"/>
                <w:szCs w:val="20"/>
                <w:color w:val="auto"/>
              </w:rPr>
            </w:pPr>
            <w:r>
              <w:rPr>
                <w:rFonts w:ascii="Arial" w:cs="Arial" w:eastAsia="Arial" w:hAnsi="Arial"/>
                <w:sz w:val="13"/>
                <w:szCs w:val="13"/>
                <w:color w:val="auto"/>
              </w:rPr>
              <w:t>KKR Vision Aggregator L.P.</w:t>
            </w:r>
            <w:r>
              <w:rPr>
                <w:rFonts w:ascii="Arial" w:cs="Arial" w:eastAsia="Arial" w:hAnsi="Arial"/>
                <w:sz w:val="21"/>
                <w:szCs w:val="21"/>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32,398,495</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43.0%</w:t>
            </w:r>
          </w:p>
        </w:tc>
        <w:tc>
          <w:tcPr>
            <w:tcW w:w="960" w:type="dxa"/>
            <w:vAlign w:val="bottom"/>
          </w:tcPr>
          <w:p>
            <w:pPr>
              <w:jc w:val="right"/>
              <w:spacing w:after="0"/>
              <w:rPr>
                <w:sz w:val="20"/>
                <w:szCs w:val="20"/>
                <w:color w:val="auto"/>
              </w:rPr>
            </w:pPr>
            <w:r>
              <w:rPr>
                <w:rFonts w:ascii="Arial" w:cs="Arial" w:eastAsia="Arial" w:hAnsi="Arial"/>
                <w:sz w:val="14"/>
                <w:szCs w:val="14"/>
                <w:color w:val="auto"/>
              </w:rPr>
              <w:t>11,452,321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13,194,328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20,946,174</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27.8%</w:t>
            </w:r>
          </w:p>
        </w:tc>
        <w:tc>
          <w:tcPr>
            <w:tcW w:w="740" w:type="dxa"/>
            <w:vAlign w:val="bottom"/>
          </w:tcPr>
          <w:p>
            <w:pPr>
              <w:jc w:val="right"/>
              <w:spacing w:after="0"/>
              <w:rPr>
                <w:sz w:val="20"/>
                <w:szCs w:val="20"/>
                <w:color w:val="auto"/>
              </w:rPr>
            </w:pPr>
            <w:r>
              <w:rPr>
                <w:rFonts w:ascii="Arial" w:cs="Arial" w:eastAsia="Arial" w:hAnsi="Arial"/>
                <w:sz w:val="14"/>
                <w:szCs w:val="14"/>
                <w:color w:val="auto"/>
              </w:rPr>
              <w:t>19,204,167</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25.5%</w:t>
            </w:r>
          </w:p>
        </w:tc>
      </w:tr>
      <w:tr>
        <w:trPr>
          <w:trHeight w:val="153"/>
        </w:trPr>
        <w:tc>
          <w:tcPr>
            <w:tcW w:w="20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Investment funds affiliated with</w:t>
            </w: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8"/>
        </w:trPr>
        <w:tc>
          <w:tcPr>
            <w:tcW w:w="2060" w:type="dxa"/>
            <w:vAlign w:val="bottom"/>
            <w:gridSpan w:val="2"/>
            <w:shd w:val="clear" w:color="auto" w:fill="CCEEFF"/>
          </w:tcPr>
          <w:p>
            <w:pPr>
              <w:ind w:left="140"/>
              <w:spacing w:after="0" w:line="198" w:lineRule="exact"/>
              <w:rPr>
                <w:sz w:val="20"/>
                <w:szCs w:val="20"/>
                <w:color w:val="auto"/>
              </w:rPr>
            </w:pPr>
            <w:r>
              <w:rPr>
                <w:rFonts w:ascii="Arial" w:cs="Arial" w:eastAsia="Arial" w:hAnsi="Arial"/>
                <w:sz w:val="13"/>
                <w:szCs w:val="13"/>
                <w:color w:val="auto"/>
              </w:rPr>
              <w:t>Berkshire</w:t>
            </w:r>
            <w:r>
              <w:rPr>
                <w:rFonts w:ascii="Arial" w:cs="Arial" w:eastAsia="Arial" w:hAnsi="Arial"/>
                <w:sz w:val="22"/>
                <w:szCs w:val="22"/>
                <w:color w:val="auto"/>
                <w:vertAlign w:val="superscript"/>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7,579,968</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2,681,557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3,089,118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4,898,411</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4,490,850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2060" w:type="dxa"/>
            <w:vAlign w:val="bottom"/>
            <w:gridSpan w:val="2"/>
          </w:tcPr>
          <w:p>
            <w:pPr>
              <w:spacing w:after="0" w:line="189" w:lineRule="exact"/>
              <w:rPr>
                <w:sz w:val="20"/>
                <w:szCs w:val="20"/>
                <w:color w:val="auto"/>
              </w:rPr>
            </w:pPr>
            <w:r>
              <w:rPr>
                <w:rFonts w:ascii="Arial" w:cs="Arial" w:eastAsia="Arial" w:hAnsi="Arial"/>
                <w:sz w:val="13"/>
                <w:szCs w:val="13"/>
                <w:color w:val="auto"/>
              </w:rPr>
              <w:t>L. Reade Fahs</w:t>
            </w:r>
            <w:r>
              <w:rPr>
                <w:rFonts w:ascii="Arial" w:cs="Arial" w:eastAsia="Arial" w:hAnsi="Arial"/>
                <w:sz w:val="21"/>
                <w:szCs w:val="21"/>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4"/>
                <w:szCs w:val="14"/>
                <w:color w:val="auto"/>
              </w:rPr>
              <w:t>1,098,526</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1.5%</w:t>
            </w:r>
          </w:p>
        </w:tc>
        <w:tc>
          <w:tcPr>
            <w:tcW w:w="960" w:type="dxa"/>
            <w:vAlign w:val="bottom"/>
          </w:tcPr>
          <w:p>
            <w:pPr>
              <w:jc w:val="right"/>
              <w:spacing w:after="0"/>
              <w:rPr>
                <w:sz w:val="20"/>
                <w:szCs w:val="20"/>
                <w:color w:val="auto"/>
              </w:rPr>
            </w:pPr>
            <w:r>
              <w:rPr>
                <w:rFonts w:ascii="Arial" w:cs="Arial" w:eastAsia="Arial" w:hAnsi="Arial"/>
                <w:sz w:val="14"/>
                <w:szCs w:val="14"/>
                <w:color w:val="auto"/>
              </w:rPr>
              <w:t>150,000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948,526</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1.3%</w:t>
            </w:r>
          </w:p>
        </w:tc>
        <w:tc>
          <w:tcPr>
            <w:tcW w:w="740" w:type="dxa"/>
            <w:vAlign w:val="bottom"/>
          </w:tcPr>
          <w:p>
            <w:pPr>
              <w:jc w:val="right"/>
              <w:spacing w:after="0"/>
              <w:rPr>
                <w:sz w:val="20"/>
                <w:szCs w:val="20"/>
                <w:color w:val="auto"/>
              </w:rPr>
            </w:pPr>
            <w:r>
              <w:rPr>
                <w:rFonts w:ascii="Arial" w:cs="Arial" w:eastAsia="Arial" w:hAnsi="Arial"/>
                <w:sz w:val="14"/>
                <w:szCs w:val="14"/>
                <w:color w:val="auto"/>
              </w:rPr>
              <w:t>948,526</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20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Patrick R. Moore</w:t>
            </w:r>
            <w:r>
              <w:rPr>
                <w:rFonts w:ascii="Arial" w:cs="Arial" w:eastAsia="Arial" w:hAnsi="Arial"/>
                <w:sz w:val="21"/>
                <w:szCs w:val="21"/>
                <w:color w:val="auto"/>
                <w:vertAlign w:val="superscript"/>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120,454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51,874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68,580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68,580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2060" w:type="dxa"/>
            <w:vAlign w:val="bottom"/>
            <w:gridSpan w:val="2"/>
          </w:tcPr>
          <w:p>
            <w:pPr>
              <w:spacing w:after="0" w:line="189" w:lineRule="exact"/>
              <w:rPr>
                <w:sz w:val="20"/>
                <w:szCs w:val="20"/>
                <w:color w:val="auto"/>
              </w:rPr>
            </w:pPr>
            <w:r>
              <w:rPr>
                <w:rFonts w:ascii="Arial" w:cs="Arial" w:eastAsia="Arial" w:hAnsi="Arial"/>
                <w:sz w:val="13"/>
                <w:szCs w:val="13"/>
                <w:color w:val="auto"/>
              </w:rPr>
              <w:t>Mitchell Goodman</w:t>
            </w:r>
            <w:r>
              <w:rPr>
                <w:rFonts w:ascii="Arial" w:cs="Arial" w:eastAsia="Arial" w:hAnsi="Arial"/>
                <w:sz w:val="21"/>
                <w:szCs w:val="21"/>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4"/>
                <w:szCs w:val="14"/>
                <w:color w:val="auto"/>
              </w:rPr>
              <w:t>160,694</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56,848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65,488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103,846</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95,206</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20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Jeff Busbee</w:t>
            </w:r>
            <w:r>
              <w:rPr>
                <w:rFonts w:ascii="Arial" w:cs="Arial" w:eastAsia="Arial" w:hAnsi="Arial"/>
                <w:sz w:val="21"/>
                <w:szCs w:val="21"/>
                <w:color w:val="auto"/>
                <w:vertAlign w:val="superscript"/>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126,129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47,641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85,270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78,488</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313"/>
        </w:trPr>
        <w:tc>
          <w:tcPr>
            <w:tcW w:w="2060" w:type="dxa"/>
            <w:vAlign w:val="bottom"/>
            <w:gridSpan w:val="2"/>
          </w:tcPr>
          <w:p>
            <w:pPr>
              <w:spacing w:after="0"/>
              <w:rPr>
                <w:sz w:val="20"/>
                <w:szCs w:val="20"/>
                <w:color w:val="auto"/>
              </w:rPr>
            </w:pPr>
            <w:r>
              <w:rPr>
                <w:rFonts w:ascii="Arial" w:cs="Arial" w:eastAsia="Arial" w:hAnsi="Arial"/>
                <w:sz w:val="14"/>
                <w:szCs w:val="14"/>
                <w:color w:val="auto"/>
              </w:rPr>
              <w:t>John Vaught</w:t>
            </w:r>
            <w:r>
              <w:rPr>
                <w:rFonts w:ascii="Arial" w:cs="Arial" w:eastAsia="Arial" w:hAnsi="Arial"/>
                <w:sz w:val="24"/>
                <w:szCs w:val="24"/>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4"/>
                <w:szCs w:val="14"/>
                <w:color w:val="auto"/>
              </w:rPr>
              <w:t>40,249</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14,239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16,403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26,010</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23,846</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909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47" w:lineRule="exact"/>
        <w:rPr>
          <w:sz w:val="20"/>
          <w:szCs w:val="20"/>
          <w:color w:val="auto"/>
        </w:rPr>
      </w:pPr>
    </w:p>
    <w:p>
      <w:pPr>
        <w:ind w:left="347" w:hanging="347"/>
        <w:spacing w:after="0"/>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hanging="347"/>
        <w:spacing w:after="0" w:line="264" w:lineRule="auto"/>
        <w:tabs>
          <w:tab w:leader="none" w:pos="3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32,398,495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Corp., as the sole shareholder of KKR Fund Holdings GP Limited and a general partner of KKR Fund Holdings L.P., KKR &amp; Co. Inc., as the sole shareholder of KKR Group Holdings Corp., KKR Management LLC, as the controlling shareholder of KKR &amp; Co. Inc.,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77" w:lineRule="exact"/>
        <w:rPr>
          <w:rFonts w:ascii="Arial" w:cs="Arial" w:eastAsia="Arial" w:hAnsi="Arial"/>
          <w:sz w:val="13"/>
          <w:szCs w:val="13"/>
          <w:color w:val="auto"/>
        </w:rPr>
      </w:pPr>
    </w:p>
    <w:p>
      <w:pPr>
        <w:ind w:left="347" w:right="20" w:hanging="347"/>
        <w:spacing w:after="0" w:line="252" w:lineRule="auto"/>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(i) 7,443,860 shares of common stock held by Berkshire Fund VI, Limited Partnership, or Fund VI, (ii) 96,714 shares of common stock held by Berkshire Investors LLC, or Berkshire Investors, and (iii) 39,394 shares of common stock held by Berkshire Investors III LLC, or Berkshire Investors III. Sixth Berkshire Associates LLC, or 6BA, is the general partner of Fund VI. 6BA is managed by a number of individuals who are managing directors of Berkshire. Certain of the managing directors of Berkshire are also</w:t>
      </w:r>
    </w:p>
    <w:p>
      <w:pPr>
        <w:spacing w:after="0" w:line="17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7"/>
        <w:spacing w:after="0" w:line="246" w:lineRule="auto"/>
        <w:rPr>
          <w:sz w:val="20"/>
          <w:szCs w:val="20"/>
          <w:color w:val="auto"/>
        </w:rPr>
      </w:pPr>
      <w:r>
        <w:rPr>
          <w:rFonts w:ascii="Arial" w:cs="Arial" w:eastAsia="Arial" w:hAnsi="Arial"/>
          <w:sz w:val="14"/>
          <w:szCs w:val="14"/>
          <w:color w:val="auto"/>
        </w:rPr>
        <w:t>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D. Randolph Peeler is one of our directors and serves as a Senior Advisor to Berkshire.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84" w:lineRule="exact"/>
        <w:rPr>
          <w:sz w:val="20"/>
          <w:szCs w:val="20"/>
          <w:color w:val="auto"/>
        </w:rPr>
      </w:pPr>
    </w:p>
    <w:p>
      <w:pPr>
        <w:ind w:left="347" w:right="20" w:hanging="347"/>
        <w:spacing w:after="0" w:line="247" w:lineRule="auto"/>
        <w:tabs>
          <w:tab w:leader="none" w:pos="3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Of the shares being offered by the investment funds affiliated with Berkshire: (i) 2,633,406 shares are being sold in this offering by Fund VI, assuming the underwriters’ option is not exercised, and 3,033,649 shares are being sold in this offering by Fund VI, assuming the underwriters’ option is exercised in full; (ii) 34,215 shares are being sold in this offering by Berkshire Investors, assuming the underwriters’ option is not exercised, 39,415 shares are being sold in this offering by Berkshire Investors, assuming the underwriters’ option is exercised in full; and (iii) 13,936 shares are being sold in this offering by Berkshire Investors III assuming the underwriters’ option is not exercised, and 16,054 shares are being sold in this offering by Berkshire Investors III, assuming the underwriters’ option is exercised in full.</w:t>
      </w:r>
    </w:p>
    <w:p>
      <w:pPr>
        <w:spacing w:after="0" w:line="86" w:lineRule="exact"/>
        <w:rPr>
          <w:rFonts w:ascii="Arial" w:cs="Arial" w:eastAsia="Arial" w:hAnsi="Arial"/>
          <w:sz w:val="14"/>
          <w:szCs w:val="14"/>
          <w:color w:val="auto"/>
        </w:rPr>
      </w:pPr>
    </w:p>
    <w:p>
      <w:pPr>
        <w:ind w:left="347" w:right="140" w:hanging="347"/>
        <w:spacing w:after="0" w:line="257" w:lineRule="auto"/>
        <w:tabs>
          <w:tab w:leader="none" w:pos="3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number of shares reported includes shares covered by options (other than performance-based options that may vest upon the consummation of this offering) that are exercisable within 60 days as follows: Mr. Fahs, 122,059, Mr. Moore, 73,234, Mr. Goodman, 106,754, Mr. Busbee, 60,286 and Mr. Vaught, 40,249.</w:t>
      </w:r>
    </w:p>
    <w:p>
      <w:pPr>
        <w:spacing w:after="0" w:line="176"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determines otherwise, we will issue all shares of our capital stock in uncertificated form.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69"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40" w:firstLine="360"/>
        <w:spacing w:after="0" w:line="256"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 of all outstanding shares of stock entitled to vote generally in the election of directors, which we expect to occur upon the completion of this offering,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 outstanding shares of stock entitled to vote generally in the election of directors, voting together as a single class. In addition, our amended and restated certificate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incorporation and our amended and restated bylaws also provide that, subject to the rights granted to one or more series of preferred stock then outstanding or the rights granted to the Sponsors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the Sponsors and their affiliates beneficially own, in the aggregate, less than 40% of the voting power of all outstanding shares of stock entitled to vote generally in the election of directors, which we expect to occur upon the completion of this offering,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These notice requirements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stockholder action by written consent once the Sponsors and their affiliates beneficially own, in the aggregate, less than 40% of the voting power of all outstanding shares of stock entitled to vote generally in the election of directors, which we expect to occur upon the completion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which we expect to occur upon the completion of this offering, any amendment, alteration, change, addition, rescission or repeal of our amended and restated bylaws by our stockholders will require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7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right="40" w:firstLine="360"/>
        <w:spacing w:after="0" w:line="271" w:lineRule="auto"/>
        <w:rPr>
          <w:sz w:val="20"/>
          <w:szCs w:val="20"/>
          <w:color w:val="auto"/>
        </w:rPr>
      </w:pPr>
      <w:r>
        <w:rPr>
          <w:rFonts w:ascii="Arial" w:cs="Arial" w:eastAsia="Arial" w:hAnsi="Arial"/>
          <w:sz w:val="16"/>
          <w:szCs w:val="16"/>
          <w:color w:val="auto"/>
        </w:rPr>
        <w:t>Our amended and restated certificate of incorporation provides that once the Sponsors and their affiliates own less than 40% of the voting power of all outstanding shares of stock entitled to vote generally in the election of directors, which we expect to occur upon the completion of this offering, the following provisions in our amended and restated certificate of incorporation may be amended, altered, repealed or rescinded only by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the voting power of all outstanding shares of stock entitled to vote generally in the election of directors, voting together as a single class:</w:t>
      </w:r>
    </w:p>
    <w:p>
      <w:pPr>
        <w:spacing w:after="0" w:line="49" w:lineRule="exact"/>
        <w:rPr>
          <w:sz w:val="20"/>
          <w:szCs w:val="20"/>
          <w:color w:val="auto"/>
        </w:rPr>
      </w:pPr>
    </w:p>
    <w:p>
      <w:pPr>
        <w:ind w:left="700" w:hanging="356"/>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51" w:lineRule="exact"/>
        <w:rPr>
          <w:rFonts w:ascii="Arial" w:cs="Arial" w:eastAsia="Arial" w:hAnsi="Arial"/>
          <w:sz w:val="17"/>
          <w:szCs w:val="17"/>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0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51" w:lineRule="exact"/>
        <w:rPr>
          <w:sz w:val="20"/>
          <w:szCs w:val="20"/>
          <w:color w:val="auto"/>
        </w:rPr>
      </w:pPr>
    </w:p>
    <w:p>
      <w:pPr>
        <w:ind w:right="14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740" w:firstLine="360"/>
        <w:spacing w:after="0" w:line="308"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85" w:lineRule="exact"/>
        <w:rPr>
          <w:sz w:val="20"/>
          <w:szCs w:val="20"/>
          <w:color w:val="auto"/>
        </w:rPr>
      </w:pPr>
    </w:p>
    <w:p>
      <w:pPr>
        <w:ind w:right="120" w:firstLine="360"/>
        <w:spacing w:after="0" w:line="286" w:lineRule="auto"/>
        <w:rPr>
          <w:sz w:val="20"/>
          <w:szCs w:val="20"/>
          <w:color w:val="auto"/>
        </w:rPr>
      </w:pPr>
      <w:r>
        <w:rPr>
          <w:rFonts w:ascii="Arial" w:cs="Arial" w:eastAsia="Arial" w:hAnsi="Arial"/>
          <w:sz w:val="16"/>
          <w:szCs w:val="16"/>
          <w:color w:val="auto"/>
        </w:rPr>
        <w:t>Upon the consummation of this offering, we will have a total of 75,333,782 shares of common stock outstanding. In addition, options to purchase an aggregate of approximately 9,555,877 shares of our common stock will be outstanding as of the consummation of this offering. Of the outstanding shares, the 46,417,698 shares sold in the IPO, in the secondary offering of our common stock in March 2018 and in this offering (or 48,584,852 shares if the underwriters exercise in full their option to purchase additional shares in this offering) will be freely tradable without restriction or further registration under the Securities Act. Additionally, in connection with this offering, our Board of Directors will, pursuant to the management stockholder’s agreements and director stockholder’s agreements, elect to waive the transfer restrictions with respect to the number of shares of our common stock that management stockholders and director stockholders not participating in this offering would have been eligible to sell in this offering if they had exercised their piggyback registration rights. Of these shares, 995,033 shares (or 1,144,288 shares if the underwriters exercise in full their option to purchase additional shares in this offering) are held by non-executive officers and non-directors and, as such, may be sold during the 60-day lock-up period after this offering, subject to compliance with our securities trading policy and applicable securities laws. In addition, two of our executive officers, Reade Fahs and Jeff Busbee, will have the transfer restrictions in their management stockholder’s agreements waived with respect to 30,000 shares and 3,750 shares, respectively, which shares may be transferred during the 60-day lock-up period after this offering, subject to compliance with our securities trading policy and applicable securities laws.</w:t>
      </w:r>
    </w:p>
    <w:p>
      <w:pPr>
        <w:spacing w:after="0" w:line="61"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The 27,224,611 shares of common stock (or 25,057,457 shares if the underwriters exercise in full their option to purchase additional shares) held by affiliates of KKR Sponsor, affiliates of Berkshire and our directors and executive officers after this offering, representing 36.1% (or 33.3% if the underwriters exercise in full their option to purchase additional shares)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(but subject to restrictions in management stockholder’s agreements, if applicable), within any three-month period, a number of shares that does not exceed the greater of:</w:t>
      </w:r>
    </w:p>
    <w:p>
      <w:pPr>
        <w:spacing w:after="0" w:line="46" w:lineRule="exact"/>
        <w:rPr>
          <w:sz w:val="20"/>
          <w:szCs w:val="20"/>
          <w:color w:val="auto"/>
        </w:rPr>
      </w:pPr>
    </w:p>
    <w:p>
      <w:pPr>
        <w:ind w:left="700" w:right="540" w:hanging="356"/>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753,338 shares immediately after this offering; or</w:t>
      </w:r>
    </w:p>
    <w:p>
      <w:pPr>
        <w:spacing w:after="0" w:line="62"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received shares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connection with this offering, we, our directors and executive officers and the selling stockholders have signed lock-up agreements with the underwriters that, subject to certain exceptions, restrict the disposition of, or hedging with respect to, the shares of our common stock or securities convertible into or exchangeable for shares of our common stock, each held by them, during the period ending 60 days after the date of this prospectus, except with the prior written consent of any two of Merrill Lynch, Pierce, Fenner &amp; Smith Incorporated, Citigroup Global Markets Inc. and Goldman Sachs &amp; Co. LLC. See “Underwriting (Conflicts of Interest)” for a description of these lock-up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For a description of rights some holders of common stock have to require us to register the shares of common stock they own, see “Certain Relationships and Related Transactions and Director Independence—Registration Rights Agreement” and “Certain Relationships and Related Transactions and Director Independence—Management Stockholder’s Agreements” of our Annual Report, incorporated by reference herein. Registration of these shares under the Securities Act would result in these shares becoming freely tradable immediately upon effectiveness of such registration.</w:t>
      </w:r>
    </w:p>
    <w:p>
      <w:pPr>
        <w:spacing w:after="0" w:line="64"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37.9% of our outstanding common stock (or 34.9%,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71" w:lineRule="exact"/>
        <w:rPr>
          <w:sz w:val="20"/>
          <w:szCs w:val="20"/>
          <w:color w:val="auto"/>
        </w:rPr>
      </w:pPr>
    </w:p>
    <w:p>
      <w:pPr>
        <w:ind w:right="720"/>
        <w:spacing w:after="0" w:line="251" w:lineRule="auto"/>
        <w:rPr>
          <w:sz w:val="20"/>
          <w:szCs w:val="20"/>
          <w:color w:val="auto"/>
        </w:rPr>
      </w:pPr>
      <w:r>
        <w:rPr>
          <w:rFonts w:ascii="Arial" w:cs="Arial" w:eastAsia="Arial" w:hAnsi="Arial"/>
          <w:sz w:val="18"/>
          <w:szCs w:val="18"/>
          <w:b w:val="1"/>
          <w:bCs w:val="1"/>
          <w:color w:val="auto"/>
        </w:rPr>
        <w:t>Our 2013 Equity Incentive Plan, 2014 Stock Incentive Plan, 2017 Omnibus Incentive Plan and 2018 Associate Stock Purchase Plan</w:t>
      </w:r>
    </w:p>
    <w:p>
      <w:pPr>
        <w:spacing w:after="0" w:line="7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have filed a registration statement on Form S-8 to register 14,585,568 shares of common stock subject to outstanding stock options or subject to issuance under our 2013 Equity Incentive Plan, our 2014 Stock Incentive Plan and our 2017 Omnibus Incentive Plan and such shares are available for sale in the open market, unless such shares are subject to Rule 144 limitations applicable to affiliates, vesting restrictions on transfer under the management stockholder’s agreement, or the lock-up restrictions described above. The management stockholder’s agreements impose significant restrictions on transfers of shares of our common stock held by management stockholders. See “Certain Relationships and Related Transactions and Director Independence—Management Stockholder’s Agreements” of our Annual Report, incorporated by reference herein.</w:t>
      </w:r>
    </w:p>
    <w:p>
      <w:pPr>
        <w:spacing w:after="0" w:line="70"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have also filed a registration statement on Form S-8 to register 850,000 shares of common stock subject to issuance under our 2018 Associate Stock Purchase Plan and such shares will be available for sale in the open market, unless such shares are subject to Rule 144 limitations applicable to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AND ESTATE TAX CONSEQUENCES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NON-U.S. HOLDERS</w:t>
      </w:r>
    </w:p>
    <w:p>
      <w:pPr>
        <w:spacing w:after="0" w:line="8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16" w:lineRule="exact"/>
        <w:rPr>
          <w:sz w:val="20"/>
          <w:szCs w:val="20"/>
          <w:color w:val="auto"/>
        </w:rPr>
      </w:pPr>
    </w:p>
    <w:p>
      <w:pPr>
        <w:ind w:left="700" w:right="20" w:hanging="356"/>
        <w:spacing w:after="0" w:line="342"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be offset by United States source capital losses, even though the 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 Merrill Lynch, Pierce, Fenner &amp; Smith Incorporated, Citigroup Global Markets Inc., Goldman Sachs &amp; Co. LLC and Jefferies LLC are acting as the representatives of the underwriters.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178"/>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5"/>
                <w:szCs w:val="15"/>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of Shares</w:t>
            </w:r>
          </w:p>
        </w:tc>
      </w:tr>
      <w:tr>
        <w:trPr>
          <w:trHeight w:val="215"/>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77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Incorporated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2,419,990</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2,419,990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2,419,990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KKR Capital Markets LLC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2,419,990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794,623</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782,704</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782,704</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782,704</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577,907</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Guggenheim Securities, LLC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397,191</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397,191</w:t>
            </w:r>
          </w:p>
        </w:tc>
        <w:tc>
          <w:tcPr>
            <w:tcW w:w="100" w:type="dxa"/>
            <w:vAlign w:val="bottom"/>
            <w:shd w:val="clear" w:color="auto" w:fill="CCEEFF"/>
          </w:tcPr>
          <w:p>
            <w:pPr>
              <w:spacing w:after="0"/>
              <w:rPr>
                <w:sz w:val="22"/>
                <w:szCs w:val="22"/>
                <w:color w:val="auto"/>
              </w:rPr>
            </w:pPr>
          </w:p>
        </w:tc>
      </w:tr>
      <w:tr>
        <w:trPr>
          <w:trHeight w:val="237"/>
        </w:trPr>
        <w:tc>
          <w:tcPr>
            <w:tcW w:w="7760" w:type="dxa"/>
            <w:vAlign w:val="bottom"/>
            <w:gridSpan w:val="2"/>
          </w:tcPr>
          <w:p>
            <w:pPr>
              <w:spacing w:after="0"/>
              <w:rPr>
                <w:sz w:val="20"/>
                <w:szCs w:val="20"/>
                <w:color w:val="auto"/>
              </w:rPr>
            </w:pPr>
            <w:r>
              <w:rPr>
                <w:rFonts w:ascii="Arial" w:cs="Arial" w:eastAsia="Arial" w:hAnsi="Arial"/>
                <w:sz w:val="18"/>
                <w:szCs w:val="18"/>
                <w:color w:val="auto"/>
              </w:rPr>
              <w:t>Macquarie Capital (USA) Inc.</w:t>
            </w:r>
          </w:p>
        </w:tc>
        <w:tc>
          <w:tcPr>
            <w:tcW w:w="16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252,714</w:t>
            </w: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14,447,698</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9"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or to contribute to payments the underwriters may be required to make in respect of those liabilities.</w:t>
      </w:r>
    </w:p>
    <w:p>
      <w:pPr>
        <w:spacing w:after="0" w:line="7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 cover page of this prospectus and to dealers at that price less a concession not in excess of $0.8944 per share. After the initial offering, the public offering price, concession or any other term of the offering may be changed.</w:t>
      </w:r>
    </w:p>
    <w:p>
      <w:pPr>
        <w:spacing w:after="0" w:line="39"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 The information assumes either no exercise or full exercise by the underwriters of their option to purchase additional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Without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With</w:t>
            </w:r>
          </w:p>
        </w:tc>
      </w:tr>
      <w:tr>
        <w:trPr>
          <w:trHeight w:val="178"/>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574,295,996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660,440,367</w:t>
            </w:r>
          </w:p>
        </w:tc>
        <w:tc>
          <w:tcPr>
            <w:tcW w:w="100" w:type="dxa"/>
            <w:vAlign w:val="bottom"/>
            <w:shd w:val="clear" w:color="auto" w:fill="CCEEFF"/>
          </w:tcPr>
          <w:p>
            <w:pPr>
              <w:spacing w:after="0"/>
              <w:rPr>
                <w:sz w:val="21"/>
                <w:szCs w:val="21"/>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w:t>
            </w:r>
          </w:p>
        </w:tc>
        <w:tc>
          <w:tcPr>
            <w:tcW w:w="17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21,535,739</w:t>
            </w:r>
          </w:p>
        </w:tc>
        <w:tc>
          <w:tcPr>
            <w:tcW w:w="16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24,766,098</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before expenses, to the selling stockholders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38.2594</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552,760,257</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635,674,269</w:t>
            </w:r>
          </w:p>
        </w:tc>
        <w:tc>
          <w:tcPr>
            <w:tcW w:w="100" w:type="dxa"/>
            <w:vAlign w:val="bottom"/>
            <w:shd w:val="clear" w:color="auto" w:fill="CCEEFF"/>
          </w:tcPr>
          <w:p>
            <w:pPr>
              <w:spacing w:after="0"/>
              <w:rPr>
                <w:sz w:val="21"/>
                <w:szCs w:val="21"/>
                <w:color w:val="auto"/>
              </w:rPr>
            </w:pPr>
          </w:p>
        </w:tc>
      </w:tr>
      <w:tr>
        <w:trPr>
          <w:trHeight w:val="4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20" w:type="dxa"/>
            <w:vAlign w:val="bottom"/>
          </w:tcPr>
          <w:p>
            <w:pPr>
              <w:jc w:val="right"/>
              <w:ind w:right="105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$774,070 and are payable by us. We have also agreed to reimburse the underwriters for expenses relating to clearing of this offering with FINRA in an amount up to $25,000.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The underwriters have an option, exercisable for 30 days after the date of this prospectus, to purchase up to 2,167,154 additional shares at the public offering price, less the underwriting discount and commissions, from certain of the selling stockholders.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We, our directors and executive officers and the selling stockholders have agreed, for 60 days after the date of this prospectus, without first obtaining the written consent of any two of Merrill Lynch, Pierce, Fenner &amp; Smith Incorporated, Citigroup Global Markets Inc. and Goldman Sachs &amp; Co. LLC, not to directly or indirectly, subject to certain exceptions:</w:t>
      </w:r>
    </w:p>
    <w:p>
      <w:pPr>
        <w:spacing w:after="0" w:line="57" w:lineRule="exact"/>
        <w:rPr>
          <w:sz w:val="20"/>
          <w:szCs w:val="20"/>
          <w:color w:val="auto"/>
        </w:rPr>
      </w:pPr>
    </w:p>
    <w:p>
      <w:pPr>
        <w:jc w:val="both"/>
        <w:ind w:left="700" w:right="60" w:hanging="356"/>
        <w:spacing w:after="0" w:line="26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79" w:lineRule="auto"/>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publicly file or participate in the public filing of a registration statement with the SEC in respect of, or establish or increase a put equivalent position or liquidate or decrease a call equivalent position within the meaning of Section 16 of the Securities Exchange Act of 1934, as amended, or the Exchange Act, and related rules and regulations, any shares of our capital stock or any securities convertible into, or exercisable or exchangeable for such capital stock; or</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This agreement does not apply to any existing employee benefit plans. Any two of Merrill Lynch, Pierce, Fenner &amp; Smith Incorporated, Citigroup Global Markets Inc. and Goldman Sachs &amp; Co. LLC may, in their sole discretion and at any time or from time to time before the termination of the 60-day period, release all or any portion of the securities subject to lock-up agreements. See “Shares Eligible for Future Sale” for a discussion of certain transfer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3"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7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73"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6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None of us, the selling stockholders and the underwriters make any representation or prediction as to the direction or magnitude of any effect that the transactions described above may have on the price of our common stock. In addition, none of us, the selling stockholders and the underwriters make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73"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Certain of the underwriters and their respective affiliates have provided, and may in the future provide, a variety of these services to us and to persons and entities with relationships with us, for which they received or will receive customary fees and expenses. An affiliate of Goldman Sachs &amp; Co. LLC serves as administrative agent, collateral agent, swingline lender and a lender under our first lien credit agreement and Goldman Sachs &amp; Co. LLC, Citigroup Global Markets Inc. and KKR Capital Markets LLC or their respective affiliates serve as joint lead arrangers and joint bookrunners under our first lien credit agreement. As of December 30, 2017, investment funds or accounts managed or advised by the global credit business of KKR &amp; Co. held a portion of the outstanding principal balance of our first lien term loans. As of March 31, 2018, such investment funds or accounts managed or advised by the global credit business of KKR &amp; Co. no longer held our term loans and had received no principal or interest payments. Additionally, an affiliate of KKR Capital Markets LLC has been a participating lender under our revolving credit facility.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Affiliates of KKR Sponsor beneficially own (through investment in KKR Vision Aggregator L.P.) in excess of 10% of our issued and outstanding common stock. Because KKR Capital Markets LLC, an affiliate of KKR Sponsor, is an underwriter in this offering and its affiliates own in excess of 10% of our issued and outstanding common stock, KKR Capital Markets LLC is deemed to have a “conflict of interest” under Rule 5121. Accordingly, this offering is being made in compliance with the requirements of Rule 5121. Pursuant to that rule, the appointment of a “qualified independent underwriter” is not required in connection with this offering, as a bona fide public market exists in the shares, as that term is defined in Rule 5121. KKR Capital Markets LLC will not confirm sales of the securities to any account over which it exercises discretionary authority without the specific written approval of the account holder.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“Relevant Member State”,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8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57" w:lineRule="exact"/>
        <w:rPr>
          <w:sz w:val="20"/>
          <w:szCs w:val="20"/>
          <w:color w:val="auto"/>
        </w:rPr>
      </w:pPr>
    </w:p>
    <w:p>
      <w:pPr>
        <w:jc w:val="both"/>
        <w:ind w:right="4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0"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4" w:name="page65"/>
    <w:bookmarkEnd w:id="64"/>
    <w:p>
      <w:pPr>
        <w:ind w:left="7"/>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60"/>
        <w:spacing w:after="0" w:line="264" w:lineRule="auto"/>
        <w:rPr>
          <w:sz w:val="20"/>
          <w:szCs w:val="20"/>
          <w:color w:val="auto"/>
        </w:rPr>
      </w:pPr>
      <w:r>
        <w:rPr>
          <w:rFonts w:ascii="Arial" w:cs="Arial" w:eastAsia="Arial" w:hAnsi="Arial"/>
          <w:sz w:val="18"/>
          <w:szCs w:val="18"/>
          <w:color w:val="auto"/>
        </w:rPr>
        <w:t>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40" w:hanging="7"/>
        <w:spacing w:after="0" w:line="287" w:lineRule="auto"/>
        <w:tabs>
          <w:tab w:leader="none" w:pos="2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8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7" w:firstLine="360"/>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7" w:right="40" w:hanging="356"/>
        <w:spacing w:after="0" w:line="264" w:lineRule="auto"/>
        <w:tabs>
          <w:tab w:leader="none" w:pos="7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7" w:right="160" w:hanging="356"/>
        <w:spacing w:after="0" w:line="277" w:lineRule="auto"/>
        <w:tabs>
          <w:tab w:leader="none" w:pos="7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7"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7" w:right="220" w:hanging="356"/>
        <w:spacing w:after="0" w:line="277" w:lineRule="auto"/>
        <w:tabs>
          <w:tab w:leader="none" w:pos="7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2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10-K for the fiscal year ended December 30, 2017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w:t>
      </w:r>
    </w:p>
    <w:p>
      <w:pPr>
        <w:spacing w:after="0" w:line="80" w:lineRule="exact"/>
        <w:rPr>
          <w:sz w:val="20"/>
          <w:szCs w:val="20"/>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on May 15,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Current Reports on Form 8-K filed on January 23, 2018, March 19, 2018 and June 7, 2018; and</w:t>
      </w:r>
    </w:p>
    <w:p>
      <w:pPr>
        <w:spacing w:after="0" w:line="117" w:lineRule="exact"/>
        <w:rPr>
          <w:rFonts w:ascii="Arial" w:cs="Arial" w:eastAsia="Arial" w:hAnsi="Arial"/>
          <w:sz w:val="18"/>
          <w:szCs w:val="18"/>
          <w:color w:val="auto"/>
        </w:rPr>
      </w:pPr>
    </w:p>
    <w:p>
      <w:pPr>
        <w:ind w:left="700" w:right="380" w:hanging="356"/>
        <w:spacing w:after="0" w:line="308" w:lineRule="auto"/>
        <w:tabs>
          <w:tab w:leader="none" w:pos="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73"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14,447,698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226695</wp:posOffset>
            </wp:positionV>
            <wp:extent cx="1346200" cy="1046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National Vision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739140</wp:posOffset>
            </wp:positionV>
            <wp:extent cx="13976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158115</wp:posOffset>
            </wp:positionV>
            <wp:extent cx="13976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60" w:type="dxa"/>
            <w:vAlign w:val="bottom"/>
            <w:gridSpan w:val="2"/>
          </w:tcPr>
          <w:p>
            <w:pPr>
              <w:jc w:val="center"/>
              <w:ind w:right="852"/>
              <w:spacing w:after="0"/>
              <w:rPr>
                <w:sz w:val="20"/>
                <w:szCs w:val="20"/>
                <w:color w:val="auto"/>
              </w:rPr>
            </w:pPr>
            <w:r>
              <w:rPr>
                <w:rFonts w:ascii="Arial" w:cs="Arial" w:eastAsia="Arial" w:hAnsi="Arial"/>
                <w:sz w:val="18"/>
                <w:szCs w:val="18"/>
                <w:i w:val="1"/>
                <w:iCs w:val="1"/>
                <w:color w:val="auto"/>
                <w:w w:val="91"/>
              </w:rPr>
              <w:t>Joint Book-Running Managers</w:t>
            </w:r>
          </w:p>
        </w:tc>
        <w:tc>
          <w:tcPr>
            <w:tcW w:w="1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21"/>
        </w:trPr>
        <w:tc>
          <w:tcPr>
            <w:tcW w:w="242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100" w:type="dxa"/>
            <w:vAlign w:val="bottom"/>
          </w:tcPr>
          <w:p>
            <w:pPr>
              <w:ind w:left="60"/>
              <w:spacing w:after="0"/>
              <w:rPr>
                <w:sz w:val="20"/>
                <w:szCs w:val="20"/>
                <w:color w:val="auto"/>
              </w:rPr>
            </w:pPr>
            <w:r>
              <w:rPr>
                <w:rFonts w:ascii="Arial" w:cs="Arial" w:eastAsia="Arial" w:hAnsi="Arial"/>
                <w:sz w:val="22"/>
                <w:szCs w:val="22"/>
                <w:b w:val="1"/>
                <w:bCs w:val="1"/>
                <w:color w:val="auto"/>
              </w:rPr>
              <w:t>Citigroup</w:t>
            </w:r>
          </w:p>
        </w:tc>
        <w:tc>
          <w:tcPr>
            <w:tcW w:w="3460" w:type="dxa"/>
            <w:vAlign w:val="bottom"/>
            <w:gridSpan w:val="2"/>
          </w:tcPr>
          <w:p>
            <w:pPr>
              <w:ind w:left="620"/>
              <w:spacing w:after="0"/>
              <w:rPr>
                <w:sz w:val="20"/>
                <w:szCs w:val="20"/>
                <w:color w:val="auto"/>
              </w:rPr>
            </w:pPr>
            <w:r>
              <w:rPr>
                <w:rFonts w:ascii="Arial" w:cs="Arial" w:eastAsia="Arial" w:hAnsi="Arial"/>
                <w:sz w:val="22"/>
                <w:szCs w:val="22"/>
                <w:b w:val="1"/>
                <w:bCs w:val="1"/>
                <w:color w:val="auto"/>
              </w:rPr>
              <w:t>Goldman Sachs &amp; Co. LLC</w:t>
            </w:r>
          </w:p>
        </w:tc>
        <w:tc>
          <w:tcPr>
            <w:tcW w:w="1760" w:type="dxa"/>
            <w:vAlign w:val="bottom"/>
          </w:tcPr>
          <w:p>
            <w:pPr>
              <w:ind w:left="460"/>
              <w:spacing w:after="0"/>
              <w:rPr>
                <w:sz w:val="20"/>
                <w:szCs w:val="20"/>
                <w:color w:val="auto"/>
              </w:rPr>
            </w:pPr>
            <w:r>
              <w:rPr>
                <w:rFonts w:ascii="Arial" w:cs="Arial" w:eastAsia="Arial" w:hAnsi="Arial"/>
                <w:sz w:val="22"/>
                <w:szCs w:val="22"/>
                <w:b w:val="1"/>
                <w:bCs w:val="1"/>
                <w:color w:val="auto"/>
              </w:rPr>
              <w:t>Jefferies</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auto"/>
              </w:rPr>
              <w:t>KKR</w:t>
            </w:r>
          </w:p>
        </w:tc>
      </w:tr>
      <w:tr>
        <w:trPr>
          <w:trHeight w:val="324"/>
        </w:trPr>
        <w:tc>
          <w:tcPr>
            <w:tcW w:w="242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2980" w:type="dxa"/>
            <w:vAlign w:val="bottom"/>
            <w:gridSpan w:val="2"/>
          </w:tcPr>
          <w:p>
            <w:pPr>
              <w:ind w:left="40"/>
              <w:spacing w:after="0"/>
              <w:rPr>
                <w:sz w:val="20"/>
                <w:szCs w:val="20"/>
                <w:color w:val="auto"/>
              </w:rPr>
            </w:pPr>
            <w:r>
              <w:rPr>
                <w:rFonts w:ascii="Arial" w:cs="Arial" w:eastAsia="Arial" w:hAnsi="Arial"/>
                <w:sz w:val="22"/>
                <w:szCs w:val="22"/>
                <w:b w:val="1"/>
                <w:bCs w:val="1"/>
                <w:color w:val="auto"/>
              </w:rPr>
              <w:t>UBS Investment Bank</w:t>
            </w:r>
          </w:p>
        </w:tc>
        <w:tc>
          <w:tcPr>
            <w:tcW w:w="3340" w:type="dxa"/>
            <w:vAlign w:val="bottom"/>
            <w:gridSpan w:val="2"/>
          </w:tcPr>
          <w:p>
            <w:pPr>
              <w:ind w:left="20"/>
              <w:spacing w:after="0"/>
              <w:rPr>
                <w:sz w:val="20"/>
                <w:szCs w:val="20"/>
                <w:color w:val="auto"/>
              </w:rPr>
            </w:pPr>
            <w:r>
              <w:rPr>
                <w:rFonts w:ascii="Arial" w:cs="Arial" w:eastAsia="Arial" w:hAnsi="Arial"/>
                <w:sz w:val="22"/>
                <w:szCs w:val="22"/>
                <w:b w:val="1"/>
                <w:bCs w:val="1"/>
                <w:color w:val="auto"/>
              </w:rPr>
              <w:t>Wells Fargo Securities</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auto"/>
                <w:w w:val="87"/>
              </w:rPr>
              <w:t>Barclays</w:t>
            </w:r>
          </w:p>
        </w:tc>
      </w:tr>
      <w:tr>
        <w:trPr>
          <w:trHeight w:val="328"/>
        </w:trPr>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tcPr>
          <w:p>
            <w:pPr>
              <w:jc w:val="center"/>
              <w:ind w:left="545"/>
              <w:spacing w:after="0"/>
              <w:rPr>
                <w:sz w:val="20"/>
                <w:szCs w:val="20"/>
                <w:color w:val="auto"/>
              </w:rPr>
            </w:pPr>
            <w:r>
              <w:rPr>
                <w:rFonts w:ascii="Arial" w:cs="Arial" w:eastAsia="Arial" w:hAnsi="Arial"/>
                <w:sz w:val="18"/>
                <w:szCs w:val="18"/>
                <w:i w:val="1"/>
                <w:iCs w:val="1"/>
                <w:color w:val="auto"/>
                <w:w w:val="91"/>
              </w:rPr>
              <w:t>Co-Managers</w:t>
            </w: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4"/>
        </w:trPr>
        <w:tc>
          <w:tcPr>
            <w:tcW w:w="2420" w:type="dxa"/>
            <w:vAlign w:val="bottom"/>
          </w:tcPr>
          <w:p>
            <w:pPr>
              <w:ind w:left="580"/>
              <w:spacing w:after="0"/>
              <w:rPr>
                <w:sz w:val="20"/>
                <w:szCs w:val="20"/>
                <w:color w:val="auto"/>
              </w:rPr>
            </w:pPr>
            <w:r>
              <w:rPr>
                <w:rFonts w:ascii="Arial" w:cs="Arial" w:eastAsia="Arial" w:hAnsi="Arial"/>
                <w:sz w:val="18"/>
                <w:szCs w:val="18"/>
                <w:b w:val="1"/>
                <w:bCs w:val="1"/>
                <w:color w:val="auto"/>
                <w:w w:val="90"/>
              </w:rPr>
              <w:t>Guggenheim Securities</w:t>
            </w:r>
          </w:p>
        </w:tc>
        <w:tc>
          <w:tcPr>
            <w:tcW w:w="1100" w:type="dxa"/>
            <w:vAlign w:val="bottom"/>
          </w:tcPr>
          <w:p>
            <w:pPr>
              <w:spacing w:after="0"/>
              <w:rPr>
                <w:sz w:val="24"/>
                <w:szCs w:val="24"/>
                <w:color w:val="auto"/>
              </w:rPr>
            </w:pPr>
          </w:p>
        </w:tc>
        <w:tc>
          <w:tcPr>
            <w:tcW w:w="1880" w:type="dxa"/>
            <w:vAlign w:val="bottom"/>
          </w:tcPr>
          <w:p>
            <w:pPr>
              <w:ind w:left="480"/>
              <w:spacing w:after="0"/>
              <w:rPr>
                <w:sz w:val="20"/>
                <w:szCs w:val="20"/>
                <w:color w:val="auto"/>
              </w:rPr>
            </w:pPr>
            <w:r>
              <w:rPr>
                <w:rFonts w:ascii="Arial" w:cs="Arial" w:eastAsia="Arial" w:hAnsi="Arial"/>
                <w:sz w:val="18"/>
                <w:szCs w:val="18"/>
                <w:b w:val="1"/>
                <w:bCs w:val="1"/>
                <w:color w:val="auto"/>
                <w:w w:val="90"/>
              </w:rPr>
              <w:t>Mizuho Securities</w:t>
            </w:r>
          </w:p>
        </w:tc>
        <w:tc>
          <w:tcPr>
            <w:tcW w:w="158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8"/>
                <w:szCs w:val="18"/>
                <w:b w:val="1"/>
                <w:bCs w:val="1"/>
                <w:color w:val="auto"/>
                <w:w w:val="94"/>
              </w:rPr>
              <w:t>Macquarie Capital</w:t>
            </w:r>
          </w:p>
        </w:tc>
        <w:tc>
          <w:tcPr>
            <w:tcW w:w="820" w:type="dxa"/>
            <w:vAlign w:val="bottom"/>
          </w:tcPr>
          <w:p>
            <w:pPr>
              <w:spacing w:after="0"/>
              <w:rPr>
                <w:sz w:val="24"/>
                <w:szCs w:val="24"/>
                <w:color w:val="auto"/>
              </w:rPr>
            </w:pPr>
          </w:p>
        </w:tc>
      </w:tr>
      <w:tr>
        <w:trPr>
          <w:trHeight w:val="230"/>
        </w:trPr>
        <w:tc>
          <w:tcPr>
            <w:tcW w:w="2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68"/>
        </w:trPr>
        <w:tc>
          <w:tcPr>
            <w:tcW w:w="2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446"/>
        </w:trPr>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8"/>
        </w:trPr>
        <w:tc>
          <w:tcPr>
            <w:tcW w:w="24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17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9560"/>
      </w:cols>
      <w:pgMar w:left="1180" w:top="27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bullet"/>
      <w:start w:val="1"/>
    </w:lvl>
  </w:abstractNum>
  <w:abstractNum w:abstractNumId="7">
    <w:nsid w:val="2901D82"/>
    <w:multiLevelType w:val="hybridMultilevel"/>
    <w:lvl w:ilvl="0">
      <w:lvlJc w:val="left"/>
      <w:lvlText w:val="2"/>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3"/>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Letter"/>
      <w:start w:val="5"/>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2019-12-08T16:44:05Z</dcterms:created>
  <dcterms:modified xsi:type="dcterms:W3CDTF">2019-12-08T16:44:05Z</dcterms:modified>
</cp:coreProperties>
</file>