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673021.xml.htm"/>
      <w:bookmarkStart w:id="1" w:name="kswkform4_17096730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FAHS L READE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INC.,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AVENUE, BLDG.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30096-4980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14,217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570,767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566,527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44,823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611,350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595,490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363,430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Trust</w:t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84,962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84,962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134,804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14,217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14,217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120,587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44,823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One-third of these restricted stock units will vest on each anniversary of the grant date, March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Total holdings have been adjusted to reflect an inadvertent error on prior Form 4s.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March 2, 2022, the reporting person was granted 42,651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On March 3, 2023, the reporting person was granted 134,469 restricted stock units, which vest in three equal installments on each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1253" TargetMode="External"/><Relationship Id="rId4" Type="http://schemas.openxmlformats.org/officeDocument/2006/relationships/hyperlink" Target="http://www.sec.gov/cgi-bin/browse-edgar?action=getcompany&amp;CIK=000171015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760</Words>
  <Characters>4071</Characters>
  <CharactersWithSpaces>4711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