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w:t>
      </w:r>
    </w:p>
    <w:p>
      <w:pPr>
        <w:spacing w:after="0" w:line="182"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2660"/>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00"/>
          </w:cols>
          <w:pgMar w:left="240" w:top="237" w:right="25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For the quarterly period ended</w:t>
      </w:r>
    </w:p>
    <w:p>
      <w:pPr>
        <w:spacing w:after="0" w:line="50"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July 3, 2004</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
        <w:spacing w:after="0"/>
        <w:rPr>
          <w:sz w:val="20"/>
          <w:szCs w:val="20"/>
          <w:color w:val="auto"/>
        </w:rPr>
      </w:pPr>
      <w:r>
        <w:rPr>
          <w:rFonts w:ascii="Arial" w:cs="Arial" w:eastAsia="Arial" w:hAnsi="Arial"/>
          <w:sz w:val="16"/>
          <w:szCs w:val="16"/>
          <w:color w:val="auto"/>
        </w:rPr>
        <w:t>Commission File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Number 0-20001</w:t>
      </w:r>
    </w:p>
    <w:p>
      <w:pPr>
        <w:spacing w:after="0" w:line="222" w:lineRule="exact"/>
        <w:rPr>
          <w:sz w:val="24"/>
          <w:szCs w:val="24"/>
          <w:color w:val="auto"/>
        </w:rPr>
      </w:pPr>
    </w:p>
    <w:p>
      <w:pPr>
        <w:sectPr>
          <w:pgSz w:w="11900" w:h="16838" w:orient="portrait"/>
          <w:cols w:equalWidth="0" w:num="2">
            <w:col w:w="5480" w:space="720"/>
            <w:col w:w="5200"/>
          </w:cols>
          <w:pgMar w:left="240" w:top="237" w:right="259" w:bottom="1440" w:gutter="0" w:footer="0" w:header="0"/>
          <w:type w:val="continuous"/>
        </w:sect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NATIONAL VISION,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6260" w:type="dxa"/>
            <w:vAlign w:val="bottom"/>
          </w:tcPr>
          <w:p>
            <w:pPr>
              <w:jc w:val="center"/>
              <w:ind w:left="1644"/>
              <w:spacing w:after="0"/>
              <w:rPr>
                <w:sz w:val="20"/>
                <w:szCs w:val="20"/>
                <w:color w:val="auto"/>
              </w:rPr>
            </w:pPr>
            <w:r>
              <w:rPr>
                <w:rFonts w:ascii="Arial" w:cs="Arial" w:eastAsia="Arial" w:hAnsi="Arial"/>
                <w:sz w:val="22"/>
                <w:szCs w:val="22"/>
                <w:b w:val="1"/>
                <w:bCs w:val="1"/>
                <w:color w:val="auto"/>
              </w:rPr>
              <w:t>GEORGIA</w:t>
            </w:r>
          </w:p>
        </w:tc>
        <w:tc>
          <w:tcPr>
            <w:tcW w:w="2180" w:type="dxa"/>
            <w:vAlign w:val="bottom"/>
          </w:tcPr>
          <w:p>
            <w:pPr>
              <w:jc w:val="right"/>
              <w:ind w:right="24"/>
              <w:spacing w:after="0"/>
              <w:rPr>
                <w:sz w:val="20"/>
                <w:szCs w:val="20"/>
                <w:color w:val="auto"/>
              </w:rPr>
            </w:pPr>
            <w:r>
              <w:rPr>
                <w:rFonts w:ascii="Arial" w:cs="Arial" w:eastAsia="Arial" w:hAnsi="Arial"/>
                <w:sz w:val="22"/>
                <w:szCs w:val="22"/>
                <w:b w:val="1"/>
                <w:bCs w:val="1"/>
                <w:color w:val="auto"/>
              </w:rPr>
              <w:t>58-1910859</w:t>
            </w:r>
          </w:p>
        </w:tc>
      </w:tr>
      <w:tr>
        <w:trPr>
          <w:trHeight w:val="222"/>
        </w:trPr>
        <w:tc>
          <w:tcPr>
            <w:tcW w:w="6260" w:type="dxa"/>
            <w:vAlign w:val="bottom"/>
          </w:tcPr>
          <w:p>
            <w:pPr>
              <w:jc w:val="center"/>
              <w:ind w:left="1644"/>
              <w:spacing w:after="0"/>
              <w:rPr>
                <w:sz w:val="20"/>
                <w:szCs w:val="20"/>
                <w:color w:val="auto"/>
              </w:rPr>
            </w:pPr>
            <w:r>
              <w:rPr>
                <w:rFonts w:ascii="Arial" w:cs="Arial" w:eastAsia="Arial" w:hAnsi="Arial"/>
                <w:sz w:val="18"/>
                <w:szCs w:val="18"/>
                <w:i w:val="1"/>
                <w:iCs w:val="1"/>
                <w:color w:val="auto"/>
                <w:w w:val="91"/>
              </w:rPr>
              <w:t>(State or other jurisdiction</w:t>
            </w:r>
          </w:p>
        </w:tc>
        <w:tc>
          <w:tcPr>
            <w:tcW w:w="2180" w:type="dxa"/>
            <w:vAlign w:val="bottom"/>
          </w:tcPr>
          <w:p>
            <w:pPr>
              <w:jc w:val="center"/>
              <w:ind w:left="784"/>
              <w:spacing w:after="0"/>
              <w:rPr>
                <w:sz w:val="20"/>
                <w:szCs w:val="20"/>
                <w:color w:val="auto"/>
              </w:rPr>
            </w:pPr>
            <w:r>
              <w:rPr>
                <w:rFonts w:ascii="Arial" w:cs="Arial" w:eastAsia="Arial" w:hAnsi="Arial"/>
                <w:sz w:val="18"/>
                <w:szCs w:val="18"/>
                <w:i w:val="1"/>
                <w:iCs w:val="1"/>
                <w:color w:val="auto"/>
                <w:w w:val="89"/>
              </w:rPr>
              <w:t>(I.R.S. Employer</w:t>
            </w:r>
          </w:p>
        </w:tc>
      </w:tr>
      <w:tr>
        <w:trPr>
          <w:trHeight w:val="243"/>
        </w:trPr>
        <w:tc>
          <w:tcPr>
            <w:tcW w:w="6260" w:type="dxa"/>
            <w:vAlign w:val="bottom"/>
          </w:tcPr>
          <w:p>
            <w:pPr>
              <w:jc w:val="center"/>
              <w:ind w:left="1664"/>
              <w:spacing w:after="0"/>
              <w:rPr>
                <w:sz w:val="20"/>
                <w:szCs w:val="20"/>
                <w:color w:val="auto"/>
              </w:rPr>
            </w:pPr>
            <w:r>
              <w:rPr>
                <w:rFonts w:ascii="Arial" w:cs="Arial" w:eastAsia="Arial" w:hAnsi="Arial"/>
                <w:sz w:val="18"/>
                <w:szCs w:val="18"/>
                <w:i w:val="1"/>
                <w:iCs w:val="1"/>
                <w:color w:val="auto"/>
                <w:w w:val="92"/>
              </w:rPr>
              <w:t>of incorporation or organization)</w:t>
            </w:r>
          </w:p>
        </w:tc>
        <w:tc>
          <w:tcPr>
            <w:tcW w:w="2180" w:type="dxa"/>
            <w:vAlign w:val="bottom"/>
          </w:tcPr>
          <w:p>
            <w:pPr>
              <w:jc w:val="center"/>
              <w:ind w:left="784"/>
              <w:spacing w:after="0"/>
              <w:rPr>
                <w:sz w:val="20"/>
                <w:szCs w:val="20"/>
                <w:color w:val="auto"/>
              </w:rPr>
            </w:pPr>
            <w:r>
              <w:rPr>
                <w:rFonts w:ascii="Arial" w:cs="Arial" w:eastAsia="Arial" w:hAnsi="Arial"/>
                <w:sz w:val="18"/>
                <w:szCs w:val="18"/>
                <w:i w:val="1"/>
                <w:iCs w:val="1"/>
                <w:color w:val="auto"/>
                <w:w w:val="92"/>
              </w:rPr>
              <w:t>Identification No.)</w:t>
            </w:r>
          </w:p>
        </w:tc>
      </w:tr>
      <w:tr>
        <w:trPr>
          <w:trHeight w:val="731"/>
        </w:trPr>
        <w:tc>
          <w:tcPr>
            <w:tcW w:w="6260" w:type="dxa"/>
            <w:vAlign w:val="bottom"/>
          </w:tcPr>
          <w:p>
            <w:pPr>
              <w:jc w:val="center"/>
              <w:ind w:left="1664"/>
              <w:spacing w:after="0"/>
              <w:rPr>
                <w:sz w:val="20"/>
                <w:szCs w:val="20"/>
                <w:color w:val="auto"/>
              </w:rPr>
            </w:pPr>
            <w:r>
              <w:rPr>
                <w:rFonts w:ascii="Arial" w:cs="Arial" w:eastAsia="Arial" w:hAnsi="Arial"/>
                <w:sz w:val="22"/>
                <w:szCs w:val="22"/>
                <w:b w:val="1"/>
                <w:bCs w:val="1"/>
                <w:color w:val="auto"/>
                <w:w w:val="90"/>
              </w:rPr>
              <w:t>296 Grayson Highway</w:t>
            </w:r>
          </w:p>
        </w:tc>
        <w:tc>
          <w:tcPr>
            <w:tcW w:w="2180" w:type="dxa"/>
            <w:vAlign w:val="bottom"/>
          </w:tcPr>
          <w:p>
            <w:pPr>
              <w:spacing w:after="0"/>
              <w:rPr>
                <w:sz w:val="24"/>
                <w:szCs w:val="24"/>
                <w:color w:val="auto"/>
              </w:rPr>
            </w:pPr>
          </w:p>
        </w:tc>
      </w:tr>
      <w:tr>
        <w:trPr>
          <w:trHeight w:val="262"/>
        </w:trPr>
        <w:tc>
          <w:tcPr>
            <w:tcW w:w="6260" w:type="dxa"/>
            <w:vAlign w:val="bottom"/>
          </w:tcPr>
          <w:p>
            <w:pPr>
              <w:jc w:val="center"/>
              <w:ind w:left="1664"/>
              <w:spacing w:after="0"/>
              <w:rPr>
                <w:sz w:val="20"/>
                <w:szCs w:val="20"/>
                <w:color w:val="auto"/>
              </w:rPr>
            </w:pPr>
            <w:r>
              <w:rPr>
                <w:rFonts w:ascii="Arial" w:cs="Arial" w:eastAsia="Arial" w:hAnsi="Arial"/>
                <w:sz w:val="22"/>
                <w:szCs w:val="22"/>
                <w:b w:val="1"/>
                <w:bCs w:val="1"/>
                <w:color w:val="auto"/>
                <w:w w:val="89"/>
              </w:rPr>
              <w:t>Lawrenceville, Georgia</w:t>
            </w:r>
          </w:p>
        </w:tc>
        <w:tc>
          <w:tcPr>
            <w:tcW w:w="2180" w:type="dxa"/>
            <w:vAlign w:val="bottom"/>
          </w:tcPr>
          <w:p>
            <w:pPr>
              <w:jc w:val="right"/>
              <w:ind w:right="284"/>
              <w:spacing w:after="0"/>
              <w:rPr>
                <w:sz w:val="20"/>
                <w:szCs w:val="20"/>
                <w:color w:val="auto"/>
              </w:rPr>
            </w:pPr>
            <w:r>
              <w:rPr>
                <w:rFonts w:ascii="Arial" w:cs="Arial" w:eastAsia="Arial" w:hAnsi="Arial"/>
                <w:sz w:val="22"/>
                <w:szCs w:val="22"/>
                <w:b w:val="1"/>
                <w:bCs w:val="1"/>
                <w:color w:val="auto"/>
              </w:rPr>
              <w:t>30045</w:t>
            </w:r>
          </w:p>
        </w:tc>
      </w:tr>
      <w:tr>
        <w:trPr>
          <w:trHeight w:val="222"/>
        </w:trPr>
        <w:tc>
          <w:tcPr>
            <w:tcW w:w="6260" w:type="dxa"/>
            <w:vAlign w:val="bottom"/>
          </w:tcPr>
          <w:p>
            <w:pPr>
              <w:jc w:val="center"/>
              <w:ind w:left="1664"/>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180" w:type="dxa"/>
            <w:vAlign w:val="bottom"/>
          </w:tcPr>
          <w:p>
            <w:pPr>
              <w:jc w:val="center"/>
              <w:ind w:left="804"/>
              <w:spacing w:after="0"/>
              <w:rPr>
                <w:sz w:val="20"/>
                <w:szCs w:val="20"/>
                <w:color w:val="auto"/>
              </w:rPr>
            </w:pPr>
            <w:r>
              <w:rPr>
                <w:rFonts w:ascii="Arial" w:cs="Arial" w:eastAsia="Arial" w:hAnsi="Arial"/>
                <w:sz w:val="18"/>
                <w:szCs w:val="18"/>
                <w:i w:val="1"/>
                <w:iCs w:val="1"/>
                <w:color w:val="auto"/>
                <w:w w:val="89"/>
              </w:rPr>
              <w:t>(Zip Code)</w:t>
            </w:r>
          </w:p>
        </w:tc>
      </w:tr>
      <w:tr>
        <w:trPr>
          <w:trHeight w:val="498"/>
        </w:trPr>
        <w:tc>
          <w:tcPr>
            <w:tcW w:w="62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color w:val="auto"/>
              </w:rPr>
              <w:t>(770) 822-3600</w:t>
            </w:r>
          </w:p>
        </w:tc>
        <w:tc>
          <w:tcPr>
            <w:tcW w:w="2180" w:type="dxa"/>
            <w:vAlign w:val="bottom"/>
          </w:tcPr>
          <w:p>
            <w:pPr>
              <w:spacing w:after="0"/>
              <w:rPr>
                <w:sz w:val="24"/>
                <w:szCs w:val="24"/>
                <w:color w:val="auto"/>
              </w:rPr>
            </w:pPr>
          </w:p>
        </w:tc>
      </w:tr>
    </w:tbl>
    <w:p>
      <w:pPr>
        <w:spacing w:after="0" w:line="198" w:lineRule="exact"/>
        <w:rPr>
          <w:sz w:val="24"/>
          <w:szCs w:val="24"/>
          <w:color w:val="auto"/>
        </w:rPr>
      </w:pPr>
    </w:p>
    <w:p>
      <w:pPr>
        <w:jc w:val="both"/>
        <w:ind w:right="18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5" w:lineRule="exact"/>
        <w:rPr>
          <w:sz w:val="24"/>
          <w:szCs w:val="24"/>
          <w:color w:val="auto"/>
        </w:rPr>
      </w:pPr>
    </w:p>
    <w:p>
      <w:pPr>
        <w:ind w:left="4740"/>
        <w:spacing w:after="0" w:line="253" w:lineRule="exact"/>
        <w:tabs>
          <w:tab w:leader="none" w:pos="6000" w:val="left"/>
        </w:tabs>
        <w:rPr>
          <w:sz w:val="20"/>
          <w:szCs w:val="20"/>
          <w:color w:val="auto"/>
        </w:rPr>
      </w:pPr>
      <w:r>
        <w:rPr>
          <w:rFonts w:ascii="Arial" w:cs="Arial" w:eastAsia="Arial" w:hAnsi="Arial"/>
          <w:sz w:val="22"/>
          <w:szCs w:val="22"/>
          <w:color w:val="auto"/>
        </w:rPr>
        <w:t>YES  þ</w:t>
      </w:r>
      <w:r>
        <w:rPr>
          <w:sz w:val="20"/>
          <w:szCs w:val="20"/>
          <w:color w:val="auto"/>
        </w:rPr>
        <w:tab/>
      </w:r>
      <w:r>
        <w:rPr>
          <w:rFonts w:ascii="Arial" w:cs="Arial" w:eastAsia="Arial" w:hAnsi="Arial"/>
          <w:sz w:val="21"/>
          <w:szCs w:val="21"/>
          <w:color w:val="auto"/>
        </w:rPr>
        <w:t xml:space="preserve">NO  </w:t>
      </w:r>
      <w:r>
        <w:rPr>
          <w:rFonts w:ascii="MS PGothic" w:cs="MS PGothic" w:eastAsia="MS PGothic" w:hAnsi="MS PGothic"/>
          <w:sz w:val="21"/>
          <w:szCs w:val="21"/>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by Exchange Act Rule 12b-2).</w:t>
      </w:r>
    </w:p>
    <w:p>
      <w:pPr>
        <w:spacing w:after="0" w:line="186" w:lineRule="exact"/>
        <w:rPr>
          <w:sz w:val="24"/>
          <w:szCs w:val="24"/>
          <w:color w:val="auto"/>
        </w:rPr>
      </w:pPr>
    </w:p>
    <w:p>
      <w:pPr>
        <w:jc w:val="center"/>
        <w:ind w:right="20"/>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NO  þ</w:t>
      </w:r>
    </w:p>
    <w:p>
      <w:pPr>
        <w:spacing w:after="0" w:line="25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46" w:lineRule="exact"/>
        <w:rPr>
          <w:sz w:val="24"/>
          <w:szCs w:val="24"/>
          <w:color w:val="auto"/>
        </w:rPr>
      </w:pPr>
    </w:p>
    <w:p>
      <w:pPr>
        <w:ind w:left="4740"/>
        <w:spacing w:after="0" w:line="253" w:lineRule="exact"/>
        <w:tabs>
          <w:tab w:leader="none" w:pos="6000" w:val="left"/>
        </w:tabs>
        <w:rPr>
          <w:sz w:val="20"/>
          <w:szCs w:val="20"/>
          <w:color w:val="auto"/>
        </w:rPr>
      </w:pPr>
      <w:r>
        <w:rPr>
          <w:rFonts w:ascii="Arial" w:cs="Arial" w:eastAsia="Arial" w:hAnsi="Arial"/>
          <w:sz w:val="22"/>
          <w:szCs w:val="22"/>
          <w:color w:val="auto"/>
        </w:rPr>
        <w:t>YES  þ</w:t>
      </w:r>
      <w:r>
        <w:rPr>
          <w:sz w:val="20"/>
          <w:szCs w:val="20"/>
          <w:color w:val="auto"/>
        </w:rPr>
        <w:tab/>
      </w:r>
      <w:r>
        <w:rPr>
          <w:rFonts w:ascii="Arial" w:cs="Arial" w:eastAsia="Arial" w:hAnsi="Arial"/>
          <w:sz w:val="21"/>
          <w:szCs w:val="21"/>
          <w:color w:val="auto"/>
        </w:rPr>
        <w:t xml:space="preserve">NO  </w:t>
      </w:r>
      <w:r>
        <w:rPr>
          <w:rFonts w:ascii="MS PGothic" w:cs="MS PGothic" w:eastAsia="MS PGothic" w:hAnsi="MS PGothic"/>
          <w:sz w:val="21"/>
          <w:szCs w:val="21"/>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of the registrant outstanding as of August 2, 2004 was 5,343,879.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FORM 10-Q INDEX</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PART I</w:t>
            </w:r>
          </w:p>
        </w:tc>
        <w:tc>
          <w:tcPr>
            <w:tcW w:w="612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340" w:type="dxa"/>
            <w:vAlign w:val="bottom"/>
            <w:gridSpan w:val="2"/>
          </w:tcPr>
          <w:p>
            <w:pPr>
              <w:jc w:val="center"/>
              <w:ind w:right="20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5"/>
        </w:trPr>
        <w:tc>
          <w:tcPr>
            <w:tcW w:w="2960" w:type="dxa"/>
            <w:vAlign w:val="bottom"/>
            <w:vMerge w:val="continue"/>
          </w:tcPr>
          <w:p>
            <w:pPr>
              <w:spacing w:after="0"/>
              <w:rPr>
                <w:sz w:val="20"/>
                <w:szCs w:val="20"/>
                <w:color w:val="auto"/>
              </w:rPr>
            </w:pPr>
          </w:p>
        </w:tc>
        <w:tc>
          <w:tcPr>
            <w:tcW w:w="6120" w:type="dxa"/>
            <w:vAlign w:val="bottom"/>
            <w:gridSpan w:val="12"/>
            <w:vMerge w:val="continue"/>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b w:val="1"/>
                <w:bCs w:val="1"/>
                <w:color w:val="auto"/>
              </w:rPr>
              <w:t>Item 1.</w:t>
            </w:r>
          </w:p>
        </w:tc>
        <w:tc>
          <w:tcPr>
            <w:tcW w:w="612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960" w:type="dxa"/>
            <w:vAlign w:val="bottom"/>
          </w:tcPr>
          <w:p>
            <w:pPr>
              <w:spacing w:after="0"/>
              <w:rPr>
                <w:sz w:val="24"/>
                <w:szCs w:val="24"/>
                <w:color w:val="auto"/>
              </w:rPr>
            </w:pPr>
          </w:p>
        </w:tc>
        <w:tc>
          <w:tcPr>
            <w:tcW w:w="6120" w:type="dxa"/>
            <w:vAlign w:val="bottom"/>
            <w:gridSpan w:val="12"/>
          </w:tcPr>
          <w:p>
            <w:pPr>
              <w:spacing w:after="0"/>
              <w:rPr>
                <w:sz w:val="20"/>
                <w:szCs w:val="20"/>
                <w:color w:val="auto"/>
              </w:rPr>
            </w:pPr>
            <w:r>
              <w:rPr>
                <w:rFonts w:ascii="Arial" w:cs="Arial" w:eastAsia="Arial" w:hAnsi="Arial"/>
                <w:sz w:val="18"/>
                <w:szCs w:val="18"/>
                <w:color w:val="0000EE"/>
              </w:rPr>
              <w:t>Condensed Consolidated Balance Sheets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60" w:type="dxa"/>
            <w:vAlign w:val="bottom"/>
          </w:tcPr>
          <w:p>
            <w:pPr>
              <w:spacing w:after="0"/>
              <w:rPr>
                <w:sz w:val="20"/>
                <w:szCs w:val="20"/>
                <w:color w:val="auto"/>
              </w:rPr>
            </w:pPr>
          </w:p>
        </w:tc>
        <w:tc>
          <w:tcPr>
            <w:tcW w:w="6120" w:type="dxa"/>
            <w:vAlign w:val="bottom"/>
            <w:gridSpan w:val="12"/>
          </w:tcPr>
          <w:p>
            <w:pPr>
              <w:spacing w:after="0"/>
              <w:rPr>
                <w:sz w:val="20"/>
                <w:szCs w:val="20"/>
                <w:color w:val="auto"/>
              </w:rPr>
            </w:pPr>
            <w:r>
              <w:rPr>
                <w:rFonts w:ascii="Arial" w:cs="Arial" w:eastAsia="Arial" w:hAnsi="Arial"/>
                <w:sz w:val="18"/>
                <w:szCs w:val="18"/>
                <w:color w:val="auto"/>
              </w:rPr>
              <w:t>July 3, 2004 (unaudited) and January 3, 2004</w:t>
            </w: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960" w:type="dxa"/>
            <w:vAlign w:val="bottom"/>
          </w:tcPr>
          <w:p>
            <w:pPr>
              <w:spacing w:after="0"/>
              <w:rPr>
                <w:sz w:val="24"/>
                <w:szCs w:val="24"/>
                <w:color w:val="auto"/>
              </w:rPr>
            </w:pPr>
          </w:p>
        </w:tc>
        <w:tc>
          <w:tcPr>
            <w:tcW w:w="6120" w:type="dxa"/>
            <w:vAlign w:val="bottom"/>
            <w:gridSpan w:val="12"/>
          </w:tcPr>
          <w:p>
            <w:pPr>
              <w:spacing w:after="0"/>
              <w:rPr>
                <w:sz w:val="20"/>
                <w:szCs w:val="20"/>
                <w:color w:val="auto"/>
              </w:rPr>
            </w:pPr>
            <w:r>
              <w:rPr>
                <w:rFonts w:ascii="Arial" w:cs="Arial" w:eastAsia="Arial" w:hAnsi="Arial"/>
                <w:sz w:val="18"/>
                <w:szCs w:val="18"/>
                <w:color w:val="0000EE"/>
              </w:rPr>
              <w:t xml:space="preserve">Condensed Consolidated Statements of Operations </w:t>
            </w:r>
            <w:r>
              <w:rPr>
                <w:rFonts w:ascii="Arial" w:cs="Arial" w:eastAsia="Arial" w:hAnsi="Arial"/>
                <w:sz w:val="18"/>
                <w:szCs w:val="18"/>
                <w:color w:val="000000"/>
              </w:rPr>
              <w:t>(unaudited)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60" w:type="dxa"/>
            <w:vAlign w:val="bottom"/>
          </w:tcPr>
          <w:p>
            <w:pPr>
              <w:spacing w:after="0"/>
              <w:rPr>
                <w:sz w:val="20"/>
                <w:szCs w:val="20"/>
                <w:color w:val="auto"/>
              </w:rPr>
            </w:pPr>
          </w:p>
        </w:tc>
        <w:tc>
          <w:tcPr>
            <w:tcW w:w="6120" w:type="dxa"/>
            <w:vAlign w:val="bottom"/>
            <w:gridSpan w:val="12"/>
          </w:tcPr>
          <w:p>
            <w:pPr>
              <w:spacing w:after="0"/>
              <w:rPr>
                <w:sz w:val="20"/>
                <w:szCs w:val="20"/>
                <w:color w:val="auto"/>
              </w:rPr>
            </w:pPr>
            <w:r>
              <w:rPr>
                <w:rFonts w:ascii="Arial" w:cs="Arial" w:eastAsia="Arial" w:hAnsi="Arial"/>
                <w:sz w:val="18"/>
                <w:szCs w:val="18"/>
                <w:color w:val="auto"/>
              </w:rPr>
              <w:t>Three and Six Month Periods Ended July 3, 2004 and June 28, 2003</w:t>
            </w: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960" w:type="dxa"/>
            <w:vAlign w:val="bottom"/>
          </w:tcPr>
          <w:p>
            <w:pPr>
              <w:spacing w:after="0"/>
              <w:rPr>
                <w:sz w:val="24"/>
                <w:szCs w:val="24"/>
                <w:color w:val="auto"/>
              </w:rPr>
            </w:pPr>
          </w:p>
        </w:tc>
        <w:tc>
          <w:tcPr>
            <w:tcW w:w="6120" w:type="dxa"/>
            <w:vAlign w:val="bottom"/>
            <w:gridSpan w:val="12"/>
          </w:tcPr>
          <w:p>
            <w:pPr>
              <w:spacing w:after="0"/>
              <w:rPr>
                <w:sz w:val="20"/>
                <w:szCs w:val="20"/>
                <w:color w:val="auto"/>
              </w:rPr>
            </w:pPr>
            <w:r>
              <w:rPr>
                <w:rFonts w:ascii="Arial" w:cs="Arial" w:eastAsia="Arial" w:hAnsi="Arial"/>
                <w:sz w:val="18"/>
                <w:szCs w:val="18"/>
                <w:color w:val="0000EE"/>
              </w:rPr>
              <w:t xml:space="preserve">Condensed Consolidated Statements of Cash Flows </w:t>
            </w:r>
            <w:r>
              <w:rPr>
                <w:rFonts w:ascii="Arial" w:cs="Arial" w:eastAsia="Arial" w:hAnsi="Arial"/>
                <w:sz w:val="18"/>
                <w:szCs w:val="18"/>
                <w:color w:val="000000"/>
              </w:rPr>
              <w:t>(unaudited)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60" w:type="dxa"/>
            <w:vAlign w:val="bottom"/>
          </w:tcPr>
          <w:p>
            <w:pPr>
              <w:spacing w:after="0"/>
              <w:rPr>
                <w:sz w:val="20"/>
                <w:szCs w:val="20"/>
                <w:color w:val="auto"/>
              </w:rPr>
            </w:pPr>
          </w:p>
        </w:tc>
        <w:tc>
          <w:tcPr>
            <w:tcW w:w="6120" w:type="dxa"/>
            <w:vAlign w:val="bottom"/>
            <w:gridSpan w:val="12"/>
          </w:tcPr>
          <w:p>
            <w:pPr>
              <w:spacing w:after="0"/>
              <w:rPr>
                <w:sz w:val="20"/>
                <w:szCs w:val="20"/>
                <w:color w:val="auto"/>
              </w:rPr>
            </w:pPr>
            <w:r>
              <w:rPr>
                <w:rFonts w:ascii="Arial" w:cs="Arial" w:eastAsia="Arial" w:hAnsi="Arial"/>
                <w:sz w:val="18"/>
                <w:szCs w:val="18"/>
                <w:color w:val="auto"/>
              </w:rPr>
              <w:t>Six Month Periods Ended July 3, 2004 and June 28, 2003</w:t>
            </w: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960" w:type="dxa"/>
            <w:vAlign w:val="bottom"/>
          </w:tcPr>
          <w:p>
            <w:pPr>
              <w:spacing w:after="0"/>
              <w:rPr>
                <w:sz w:val="24"/>
                <w:szCs w:val="24"/>
                <w:color w:val="auto"/>
              </w:rPr>
            </w:pPr>
          </w:p>
        </w:tc>
        <w:tc>
          <w:tcPr>
            <w:tcW w:w="612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 xml:space="preserve">Notes to Condensed Consolidated Financial Statements </w:t>
              </w:r>
            </w:hyperlink>
            <w:r>
              <w:rPr>
                <w:rFonts w:ascii="Arial" w:cs="Arial" w:eastAsia="Arial" w:hAnsi="Arial"/>
                <w:sz w:val="18"/>
                <w:szCs w:val="18"/>
                <w:color w:val="000000"/>
              </w:rPr>
              <w:t>(unaudited)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60" w:type="dxa"/>
            <w:vAlign w:val="bottom"/>
          </w:tcPr>
          <w:p>
            <w:pPr>
              <w:ind w:left="1960"/>
              <w:spacing w:after="0"/>
              <w:rPr>
                <w:sz w:val="20"/>
                <w:szCs w:val="20"/>
                <w:color w:val="auto"/>
              </w:rPr>
            </w:pPr>
            <w:r>
              <w:rPr>
                <w:rFonts w:ascii="Arial" w:cs="Arial" w:eastAsia="Arial" w:hAnsi="Arial"/>
                <w:sz w:val="18"/>
                <w:szCs w:val="18"/>
                <w:b w:val="1"/>
                <w:bCs w:val="1"/>
                <w:color w:val="auto"/>
              </w:rPr>
              <w:t>Item 2.</w:t>
            </w:r>
          </w:p>
        </w:tc>
        <w:tc>
          <w:tcPr>
            <w:tcW w:w="31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86"/>
              </w:rPr>
            </w:pPr>
            <w:hyperlink w:anchor="page13">
              <w:r>
                <w:rPr>
                  <w:rFonts w:ascii="Arial" w:cs="Arial" w:eastAsia="Arial" w:hAnsi="Arial"/>
                  <w:sz w:val="18"/>
                  <w:szCs w:val="18"/>
                  <w:b w:val="1"/>
                  <w:bCs w:val="1"/>
                  <w:color w:val="0000EE"/>
                  <w:w w:val="86"/>
                </w:rPr>
                <w:t>Management’s Discussion And Analysis of</w:t>
              </w:r>
            </w:hyperlink>
          </w:p>
        </w:tc>
        <w:tc>
          <w:tcPr>
            <w:tcW w:w="720" w:type="dxa"/>
            <w:vAlign w:val="bottom"/>
            <w:tcBorders>
              <w:top w:val="single" w:sz="8" w:color="0000EE"/>
            </w:tcBorders>
            <w:gridSpan w:val="4"/>
          </w:tcPr>
          <w:p>
            <w:pPr>
              <w:spacing w:after="0"/>
              <w:rPr>
                <w:sz w:val="24"/>
                <w:szCs w:val="24"/>
                <w:color w:val="auto"/>
              </w:rPr>
            </w:pPr>
          </w:p>
        </w:tc>
        <w:tc>
          <w:tcPr>
            <w:tcW w:w="2220" w:type="dxa"/>
            <w:vAlign w:val="bottom"/>
            <w:gridSpan w:val="2"/>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9"/>
              </w:rPr>
            </w:pPr>
            <w:hyperlink w:anchor="page13">
              <w:r>
                <w:rPr>
                  <w:rFonts w:ascii="Arial" w:cs="Arial" w:eastAsia="Arial" w:hAnsi="Arial"/>
                  <w:sz w:val="18"/>
                  <w:szCs w:val="18"/>
                  <w:b w:val="1"/>
                  <w:bCs w:val="1"/>
                  <w:color w:val="0000EE"/>
                  <w:w w:val="89"/>
                </w:rPr>
                <w:t>Financial Condition And Results Of Operations</w:t>
              </w:r>
            </w:hyperlink>
          </w:p>
        </w:tc>
        <w:tc>
          <w:tcPr>
            <w:tcW w:w="250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960" w:type="dxa"/>
            <w:vAlign w:val="bottom"/>
          </w:tcPr>
          <w:p>
            <w:pPr>
              <w:ind w:left="1960"/>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89"/>
              </w:rPr>
              <w:t>Quantitative and Qualitative Disclosures About Market Risk</w:t>
            </w:r>
          </w:p>
        </w:tc>
        <w:tc>
          <w:tcPr>
            <w:tcW w:w="156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60" w:type="dxa"/>
            <w:vAlign w:val="bottom"/>
          </w:tcPr>
          <w:p>
            <w:pPr>
              <w:ind w:left="1960"/>
              <w:spacing w:after="0"/>
              <w:rPr>
                <w:sz w:val="20"/>
                <w:szCs w:val="20"/>
                <w:color w:val="auto"/>
              </w:rPr>
            </w:pPr>
            <w:r>
              <w:rPr>
                <w:rFonts w:ascii="Arial" w:cs="Arial" w:eastAsia="Arial" w:hAnsi="Arial"/>
                <w:sz w:val="18"/>
                <w:szCs w:val="18"/>
                <w:b w:val="1"/>
                <w:bCs w:val="1"/>
                <w:color w:val="auto"/>
              </w:rPr>
              <w:t>Item 4.</w:t>
            </w:r>
          </w:p>
        </w:tc>
        <w:tc>
          <w:tcPr>
            <w:tcW w:w="6120" w:type="dxa"/>
            <w:vAlign w:val="bottom"/>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Controls and Procedures</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960" w:type="dxa"/>
            <w:vAlign w:val="bottom"/>
          </w:tcPr>
          <w:p>
            <w:pPr>
              <w:ind w:left="1960"/>
              <w:spacing w:after="0"/>
              <w:rPr>
                <w:sz w:val="20"/>
                <w:szCs w:val="20"/>
                <w:color w:val="auto"/>
              </w:rPr>
            </w:pPr>
            <w:r>
              <w:rPr>
                <w:rFonts w:ascii="Arial" w:cs="Arial" w:eastAsia="Arial" w:hAnsi="Arial"/>
                <w:sz w:val="22"/>
                <w:szCs w:val="22"/>
                <w:b w:val="1"/>
                <w:bCs w:val="1"/>
                <w:color w:val="auto"/>
              </w:rPr>
              <w:t>PART II</w:t>
            </w:r>
          </w:p>
        </w:tc>
        <w:tc>
          <w:tcPr>
            <w:tcW w:w="6120" w:type="dxa"/>
            <w:vAlign w:val="bottom"/>
            <w:gridSpan w:val="12"/>
          </w:tcPr>
          <w:p>
            <w:pPr>
              <w:spacing w:after="0"/>
              <w:rPr>
                <w:sz w:val="20"/>
                <w:szCs w:val="20"/>
                <w:color w:val="auto"/>
              </w:rPr>
            </w:pPr>
            <w:r>
              <w:rPr>
                <w:rFonts w:ascii="Arial" w:cs="Arial" w:eastAsia="Arial" w:hAnsi="Arial"/>
                <w:sz w:val="22"/>
                <w:szCs w:val="22"/>
                <w:b w:val="1"/>
                <w:bCs w:val="1"/>
                <w:color w:val="0000EE"/>
              </w:rPr>
              <w:t>OTHER INFORMATION</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60" w:type="dxa"/>
            <w:vAlign w:val="bottom"/>
          </w:tcPr>
          <w:p>
            <w:pPr>
              <w:ind w:left="1960"/>
              <w:spacing w:after="0"/>
              <w:rPr>
                <w:sz w:val="20"/>
                <w:szCs w:val="20"/>
                <w:color w:val="auto"/>
              </w:rPr>
            </w:pPr>
            <w:r>
              <w:rPr>
                <w:rFonts w:ascii="Arial" w:cs="Arial" w:eastAsia="Arial" w:hAnsi="Arial"/>
                <w:sz w:val="18"/>
                <w:szCs w:val="18"/>
                <w:b w:val="1"/>
                <w:bCs w:val="1"/>
                <w:color w:val="auto"/>
              </w:rPr>
              <w:t>Item 4.</w:t>
            </w:r>
          </w:p>
        </w:tc>
        <w:tc>
          <w:tcPr>
            <w:tcW w:w="6120" w:type="dxa"/>
            <w:vAlign w:val="bottom"/>
            <w:gridSpan w:val="1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Submission of Matters to a Vote of Security Holders</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60" w:type="dxa"/>
            <w:vAlign w:val="bottom"/>
          </w:tcPr>
          <w:p>
            <w:pPr>
              <w:ind w:left="1960"/>
              <w:spacing w:after="0"/>
              <w:rPr>
                <w:sz w:val="20"/>
                <w:szCs w:val="20"/>
                <w:color w:val="auto"/>
              </w:rPr>
            </w:pPr>
            <w:r>
              <w:rPr>
                <w:rFonts w:ascii="Arial" w:cs="Arial" w:eastAsia="Arial" w:hAnsi="Arial"/>
                <w:sz w:val="18"/>
                <w:szCs w:val="18"/>
                <w:b w:val="1"/>
                <w:bCs w:val="1"/>
                <w:color w:val="auto"/>
              </w:rPr>
              <w:t>Item 6.</w:t>
            </w:r>
          </w:p>
        </w:tc>
        <w:tc>
          <w:tcPr>
            <w:tcW w:w="27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0"/>
              </w:rPr>
            </w:pPr>
            <w:hyperlink w:anchor="page29">
              <w:r>
                <w:rPr>
                  <w:rFonts w:ascii="Arial" w:cs="Arial" w:eastAsia="Arial" w:hAnsi="Arial"/>
                  <w:sz w:val="18"/>
                  <w:szCs w:val="18"/>
                  <w:b w:val="1"/>
                  <w:bCs w:val="1"/>
                  <w:color w:val="0000EE"/>
                  <w:w w:val="90"/>
                </w:rPr>
                <w:t>Exhibits And Reports On Form 8-K</w:t>
              </w:r>
            </w:hyperlink>
          </w:p>
        </w:tc>
        <w:tc>
          <w:tcPr>
            <w:tcW w:w="1180" w:type="dxa"/>
            <w:vAlign w:val="bottom"/>
            <w:tcBorders>
              <w:top w:val="single" w:sz="8" w:color="0000EE"/>
            </w:tcBorders>
            <w:gridSpan w:val="5"/>
          </w:tcPr>
          <w:p>
            <w:pPr>
              <w:spacing w:after="0"/>
              <w:rPr>
                <w:sz w:val="24"/>
                <w:szCs w:val="24"/>
                <w:color w:val="auto"/>
              </w:rPr>
            </w:pPr>
          </w:p>
        </w:tc>
        <w:tc>
          <w:tcPr>
            <w:tcW w:w="2240" w:type="dxa"/>
            <w:vAlign w:val="bottom"/>
            <w:gridSpan w:val="3"/>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960" w:type="dxa"/>
            <w:vAlign w:val="bottom"/>
          </w:tcPr>
          <w:p>
            <w:pPr>
              <w:spacing w:after="0"/>
              <w:rPr>
                <w:sz w:val="24"/>
                <w:szCs w:val="24"/>
                <w:color w:val="auto"/>
              </w:rPr>
            </w:pPr>
          </w:p>
        </w:tc>
        <w:tc>
          <w:tcPr>
            <w:tcW w:w="80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3"/>
              </w:rPr>
              <w:t>Signatures</w:t>
            </w:r>
          </w:p>
        </w:tc>
        <w:tc>
          <w:tcPr>
            <w:tcW w:w="5320" w:type="dxa"/>
            <w:vAlign w:val="bottom"/>
            <w:gridSpan w:val="11"/>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960" w:type="dxa"/>
            <w:vAlign w:val="bottom"/>
          </w:tcPr>
          <w:p>
            <w:pPr>
              <w:spacing w:after="0"/>
              <w:rPr>
                <w:sz w:val="24"/>
                <w:szCs w:val="24"/>
                <w:color w:val="auto"/>
              </w:rPr>
            </w:pPr>
          </w:p>
        </w:tc>
        <w:tc>
          <w:tcPr>
            <w:tcW w:w="2860" w:type="dxa"/>
            <w:vAlign w:val="bottom"/>
            <w:gridSpan w:val="5"/>
          </w:tcPr>
          <w:p>
            <w:pPr>
              <w:ind w:left="2660"/>
              <w:spacing w:after="0"/>
              <w:rPr>
                <w:sz w:val="20"/>
                <w:szCs w:val="20"/>
                <w:color w:val="auto"/>
              </w:rPr>
            </w:pPr>
            <w:r>
              <w:rPr>
                <w:rFonts w:ascii="Arial" w:cs="Arial" w:eastAsia="Arial" w:hAnsi="Arial"/>
                <w:sz w:val="18"/>
                <w:szCs w:val="18"/>
                <w:color w:val="auto"/>
                <w:w w:val="81"/>
              </w:rPr>
              <w:t>-2-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60" w:type="dxa"/>
            <w:vAlign w:val="bottom"/>
            <w:tcBorders>
              <w:bottom w:val="single" w:sz="8" w:color="C0C0C0"/>
            </w:tcBorders>
          </w:tcPr>
          <w:p>
            <w:pPr>
              <w:spacing w:after="0"/>
              <w:rPr>
                <w:sz w:val="18"/>
                <w:szCs w:val="18"/>
                <w:color w:val="auto"/>
              </w:rPr>
            </w:pPr>
          </w:p>
        </w:tc>
        <w:tc>
          <w:tcPr>
            <w:tcW w:w="800" w:type="dxa"/>
            <w:vAlign w:val="bottom"/>
            <w:tcBorders>
              <w:bottom w:val="single" w:sz="8" w:color="C0C0C0"/>
            </w:tcBorders>
          </w:tcPr>
          <w:p>
            <w:pPr>
              <w:spacing w:after="0"/>
              <w:rPr>
                <w:sz w:val="18"/>
                <w:szCs w:val="18"/>
                <w:color w:val="auto"/>
              </w:rPr>
            </w:pPr>
          </w:p>
        </w:tc>
        <w:tc>
          <w:tcPr>
            <w:tcW w:w="1060" w:type="dxa"/>
            <w:vAlign w:val="bottom"/>
            <w:tcBorders>
              <w:bottom w:val="single" w:sz="8" w:color="C0C0C0"/>
            </w:tcBorders>
          </w:tcPr>
          <w:p>
            <w:pPr>
              <w:spacing w:after="0"/>
              <w:rPr>
                <w:sz w:val="18"/>
                <w:szCs w:val="18"/>
                <w:color w:val="auto"/>
              </w:rPr>
            </w:pPr>
          </w:p>
        </w:tc>
        <w:tc>
          <w:tcPr>
            <w:tcW w:w="56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160" w:type="dxa"/>
            <w:vAlign w:val="bottom"/>
            <w:tcBorders>
              <w:bottom w:val="single" w:sz="8" w:color="C0C0C0"/>
            </w:tcBorders>
          </w:tcPr>
          <w:p>
            <w:pPr>
              <w:spacing w:after="0"/>
              <w:rPr>
                <w:sz w:val="18"/>
                <w:szCs w:val="18"/>
                <w:color w:val="auto"/>
              </w:rPr>
            </w:pPr>
          </w:p>
        </w:tc>
        <w:tc>
          <w:tcPr>
            <w:tcW w:w="320" w:type="dxa"/>
            <w:vAlign w:val="bottom"/>
            <w:tcBorders>
              <w:bottom w:val="single" w:sz="8" w:color="C0C0C0"/>
            </w:tcBorders>
          </w:tcPr>
          <w:p>
            <w:pPr>
              <w:spacing w:after="0"/>
              <w:rPr>
                <w:sz w:val="18"/>
                <w:szCs w:val="18"/>
                <w:color w:val="auto"/>
              </w:rPr>
            </w:pPr>
          </w:p>
        </w:tc>
        <w:tc>
          <w:tcPr>
            <w:tcW w:w="380" w:type="dxa"/>
            <w:vAlign w:val="bottom"/>
            <w:tcBorders>
              <w:bottom w:val="single" w:sz="8" w:color="C0C0C0"/>
            </w:tcBorders>
          </w:tcPr>
          <w:p>
            <w:pPr>
              <w:spacing w:after="0"/>
              <w:rPr>
                <w:sz w:val="18"/>
                <w:szCs w:val="18"/>
                <w:color w:val="auto"/>
              </w:rPr>
            </w:pPr>
          </w:p>
        </w:tc>
        <w:tc>
          <w:tcPr>
            <w:tcW w:w="6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20" w:type="dxa"/>
            <w:vAlign w:val="bottom"/>
            <w:tcBorders>
              <w:bottom w:val="single" w:sz="8" w:color="C0C0C0"/>
            </w:tcBorders>
          </w:tcPr>
          <w:p>
            <w:pPr>
              <w:spacing w:after="0"/>
              <w:rPr>
                <w:sz w:val="18"/>
                <w:szCs w:val="18"/>
                <w:color w:val="auto"/>
              </w:rPr>
            </w:pPr>
          </w:p>
        </w:tc>
        <w:tc>
          <w:tcPr>
            <w:tcW w:w="660" w:type="dxa"/>
            <w:vAlign w:val="bottom"/>
            <w:tcBorders>
              <w:bottom w:val="single" w:sz="8" w:color="C0C0C0"/>
            </w:tcBorders>
          </w:tcPr>
          <w:p>
            <w:pPr>
              <w:spacing w:after="0"/>
              <w:rPr>
                <w:sz w:val="18"/>
                <w:szCs w:val="18"/>
                <w:color w:val="auto"/>
              </w:rPr>
            </w:pPr>
          </w:p>
        </w:tc>
        <w:tc>
          <w:tcPr>
            <w:tcW w:w="1560" w:type="dxa"/>
            <w:vAlign w:val="bottom"/>
            <w:tcBorders>
              <w:bottom w:val="single" w:sz="8" w:color="C0C0C0"/>
            </w:tcBorders>
          </w:tcPr>
          <w:p>
            <w:pPr>
              <w:spacing w:after="0"/>
              <w:rPr>
                <w:sz w:val="18"/>
                <w:szCs w:val="18"/>
                <w:color w:val="auto"/>
              </w:rPr>
            </w:pPr>
          </w:p>
        </w:tc>
        <w:tc>
          <w:tcPr>
            <w:tcW w:w="340" w:type="dxa"/>
            <w:vAlign w:val="bottom"/>
            <w:tcBorders>
              <w:bottom w:val="single" w:sz="8" w:color="C0C0C0"/>
            </w:tcBorders>
          </w:tcPr>
          <w:p>
            <w:pPr>
              <w:spacing w:after="0"/>
              <w:rPr>
                <w:sz w:val="18"/>
                <w:szCs w:val="18"/>
                <w:color w:val="auto"/>
              </w:rPr>
            </w:pPr>
          </w:p>
        </w:tc>
        <w:tc>
          <w:tcPr>
            <w:tcW w:w="200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22"/>
          <w:szCs w:val="22"/>
          <w:b w:val="1"/>
          <w:bCs w:val="1"/>
          <w:color w:val="auto"/>
        </w:rPr>
        <w:t>PART I</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FINANCIAL INFORMATION</w:t>
      </w:r>
    </w:p>
    <w:p>
      <w:pPr>
        <w:spacing w:after="0" w:line="18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FINANCIAL STATEMENTS</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NATIONAL VISION,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1200"/>
        <w:spacing w:after="0" w:line="230" w:lineRule="auto"/>
        <w:rPr>
          <w:sz w:val="20"/>
          <w:szCs w:val="20"/>
          <w:color w:val="auto"/>
        </w:rPr>
      </w:pPr>
      <w:r>
        <w:rPr>
          <w:rFonts w:ascii="Arial" w:cs="Arial" w:eastAsia="Arial" w:hAnsi="Arial"/>
          <w:sz w:val="22"/>
          <w:szCs w:val="22"/>
          <w:b w:val="1"/>
          <w:bCs w:val="1"/>
          <w:color w:val="auto"/>
        </w:rPr>
        <w:t>July 3, 2004 and January 3, 2004</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 thousands)</w:t>
      </w: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4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 2004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86"/>
              </w:rPr>
              <w:t>January 3, 2004</w:t>
            </w:r>
          </w:p>
        </w:tc>
      </w:tr>
      <w:tr>
        <w:trPr>
          <w:trHeight w:val="21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5,006</w:t>
            </w:r>
          </w:p>
        </w:tc>
        <w:tc>
          <w:tcPr>
            <w:tcW w:w="280" w:type="dxa"/>
            <w:vAlign w:val="bottom"/>
          </w:tcPr>
          <w:p>
            <w:pPr>
              <w:spacing w:after="0"/>
              <w:rPr>
                <w:sz w:val="19"/>
                <w:szCs w:val="19"/>
                <w:color w:val="auto"/>
              </w:rPr>
            </w:pPr>
          </w:p>
        </w:tc>
        <w:tc>
          <w:tcPr>
            <w:tcW w:w="6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3,545</w:t>
            </w:r>
          </w:p>
        </w:tc>
      </w:tr>
      <w:tr>
        <w:trPr>
          <w:trHeight w:val="231"/>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4920" w:type="dxa"/>
            <w:vAlign w:val="bottom"/>
          </w:tcPr>
          <w:p>
            <w:pPr>
              <w:ind w:left="440"/>
              <w:spacing w:after="0"/>
              <w:rPr>
                <w:sz w:val="20"/>
                <w:szCs w:val="20"/>
                <w:color w:val="auto"/>
              </w:rPr>
            </w:pPr>
            <w:r>
              <w:rPr>
                <w:rFonts w:ascii="Arial" w:cs="Arial" w:eastAsia="Arial" w:hAnsi="Arial"/>
                <w:sz w:val="18"/>
                <w:szCs w:val="18"/>
                <w:color w:val="auto"/>
              </w:rPr>
              <w:t>(net of allowance: 2004 - $554; 2003 - $769)</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3,078</w:t>
            </w:r>
          </w:p>
        </w:tc>
      </w:tr>
      <w:tr>
        <w:trPr>
          <w:trHeight w:val="231"/>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asset</w:t>
            </w:r>
          </w:p>
        </w:tc>
        <w:tc>
          <w:tcPr>
            <w:tcW w:w="7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w:t>
            </w:r>
          </w:p>
        </w:tc>
      </w:tr>
      <w:tr>
        <w:trPr>
          <w:trHeight w:val="211"/>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33,533</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32,593</w:t>
            </w:r>
          </w:p>
        </w:tc>
      </w:tr>
      <w:tr>
        <w:trPr>
          <w:trHeight w:val="211"/>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22,277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20,383</w:t>
            </w:r>
          </w:p>
        </w:tc>
      </w:tr>
      <w:tr>
        <w:trPr>
          <w:trHeight w:val="231"/>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fixtures</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6,556</w:t>
            </w: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in progress</w:t>
            </w:r>
          </w:p>
        </w:tc>
        <w:tc>
          <w:tcPr>
            <w:tcW w:w="7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11"/>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36,474</w:t>
            </w: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(25,363)</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w:t>
            </w:r>
          </w:p>
        </w:tc>
      </w:tr>
      <w:tr>
        <w:trPr>
          <w:trHeight w:val="211"/>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7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13,619</w:t>
            </w:r>
          </w:p>
        </w:tc>
      </w:tr>
      <w:tr>
        <w:trPr>
          <w:trHeight w:val="211"/>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VALUE OF CONTRACTUAL RIGHTS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(net of accumulated amortization: 2004 - $23,220;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1"/>
        </w:trPr>
        <w:tc>
          <w:tcPr>
            <w:tcW w:w="4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2003 - $19,466)</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89,525</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93,279</w:t>
            </w:r>
          </w:p>
        </w:tc>
      </w:tr>
      <w:tr>
        <w:trPr>
          <w:trHeight w:val="230"/>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 AND DEFERRED COSTS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(net of accumulated amortization: 2004 - $1,077;</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2003 - $964)</w:t>
            </w:r>
          </w:p>
        </w:tc>
        <w:tc>
          <w:tcPr>
            <w:tcW w:w="7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1"/>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135,928</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22"/>
          <w:szCs w:val="22"/>
          <w:b w:val="1"/>
          <w:bCs w:val="1"/>
          <w:color w:val="auto"/>
        </w:rPr>
        <w:t>NATIONAL VISION,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1200"/>
        <w:spacing w:after="0" w:line="230" w:lineRule="auto"/>
        <w:rPr>
          <w:sz w:val="20"/>
          <w:szCs w:val="20"/>
          <w:color w:val="auto"/>
        </w:rPr>
      </w:pPr>
      <w:r>
        <w:rPr>
          <w:rFonts w:ascii="Arial" w:cs="Arial" w:eastAsia="Arial" w:hAnsi="Arial"/>
          <w:sz w:val="22"/>
          <w:szCs w:val="22"/>
          <w:b w:val="1"/>
          <w:bCs w:val="1"/>
          <w:color w:val="auto"/>
        </w:rPr>
        <w:t>July 3, 2004 and January 3, 2004</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 thousands except share information)</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2"/>
              </w:rPr>
              <w:t>July 3, 2004</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6"/>
              </w:rPr>
              <w:t>(unaudited)</w:t>
            </w: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January 3, 2004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27,012</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Senior Subordinated Notes - current portion</w:t>
            </w: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32,304</w:t>
            </w: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DEFERRED INCOME TAX LIABILITY</w:t>
            </w: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8,031</w:t>
            </w: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SENIOR SUBORDINATED NOTES</w:t>
            </w: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$1 par value; 5,000,000 shares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authorized, none issued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Common stock, $0.01 par value; 10,000,000 shares authorized,</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5,347,341 and 5,243,047 shares issued and outstanding</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July 3, 2004 and January 3, 2004, respectively</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25,385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stock compensation</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deficit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(8,063)</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6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4" w:name="page5"/>
    <w:bookmarkEnd w:id="4"/>
    <w:p>
      <w:pPr>
        <w:jc w:val="center"/>
        <w:ind w:right="-859"/>
        <w:spacing w:after="0"/>
        <w:rPr>
          <w:sz w:val="20"/>
          <w:szCs w:val="20"/>
          <w:color w:val="auto"/>
        </w:rPr>
      </w:pPr>
      <w:r>
        <w:rPr>
          <w:rFonts w:ascii="Arial" w:cs="Arial" w:eastAsia="Arial" w:hAnsi="Arial"/>
          <w:sz w:val="22"/>
          <w:szCs w:val="22"/>
          <w:b w:val="1"/>
          <w:bCs w:val="1"/>
          <w:color w:val="auto"/>
        </w:rPr>
        <w:t>NATIONAL VISION, INC.</w:t>
      </w:r>
    </w:p>
    <w:p>
      <w:pPr>
        <w:spacing w:after="0" w:line="4" w:lineRule="exact"/>
        <w:rPr>
          <w:sz w:val="20"/>
          <w:szCs w:val="20"/>
          <w:color w:val="auto"/>
        </w:rPr>
      </w:pPr>
    </w:p>
    <w:p>
      <w:pPr>
        <w:jc w:val="center"/>
        <w:ind w:right="-859"/>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859"/>
        <w:spacing w:after="0" w:line="230" w:lineRule="auto"/>
        <w:rPr>
          <w:sz w:val="20"/>
          <w:szCs w:val="20"/>
          <w:color w:val="auto"/>
        </w:rPr>
      </w:pPr>
      <w:r>
        <w:rPr>
          <w:rFonts w:ascii="Arial" w:cs="Arial" w:eastAsia="Arial" w:hAnsi="Arial"/>
          <w:sz w:val="22"/>
          <w:szCs w:val="22"/>
          <w:b w:val="1"/>
          <w:bCs w:val="1"/>
          <w:color w:val="auto"/>
        </w:rPr>
        <w:t>(in thousands except per share information)</w:t>
      </w:r>
    </w:p>
    <w:p>
      <w:pPr>
        <w:spacing w:after="0" w:line="1" w:lineRule="exact"/>
        <w:rPr>
          <w:sz w:val="20"/>
          <w:szCs w:val="20"/>
          <w:color w:val="auto"/>
        </w:rPr>
      </w:pPr>
    </w:p>
    <w:p>
      <w:pPr>
        <w:jc w:val="center"/>
        <w:ind w:right="-859"/>
        <w:spacing w:after="0"/>
        <w:rPr>
          <w:sz w:val="20"/>
          <w:szCs w:val="20"/>
          <w:color w:val="auto"/>
        </w:rPr>
      </w:pPr>
      <w:r>
        <w:rPr>
          <w:rFonts w:ascii="Arial" w:cs="Arial" w:eastAsia="Arial" w:hAnsi="Arial"/>
          <w:sz w:val="22"/>
          <w:szCs w:val="22"/>
          <w:b w:val="1"/>
          <w:bCs w:val="1"/>
          <w:color w:val="auto"/>
        </w:rPr>
        <w:t>(Unaudited)</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Three Months Ended</w:t>
            </w: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4"/>
            <w:shd w:val="clear" w:color="auto" w:fill="CCEEFF"/>
          </w:tcPr>
          <w:p>
            <w:pPr>
              <w:jc w:val="right"/>
              <w:ind w:right="592"/>
              <w:spacing w:after="0"/>
              <w:rPr>
                <w:sz w:val="20"/>
                <w:szCs w:val="20"/>
                <w:color w:val="auto"/>
              </w:rPr>
            </w:pPr>
            <w:r>
              <w:rPr>
                <w:rFonts w:ascii="Arial" w:cs="Arial" w:eastAsia="Arial" w:hAnsi="Arial"/>
                <w:sz w:val="18"/>
                <w:szCs w:val="18"/>
                <w:color w:val="auto"/>
              </w:rPr>
              <w:t>Six Months Ended</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July 3, 2004</w:t>
            </w:r>
          </w:p>
        </w:tc>
        <w:tc>
          <w:tcPr>
            <w:tcW w:w="1240" w:type="dxa"/>
            <w:vAlign w:val="bottom"/>
            <w:gridSpan w:val="2"/>
          </w:tcPr>
          <w:p>
            <w:pPr>
              <w:jc w:val="right"/>
              <w:ind w:right="52"/>
              <w:spacing w:after="0"/>
              <w:rPr>
                <w:sz w:val="20"/>
                <w:szCs w:val="20"/>
                <w:color w:val="auto"/>
              </w:rPr>
            </w:pPr>
            <w:r>
              <w:rPr>
                <w:rFonts w:ascii="Arial" w:cs="Arial" w:eastAsia="Arial" w:hAnsi="Arial"/>
                <w:sz w:val="18"/>
                <w:szCs w:val="18"/>
                <w:color w:val="auto"/>
                <w:w w:val="94"/>
              </w:rPr>
              <w:t>June 28, 2003</w:t>
            </w:r>
          </w:p>
        </w:tc>
        <w:tc>
          <w:tcPr>
            <w:tcW w:w="32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July 3, 2004</w:t>
            </w:r>
          </w:p>
        </w:tc>
        <w:tc>
          <w:tcPr>
            <w:tcW w:w="1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w w:val="85"/>
              </w:rPr>
              <w:t>June 28, 2003</w:t>
            </w: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53,047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107,223</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Premium revenue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1,824</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61,321</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55,083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110,824</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27,725</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24,758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53,699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49,346</w:t>
            </w:r>
          </w:p>
        </w:tc>
      </w:tr>
      <w:tr>
        <w:trPr>
          <w:trHeight w:val="211"/>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33,596</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30,325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61,478</w:t>
            </w: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 expense</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2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29,547</w:t>
            </w:r>
          </w:p>
        </w:tc>
        <w:tc>
          <w:tcPr>
            <w:tcW w:w="3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59,308</w:t>
            </w:r>
          </w:p>
        </w:tc>
        <w:tc>
          <w:tcPr>
            <w:tcW w:w="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(2,842)</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(3,280)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(6,623)</w:t>
            </w: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Senior Subordinated Notes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taxes, discontinued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operations and cumulative effect of a</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accounting principle</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(2,461)</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Net earnings (loss) before discontinued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and cumulative effect of a</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change in accounting principle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4,696</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(3,982)</w:t>
            </w: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 from</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disposal</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Earnings (loss) before cumulative effect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a change in accounting principle</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(2,721)</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Cumulative effect of a change in</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principle</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(2,721)</w:t>
            </w: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0"/>
        </w:trPr>
        <w:tc>
          <w:tcPr>
            <w:tcW w:w="40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(See Note 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328" w:right="1099" w:bottom="1440" w:gutter="0" w:footer="0" w:header="0"/>
        </w:sectPr>
      </w:pPr>
    </w:p>
    <w:bookmarkStart w:id="5" w:name="page6"/>
    <w:bookmarkEnd w:id="5"/>
    <w:p>
      <w:pPr>
        <w:jc w:val="center"/>
        <w:ind w:right="-1200"/>
        <w:spacing w:after="0"/>
        <w:rPr>
          <w:sz w:val="20"/>
          <w:szCs w:val="20"/>
          <w:color w:val="auto"/>
        </w:rPr>
      </w:pPr>
      <w:r>
        <w:rPr>
          <w:rFonts w:ascii="Arial" w:cs="Arial" w:eastAsia="Arial" w:hAnsi="Arial"/>
          <w:sz w:val="22"/>
          <w:szCs w:val="22"/>
          <w:b w:val="1"/>
          <w:bCs w:val="1"/>
          <w:color w:val="auto"/>
        </w:rPr>
        <w:t>NATIONAL VISION,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right="-12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 thousands)</w:t>
      </w:r>
    </w:p>
    <w:p>
      <w:pPr>
        <w:spacing w:after="0" w:line="201"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8"/>
              </w:rPr>
              <w:t>July 3, 2004</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w w:val="96"/>
              </w:rPr>
              <w:t>June 28, 2003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earnings (loss)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7,869</w:t>
            </w: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(loss) to</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520"/>
              <w:spacing w:after="0"/>
              <w:rPr>
                <w:sz w:val="20"/>
                <w:szCs w:val="20"/>
                <w:color w:val="auto"/>
              </w:rPr>
            </w:pPr>
            <w:r>
              <w:rPr>
                <w:rFonts w:ascii="Arial" w:cs="Arial" w:eastAsia="Arial" w:hAnsi="Arial"/>
                <w:sz w:val="18"/>
                <w:szCs w:val="18"/>
                <w:color w:val="auto"/>
              </w:rPr>
              <w:t>cash provided by operating activities: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520"/>
              <w:spacing w:after="0"/>
              <w:rPr>
                <w:sz w:val="20"/>
                <w:szCs w:val="20"/>
                <w:color w:val="auto"/>
              </w:rPr>
            </w:pPr>
            <w:r>
              <w:rPr>
                <w:rFonts w:ascii="Arial" w:cs="Arial" w:eastAsia="Arial" w:hAnsi="Arial"/>
                <w:sz w:val="18"/>
                <w:szCs w:val="18"/>
                <w:color w:val="auto"/>
              </w:rPr>
              <w:t>Cumulative effect of a change in accounting principle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 on disposal of equipment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520"/>
              <w:spacing w:after="0"/>
              <w:rPr>
                <w:sz w:val="20"/>
                <w:szCs w:val="20"/>
                <w:color w:val="auto"/>
              </w:rPr>
            </w:pPr>
            <w:r>
              <w:rPr>
                <w:rFonts w:ascii="Arial" w:cs="Arial" w:eastAsia="Arial" w:hAnsi="Arial"/>
                <w:sz w:val="18"/>
                <w:szCs w:val="18"/>
                <w:color w:val="auto"/>
              </w:rPr>
              <w:t>Gain on repurchase of Senior Subordinated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Changes in operating assets &amp;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&amp; equipment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Advances on revolving credit facility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revolving credit facility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Senior Subordinated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Repayments of Senior Subordinated Notes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(11,769)</w:t>
            </w: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increase in cash</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1,461</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NATIONAL VISION,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JULY 3, 2004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FINANCIAL STATEMENT PRESENTATION</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prepared the accompanying unaudited condensed consolidated financial statements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Although we believe that the disclosures contained herein are adequate to make the information presented not misleading, we recommend that these interim condensed consolidated financial statements be read in conjunction with our most recent audited consolidated financial statements and the notes thereto. In our opinion, all adjustments necessary for a fair presentation of the financial position, results of operations, and cash flows for the interim periods presented have been made. Operating results for the interim periods presented are not necessarily indicative of the results that may be expected for the year ending January 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significant accounting policies that we follow are set forth in Note 2 in our Annual Report on Form 10-K for the fiscal year ended January 3, 2004. The following is a summary of the more significant accounting policies influencing the three and six-month periods ended July 3, 2004.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consolidated financial statements include our accounts as well as our subsidiaries’ accounts.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retail customers generally pay for their eyewear products at the time they place an order. We defer revenue recognition until delivery of the product by estimating the value of transactions in which final delivery to the customer has not occurred at the end of the period presented. Payments received prior to final delivery of the product are reflected as deposit liabilities within accrued liabilities. These estimates are based on historical trends and take into consideration current changes in our manufacturing and distribution processes.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May 2003, we began to offer an extended warranty which provides for repair and replacement service during the first year after purchase. Revenues from the sale of these extended warranty contracts are deferred and amortized over the life of the contract on a straight-line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changes in deferred revenue from the sale of warranty contracts described above is as follows (in thousands):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4"/>
            <w:shd w:val="clear" w:color="auto" w:fill="CCEEFF"/>
          </w:tcPr>
          <w:p>
            <w:pPr>
              <w:jc w:val="right"/>
              <w:ind w:right="672"/>
              <w:spacing w:after="0"/>
              <w:rPr>
                <w:sz w:val="20"/>
                <w:szCs w:val="20"/>
                <w:color w:val="auto"/>
              </w:rPr>
            </w:pPr>
            <w:r>
              <w:rPr>
                <w:rFonts w:ascii="Arial" w:cs="Arial" w:eastAsia="Arial" w:hAnsi="Arial"/>
                <w:sz w:val="18"/>
                <w:szCs w:val="18"/>
                <w:color w:val="auto"/>
              </w:rPr>
              <w:t>Three Months Ended</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gridSpan w:val="4"/>
            <w:shd w:val="clear" w:color="auto" w:fill="CCEEFF"/>
          </w:tcPr>
          <w:p>
            <w:pPr>
              <w:jc w:val="right"/>
              <w:ind w:right="792"/>
              <w:spacing w:after="0"/>
              <w:rPr>
                <w:sz w:val="20"/>
                <w:szCs w:val="20"/>
                <w:color w:val="auto"/>
              </w:rPr>
            </w:pPr>
            <w:r>
              <w:rPr>
                <w:rFonts w:ascii="Arial" w:cs="Arial" w:eastAsia="Arial" w:hAnsi="Arial"/>
                <w:sz w:val="18"/>
                <w:szCs w:val="18"/>
                <w:color w:val="auto"/>
              </w:rPr>
              <w:t>Six Months Ended</w:t>
            </w:r>
          </w:p>
        </w:tc>
      </w:tr>
      <w:tr>
        <w:trPr>
          <w:trHeight w:val="210"/>
        </w:trPr>
        <w:tc>
          <w:tcPr>
            <w:tcW w:w="36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0"/>
              </w:rPr>
              <w:t>July 3, 2004</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9"/>
              </w:rPr>
              <w:t>June 28, 2003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4"/>
              </w:rPr>
              <w:t>July 3, 2004</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1"/>
              </w:rPr>
              <w:t>June 28, 2003</w:t>
            </w:r>
          </w:p>
        </w:tc>
      </w:tr>
      <w:tr>
        <w:trPr>
          <w:trHeight w:val="210"/>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Warranty contracts sold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revenue: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Included in continuing operations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discontinued operations</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Ending balance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Premium revenue is earned from HMO memberships and services. Revenue from premiums is recognized over the life of the policy as the related services are rendered.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Cost of Goods Sold</w:t>
      </w:r>
    </w:p>
    <w:p>
      <w:pPr>
        <w:spacing w:after="0" w:line="23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We recognize the cost of product sold to retail customers when the sales transaction is complete and revenue is recognized. Periodically, we receive purchase discounts or reduced pricing on inventory purchases. These reductions in the normal purchase price are accounted for in the weighted average cost of inventory.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emerged from a Chapter 11 bankruptcy reorganization proceeding on May 31, 2001. Before, during and after the bankruptcy process, we incurred significant net operating losses (“NOL”) that result in tax loss carry-forwards.</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Deferred income taxes are recorded using enacted tax rates in effect for the years in which temporary differences between financial statement and taxable operating results are expected to reverse. Deferred income taxes are provided for depreciation and amortization differences, inventory basis differences, certain accrued expenses and allowances that are not yet deductible and the expected future benefits of our NOL carry-forwards.</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methodology described in the preceding paragraph, our deferred tax computations have resulted in a net deferred tax asset because the expected future benefit of our NOL carry-forwards exceeds the net deferred tax liability associated with timing differences. A valuation allowance has been recorded against this net deferred tax asset because it is not considered “more likely than not” that we will be able to realize these excess NOL carry-forwards to offset future taxes. As a result, we currently record an income tax provision only to the extent that we expect to pay income taxes under federal alternative minimum tax provisions and in states in which our taxable income cannot be offset by our net operating loss carryforwards.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utilize our NOL carry-forwards to offset the reversal of timing differences could be limited in the event of a greater than 50% change in our stock ownership, as defined by Section 382 of the Internal Revenue Code (the “Code”). As of July 3, 2004, we estimate that the cumulative change in ownership of our stock, as defined by Section 382 of the Code, is 27% which represents a reduction from our previous estimate of 40% as of April 3, 2004. Any such limitation under Section 382 of the Code would be based on (1) our stock value and the Federal exempt tax rate on the date prior to the ownership change, (2) the amounts of any “built-in gains” (as defined in the Code) on the date of the ownership change, and (3) any gains subsequently realized upon repurchase of debt securities that were outstanding at the date of the ownership change. These limitations could create a cap on the amount of net operating loss carry-forwards that would be deductible for each year going forward until the amount is depleted or the time limitation on these net operating loss carry-forwards expires. A limitation in or loss of our ability to utilize the net operating loss carry-forwards could result in a significant non-cash charge to write down the deferred income tax asset recorded with respect to the NOL carry-forwards. Additionally, following such a change in control we would begin making income tax payments on our taxable income in excess of the net operating loss carry-forward limitation amount.</w:t>
      </w:r>
    </w:p>
    <w:p>
      <w:pPr>
        <w:spacing w:after="0" w:line="1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At July 3, 2004, we had U.S. regular tax net operating loss carry-forwards of approximately $72 million that can reduce future federal income taxes. Taxable income for the six months ended July 3, 2004 is estimated to be approximately $12 million. If not utilized, these carry-forwards will expire beginning in 2009.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 Options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apply the disclosure provisions of SFAS No. 123, "Accounting for Stock-Based Compensation”. Stock Option awards continue to be accounted for in accordance with APB Opinion No. 25. The number of shares to be issued and the per share strike price are not subject to uncertainty; accordingly, our stock option grants qualify for fixed accounting treatment. As a result, we do not record compensation expense in connection with the granting of these stock options. (See Note 6 to the Condensed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requires that we make estimates and assumptions affecting the reported amounts of assets and liabilities and the disclosure of contingent assets and liabilities at the date of the financial statements and the reported amounts of revenues and expenses during the reporting periods.</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an ongoing basis, we evaluate our estimates and judgments, and incorporate any changes in such estimates and judgments into the accounting records underlying our consolidated financial statements. We base our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During the second quarter of 2004, we closed 14 vision centers, 13 within Wal-Mart and one on a military base. Eight closings were the result of lease expirations and the remaining six locations were closed prior to the end of their lease term due to poor operating results and prospects. Condensed information for these closed stores, the 19 stores closed in the first quarter of 2004 and the 54 stores closed in 2003 is presented below. The net gain (loss) on disposal of these operations includes severance and closing costs offset by gains recorded from the sale of certain assets. Historical operating results for these closed vision centers have been reclassified as discontinued operations and shown separately for all periods presented in the Condensed Consolidated Statements of Operations.</w:t>
      </w:r>
    </w:p>
    <w:p>
      <w:pPr>
        <w:spacing w:after="0" w:line="162"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Three Months Ended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jc w:val="right"/>
              <w:ind w:right="552"/>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July 3, 2004</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June 28, 2003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July 3, 2004</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7"/>
              </w:rPr>
              <w:t>June 28, 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Total net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Gain (loss) on disposal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SENIOR SUBORDINATED NOTES AND REVOLVING LINE OF CREDIT</w:t>
      </w:r>
    </w:p>
    <w:p>
      <w:pPr>
        <w:spacing w:after="0" w:line="231"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Interest on our Senior Subordinated Notes accrues at the rate of 12% per annum and is payable twice a year at the end of March and September. Principal repayments are required semi-annually at the end of February and August based on excess cash flow (as defined) for the prior six-month periods ended June and December. The semi-annual principal repayments are limited to an amount that causes us to maintain a minimum pro forma cash balance of $3 million as of the measurement date. Our cash balance at the most recent measurement date was $5,006,000, limiting our August 2004 principal repayment to $2,006,000.</w:t>
      </w:r>
    </w:p>
    <w:p>
      <w:pPr>
        <w:spacing w:after="0" w:line="15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revolving credit facility with Fleet Retail Group (the “Fleet Facility”) bears interest at the prime rate plus 0.75% per annum or at LIBOR plus 3.0%. Any borrowings made under this facility are secured by substantially all of our assets. The Fleet Facility contains various restrictive covenants and requires us to maintain minimum levels of EBITDA (as defined) and a minimum fixed charge coverage ratio (as defined) and limits the amount of our capital expenditures. We had no outstanding borrowings on the Fleet Facility at July 3, 2004. However, we had issued letters of credit under the facility aggregating $4.0 million. Our availability under the Fleet Facility at July 3, 2004, after reduction for the outstanding letters of credit, was approximately $5.3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EARNINGS PER COMMON SHARE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Basic earnings per common share are computed by dividing net income by the weighted average number of common shares outstanding during the quarter.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Diluted earnings per common share are computed as basic earnings per common share adjusted for the effect of all potential common stock equivalent shares.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earnings per common share (“EPS”) is summarized as follows (amounts in thousands except per share information):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gridSpan w:val="4"/>
            <w:shd w:val="clear" w:color="auto" w:fill="CCEEFF"/>
          </w:tcPr>
          <w:p>
            <w:pPr>
              <w:jc w:val="right"/>
              <w:ind w:right="472"/>
              <w:spacing w:after="0"/>
              <w:rPr>
                <w:sz w:val="20"/>
                <w:szCs w:val="20"/>
                <w:color w:val="auto"/>
              </w:rPr>
            </w:pPr>
            <w:r>
              <w:rPr>
                <w:rFonts w:ascii="Arial" w:cs="Arial" w:eastAsia="Arial" w:hAnsi="Arial"/>
                <w:sz w:val="18"/>
                <w:szCs w:val="18"/>
                <w:color w:val="auto"/>
              </w:rPr>
              <w:t>Three Months Ended</w:t>
            </w: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5"/>
            <w:shd w:val="clear" w:color="auto" w:fill="CCEEFF"/>
          </w:tcPr>
          <w:p>
            <w:pPr>
              <w:jc w:val="right"/>
              <w:ind w:right="592"/>
              <w:spacing w:after="0"/>
              <w:rPr>
                <w:sz w:val="20"/>
                <w:szCs w:val="20"/>
                <w:color w:val="auto"/>
              </w:rPr>
            </w:pPr>
            <w:r>
              <w:rPr>
                <w:rFonts w:ascii="Arial" w:cs="Arial" w:eastAsia="Arial" w:hAnsi="Arial"/>
                <w:sz w:val="18"/>
                <w:szCs w:val="18"/>
                <w:color w:val="auto"/>
              </w:rPr>
              <w:t>Six Months Ended</w:t>
            </w:r>
          </w:p>
        </w:tc>
      </w:tr>
      <w:tr>
        <w:trPr>
          <w:trHeight w:val="210"/>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July 3, 2004</w:t>
            </w: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w w:val="85"/>
              </w:rPr>
              <w:t>June 28, 2003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July 3, 2004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w w:val="87"/>
              </w:rPr>
              <w:t>June 28, 2003</w:t>
            </w:r>
          </w:p>
        </w:tc>
      </w:tr>
      <w:tr>
        <w:trPr>
          <w:trHeight w:val="210"/>
        </w:trPr>
        <w:tc>
          <w:tcPr>
            <w:tcW w:w="4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Earnings (loss) before cumulative effect of change</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2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r>
      <w:tr>
        <w:trPr>
          <w:trHeight w:val="229"/>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cumulative effect of change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20" w:type="dxa"/>
            <w:vAlign w:val="bottom"/>
          </w:tcPr>
          <w:p>
            <w:pPr>
              <w:ind w:left="320"/>
              <w:spacing w:after="0"/>
              <w:rPr>
                <w:sz w:val="20"/>
                <w:szCs w:val="20"/>
                <w:color w:val="auto"/>
              </w:rPr>
            </w:pPr>
            <w:r>
              <w:rPr>
                <w:rFonts w:ascii="Arial" w:cs="Arial" w:eastAsia="Arial" w:hAnsi="Arial"/>
                <w:sz w:val="18"/>
                <w:szCs w:val="18"/>
                <w:color w:val="auto"/>
              </w:rPr>
              <w:t>in accounting principle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(4,205)</w:t>
            </w:r>
          </w:p>
        </w:tc>
      </w:tr>
      <w:tr>
        <w:trPr>
          <w:trHeight w:val="23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r>
      <w:tr>
        <w:trPr>
          <w:trHeight w:val="197"/>
        </w:trPr>
        <w:tc>
          <w:tcPr>
            <w:tcW w:w="4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for basic EPS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effect of dilutive stock options and restricted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awards</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for diluted EPS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r>
      <w:tr>
        <w:trPr>
          <w:trHeight w:val="197"/>
        </w:trPr>
        <w:tc>
          <w:tcPr>
            <w:tcW w:w="4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earnings (loss) per basic share:</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29"/>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cumulative effect of change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 accounting principle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Net earnings (loss) per basic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197"/>
        </w:trPr>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earnings (loss) per diluted share:</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29"/>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cumulative effect of change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20" w:type="dxa"/>
            <w:vAlign w:val="bottom"/>
          </w:tcPr>
          <w:p>
            <w:pPr>
              <w:ind w:left="320"/>
              <w:spacing w:after="0"/>
              <w:rPr>
                <w:sz w:val="20"/>
                <w:szCs w:val="20"/>
                <w:color w:val="auto"/>
              </w:rPr>
            </w:pPr>
            <w:r>
              <w:rPr>
                <w:rFonts w:ascii="Arial" w:cs="Arial" w:eastAsia="Arial" w:hAnsi="Arial"/>
                <w:sz w:val="18"/>
                <w:szCs w:val="18"/>
                <w:color w:val="auto"/>
              </w:rPr>
              <w:t>in accounting principle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3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Net earnings (loss) per diluted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three and six month periods ended July 3, 2004, 72,000 stock options were excluded from the computation of diluted earnings per share due to their antidilutive effect. For the three and six month periods ended June 28, 2003, 577,000 stock options and unvested restricted shares were excluded from the computation of diluted earnings per share due to their antidilutive effect.</w:t>
      </w:r>
    </w:p>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41"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ACCOUNTING FOR STOCK COMPENSATION / EQUITY TRANSACTIONS</w:t>
      </w:r>
    </w:p>
    <w:p>
      <w:pPr>
        <w:spacing w:after="0" w:line="2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apply the disclosure provisions of SFAS No. 123, “Accounting for Stock Based Compensation”. Stock option awards continue to be accounted for in accordance with APB Opinion No. 25. Had compensation cost for the employee and non-employee director stock options been determined based on the fair value at the grant date consistent with the provisions of SFAS No. 123, our net earnings and earnings per share would have been reduced to the pro forma amounts indicated below (amounts in thousands except per share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Three Months Ended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4"/>
            <w:shd w:val="clear" w:color="auto" w:fill="CCEEFF"/>
          </w:tcPr>
          <w:p>
            <w:pPr>
              <w:jc w:val="right"/>
              <w:ind w:right="552"/>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9"/>
                <w:szCs w:val="19"/>
                <w:color w:val="auto"/>
              </w:rPr>
            </w:pPr>
          </w:p>
        </w:tc>
      </w:tr>
      <w:tr>
        <w:trPr>
          <w:trHeight w:val="210"/>
        </w:trPr>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July 3, 2004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June 28, 2003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July 3, 2004</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5"/>
              </w:rPr>
              <w:t>June 28, 2003</w:t>
            </w:r>
          </w:p>
        </w:tc>
        <w:tc>
          <w:tcPr>
            <w:tcW w:w="2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As reported: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0" w:type="dxa"/>
            <w:vAlign w:val="bottom"/>
          </w:tcPr>
          <w:p>
            <w:pPr>
              <w:spacing w:after="0"/>
              <w:rPr>
                <w:sz w:val="20"/>
                <w:szCs w:val="20"/>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Pro forma:</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3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5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earnings (loss)</w:t>
            </w: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20" w:type="dxa"/>
            <w:vAlign w:val="bottom"/>
          </w:tcPr>
          <w:p>
            <w:pPr>
              <w:spacing w:after="0"/>
              <w:rPr>
                <w:sz w:val="21"/>
                <w:szCs w:val="21"/>
                <w:color w:val="auto"/>
              </w:rPr>
            </w:pPr>
          </w:p>
        </w:tc>
      </w:tr>
      <w:tr>
        <w:trPr>
          <w:trHeight w:val="197"/>
        </w:trPr>
        <w:tc>
          <w:tcPr>
            <w:tcW w:w="3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Basic net earnings (loss) per share as reported: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basic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0"/>
                <w:szCs w:val="20"/>
                <w:color w:val="auto"/>
              </w:rPr>
            </w:pPr>
          </w:p>
        </w:tc>
      </w:tr>
      <w:tr>
        <w:trPr>
          <w:trHeight w:val="229"/>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Pro forma compensation expense per basic share</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r>
      <w:tr>
        <w:trPr>
          <w:trHeight w:val="211"/>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earnings (loss) per basic share</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 as reported:</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Net earnings (loss) per diluted 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r>
      <w:tr>
        <w:trPr>
          <w:trHeight w:val="23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6"/>
              </w:rPr>
              <w:t>Pro forma compensation expense per diluted share</w:t>
            </w:r>
          </w:p>
        </w:tc>
        <w:tc>
          <w:tcPr>
            <w:tcW w:w="3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Pro forma net earnings (loss) per diluted share</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20" w:type="dxa"/>
            <w:vAlign w:val="bottom"/>
            <w:tcBorders>
              <w:bottom w:val="single" w:sz="8" w:color="auto"/>
            </w:tcBorders>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June 29, 2004, our shareholders approved the National Vision, Inc. 2004 Equity Incentive Plan the (“2004 Equity Plan”). This Plan replaced the Company’s Restated Stock Option and Incentive Award Plan (the “Option Plan”) and the Restated Non-Employee Director Stock Option Plan (the “Directors Plan”). As a result, no additional awards may be granted under the Option Plan or the Directors Plan. As of June 29, 2004 there were 28,253 and 45,000 shares available for grant under the Option Plan and the Directors Plan, respectively. The total shares available for grant under the 2004 Equity Plan is 373,253, which represents an incremental increase of 300,000 shares over the shares available under the Option Plan and the Directors Plan. In addition, the number of shares subject to outstanding grants under the Option Plan and the Directors Plan on June 29, 2004, which are forfeited or expire on or after June 29, 2004 will become available for grant under the 2004 Equity Plan.</w:t>
      </w:r>
    </w:p>
    <w:p>
      <w:pPr>
        <w:spacing w:after="0" w:line="1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June 29, 2004 we issued 107,500 restricted shares and 50,000 options under the 2004 Equity Plan. Of the restricted shares issued, 53,750 vest on the third anniversary of the grant date. The remaining 53,750 vest on the fifth anniversary of the grant date with accelerated vesting if the Company achieves certain financial goals. The options were issued at an exercise price equal to the fair market value on the date of grant. Also, 215,650 restricted shares and 634,463 options were outstanding under the Option Plan and the Directors Plan at July 3, 2004.</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pursuant to the terms of a Management Incentive Plan (“the Incentive Plan”), 401,410 performance units were awarded to members of senior management on June 29, 2004. The performance period expires on June 29, 2007. Each performance unit is payable in cash in an amount equal to the excess, if any, of the average market value of a share of the Company’s common stock during the 20 consecutive trading days ending June 29, 2007 over the closing price of a share of the Company's common stock on June 29, 2004.</w:t>
      </w:r>
    </w:p>
    <w:p>
      <w:pPr>
        <w:spacing w:after="0" w:line="191"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 INFORMATION</w:t>
      </w:r>
    </w:p>
    <w:p>
      <w:pPr>
        <w:spacing w:after="0" w:line="231" w:lineRule="exact"/>
        <w:rPr>
          <w:rFonts w:ascii="Arial" w:cs="Arial" w:eastAsia="Arial" w:hAnsi="Arial"/>
          <w:sz w:val="18"/>
          <w:szCs w:val="18"/>
          <w:b w:val="1"/>
          <w:bCs w:val="1"/>
          <w:color w:val="auto"/>
        </w:rPr>
      </w:pPr>
    </w:p>
    <w:p>
      <w:pPr>
        <w:ind w:left="620" w:hanging="392"/>
        <w:spacing w:after="0"/>
        <w:tabs>
          <w:tab w:leader="none" w:pos="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Supplemental cash flow information (amounts in thousands):</w:t>
      </w:r>
    </w:p>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gridSpan w:val="4"/>
            <w:shd w:val="clear" w:color="auto" w:fill="CCEEFF"/>
          </w:tcPr>
          <w:p>
            <w:pPr>
              <w:jc w:val="right"/>
              <w:ind w:right="572"/>
              <w:spacing w:after="0"/>
              <w:rPr>
                <w:sz w:val="20"/>
                <w:szCs w:val="20"/>
                <w:color w:val="auto"/>
              </w:rPr>
            </w:pPr>
            <w:r>
              <w:rPr>
                <w:rFonts w:ascii="Arial" w:cs="Arial" w:eastAsia="Arial" w:hAnsi="Arial"/>
                <w:sz w:val="18"/>
                <w:szCs w:val="18"/>
                <w:color w:val="auto"/>
              </w:rPr>
              <w:t>Six Months Ended</w:t>
            </w:r>
          </w:p>
        </w:tc>
      </w:tr>
      <w:tr>
        <w:trPr>
          <w:trHeight w:val="221"/>
        </w:trPr>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July 3, 2004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June 28, 2003</w:t>
            </w: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Cash paid for:</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1"/>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r>
      <w:tr>
        <w:trPr>
          <w:trHeight w:val="228"/>
        </w:trPr>
        <w:tc>
          <w:tcPr>
            <w:tcW w:w="2280" w:type="dxa"/>
            <w:vAlign w:val="bottom"/>
          </w:tcPr>
          <w:p>
            <w:pPr>
              <w:spacing w:after="0"/>
              <w:rPr>
                <w:sz w:val="20"/>
                <w:szCs w:val="20"/>
                <w:color w:val="auto"/>
              </w:rPr>
            </w:pPr>
            <w:r>
              <w:rPr>
                <w:rFonts w:ascii="Arial" w:cs="Arial" w:eastAsia="Arial" w:hAnsi="Arial"/>
                <w:sz w:val="18"/>
                <w:szCs w:val="18"/>
                <w:color w:val="auto"/>
                <w:w w:val="99"/>
              </w:rPr>
              <w:t>Income taxes, net of refunds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color w:val="auto"/>
        </w:rPr>
        <w:t>(ii)  Inventory balances, by classification, are summarized as follows (amounts in thousands):</w:t>
      </w:r>
    </w:p>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July 3, 2004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January 3, 2004</w:t>
            </w:r>
          </w:p>
        </w:tc>
      </w:tr>
      <w:tr>
        <w:trPr>
          <w:trHeight w:val="210"/>
        </w:trPr>
        <w:tc>
          <w:tcPr>
            <w:tcW w:w="2720" w:type="dxa"/>
            <w:vAlign w:val="bottom"/>
          </w:tcPr>
          <w:p>
            <w:pPr>
              <w:spacing w:after="0"/>
              <w:rPr>
                <w:sz w:val="20"/>
                <w:szCs w:val="20"/>
                <w:color w:val="auto"/>
              </w:rPr>
            </w:pPr>
            <w:r>
              <w:rPr>
                <w:rFonts w:ascii="Arial" w:cs="Arial" w:eastAsia="Arial" w:hAnsi="Arial"/>
                <w:sz w:val="18"/>
                <w:szCs w:val="18"/>
                <w:color w:val="auto"/>
                <w:w w:val="96"/>
              </w:rPr>
              <w:t>Raw materials and work-in-process</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9,941</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1"/>
        </w:trPr>
        <w:tc>
          <w:tcPr>
            <w:tcW w:w="2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w:t>
            </w:r>
          </w:p>
        </w:tc>
      </w:tr>
      <w:tr>
        <w:trPr>
          <w:trHeight w:val="20"/>
        </w:trPr>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720" w:hanging="49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Accrued Expenses and Other Current Liabilities</w:t>
      </w:r>
    </w:p>
    <w:p>
      <w:pPr>
        <w:spacing w:after="0" w:line="225" w:lineRule="exact"/>
        <w:rPr>
          <w:rFonts w:ascii="Arial" w:cs="Arial" w:eastAsia="Arial" w:hAnsi="Arial"/>
          <w:sz w:val="18"/>
          <w:szCs w:val="18"/>
          <w:color w:val="auto"/>
        </w:rPr>
      </w:pPr>
    </w:p>
    <w:p>
      <w:pPr>
        <w:ind w:left="660" w:right="3680" w:firstLine="44"/>
        <w:spacing w:after="0" w:line="268" w:lineRule="auto"/>
        <w:rPr>
          <w:rFonts w:ascii="Arial" w:cs="Arial" w:eastAsia="Arial" w:hAnsi="Arial"/>
          <w:sz w:val="18"/>
          <w:szCs w:val="18"/>
          <w:color w:val="auto"/>
        </w:rPr>
      </w:pPr>
      <w:r>
        <w:rPr>
          <w:rFonts w:ascii="Arial" w:cs="Arial" w:eastAsia="Arial" w:hAnsi="Arial"/>
          <w:sz w:val="18"/>
          <w:szCs w:val="18"/>
          <w:color w:val="auto"/>
        </w:rPr>
        <w:t>Significant components of accrued expenses and other current liabilities are summarized as follows (amounts in thousands):</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6"/>
              </w:rPr>
              <w:t>Balance at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Balance at</w:t>
            </w:r>
          </w:p>
        </w:tc>
      </w:tr>
      <w:tr>
        <w:trPr>
          <w:trHeight w:val="229"/>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July 3, 2004</w:t>
            </w:r>
          </w:p>
        </w:tc>
        <w:tc>
          <w:tcPr>
            <w:tcW w:w="1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w w:val="86"/>
              </w:rPr>
              <w:t>January 3, 2004</w:t>
            </w:r>
          </w:p>
        </w:tc>
      </w:tr>
      <w:tr>
        <w:trPr>
          <w:trHeight w:val="211"/>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44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Accrued employee compensation and 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6,323</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3,757</w:t>
            </w:r>
          </w:p>
        </w:tc>
      </w:tr>
      <w:tr>
        <w:trPr>
          <w:trHeight w:val="231"/>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self-insured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r>
      <w:tr>
        <w:trPr>
          <w:trHeight w:val="229"/>
        </w:trPr>
        <w:tc>
          <w:tcPr>
            <w:tcW w:w="44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2,965</w:t>
            </w:r>
          </w:p>
        </w:tc>
      </w:tr>
      <w:tr>
        <w:trPr>
          <w:trHeight w:val="231"/>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29"/>
        </w:trPr>
        <w:tc>
          <w:tcPr>
            <w:tcW w:w="44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Accrued rent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3,700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5,612</w:t>
            </w:r>
          </w:p>
        </w:tc>
      </w:tr>
      <w:tr>
        <w:trPr>
          <w:trHeight w:val="231"/>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430"/>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Product Warranty Liability</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10" w:lineRule="exact"/>
        <w:rPr>
          <w:sz w:val="20"/>
          <w:szCs w:val="20"/>
          <w:color w:val="auto"/>
        </w:rPr>
      </w:pPr>
    </w:p>
    <w:p>
      <w:pPr>
        <w:ind w:left="960" w:right="340"/>
        <w:spacing w:after="0" w:line="268" w:lineRule="auto"/>
        <w:rPr>
          <w:sz w:val="20"/>
          <w:szCs w:val="20"/>
          <w:color w:val="auto"/>
        </w:rPr>
      </w:pPr>
      <w:r>
        <w:rPr>
          <w:rFonts w:ascii="Arial" w:cs="Arial" w:eastAsia="Arial" w:hAnsi="Arial"/>
          <w:sz w:val="18"/>
          <w:szCs w:val="18"/>
          <w:color w:val="auto"/>
        </w:rPr>
        <w:t>The following table details the activity in our product warranty liabilities for the six-month periods ended July 3, 2004 and June 28, 2003. This represents our liability for certain product warranty services provided free of charge (amounts in thousands):</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gridSpan w:val="4"/>
            <w:shd w:val="clear" w:color="auto" w:fill="CCEEFF"/>
          </w:tcPr>
          <w:p>
            <w:pPr>
              <w:ind w:left="940"/>
              <w:spacing w:after="0"/>
              <w:rPr>
                <w:sz w:val="20"/>
                <w:szCs w:val="20"/>
                <w:color w:val="auto"/>
              </w:rPr>
            </w:pPr>
            <w:r>
              <w:rPr>
                <w:rFonts w:ascii="Arial" w:cs="Arial" w:eastAsia="Arial" w:hAnsi="Arial"/>
                <w:sz w:val="18"/>
                <w:szCs w:val="18"/>
                <w:color w:val="auto"/>
              </w:rPr>
              <w:t>Six Months Ended</w:t>
            </w:r>
          </w:p>
        </w:tc>
      </w:tr>
      <w:tr>
        <w:trPr>
          <w:trHeight w:val="210"/>
        </w:trPr>
        <w:tc>
          <w:tcPr>
            <w:tcW w:w="20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8"/>
              </w:rPr>
              <w:t>July 3, 2004</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June 28, 2003</w:t>
            </w:r>
          </w:p>
        </w:tc>
      </w:tr>
      <w:tr>
        <w:trPr>
          <w:trHeight w:val="210"/>
        </w:trPr>
        <w:tc>
          <w:tcPr>
            <w:tcW w:w="2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rPr>
              <w:t>Beginning balance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716</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1,120</w:t>
            </w:r>
          </w:p>
        </w:tc>
      </w:tr>
      <w:tr>
        <w:trPr>
          <w:trHeight w:val="231"/>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center"/>
              <w:ind w:left="892"/>
              <w:spacing w:after="0"/>
              <w:rPr>
                <w:sz w:val="20"/>
                <w:szCs w:val="20"/>
                <w:color w:val="auto"/>
              </w:rPr>
            </w:pPr>
            <w:r>
              <w:rPr>
                <w:rFonts w:ascii="Arial" w:cs="Arial" w:eastAsia="Arial" w:hAnsi="Arial"/>
                <w:sz w:val="18"/>
                <w:szCs w:val="18"/>
                <w:color w:val="auto"/>
                <w:w w:val="88"/>
              </w:rPr>
              <w:t>3,691</w:t>
            </w:r>
          </w:p>
        </w:tc>
      </w:tr>
      <w:tr>
        <w:trPr>
          <w:trHeight w:val="229"/>
        </w:trPr>
        <w:tc>
          <w:tcPr>
            <w:tcW w:w="2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Claims paid</w:t>
            </w:r>
          </w:p>
        </w:tc>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52"/>
              <w:spacing w:after="0"/>
              <w:rPr>
                <w:sz w:val="20"/>
                <w:szCs w:val="20"/>
                <w:color w:val="auto"/>
              </w:rPr>
            </w:pPr>
            <w:r>
              <w:rPr>
                <w:rFonts w:ascii="Arial" w:cs="Arial" w:eastAsia="Arial" w:hAnsi="Arial"/>
                <w:sz w:val="18"/>
                <w:szCs w:val="18"/>
                <w:color w:val="auto"/>
                <w:w w:val="91"/>
              </w:rPr>
              <w:t>(3,791)</w:t>
            </w:r>
          </w:p>
        </w:tc>
      </w:tr>
      <w:tr>
        <w:trPr>
          <w:trHeight w:val="211"/>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center"/>
              <w:ind w:left="892"/>
              <w:spacing w:after="0"/>
              <w:rPr>
                <w:sz w:val="20"/>
                <w:szCs w:val="20"/>
                <w:color w:val="auto"/>
              </w:rPr>
            </w:pPr>
            <w:r>
              <w:rPr>
                <w:rFonts w:ascii="Arial" w:cs="Arial" w:eastAsia="Arial" w:hAnsi="Arial"/>
                <w:sz w:val="18"/>
                <w:szCs w:val="18"/>
                <w:color w:val="auto"/>
                <w:w w:val="88"/>
              </w:rPr>
              <w:t>1,020</w:t>
            </w:r>
          </w:p>
        </w:tc>
      </w:tr>
      <w:tr>
        <w:trPr>
          <w:trHeight w:val="20"/>
        </w:trPr>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(LOSS)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Comprehensive income (loss), which consists of net income and foreign currency translation adjustments, was $4.7 million and $(2.7) million, respectively, for the three months ended July 3, 2004 and June 28 2003. For the six months ended July 3, 2004 and June 28, 2003 the comprehensive income (loss) was $7.8 million and $(4.8)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Since July 3, 2004, we have closed 2 Wal-Mart vision centers.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July 28, 2004, we reached an agreement with Wal-Mart de Mexico under which we will close six under performing Mexican stores and cancel all lease obligations for these six stores as of the store closing dates. We expect to close three of these stores in the third quarter and three in the fourth quarter of 2004. These six stores had inventory of approximately $55,000 at July 3, 2004, which we plan to transfer to our other stores in Mexico. The carrying value of furniture, fixtures and equipment for these six stores at July 3, 2004 was approximately $156,000, which is net of an impairment write-down of approximately $97,000 recorded at January 3, 2004. We plan to write off the remaining value over the period the stores are expected to be in operation.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2" w:name="page13"/>
    <w:bookmarkEnd w:id="12"/>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STRATEGIES</w:t>
      </w:r>
    </w:p>
    <w:p>
      <w:pPr>
        <w:spacing w:after="0" w:line="23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were founded in 1990 to operate vision centers inside Wal-Mart stores located in the United States. We are still primarily an optical retailer and at July 3, 2004, 75% of our retail locations operated inside domestic Wal-Mart stores. These 328 domestic Wal-Mart stores contribute substantially more than 75% of consolidated revenues and income.</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our Master License Agreement with Wal-Mart, as amended, we were granted the right to open 400 such vision centers in the United States. We opened our 400th location in 2001. We have a right to operate each vision center for a base term of nine years followed by a three-year renewal. Under certain circumstances, primarily when a Wal-Mart store closes because a new SuperCenter was built to replace it, the lease term for our vision center starts over, giving us an additional twelve years to operate in that location assuming exercise of the renewal option.</w:t>
      </w:r>
    </w:p>
    <w:p>
      <w:pPr>
        <w:spacing w:after="0" w:line="16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Since the end of 2001 and through July 3, 2004, we have closed 50 vision centers within domestic Wal-Mart stores because the twelve-year lease term was exhausted. We’ve closed another 9 stores after the base term expired because the store economics did not warrant exercise of our renewal option. Additionally, we closed 13 stores prior to the expiration of the base term as a result of poor operating results and prospects.</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expect to close an additional 24 domestic Wal-Mart locations as their leases expire over the last six months of fiscal 2004. Of these, 4 are being returned to Wal-Mart at the expiration of the base term and 23 at the end of the renewal term. During the first half of fiscal 2004, these stores generated $8.0 million in revenue.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presently expect to close 32 domestic Wal-Mart stores as their leases expire in fiscal 2005. All of these are being returned to Wal-Mart at the expiration of the renewal term. During the first half of fiscal 2004, these stores generated $10.9 million in revenue.</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domestic Wal-Mart store closings present the Company’s management with a significant challenge. We need to create and develop other business opportunities to improve our ability to pay or refinance our senior secured debt at its maturity date of March 30, 2009. To the extent that we do not create and develop these other opportunities, we increase the risk that we will be unable to pay or refinance this debt. In order to address these issues, we are:</w:t>
      </w:r>
    </w:p>
    <w:p>
      <w:pPr>
        <w:spacing w:after="0" w:line="161" w:lineRule="exact"/>
        <w:rPr>
          <w:sz w:val="20"/>
          <w:szCs w:val="20"/>
          <w:color w:val="auto"/>
        </w:rPr>
      </w:pPr>
    </w:p>
    <w:p>
      <w:pPr>
        <w:ind w:left="780" w:right="1260" w:hanging="324"/>
        <w:spacing w:after="0" w:line="254"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Optimizing the profitability of our existing stores to reduce outstanding principal under our Notes and maximize the time available to develop new sustainable growth vehicles,</w:t>
      </w:r>
    </w:p>
    <w:p>
      <w:pPr>
        <w:ind w:left="780" w:hanging="3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and testing growth opportunities within optics, and</w:t>
      </w:r>
    </w:p>
    <w:p>
      <w:pPr>
        <w:spacing w:after="0" w:line="9" w:lineRule="exact"/>
        <w:rPr>
          <w:rFonts w:ascii="Arial" w:cs="Arial" w:eastAsia="Arial" w:hAnsi="Arial"/>
          <w:sz w:val="18"/>
          <w:szCs w:val="18"/>
          <w:color w:val="auto"/>
        </w:rPr>
      </w:pPr>
    </w:p>
    <w:p>
      <w:pPr>
        <w:ind w:left="780" w:hanging="3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Identifying and testing non-optics opportunities inside Wal-Mart.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Optimizing the Profitability of Existing Stores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mid-2002 to the end of 2003, we implemented significant changes in our store-level businesses, resulting in a higher average sales transaction value and higher gross margins. Although we continue to make improvements, the bulk of these changes had been implemented by the beginning of the current fiscal year. As a result, our stores were able to operate on a more stable basis throughout the first half of fiscal 2004 and achieve significantly better results than the first half of fiscal 2003 when they were dealing with rapid and substantive changes.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See “RESULTS OF OPERATIONS” below for further information regarding our operating results for the three and six-month periods ended July 3, 2004.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Opportunities within Optics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several opportunities within optics and are presently beginning to implement two of them.</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latter half of August, concurrent with the expiration of one of our current leases with Wal-Mart, we plan to relocate an existing vision center to a new freestanding location in the same general vicinity. This will be our first freestanding location since 2001. We have executed a lease for this new location and anticipate that all current store personnel as well as the independent optometrist will transfer to the relocated store. Before the end of 2004, we expect to similarly relocate another of our vision centers at the time its current lease expires. We have executed a lease for this second new freestanding location. The operation of freestanding vision centers near our former Wal-Mart locations is not a proven concept for us. Our historical strength has been in operating stores within host environments. Operating within a host such as Wal-Mart guarantees high traffic and visibility while allowing us to minimize advertising costs. We have not projected as high a level of revenue for the new locations as we are achieving at the locations that are closing. In addition, we expect higher advertising costs at these locations. We also may find it difficult to attract and retain independent optometrists, particularly those who may prefer to practice in Wal-Mart stores. We may need to offer attractive lease terms and other arrangements to these optometrists. Such arrangements may also increase our cost of doing business at these locations. If we learn that we can profitably operate freestanding stores near our closed locations, we could adopt this as a strategy that could at least partially offset lost revenues from such closed locations. However, the first such location is yet to be opened and we cannot predict its potential for success.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40"/>
        <w:spacing w:after="0" w:line="294" w:lineRule="auto"/>
        <w:rPr>
          <w:sz w:val="20"/>
          <w:szCs w:val="20"/>
          <w:color w:val="auto"/>
        </w:rPr>
      </w:pPr>
      <w:r>
        <w:rPr>
          <w:rFonts w:ascii="Arial" w:cs="Arial" w:eastAsia="Arial" w:hAnsi="Arial"/>
          <w:sz w:val="16"/>
          <w:szCs w:val="16"/>
          <w:color w:val="auto"/>
        </w:rPr>
        <w:t>Our second opportunity is to open and operate vision centers subleased from Wal-Mart in Oklahoma. We have developed a business model for our proposed operations in that state. We intend to seek a declaratory judgment confirming that our proposed business model complies with applicable legal requirements. We believe that Wal-Mart operates 97 locations in Oklahoma. If we obtain a favorable judgement, we may therefore be able to expand our operations in that state. We have not yet filed the lawsuit and are unable to predict whether we will prevail in the litigation and whether and on what terms we may be able to operate vision centers in Oklahoma. We also have no agreement with Wal-Mart as to whether we could operate multiple vision centers using this model.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Growth Opportunities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May 2004, we opened home medical equipment (“HME”) stores inside Wal-Mart locations in Hazelton, Pennsylvania and Murfreesboro, Tennessee. In these stores, we are selling items such as wheel chairs, scooters, lift chairs, diabetic shoes and hosiery, commode seat risers, bathtub rails and various orthopedic products.</w:t>
      </w:r>
    </w:p>
    <w:p>
      <w:pPr>
        <w:spacing w:after="0" w:line="19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research of the industry prior to opening these stores indicated that new medical equipment stores require a full three years to ramp up to stable sales volume. Accordingly, our operating projections assumed slow but growing sales and net losses in the early months of operation. To date, we are achieving projected results.</w:t>
      </w:r>
    </w:p>
    <w:p>
      <w:pPr>
        <w:spacing w:after="0" w:line="194"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Presently, we are unable to predict whether our two HME test stores will achieve acceptable levels of profitability. If these stores do prove to be sufficiently profitable, we will likely find it very difficult to open new stores at a pace that supplants the vision centers that will close, first, because of the long lead time involved in securing new locations and secondly because our Senior Subordinated Note Indenture may limit our investment in non-optical businesses to a cumulative total of $1.0 million from May 31, 2001 through March 31, 2009. As of July 3, 2004, we have utilized $287,000 of this amount. In addition, our credit facility limits our investment in this line of business to $500,000. These limitations may affect our ability to open additional stores.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While we do have other ideas as to non-optics growth, we are not presently pursuing additional growth opportunities outside of the optical category.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New Businesses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HMO subsidiary has historically opened optometric examination offices in California Wal-Mart stores in which we have operated vision centers. In the first quarter of 2004, the HMO began operating optometric examination offices in certain California Wal-Mart and Sam’s Club stores in which the vision center is operated by Wal-Mart. As of July 3, 2004, we operated 12 such doctors’ offices. Most, but not all, of such practices in Wal-Mart stores are in locations where we previously operated a vision center.</w:t>
      </w:r>
    </w:p>
    <w:p>
      <w:pPr>
        <w:spacing w:after="0" w:line="19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Although we expect to continue to open similar practices in California Wal-Mart and Sam’s Club stores, we do not characterize this endeavor as a significant growth strategy. Revenues generated by the optometric practice are significantly less than revenues generated by a retail vision center.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Retention of Financial Advisor</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May 17, 2004, the Company announced that its Board of Directors had retained TM Capital, Inc., an investment banking firm, as its financial advisor to review the Company’s strategic alternatives. This review is ongoing. As a result, the Company may ultimately pursue strategies additional to or different from those described above.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Our results of operations in any period are significantly affected by the number and mix of vision centers operating during such period. Vision centers in operation were as follows: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320" w:type="dxa"/>
            <w:vAlign w:val="bottom"/>
          </w:tcPr>
          <w:p>
            <w:pPr>
              <w:spacing w:after="0"/>
              <w:rPr>
                <w:sz w:val="19"/>
                <w:szCs w:val="19"/>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As of</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As of</w:t>
            </w:r>
          </w:p>
        </w:tc>
      </w:tr>
      <w:tr>
        <w:trPr>
          <w:trHeight w:val="231"/>
        </w:trPr>
        <w:tc>
          <w:tcPr>
            <w:tcW w:w="33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July 3, 2004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w w:val="98"/>
              </w:rPr>
              <w:t>June 28, 2003</w:t>
            </w:r>
          </w:p>
        </w:tc>
      </w:tr>
      <w:tr>
        <w:trPr>
          <w:trHeight w:val="211"/>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Wal-Mart:</w:t>
            </w:r>
          </w:p>
        </w:tc>
        <w:tc>
          <w:tcPr>
            <w:tcW w:w="1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3320" w:type="dxa"/>
            <w:vAlign w:val="bottom"/>
          </w:tcPr>
          <w:p>
            <w:pPr>
              <w:ind w:left="220"/>
              <w:spacing w:after="0"/>
              <w:rPr>
                <w:sz w:val="20"/>
                <w:szCs w:val="20"/>
                <w:color w:val="auto"/>
              </w:rPr>
            </w:pPr>
            <w:r>
              <w:rPr>
                <w:rFonts w:ascii="Arial" w:cs="Arial" w:eastAsia="Arial" w:hAnsi="Arial"/>
                <w:sz w:val="18"/>
                <w:szCs w:val="18"/>
                <w:color w:val="auto"/>
              </w:rPr>
              <w:t>Domestic</w:t>
            </w: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1"/>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Fred Meyer</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Military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1"/>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3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Vision centers currently</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reported in continuing operations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5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 2004 COMPARED TO THE THREE MONTHS ENDED JUNE 28,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Retail Sales, Net. </w:t>
      </w:r>
      <w:r>
        <w:rPr>
          <w:rFonts w:ascii="Arial" w:cs="Arial" w:eastAsia="Arial" w:hAnsi="Arial"/>
          <w:sz w:val="18"/>
          <w:szCs w:val="18"/>
          <w:color w:val="auto"/>
        </w:rPr>
        <w:t>In the current year three-month period, total domestic comparable store sales were up 10.7% over the prior year three-month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reconciliation shows the components of the change in retail sales (amounts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2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2"/>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July 3, 2004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w w:val="89"/>
              </w:rPr>
              <w:t>June 28, 2003</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Change</w:t>
            </w:r>
          </w:p>
        </w:tc>
      </w:tr>
      <w:tr>
        <w:trPr>
          <w:trHeight w:val="210"/>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 comparable store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3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Domestic - other (a)</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1"/>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4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Total retail sales, net</w:t>
            </w: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right="1420" w:hanging="363"/>
        <w:spacing w:after="0" w:line="370" w:lineRule="auto"/>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This category includes vision center stores that were not operating during the prior year quarter and therefore were not part of the domestic comparable store sales calculation and two home medical equipment stores that opened in the current year quarter.</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second quarter retail sales increased by $6.0 million over the prior year second quarter. Included in this increase were sales from our semi-annual contact lens event and the increase in sales of our extended warranty plan as described in the following two paragraphs.</w:t>
      </w:r>
    </w:p>
    <w:p>
      <w:pPr>
        <w:spacing w:after="0" w:line="18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mid June of the current year we held our semi-annual contact lens event, which generated net sales of approximately $4.4 million. In the prior year, revenue from this event was recorded in July (and therefore in the third fiscal quarter) when the product was delivered to our customers. Excluding sales generated from this event, domestic comparable store sales in the current year three-month period were up 2.2% over the prior year three-month period.</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May 2003, we began offering a twelve-month extended warranty plan in our Wal-Mart vision centers to provide for repair and replacement service during the first year after purchase. Revenue recognized during the current year quarter was approximately $1.4 million compared to $65,000 during the prior year quarter. Approximately 48% of our eyeglass transactions during the current year quarter included an extended warranty purchase. We expect the increases in revenue due to warranty sales to have a continued favorable impact on the remainder of 2004, but to a lesser extent than in the current year quarter. This revenue is reflected within “Retail sales, net” in our Condensed Consolidated Statements of Operations.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jc w:val="both"/>
        <w:ind w:right="60"/>
        <w:spacing w:after="0" w:line="370" w:lineRule="auto"/>
        <w:rPr>
          <w:sz w:val="20"/>
          <w:szCs w:val="20"/>
          <w:color w:val="auto"/>
        </w:rPr>
      </w:pPr>
      <w:r>
        <w:rPr>
          <w:rFonts w:ascii="Arial" w:cs="Arial" w:eastAsia="Arial" w:hAnsi="Arial"/>
          <w:sz w:val="15"/>
          <w:szCs w:val="15"/>
          <w:b w:val="1"/>
          <w:bCs w:val="1"/>
          <w:i w:val="1"/>
          <w:iCs w:val="1"/>
          <w:color w:val="auto"/>
        </w:rPr>
        <w:t xml:space="preserve">Premium Revenue. </w:t>
      </w:r>
      <w:r>
        <w:rPr>
          <w:rFonts w:ascii="Arial" w:cs="Arial" w:eastAsia="Arial" w:hAnsi="Arial"/>
          <w:sz w:val="15"/>
          <w:szCs w:val="15"/>
          <w:color w:val="auto"/>
        </w:rPr>
        <w:t>The increase in premium revenue for vision examination insurance can be largely attributed to increased enrollments in our California health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maintenance organization. The HMO had approximately 164,000 members as of July 3, 2004 compared to approximately 103,500 members as of June 28, 2003.</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In 2003, we began manufacturing eyeglasses for a small retail optical company. Total revenue from this line of business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July 3, 2004 was approximately $48,000 less than the prior year three-month period ended June 28, 2003. In January 2004 we began operating optometric examination offices in certain California Wal-Mart stores in which Wal-Mart operates a vision center. Revenue from patient co-payments was approximately $85,000 for the three months ended July 3, 2004.</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In the current year three-month period, gross profit dollars increased over gross profit dollars in the prior year three-month period. The components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sales and gross profit for these periods are detailed below (dollars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Three Months Ended</w:t>
            </w:r>
          </w:p>
        </w:tc>
        <w:tc>
          <w:tcPr>
            <w:tcW w:w="580" w:type="dxa"/>
            <w:vAlign w:val="bottom"/>
            <w:tcBorders>
              <w:bottom w:val="single" w:sz="8" w:color="auto"/>
            </w:tcBorders>
          </w:tcPr>
          <w:p>
            <w:pPr>
              <w:spacing w:after="0"/>
              <w:rPr>
                <w:sz w:val="19"/>
                <w:szCs w:val="19"/>
                <w:color w:val="auto"/>
              </w:rPr>
            </w:pPr>
          </w:p>
        </w:tc>
      </w:tr>
      <w:tr>
        <w:trPr>
          <w:trHeight w:val="211"/>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w w:val="90"/>
              </w:rPr>
              <w:t>July 3, 2004</w:t>
            </w:r>
          </w:p>
        </w:tc>
        <w:tc>
          <w:tcPr>
            <w:tcW w:w="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w w:val="87"/>
              </w:rPr>
              <w:t>June 28, 2003</w:t>
            </w:r>
          </w:p>
        </w:tc>
        <w:tc>
          <w:tcPr>
            <w:tcW w:w="580" w:type="dxa"/>
            <w:vAlign w:val="bottom"/>
            <w:tcBorders>
              <w:bottom w:val="single" w:sz="8" w:color="auto"/>
            </w:tcBorders>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Retail sales, net</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Retail cost of goods sold</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23,088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11"/>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gross profit</w:t>
            </w:r>
          </w:p>
        </w:tc>
        <w:tc>
          <w:tcPr>
            <w:tcW w:w="3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Premium and other revenue</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Other cost of sales</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11"/>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gross profit</w:t>
            </w:r>
          </w:p>
        </w:tc>
        <w:tc>
          <w:tcPr>
            <w:tcW w:w="3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42"/>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27,725</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24,758</w:t>
            </w:r>
          </w:p>
        </w:tc>
        <w:tc>
          <w:tcPr>
            <w:tcW w:w="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24"/>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00"/>
        <w:spacing w:after="0" w:line="323" w:lineRule="auto"/>
        <w:rPr>
          <w:sz w:val="20"/>
          <w:szCs w:val="20"/>
          <w:color w:val="auto"/>
        </w:rPr>
      </w:pPr>
      <w:r>
        <w:rPr>
          <w:rFonts w:ascii="Arial" w:cs="Arial" w:eastAsia="Arial" w:hAnsi="Arial"/>
          <w:sz w:val="15"/>
          <w:szCs w:val="15"/>
          <w:color w:val="auto"/>
        </w:rPr>
        <w:t>The primary factor causing the decline in retail gross profit as a percent of sales in the current year quarter compared to the prior year quarter was the increased ratio of contact lens sales to total sales resulting from our June contact lens event. Contact lens sales, which yield a lower gross margin than do eyeglass sales, represented 22.9% of total retail sales for the current year quarter compared to 17.5% for the prior year quarter. While our eyeglass sales were flat compared to the prior year, as a percentage of total retail sales they declined to 71.2% in the current year quarter compared to 78.8% in the prior year quarter.</w:t>
      </w:r>
    </w:p>
    <w:p>
      <w:pPr>
        <w:spacing w:after="0" w:line="152"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Other factors combined to partially offset the shift in product mix. These factors included an increase in revenue recognized from sales of extended warranties to $1,438,000 in the current year quarter from $65,000 in the prior year quarter, which improved margins as a percent of sales by approximately 1.1% in the current year quarter compared to the prior year quarter. Also, Fred Meyer locations experienced a decrease in rent (a component of Cost of Goods Sold) due to a revision in the lease agreement which became effective in January 2004. This resulted in savings of approximately $280,000 during the second quarter of 2004 compared to 2003 and favorably impacted the gross margin percentage by approximately 0.5%</w:t>
      </w:r>
    </w:p>
    <w:p>
      <w:pPr>
        <w:spacing w:after="0" w:line="17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Other gross profit represents 1) premium revenue less claims expenses for a managed care insurance product that we sell in California, 2) the gross profit on eyeglass manufacturing for a small independent optical chain and 3) revenue from eye exams in excess of the vision insurance premium from the California managed care insurance product (patient co-payment).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6" w:name="page17"/>
    <w:bookmarkEnd w:id="16"/>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(“SG&amp;A expense”). </w:t>
      </w:r>
      <w:r>
        <w:rPr>
          <w:rFonts w:ascii="Arial" w:cs="Arial" w:eastAsia="Arial" w:hAnsi="Arial"/>
          <w:sz w:val="18"/>
          <w:szCs w:val="18"/>
          <w:color w:val="auto"/>
        </w:rPr>
        <w:t>SG&amp;A expense includes both store operating expenses and home office overhead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shown below (dollars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3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color w:val="auto"/>
              </w:rPr>
              <w:t>Three Months Ended</w:t>
            </w:r>
          </w:p>
        </w:tc>
        <w:tc>
          <w:tcPr>
            <w:tcW w:w="1000" w:type="dxa"/>
            <w:vAlign w:val="bottom"/>
            <w:tcBorders>
              <w:bottom w:val="single" w:sz="8" w:color="auto"/>
            </w:tcBorders>
          </w:tcPr>
          <w:p>
            <w:pPr>
              <w:spacing w:after="0"/>
              <w:rPr>
                <w:sz w:val="19"/>
                <w:szCs w:val="19"/>
                <w:color w:val="auto"/>
              </w:rPr>
            </w:pPr>
          </w:p>
        </w:tc>
      </w:tr>
      <w:tr>
        <w:trPr>
          <w:trHeight w:val="211"/>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900"/>
              <w:spacing w:after="0"/>
              <w:rPr>
                <w:sz w:val="20"/>
                <w:szCs w:val="20"/>
                <w:color w:val="auto"/>
              </w:rPr>
            </w:pPr>
            <w:r>
              <w:rPr>
                <w:rFonts w:ascii="Arial" w:cs="Arial" w:eastAsia="Arial" w:hAnsi="Arial"/>
                <w:sz w:val="18"/>
                <w:szCs w:val="18"/>
                <w:color w:val="auto"/>
              </w:rPr>
              <w:t>July 3, 2004</w:t>
            </w:r>
          </w:p>
        </w:tc>
        <w:tc>
          <w:tcPr>
            <w:tcW w:w="200" w:type="dxa"/>
            <w:vAlign w:val="bottom"/>
          </w:tcPr>
          <w:p>
            <w:pPr>
              <w:spacing w:after="0"/>
              <w:rPr>
                <w:sz w:val="18"/>
                <w:szCs w:val="18"/>
                <w:color w:val="auto"/>
              </w:rPr>
            </w:pPr>
          </w:p>
        </w:tc>
        <w:tc>
          <w:tcPr>
            <w:tcW w:w="1920" w:type="dxa"/>
            <w:vAlign w:val="bottom"/>
            <w:gridSpan w:val="3"/>
          </w:tcPr>
          <w:p>
            <w:pPr>
              <w:jc w:val="right"/>
              <w:ind w:right="492"/>
              <w:spacing w:after="0"/>
              <w:rPr>
                <w:sz w:val="20"/>
                <w:szCs w:val="20"/>
                <w:color w:val="auto"/>
              </w:rPr>
            </w:pPr>
            <w:r>
              <w:rPr>
                <w:rFonts w:ascii="Arial" w:cs="Arial" w:eastAsia="Arial" w:hAnsi="Arial"/>
                <w:sz w:val="18"/>
                <w:szCs w:val="18"/>
                <w:color w:val="auto"/>
              </w:rPr>
              <w:t>June 28, 2003</w:t>
            </w:r>
          </w:p>
        </w:tc>
      </w:tr>
      <w:tr>
        <w:trPr>
          <w:trHeight w:val="215"/>
        </w:trPr>
        <w:tc>
          <w:tcPr>
            <w:tcW w:w="3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 of Total</w:t>
            </w:r>
          </w:p>
        </w:tc>
      </w:tr>
      <w:tr>
        <w:trPr>
          <w:trHeight w:val="223"/>
        </w:trPr>
        <w:tc>
          <w:tcPr>
            <w:tcW w:w="3240" w:type="dxa"/>
            <w:vAlign w:val="bottom"/>
          </w:tcPr>
          <w:p>
            <w:pPr>
              <w:spacing w:after="0"/>
              <w:rPr>
                <w:sz w:val="19"/>
                <w:szCs w:val="19"/>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Amount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Revenue</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Amount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Revenue</w:t>
            </w:r>
          </w:p>
        </w:tc>
      </w:tr>
      <w:tr>
        <w:trPr>
          <w:trHeight w:val="211"/>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18,771</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Store depreciation &amp; amortization</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1"/>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Field supervision</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Corporate support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5,566</w:t>
            </w:r>
          </w:p>
        </w:tc>
        <w:tc>
          <w:tcPr>
            <w:tcW w:w="3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1"/>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contractual rights</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Other depreciation &amp; amortization</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1"/>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SG&amp;A expense</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Store operating expenses declined in the current year quarter compared to the prior year quarter primarily as a result of a $400,000 reduction in payroll and benefits costs. We believe that achieving the strong sales increase in the current year quarter while reducing payroll and benefits costs is evidence that our new personnel scheduling and incentive plans are working effectively to increase sales and control employee costs. A reduction in telephone, supplies and managed care claims processing costs also contributed to our expense savings in the current year quarter.</w:t>
      </w:r>
    </w:p>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Store depreciation and amortization costs declined in the current year quarter due to leasehold improvements and equipment at some stores becoming fully depreciated. We expect the year-over year decline in depreciation expense to continue.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Field supervision expense declined in the current year quarter due to a reduction in the number of district managers.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increase in corporate support in the current year quarter was attributable to accruals made for incentive compensation expense. Because of improvement in our earnings year-over-year, we accrued approximately $1.4 million in the current year quarter whereas in the previous year we reversed accruals of $80,000 that had been recorded in the first fiscal quarter. Declines in professional fees ($0.6 million) and retail support center payroll and benefits ($0.2 million) partially offset this increase. The reduction in professional fees was the result of unusually high audit and tax return preparation fees in the prior year quarter, during which a re-audit of 2001 financial statements was conducted after Deloitte &amp; Touche replaced Arthur Andersen as our auditing firm in 2002. The decrease in payroll and benefits cost was attributable to corporate office staff reductions made subsequent to last year’s second quarter.</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The outstanding balance of our Senior Subordinated Notes is the primary driver of interest expense. Interest expense declined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$0.4 million in the second quarter of 2004 compared to the second quarter of 2003 due to principal repayments and Note repurchases made during the second half of 2003 and the first six months of 2004.</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Gain on Repurchase of Notes</w:t>
      </w:r>
      <w:r>
        <w:rPr>
          <w:rFonts w:ascii="Arial" w:cs="Arial" w:eastAsia="Arial" w:hAnsi="Arial"/>
          <w:sz w:val="18"/>
          <w:szCs w:val="18"/>
          <w:color w:val="auto"/>
        </w:rPr>
        <w:t>. During the second quarter of 2004, we repurchased Notes with a par value of $14.1 million for total cash payments of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resulting in a gain of $2.9 million.</w:t>
      </w:r>
    </w:p>
    <w:p>
      <w:pPr>
        <w:spacing w:after="0" w:line="18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income tax expense in the current year three-month period is based on the amount we expect to pay under federal alternative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minimum tax provisions and in states in which our taxable income can not be offset by our net operating loss carryforwards.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Discontinued Operations. </w:t>
      </w:r>
      <w:r>
        <w:rPr>
          <w:rFonts w:ascii="Arial" w:cs="Arial" w:eastAsia="Arial" w:hAnsi="Arial"/>
          <w:sz w:val="16"/>
          <w:szCs w:val="16"/>
          <w:color w:val="auto"/>
        </w:rPr>
        <w:t>During the second quarter of 2004, we closed 14 vision centers. Eight closings were the result of lease expirations. The remaining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closures were under-performing vision centers in Wal-Mart that were closed prior to their scheduled lease expiration. In addition, during the first quarter of 2004 and fiscal year 2003, we closed 19 and 54 vision centers, respectively. The net gain or (loss) on disposal of these operations includes severance, closing costs and gains recorded from the sale of certain assets. Historical operating results for these closed vision centers have been reclassified as discontinued operations and presented separately for all periods presented in the accompanying Condensed Consolidated Statements of Operations. Condensed information for these closed stores is presented below (dollars in thousands):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tbl>
      <w:tblPr>
        <w:tblLayout w:type="fixed"/>
        <w:tblInd w:w="540" w:type="dxa"/>
        <w:tblCellMar>
          <w:top w:w="0" w:type="dxa"/>
          <w:left w:w="0" w:type="dxa"/>
          <w:bottom w:w="0" w:type="dxa"/>
          <w:right w:w="0" w:type="dxa"/>
        </w:tblCellMar>
      </w:tblPr>
      <w:tr>
        <w:trPr>
          <w:trHeight w:val="223"/>
        </w:trPr>
        <w:tc>
          <w:tcPr>
            <w:tcW w:w="2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8"/>
                <w:szCs w:val="18"/>
                <w:color w:val="auto"/>
                <w:w w:val="99"/>
              </w:rPr>
              <w:t>Three Months Ended</w:t>
            </w:r>
          </w:p>
        </w:tc>
      </w:tr>
      <w:tr>
        <w:trPr>
          <w:trHeight w:val="211"/>
        </w:trPr>
        <w:tc>
          <w:tcPr>
            <w:tcW w:w="210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July 3, 2004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84"/>
              </w:rPr>
              <w:t>June 28, 2003</w:t>
            </w:r>
          </w:p>
        </w:tc>
      </w:tr>
      <w:tr>
        <w:trPr>
          <w:trHeight w:val="210"/>
        </w:trPr>
        <w:tc>
          <w:tcPr>
            <w:tcW w:w="2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1"/>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3, 2004 COMPARED TO SIX MONTHS ENDED JUNE 28,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Retail Sales, Net. </w:t>
      </w:r>
      <w:r>
        <w:rPr>
          <w:rFonts w:ascii="Arial" w:cs="Arial" w:eastAsia="Arial" w:hAnsi="Arial"/>
          <w:sz w:val="18"/>
          <w:szCs w:val="18"/>
          <w:color w:val="auto"/>
        </w:rPr>
        <w:t>In the current year six-month period, total domestic comparable store sales were up 11.0% over the prior year six-month period.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 shows the components of the change in retail sales (amounts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2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8"/>
                <w:szCs w:val="18"/>
                <w:color w:val="auto"/>
              </w:rPr>
              <w:t>Six Months Ended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2"/>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July 3, 2004</w:t>
            </w:r>
          </w:p>
        </w:tc>
        <w:tc>
          <w:tcPr>
            <w:tcW w:w="14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w w:val="89"/>
              </w:rPr>
              <w:t>June 28,2003</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 Change</w:t>
            </w:r>
          </w:p>
        </w:tc>
      </w:tr>
      <w:tr>
        <w:trPr>
          <w:trHeight w:val="210"/>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 comparable store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116,338</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Domestic - other (a)</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1"/>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5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Total retail sales, net</w:t>
            </w: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119,276</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800" w:right="920" w:hanging="321"/>
        <w:spacing w:after="0" w:line="370" w:lineRule="auto"/>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This category includes vision center stores that were not operating during the prior year six-month period and therefore were not part of the domestic comparable store sales calculation and two home medical equipment stores that opened in the current year six-month period.</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mid June of the current year we held our semi-annual contact lens event, which generated net sales of approximately $4.4 million. In the prior year, this event was held in late June and the revenue from the event was recorded in July 2003 (therefore in the third fiscal quarter) when the product was delivered to our customers. Excluding sales generated from this event, domestic comparable stores sales in the current year six-month period were up 6.8% over the prior year six-month period.</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May 2003, we began offering a twelve-month extended warranty plan in our Wal-Mart vision centers to provide for repair and replacement service during the first year after purchase. Revenue recognized during the current year six-month period was approximately $2.6 million compared to $65,000 during the prior year six-month period. Approximately 50% of our eyeglass transactions during the current year six-month period included an extended warranty purchase. We expect the increases in revenue due to warranty sales to have a continued favorable impact on the remainder of 2004, but to a lesser extent than in the current six months. This revenue is reflected within “Retail sales, net” in our Condensed Consolidated Statements of Operations.</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remaining increase in retail net sales during the current year six-month period was attributable to a variety of operational improvements in our stores. During the first half of 2004, we continued to benefit from changes made during the course of 2003 to help drive domestic sales. Although it is difficult to quantify the impact of each of these activities, we believe the following factors had the most significant impact on our retail domestic comparable store sales increases in the first six months of 2004.</w:t>
      </w:r>
    </w:p>
    <w:p>
      <w:pPr>
        <w:spacing w:after="0" w:line="197" w:lineRule="exact"/>
        <w:rPr>
          <w:sz w:val="20"/>
          <w:szCs w:val="20"/>
          <w:color w:val="auto"/>
        </w:rPr>
      </w:pPr>
    </w:p>
    <w:p>
      <w:pPr>
        <w:ind w:left="1100" w:right="720" w:hanging="1092"/>
        <w:spacing w:after="0" w:line="259"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2003, we implemented significant merchandising changes in every major category (frames, spectacle lenses and contact lenses) to modernize our collection and simplify the presentation for the customer. The most significant category changes affecting the current six months are as follows:</w:t>
      </w:r>
    </w:p>
    <w:p>
      <w:pPr>
        <w:spacing w:after="0" w:line="194" w:lineRule="exact"/>
        <w:rPr>
          <w:rFonts w:ascii="Arial" w:cs="Arial" w:eastAsia="Arial" w:hAnsi="Arial"/>
          <w:sz w:val="18"/>
          <w:szCs w:val="18"/>
          <w:color w:val="auto"/>
        </w:rPr>
      </w:pPr>
    </w:p>
    <w:p>
      <w:pPr>
        <w:ind w:left="1100" w:right="560" w:hanging="354"/>
        <w:spacing w:after="0" w:line="256"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first quarter of 2003, we updated our frame collection to modernize and simplify our presentation. As part of this process, we substantially reduced the number of frame vendors, consolidated price points, and enhanced the presentation of frames to make them more brand focused for the customer, and easier to manage for our associates. We fully benefited from this change in the first six months of 2004 compared with only a portion of the prior year six-month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8" w:name="page19"/>
    <w:bookmarkEnd w:id="18"/>
    <w:p>
      <w:pPr>
        <w:ind w:left="1100" w:right="900" w:hanging="364"/>
        <w:spacing w:after="0" w:line="259"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During the first half of 2003, we aligned our contact lens selection with the products most frequently prescribed by our independent doctors. This favorably impacted our contact lens sales for the first six months of 2004 which are up approximately 7% over the prior year six-month period exclusive of the June 2004 contact lens event described below.</w:t>
      </w:r>
    </w:p>
    <w:p>
      <w:pPr>
        <w:spacing w:after="0" w:line="194" w:lineRule="exact"/>
        <w:rPr>
          <w:rFonts w:ascii="Arial" w:cs="Arial" w:eastAsia="Arial" w:hAnsi="Arial"/>
          <w:sz w:val="18"/>
          <w:szCs w:val="18"/>
          <w:color w:val="auto"/>
        </w:rPr>
      </w:pPr>
    </w:p>
    <w:p>
      <w:pPr>
        <w:ind w:left="1100" w:right="1060" w:hanging="354"/>
        <w:spacing w:after="0" w:line="268"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During the first quarter of 2004, we refined the selection of single-vision lenses stocked in the stores to allow more eyeglasses to be manufactured in the store and to improve delivery times for most single vision eyeglass customers.</w:t>
      </w:r>
    </w:p>
    <w:p>
      <w:pPr>
        <w:spacing w:after="0" w:line="185" w:lineRule="exact"/>
        <w:rPr>
          <w:rFonts w:ascii="Arial" w:cs="Arial" w:eastAsia="Arial" w:hAnsi="Arial"/>
          <w:sz w:val="18"/>
          <w:szCs w:val="18"/>
          <w:color w:val="auto"/>
        </w:rPr>
      </w:pPr>
    </w:p>
    <w:p>
      <w:pPr>
        <w:ind w:left="1100" w:right="680" w:hanging="1092"/>
        <w:spacing w:after="0" w:line="259" w:lineRule="auto"/>
        <w:tabs>
          <w:tab w:leader="none" w:pos="11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2003, we restructured our personnel scheduling at the store-level to provide for consistent coverage based on operating needs by sales volume levels. We now review personnel scheduling on an ongoing basis to ensure that our stores are most efficiently staffed to meet customer needs.</w:t>
      </w:r>
    </w:p>
    <w:p>
      <w:pPr>
        <w:spacing w:after="0" w:line="194" w:lineRule="exact"/>
        <w:rPr>
          <w:rFonts w:ascii="Arial" w:cs="Arial" w:eastAsia="Arial" w:hAnsi="Arial"/>
          <w:sz w:val="18"/>
          <w:szCs w:val="18"/>
          <w:color w:val="auto"/>
        </w:rPr>
      </w:pPr>
    </w:p>
    <w:p>
      <w:pPr>
        <w:ind w:left="1100" w:hanging="1092"/>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amended our incentive programs to increase potential participation by, and therefore the productivity of, our associates.</w:t>
      </w:r>
    </w:p>
    <w:p>
      <w:pPr>
        <w:spacing w:after="0" w:line="225"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b w:val="1"/>
          <w:bCs w:val="1"/>
          <w:i w:val="1"/>
          <w:iCs w:val="1"/>
          <w:color w:val="auto"/>
        </w:rPr>
        <w:t xml:space="preserve">Premium Revenue. </w:t>
      </w:r>
      <w:r>
        <w:rPr>
          <w:rFonts w:ascii="Arial" w:cs="Arial" w:eastAsia="Arial" w:hAnsi="Arial"/>
          <w:sz w:val="15"/>
          <w:szCs w:val="15"/>
          <w:color w:val="auto"/>
        </w:rPr>
        <w:t>The increase in premium revenue for vision examination insurance can be largely attributed to increased enrollments in our California health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maintenance organization. The HMO had approximately 164,000 members as of July 3, 2004 compared to approximately 103,500 members as of June 28, 2003.</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color w:val="auto"/>
        </w:rPr>
        <w:t>. In 2003, we began manufacturing eyeglasses for a small retail optical company. Total revenue from this line of business was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$168,000 more than the prior year six-month period ended June 28, 2003. In January 2004, we began operating optometric examination offices in certain California Wal-Mart stores in which Wal-Mart operates a vision center. Revenue from patient co-payments was approximately $116,000 for the six-month period ended July 3, 2004.</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color w:val="auto"/>
        </w:rPr>
        <w:t>. In the current year six-month period, gross profit dollars increased over gross profit dollars in the prior year six-month period. The components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and gross profit for these periods are detailed below (dollars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Six Months Ended</w:t>
            </w:r>
          </w:p>
        </w:tc>
        <w:tc>
          <w:tcPr>
            <w:tcW w:w="560" w:type="dxa"/>
            <w:vAlign w:val="bottom"/>
            <w:tcBorders>
              <w:bottom w:val="single" w:sz="8" w:color="auto"/>
            </w:tcBorders>
          </w:tcPr>
          <w:p>
            <w:pPr>
              <w:spacing w:after="0"/>
              <w:rPr>
                <w:sz w:val="19"/>
                <w:szCs w:val="19"/>
                <w:color w:val="auto"/>
              </w:rPr>
            </w:pPr>
          </w:p>
        </w:tc>
      </w:tr>
      <w:tr>
        <w:trPr>
          <w:trHeight w:val="237"/>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0"/>
              </w:rPr>
              <w:t>July 3, 2004</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85"/>
              </w:rPr>
              <w:t>June 28, 2003</w:t>
            </w:r>
          </w:p>
        </w:tc>
        <w:tc>
          <w:tcPr>
            <w:tcW w:w="560" w:type="dxa"/>
            <w:vAlign w:val="bottom"/>
            <w:tcBorders>
              <w:bottom w:val="single" w:sz="8" w:color="auto"/>
            </w:tcBorders>
          </w:tcPr>
          <w:p>
            <w:pPr>
              <w:spacing w:after="0"/>
              <w:rPr>
                <w:sz w:val="20"/>
                <w:szCs w:val="20"/>
                <w:color w:val="auto"/>
              </w:rPr>
            </w:pPr>
          </w:p>
        </w:tc>
      </w:t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Retail sales, net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119,276</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107,223</w:t>
            </w: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5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cost of goods sold</w:t>
            </w:r>
          </w:p>
        </w:tc>
        <w:tc>
          <w:tcPr>
            <w:tcW w:w="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50,305</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46,323</w:t>
            </w:r>
          </w:p>
        </w:tc>
        <w:tc>
          <w:tcPr>
            <w:tcW w:w="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2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Retail gross profit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60,900</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Premium revenue and other revenue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3,601</w:t>
            </w: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5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cost of sales</w:t>
            </w:r>
          </w:p>
        </w:tc>
        <w:tc>
          <w:tcPr>
            <w:tcW w:w="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r>
      <w:tr>
        <w:trPr>
          <w:trHeight w:val="22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gross profit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123,870</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110,824</w:t>
            </w: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5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53,699</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49,346</w:t>
            </w:r>
          </w:p>
        </w:tc>
        <w:tc>
          <w:tcPr>
            <w:tcW w:w="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2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61,478</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retail gross margin to 57.8% in 2004 compared to 56.8% in 2003 was primarily the result of three factors:</w:t>
      </w:r>
    </w:p>
    <w:p>
      <w:pPr>
        <w:spacing w:after="0" w:line="252"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An increase in revenue recognized from the sale of twelve-month extended warranties to $2,580,000 in the first six months of 2004 from $65,000 in the first six months of 2003, which improved margins as a percent of sales by approximately 0.9%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Fred Meyer locations experienced a decrease in rent (a component of Cost of Goods Sold) due to a revision in the lease agreement which became effective in January 2004. This resulted in savings of approximately $600,000 during the first six months of 2004 compared to the first six months of 2003 and favorably impacted the gross margin percentage by approximately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540" w:right="80"/>
        <w:spacing w:after="0" w:line="342" w:lineRule="auto"/>
        <w:rPr>
          <w:sz w:val="20"/>
          <w:szCs w:val="20"/>
          <w:color w:val="auto"/>
        </w:rPr>
      </w:pPr>
      <w:r>
        <w:rPr>
          <w:rFonts w:ascii="Arial" w:cs="Arial" w:eastAsia="Arial" w:hAnsi="Arial"/>
          <w:sz w:val="16"/>
          <w:szCs w:val="16"/>
          <w:color w:val="auto"/>
        </w:rPr>
        <w:t>Eyeglass margins improved during the first six months of 2004 compared to the prior year due to a change in lens offering and a reduction in remake and warranty claims. In the second half of 2003, we began testing different lens offerings to improve eyeglass profit margins and simplify customer presentation. We have substantially completed the first phase of our lens test, but expect this process to continue throughout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-463550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Partially offsetting these improvements in the retail gross margin percentage was a shift in product mix to a higher percentage of contact lens sales and a lower percentage of eyeglass sales. Contact lens sales increased by $5.7 million in the first six months of 2004 to $24.6 million or 20.6% of retail net sales compared to $18.9 million or 17.6% of retail net sales in the first six months of 2003. The June contact lens event accounted for approximately $4.4 million of the increase. Contact lens sales yield a lower margin than do eyeglass sales. While our eyeglass sales increased $4.1 million in the first six months of 2004 to $88.6 million from $84.5 million in the first six months of 2003, as a percentage of retail net sales they declined to 74.3% from 78.8% in 2003.</w:t>
      </w:r>
    </w:p>
    <w:p>
      <w:pPr>
        <w:spacing w:after="0" w:line="17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Other gross profit represents 1) premium revenue less claims expenses for a managed care insurance product that we sell in California, 2) the gross profit on eyeglass manufacturing for a small independent optical chain and 3) revenue from eye exams in excess of the vision insurance premium from the California managed care insurance product.</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(“SG&amp;A expense”). </w:t>
      </w:r>
      <w:r>
        <w:rPr>
          <w:rFonts w:ascii="Arial" w:cs="Arial" w:eastAsia="Arial" w:hAnsi="Arial"/>
          <w:sz w:val="18"/>
          <w:szCs w:val="18"/>
          <w:color w:val="auto"/>
        </w:rPr>
        <w:t>SG&amp;A expense includes both store operating expenses and home office overhead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shown below (dollars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color w:val="auto"/>
              </w:rPr>
              <w:t>Six Months Ended</w:t>
            </w:r>
          </w:p>
        </w:tc>
        <w:tc>
          <w:tcPr>
            <w:tcW w:w="1120" w:type="dxa"/>
            <w:vAlign w:val="bottom"/>
            <w:tcBorders>
              <w:bottom w:val="single" w:sz="8" w:color="auto"/>
            </w:tcBorders>
          </w:tcPr>
          <w:p>
            <w:pPr>
              <w:spacing w:after="0"/>
              <w:rPr>
                <w:sz w:val="19"/>
                <w:szCs w:val="19"/>
                <w:color w:val="auto"/>
              </w:rPr>
            </w:pPr>
          </w:p>
        </w:tc>
      </w:tr>
      <w:tr>
        <w:trPr>
          <w:trHeight w:val="211"/>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ind w:left="620"/>
              <w:spacing w:after="0"/>
              <w:rPr>
                <w:sz w:val="20"/>
                <w:szCs w:val="20"/>
                <w:color w:val="auto"/>
              </w:rPr>
            </w:pPr>
            <w:r>
              <w:rPr>
                <w:rFonts w:ascii="Arial" w:cs="Arial" w:eastAsia="Arial" w:hAnsi="Arial"/>
                <w:sz w:val="18"/>
                <w:szCs w:val="18"/>
                <w:color w:val="auto"/>
              </w:rPr>
              <w:t>July 3, 2004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3"/>
          </w:tcPr>
          <w:p>
            <w:pPr>
              <w:jc w:val="right"/>
              <w:ind w:right="652"/>
              <w:spacing w:after="0"/>
              <w:rPr>
                <w:sz w:val="20"/>
                <w:szCs w:val="20"/>
                <w:color w:val="auto"/>
              </w:rPr>
            </w:pPr>
            <w:r>
              <w:rPr>
                <w:rFonts w:ascii="Arial" w:cs="Arial" w:eastAsia="Arial" w:hAnsi="Arial"/>
                <w:sz w:val="18"/>
                <w:szCs w:val="18"/>
                <w:color w:val="auto"/>
              </w:rPr>
              <w:t>June 28, 2003</w:t>
            </w:r>
          </w:p>
        </w:tc>
      </w:tr>
      <w:tr>
        <w:trPr>
          <w:trHeight w:val="215"/>
        </w:trPr>
        <w:tc>
          <w:tcPr>
            <w:tcW w:w="3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 of Total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 of Total</w:t>
            </w:r>
          </w:p>
        </w:tc>
      </w:tr>
      <w:tr>
        <w:trPr>
          <w:trHeight w:val="223"/>
        </w:trPr>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Revenue</w:t>
            </w:r>
          </w:p>
        </w:tc>
      </w:tr>
      <w:tr>
        <w:trPr>
          <w:trHeight w:val="211"/>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37,835</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38,350</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Store depreciation &amp; amortization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1,985</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2,980</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1"/>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Field supervision</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Corporate support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12,539</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10,298</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1"/>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contractual rights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Other depreciation &amp; amortization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1"/>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SG&amp;A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Store operating expenses declined in the current year six-month period compared to the prior year primarily as a result of reductions in payroll and benefits, telephone, supplies and managed care claims processing costs. Payroll savings were attributable to our new personnel scheduling and incentive plans implemented to control employee costs. Negotiation of new contracts for telephone service and implementation of a new managed care claims system generated the savings in these areas. Supply costs were down compared to the prior year six-month period because the prior year included large expenses necessitated by the many operational changes made in the stores during 2003 to improve sales and margins.</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Store depreciation and amortization costs declined in the current year six-month period due to leasehold improvements and equipment at some stores becoming fully depreciated. We expect the year-over year decline in depreciation expense to continue.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Field supervision expense declined in the current year six-month period due to a reduction in the number of regional and district managers.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increase in corporate support in the current year six-month period was attributable to accruals made for incentive compensation expense. Because of improvement in our earnings year-over-year, during the first six months of the current year we have accrued approximately $3.7 million for payments expected to be made under various incentive plans. In the same period last year, there were no net incentive plan accruals because we had not met our targeted operating results. Declines in professional fees ($0.9 million) and retail support center payroll and benefits ($0.4 million) partially offset this increase. The reduction in professional fees was the result of operational consulting fees and unusually high audit and tax return preparation fees incurred in the prior year period. The decrease in payroll and benefits costs was attributable to corporate office staff reductions made in the second half of 2003.</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58" w:right="279" w:bottom="1440" w:gutter="0" w:footer="0" w:header="0"/>
        </w:sectPr>
      </w:pPr>
    </w:p>
    <w:bookmarkStart w:id="20" w:name="page21"/>
    <w:bookmarkEnd w:id="20"/>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The outstanding balance of our Senior Subordinated Notes is the primary driver of interest expense. Interest expense declined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$0.9 million in the six-month period ended July 3, 2004 compared to the six-month period ended June 28, 2003 due to principal repayments and Note repurchases made during the second half of 2003 and the first six months of 2004.</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Gain on Repurchase of Notes</w:t>
      </w:r>
      <w:r>
        <w:rPr>
          <w:rFonts w:ascii="Arial" w:cs="Arial" w:eastAsia="Arial" w:hAnsi="Arial"/>
          <w:sz w:val="18"/>
          <w:szCs w:val="18"/>
          <w:color w:val="auto"/>
        </w:rPr>
        <w:t>. During the second quarter of 2004, we repurchased Notes with a par value of $14.1 million for total cash payments of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resulting in a gain of $2.9 million.</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income tax expense in the current year six-month period is based on the amount we expect to pay under federal alternative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provisions and in states in which our taxable income can not be offset by our net operating loss carryforwards.</w:t>
      </w:r>
    </w:p>
    <w:p>
      <w:pPr>
        <w:spacing w:after="0" w:line="1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During the current year six-month period, we closed 33 vision centers. Twenty closings were the result of lease expirations.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13 closures were under-performing vision centers in Wal-Mart that were closed prior to their scheduled lease expiration. In addition, during the 2003 fiscal year, we closed 54 vision centers. The net loss on disposal of these operations includes severance, closing costs and gains recorded from the sale of certain assets. Historical operating results for these closed vision centers have been reclassified as discontinued operations and presented separately for all periods presented in the accompanying Condensed Consolidated Statements of Operations. Condensed information for these closed stores is presented below (dollars in thousands):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2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18"/>
                <w:szCs w:val="18"/>
                <w:color w:val="auto"/>
                <w:w w:val="90"/>
              </w:rPr>
              <w:t>Six Months Ended</w:t>
            </w:r>
          </w:p>
        </w:tc>
      </w:tr>
      <w:tr>
        <w:trPr>
          <w:trHeight w:val="211"/>
        </w:trPr>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July 3, 2004</w:t>
            </w:r>
          </w:p>
        </w:tc>
        <w:tc>
          <w:tcPr>
            <w:tcW w:w="26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4"/>
              </w:rPr>
              <w:t>June 28, 2003</w:t>
            </w:r>
          </w:p>
        </w:tc>
      </w:tr>
      <w:tr>
        <w:trPr>
          <w:trHeight w:val="210"/>
        </w:trPr>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13,496</w:t>
            </w: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(97)</w:t>
            </w:r>
          </w:p>
        </w:tc>
      </w:tr>
      <w:tr>
        <w:trPr>
          <w:trHeight w:val="23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(126)</w:t>
            </w:r>
          </w:p>
        </w:tc>
      </w:tr>
    </w:tbl>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Cumulative Effect of a Change in Accounting Principle. </w:t>
      </w:r>
      <w:r>
        <w:rPr>
          <w:rFonts w:ascii="Arial" w:cs="Arial" w:eastAsia="Arial" w:hAnsi="Arial"/>
          <w:sz w:val="16"/>
          <w:szCs w:val="16"/>
          <w:color w:val="auto"/>
        </w:rPr>
        <w:t>At the beginning of fiscal 2003, we adopted Emerging Issues Task Force Issue No. 02 - 16,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by a Customer for Certain Consideration Received from a Vendor” (“EITF 02-16”). This Issue addresses the method by which retailers account for vendor allowances. As a result of the adoption of EITF 02-16, certain vendor allowances, which formerly were treated as a reduction in advertising costs, are presented as a reduction of inventory cost and subsequently as a component of cost of goods sold. On the first day of fiscal 2003, we recorded additional expense of $564,000 as the cumulative effect for this change in accounting principle. This amount reflects the portion of vendor allowances that would have reduced inventory costs had this new accounting pronouncement been in effect at the end of 2002.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refer to EBITDA in this document. EBITDA is calculated as net earnings before interest, taxes, depreciation amortization, cumulative effect of a change in accounting principle, non-cash items, and reorganization items as defined in the terms of our Senior Subordinated Notes Indenture (“the Indenture”). We refer to EBITDA because:</w:t>
      </w:r>
    </w:p>
    <w:p>
      <w:pPr>
        <w:spacing w:after="0" w:line="221" w:lineRule="exact"/>
        <w:rPr>
          <w:sz w:val="20"/>
          <w:szCs w:val="20"/>
          <w:color w:val="auto"/>
        </w:rPr>
      </w:pPr>
    </w:p>
    <w:p>
      <w:pPr>
        <w:jc w:val="both"/>
        <w:ind w:left="540" w:right="4020"/>
        <w:spacing w:after="0" w:line="367" w:lineRule="auto"/>
        <w:rPr>
          <w:sz w:val="20"/>
          <w:szCs w:val="20"/>
          <w:color w:val="auto"/>
        </w:rPr>
      </w:pPr>
      <w:r>
        <w:rPr>
          <w:rFonts w:ascii="Arial" w:cs="Arial" w:eastAsia="Arial" w:hAnsi="Arial"/>
          <w:sz w:val="16"/>
          <w:szCs w:val="16"/>
          <w:color w:val="auto"/>
        </w:rPr>
        <w:t>it is used in the calculation of the excess cash flow principal repayment under our Indenture; and it is a widely accepted financial indicator of a company’s ability to service or incur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-321310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-167005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EBITDA does not represent cash flow from operations as defined by generally accepted accounting principles, is not necessarily indicative of cash available to fund all cash flow needs, should not be considered an alternative to net income or to cash flow from operations (as determined in accordance with GAAP) and should not be considered an indication of our operating performance or as a measure of liquidity. EBITDA is not necessarily comparable to similarly titled measures for other companies.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is a reconciliation of net earnings to EBITDA:</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9"/>
                <w:szCs w:val="19"/>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w w:val="90"/>
              </w:rPr>
              <w:t>Six Months Ended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July 3, 2004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4"/>
              </w:rPr>
              <w:t>June 28, 2003</w:t>
            </w:r>
          </w:p>
        </w:tc>
        <w:tc>
          <w:tcPr>
            <w:tcW w:w="4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July 3, 2004</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5"/>
              </w:rPr>
              <w:t>June 28, 2003</w:t>
            </w:r>
          </w:p>
        </w:tc>
        <w:tc>
          <w:tcPr>
            <w:tcW w:w="20" w:type="dxa"/>
            <w:vAlign w:val="bottom"/>
          </w:tcPr>
          <w:p>
            <w:pPr>
              <w:spacing w:after="0"/>
              <w:rPr>
                <w:sz w:val="18"/>
                <w:szCs w:val="18"/>
                <w:color w:val="auto"/>
              </w:rPr>
            </w:pPr>
          </w:p>
        </w:tc>
      </w:tr>
      <w:tr>
        <w:trPr>
          <w:trHeight w:val="425"/>
        </w:trPr>
        <w:tc>
          <w:tcPr>
            <w:tcW w:w="3160" w:type="dxa"/>
            <w:vAlign w:val="bottom"/>
          </w:tcPr>
          <w:p>
            <w:pPr>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4,778</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(2,721)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7,869</w:t>
            </w:r>
          </w:p>
        </w:tc>
        <w:tc>
          <w:tcPr>
            <w:tcW w:w="4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(4,769)</w:t>
            </w:r>
          </w:p>
        </w:tc>
      </w:tr>
      <w:tr>
        <w:trPr>
          <w:trHeight w:val="231"/>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net earnings (loss):</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88"/>
              </w:rPr>
              <w:t>3,241</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5,682</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6,545</w:t>
            </w:r>
          </w:p>
        </w:tc>
        <w:tc>
          <w:tcPr>
            <w:tcW w:w="20" w:type="dxa"/>
            <w:vAlign w:val="bottom"/>
          </w:tcPr>
          <w:p>
            <w:pPr>
              <w:spacing w:after="0"/>
              <w:rPr>
                <w:sz w:val="19"/>
                <w:szCs w:val="19"/>
                <w:color w:val="auto"/>
              </w:rPr>
            </w:pPr>
          </w:p>
        </w:tc>
      </w:tr>
      <w:tr>
        <w:trPr>
          <w:trHeight w:val="231"/>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Gain on repurchase of Notes</w:t>
            </w:r>
          </w:p>
        </w:tc>
        <w:tc>
          <w:tcPr>
            <w:tcW w:w="2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(2,902)</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a change in</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3160" w:type="dxa"/>
            <w:vAlign w:val="bottom"/>
          </w:tcPr>
          <w:p>
            <w:pPr>
              <w:ind w:left="320"/>
              <w:spacing w:after="0"/>
              <w:rPr>
                <w:sz w:val="20"/>
                <w:szCs w:val="20"/>
                <w:color w:val="auto"/>
              </w:rPr>
            </w:pPr>
            <w:r>
              <w:rPr>
                <w:rFonts w:ascii="Arial" w:cs="Arial" w:eastAsia="Arial" w:hAnsi="Arial"/>
                <w:sz w:val="18"/>
                <w:szCs w:val="18"/>
                <w:color w:val="auto"/>
              </w:rPr>
              <w:t>accounting principle</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88"/>
              </w:rPr>
              <w:t>4,019</w:t>
            </w:r>
          </w:p>
        </w:tc>
        <w:tc>
          <w:tcPr>
            <w:tcW w:w="4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4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 w:type="dxa"/>
            <w:vAlign w:val="bottom"/>
          </w:tcPr>
          <w:p>
            <w:pPr>
              <w:spacing w:after="0"/>
              <w:rPr>
                <w:sz w:val="19"/>
                <w:szCs w:val="19"/>
                <w:color w:val="auto"/>
              </w:rPr>
            </w:pPr>
          </w:p>
        </w:tc>
      </w:tr>
      <w:tr>
        <w:trPr>
          <w:trHeight w:val="440"/>
        </w:trPr>
        <w:tc>
          <w:tcPr>
            <w:tcW w:w="3160" w:type="dxa"/>
            <w:vAlign w:val="bottom"/>
          </w:tcPr>
          <w:p>
            <w:pPr>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8,230</w:t>
            </w:r>
          </w:p>
        </w:tc>
        <w:tc>
          <w:tcPr>
            <w:tcW w:w="240" w:type="dxa"/>
            <w:vAlign w:val="bottom"/>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88"/>
              </w:rPr>
              <w:t>4,539</w:t>
            </w:r>
          </w:p>
        </w:tc>
        <w:tc>
          <w:tcPr>
            <w:tcW w:w="480" w:type="dxa"/>
            <w:vAlign w:val="bottom"/>
          </w:tcPr>
          <w:p>
            <w:pPr>
              <w:spacing w:after="0"/>
              <w:rPr>
                <w:sz w:val="24"/>
                <w:szCs w:val="24"/>
                <w:color w:val="auto"/>
              </w:rPr>
            </w:pPr>
          </w:p>
        </w:tc>
        <w:tc>
          <w:tcPr>
            <w:tcW w:w="460" w:type="dxa"/>
            <w:vAlign w:val="bottom"/>
          </w:tcPr>
          <w:p>
            <w:pPr>
              <w:jc w:val="right"/>
              <w:ind w:right="29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17,917</w:t>
            </w:r>
          </w:p>
        </w:tc>
        <w:tc>
          <w:tcPr>
            <w:tcW w:w="4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10,445</w:t>
            </w:r>
          </w:p>
        </w:tc>
        <w:tc>
          <w:tcPr>
            <w:tcW w:w="2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the first half of 2004, we closed 31 of our domestic Wal-Mart vision centers, leaving us with 328 Wal-Mart vision centers at July 3, 2004. We expect to close an additional 17 of these locations in the 2004 third quarter and another 7 in the fourth quarter. In 2003, these 55 stores in the aggregate represented annualized sales of approximately $28.2 million and annualized store-level operating income of $1.9 million. Store-level operating income excludes Corporate overhead and other costs not specifically attributable to individual stores. We presently expect to close 32 domestic Wal-Mart vision centers in 2005. We generally experience sales declines in a stores final month of operations and incur store-closing costs of between $4,000 and $10,000 per location.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agreement with Wal-Mart provides that if our vision center is relocated, the lease term for that location begins again, providing us with a new 9-year initial term plus a 3-year renewal option. Our vision center is typically relocated only in connection with the conversion of the host Wal-Mart store to a SuperCenter. In 2003, 18 of our leases were extended by an average of 117 months as a result of SuperCenter conversions. For the first six months of 2004, 12 of our leases were extended by an average of 83 months as a result of SuperCenter conversions. During the balance of 2004, we expect an additional 5 to 10 lease extensions as a result of SuperCenter conversions.</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July 3, 2004, 157 of our vision centers are located in Wal-Mart SuperCenters and another 13 of our vision centers are located in Wal-Mart stores that we believe could be converted to SuperCenters without involving a relocation of our vision center. Accordingly, we believe that 158 of our vision centers are located within Wal-Mart stores for which our lease term could be extended if Wal-Mart converts the store to a SuperCenter before our lease term expires. We do not know whether any of these host stores will be converted to a SuperCenter.</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operate 47 vision centers in Fred Meyer stores. Under an amendment negotiated during 2003, the leases for all 47 locations will expire on December 31, 2006. At July 3, 2004, we operated 25 vision centers on U.S. Military bases. Each such lease is the result of a successful bid and lease terms vary. As each lease expires, we must submit a new bid to continue operating. We also bid on expiring leases of other vision center operators in an effort to increase the number of military stores we operate. During the first six months of 2004, we opened two new military stores and closed two locations.</w:t>
      </w:r>
    </w:p>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reached an agreement with Wal-Mart de Mexico under which we will close six under-performing locations. We are having ongoing discussions with Wal-Mart de Mexico about our overall business operations in Mexico.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ind w:right="40"/>
        <w:spacing w:after="0" w:line="256" w:lineRule="auto"/>
        <w:rPr>
          <w:sz w:val="20"/>
          <w:szCs w:val="20"/>
          <w:color w:val="auto"/>
        </w:rPr>
      </w:pPr>
      <w:r>
        <w:rPr>
          <w:rFonts w:ascii="Arial" w:cs="Arial" w:eastAsia="Arial" w:hAnsi="Arial"/>
          <w:sz w:val="18"/>
          <w:szCs w:val="18"/>
          <w:color w:val="auto"/>
        </w:rPr>
        <w:t>The following table sets forth the number of our vision center leases that expire each year, assuming that we exercise all available options to extend the terms of the leases, excluding four such options we have declined or expect to decline to renew as of August 2, 2004. Four leases in Mexico under which we presently operate on a month-to-month basis have been included in 2004 expirations. This table reflects only the eight future Wal-Mart SuperCenter conversions which are scheduled at this time.</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Leases Expiring in Fiscal Year</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7"/>
        </w:trPr>
        <w:tc>
          <w:tcPr>
            <w:tcW w:w="2080" w:type="dxa"/>
            <w:vAlign w:val="bottom"/>
          </w:tcPr>
          <w:p>
            <w:pPr>
              <w:spacing w:after="0"/>
              <w:rPr>
                <w:sz w:val="18"/>
                <w:szCs w:val="18"/>
                <w:color w:val="auto"/>
              </w:rPr>
            </w:pPr>
          </w:p>
        </w:tc>
        <w:tc>
          <w:tcPr>
            <w:tcW w:w="180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Remainder</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2010</w:t>
            </w:r>
          </w:p>
        </w:tc>
      </w:tr>
      <w:tr>
        <w:trPr>
          <w:trHeight w:val="228"/>
        </w:trPr>
        <w:tc>
          <w:tcPr>
            <w:tcW w:w="208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of</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jc w:val="center"/>
              <w:ind w:right="52"/>
              <w:spacing w:after="0"/>
              <w:rPr>
                <w:sz w:val="20"/>
                <w:szCs w:val="20"/>
                <w:color w:val="auto"/>
              </w:rPr>
            </w:pPr>
            <w:r>
              <w:rPr>
                <w:rFonts w:ascii="Arial" w:cs="Arial" w:eastAsia="Arial" w:hAnsi="Arial"/>
                <w:sz w:val="18"/>
                <w:szCs w:val="18"/>
                <w:b w:val="1"/>
                <w:bCs w:val="1"/>
                <w:color w:val="auto"/>
                <w:w w:val="93"/>
              </w:rPr>
              <w:t>and</w:t>
            </w:r>
          </w:p>
        </w:tc>
      </w:tr>
      <w:tr>
        <w:trPr>
          <w:trHeight w:val="231"/>
        </w:trPr>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Host Company</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2004</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2008</w:t>
            </w: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15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3"/>
              </w:rPr>
              <w:t>Thereafter</w:t>
            </w:r>
          </w:p>
        </w:tc>
      </w:tr>
      <w:tr>
        <w:trPr>
          <w:trHeight w:val="438"/>
        </w:trPr>
        <w:tc>
          <w:tcPr>
            <w:tcW w:w="2080" w:type="dxa"/>
            <w:vAlign w:val="bottom"/>
          </w:tcPr>
          <w:p>
            <w:pPr>
              <w:spacing w:after="0"/>
              <w:rPr>
                <w:sz w:val="20"/>
                <w:szCs w:val="20"/>
                <w:color w:val="auto"/>
              </w:rPr>
            </w:pPr>
            <w:r>
              <w:rPr>
                <w:rFonts w:ascii="Arial" w:cs="Arial" w:eastAsia="Arial" w:hAnsi="Arial"/>
                <w:sz w:val="18"/>
                <w:szCs w:val="18"/>
                <w:color w:val="auto"/>
              </w:rPr>
              <w:t>Wal-Mart</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2080" w:type="dxa"/>
            <w:vAlign w:val="bottom"/>
          </w:tcPr>
          <w:p>
            <w:pPr>
              <w:ind w:left="220"/>
              <w:spacing w:after="0"/>
              <w:rPr>
                <w:sz w:val="20"/>
                <w:szCs w:val="20"/>
                <w:color w:val="auto"/>
              </w:rPr>
            </w:pPr>
            <w:r>
              <w:rPr>
                <w:rFonts w:ascii="Arial" w:cs="Arial" w:eastAsia="Arial" w:hAnsi="Arial"/>
                <w:sz w:val="18"/>
                <w:szCs w:val="18"/>
                <w:color w:val="auto"/>
              </w:rPr>
              <w:t>Domestic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114</w:t>
            </w:r>
          </w:p>
        </w:tc>
      </w:tr>
      <w:tr>
        <w:trPr>
          <w:trHeight w:val="230"/>
        </w:trPr>
        <w:tc>
          <w:tcPr>
            <w:tcW w:w="2080" w:type="dxa"/>
            <w:vAlign w:val="bottom"/>
          </w:tcPr>
          <w:p>
            <w:pPr>
              <w:ind w:left="220"/>
              <w:spacing w:after="0"/>
              <w:rPr>
                <w:sz w:val="20"/>
                <w:szCs w:val="20"/>
                <w:color w:val="auto"/>
              </w:rPr>
            </w:pPr>
            <w:r>
              <w:rPr>
                <w:rFonts w:ascii="Arial" w:cs="Arial" w:eastAsia="Arial" w:hAnsi="Arial"/>
                <w:sz w:val="18"/>
                <w:szCs w:val="18"/>
                <w:color w:val="auto"/>
              </w:rPr>
              <w:t>Mexico</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9</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Military</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3</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Fred Meyer</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meet with representatives of our host companies on a regular basis and periodically discuss proposed amendments to our master license agreements, as well as expansion opportunities. We can provide no assurances that we will enter into favorable amendments to these agreements or that we will have any opportunities to expand our operations within any of our current host environments.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Since January 3, 2004, our operations have generated cash flow in amounts sufficient to fund operating and interest expense, capital expenditures of $1,735,000, a mandatory principal redemption of our Senior Subordinated Notes of $545,000 and repurchases of Senior Subordinated Notes with a par value of $14.1 million for total cash payments of $11.2 million. We maintain a revolving credit line with Fleet Retail Group (the “Fleet Facility”), but have generally made borrowings under the credit line for only brief periods of time, historically near the end of our fiscal first quarter when several large periodic payments are made. Strong operating results for the first six-months of 2004 made such borrowings unnecessary in the current year.</w:t>
      </w:r>
    </w:p>
    <w:p>
      <w:pPr>
        <w:spacing w:after="0" w:line="17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At July 3, 2004, we had no outstanding borrowings under our Fleet Facility and unused availability of $5.3 million, net of letter of credit requirements. As of August 2, 2004, we had no outstanding borrowings under our Fleet Facility and our unused availability was approximately $4.1 million. We believe that cash generated from operations will be sufficient to satisfy our cash requirements throughout 2004. We intend to use available cash for our ongoing operations, repurchase of Notes and the repayment of principal and interest on our outstanding debt.</w:t>
      </w:r>
    </w:p>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second quarter of 2004 we repurchased $14.1 million of our Notes for a total cash payment of $11.2 million resulting in a gain of $2.9 million. With these repurchases, we have reduced the outstanding balance of our Senior Subordinated Notes to $80.8 million at July 3, 2004 from $95.5 million at January 3, 2004. Our Board of Directors has approved ongoing repurchases of the Notes based on availability of cash and compliance with the requirements of our Fleet Facility. Previously, certain holders of our Notes objected to our repurchase of Notes outside of the redemption procedures provided in the Indenture. We believe that we have the legal right to continue to repurchase Notes in this manner.</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first quarter of 2004, we made a mandatory principal redemption payment of $545,000 on February 28, 2004 to Note holders of record on February 13, 2004. These redemptions are based on the requirements of the indenture and are made at 100% of par. Each principal redemption payment is based on the results for the six-month period ending in June or December, respectively. In addition, we made an interest payment of approximately $5.7 million from existing cash balances on March 31, 2004. Based on our cash position at the end of June, our principal redemption payment will be approximately $2.0 million on August 31, 2004, reducing the outstanding principal balance on the Notes to $78.8 million.</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Company’s capital expenditures have historically been for store openings, relocations and remodeling, and lensmaking and other optometric equipment. During the six months ended July 3, 2004, we have opened two military stores and relocated twelve vision centers within Wal-Mart. During the balance of 2004 we expect to open up to six military locations and to relocate between 5 and 10 vision centers within Wal-Mart. These store openings and relocations are subject to change depending upon construction schedules and other constraints. For each new center, we expect to spend between $40,000 and $60,000 for fixed assets and up to $15,000 for inventory. We also expect to open two freestanding vision centers during the second half of 2004. For each of these vision centers we expect to spend between $140,000 and $175,000 for fixed assets and up to $20,000 for inventory.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160"/>
        <w:spacing w:after="0" w:line="298" w:lineRule="auto"/>
        <w:rPr>
          <w:sz w:val="20"/>
          <w:szCs w:val="20"/>
          <w:color w:val="auto"/>
        </w:rPr>
      </w:pPr>
      <w:r>
        <w:rPr>
          <w:rFonts w:ascii="Arial" w:cs="Arial" w:eastAsia="Arial" w:hAnsi="Arial"/>
          <w:sz w:val="16"/>
          <w:szCs w:val="16"/>
          <w:color w:val="auto"/>
        </w:rPr>
        <w:t>In May 2003, we began offering a twelve month extended warranty plan in our Wal-Mart vision centers to provide for repair and replacement service during the first year after purchase. The new warranty plan has gained considerable consumer acceptance, and we now sell warranties with approximately 50% of all eyeglass transactions. This revenue is deferred over the life of the warranty. Our deferred warranty revenue at July 3, 2004 was approximately $3.3 million. During the six months ended July 3, 2004, we received approximately $3.4 million in cash from the sale of warranties.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ability to utilize our NOL carry-forwards to offset the reversal of timing differences could be limited in the event of a greater than 50% change in our stock ownership, as defined by Section 382 of the Internal Revenue Code (the “Code”). As of July 3, 2004, we estimate that the cumulative change in ownership of our stock, as defined by Section 382 of the Code, is 27% which represents a reduction from our previous estimate of 40% as of April 3, 2004. Any such limitation under Section 382 of the Code would be based on (1) our stock value and the Federal exempt tax rate on the date prior to the ownership change, (2) the amounts of any “built-in gains” (as defined in the Code) on the date of the ownership change, and (3) any gains subsequently realized upon repurchase of debt securities that were outstanding at the date of the ownership change. These limitations could create a cap on the amount of net operating loss carry-forwards that would be deductible for each year going forward until the amount is depleted or the time limitation on these net operating loss carry-forwards expires. A limitation in or loss of our ability to utilize the net operating loss carry-forwards could result in a significant non-cash charge to write down the deferred income tax asset recorded with respect to the NOL carry-forwards. Additionally, following such a change in control we would begin making income tax payments on our taxable income in excess of the net operating loss carry-forward limitation amount.</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late April and early May 2004, we opened two home medical equipment centers inside Wal-Mart stores. As with all of our test concepts, we plan to prudently invest in this new idea until we prove that this concept has the consumer acceptance needed to become our next growth vehicle. As of August 2, 2004, we have invested approximately $187,000 in fixed assets and inventory and have provided funding of approximately $100,000 for operating expenses for these test locations. Other new business concepts that we might pursue could require substantial investments, but none of these efforts are advanced enough at this time to predict what such expenditures might be.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COMMITMENTS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July 3, 2004, we had no capital lease obligations or other long-term debt liabilities except for our Senior Subordinated Notes. The table below sets forth our contractual obligations (amounts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8"/>
          </w:tcPr>
          <w:p>
            <w:pPr>
              <w:ind w:left="320"/>
              <w:spacing w:after="0"/>
              <w:rPr>
                <w:sz w:val="20"/>
                <w:szCs w:val="20"/>
                <w:color w:val="auto"/>
              </w:rPr>
            </w:pPr>
            <w:r>
              <w:rPr>
                <w:rFonts w:ascii="Arial" w:cs="Arial" w:eastAsia="Arial" w:hAnsi="Arial"/>
                <w:sz w:val="18"/>
                <w:szCs w:val="18"/>
                <w:b w:val="1"/>
                <w:bCs w:val="1"/>
                <w:color w:val="auto"/>
              </w:rPr>
              <w:t>Payments due by fiscal year</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2006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2007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2008</w:t>
            </w:r>
          </w:p>
        </w:tc>
        <w:tc>
          <w:tcPr>
            <w:tcW w:w="32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Thereafter</w:t>
            </w:r>
          </w:p>
        </w:tc>
        <w:tc>
          <w:tcPr>
            <w:tcW w:w="18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9"/>
        </w:trPr>
        <w:tc>
          <w:tcPr>
            <w:tcW w:w="140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8"/>
        </w:trPr>
        <w:tc>
          <w:tcPr>
            <w:tcW w:w="1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00" w:type="dxa"/>
            <w:vAlign w:val="bottom"/>
          </w:tcPr>
          <w:p>
            <w:pPr>
              <w:ind w:left="220"/>
              <w:spacing w:after="0"/>
              <w:rPr>
                <w:sz w:val="20"/>
                <w:szCs w:val="20"/>
                <w:color w:val="auto"/>
              </w:rPr>
            </w:pPr>
            <w:r>
              <w:rPr>
                <w:rFonts w:ascii="Arial" w:cs="Arial" w:eastAsia="Arial" w:hAnsi="Arial"/>
                <w:sz w:val="18"/>
                <w:szCs w:val="18"/>
                <w:color w:val="auto"/>
              </w:rPr>
              <w:t>obligations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78,816</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80,822</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0"/>
                <w:szCs w:val="20"/>
                <w:color w:val="auto"/>
              </w:rPr>
            </w:pPr>
            <w:r>
              <w:rPr>
                <w:rFonts w:ascii="Arial" w:cs="Arial" w:eastAsia="Arial" w:hAnsi="Arial"/>
                <w:sz w:val="18"/>
                <w:szCs w:val="18"/>
                <w:color w:val="auto"/>
              </w:rPr>
              <w:t>Operating lease</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400" w:type="dxa"/>
            <w:vAlign w:val="bottom"/>
          </w:tcPr>
          <w:p>
            <w:pPr>
              <w:ind w:left="180"/>
              <w:spacing w:after="0"/>
              <w:rPr>
                <w:sz w:val="20"/>
                <w:szCs w:val="20"/>
                <w:color w:val="auto"/>
              </w:rPr>
            </w:pPr>
            <w:r>
              <w:rPr>
                <w:rFonts w:ascii="Arial" w:cs="Arial" w:eastAsia="Arial" w:hAnsi="Arial"/>
                <w:sz w:val="18"/>
                <w:szCs w:val="18"/>
                <w:color w:val="auto"/>
              </w:rPr>
              <w:t>obligations (b)</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25,023</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20,534</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15,044</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8,113</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4,649</w:t>
            </w:r>
          </w:p>
        </w:tc>
        <w:tc>
          <w:tcPr>
            <w:tcW w:w="3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8,088</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81,451</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0"/>
                <w:szCs w:val="20"/>
                <w:color w:val="auto"/>
              </w:rPr>
            </w:pPr>
            <w:r>
              <w:rPr>
                <w:rFonts w:ascii="Arial" w:cs="Arial" w:eastAsia="Arial" w:hAnsi="Arial"/>
                <w:sz w:val="18"/>
                <w:szCs w:val="18"/>
                <w:color w:val="auto"/>
              </w:rPr>
              <w:t>Purchase</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400" w:type="dxa"/>
            <w:vAlign w:val="bottom"/>
          </w:tcPr>
          <w:p>
            <w:pPr>
              <w:ind w:left="220"/>
              <w:spacing w:after="0"/>
              <w:rPr>
                <w:sz w:val="20"/>
                <w:szCs w:val="20"/>
                <w:color w:val="auto"/>
              </w:rPr>
            </w:pPr>
            <w:r>
              <w:rPr>
                <w:rFonts w:ascii="Arial" w:cs="Arial" w:eastAsia="Arial" w:hAnsi="Arial"/>
                <w:sz w:val="18"/>
                <w:szCs w:val="18"/>
                <w:color w:val="auto"/>
              </w:rPr>
              <w:t>obligations (c)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right="880" w:hanging="488"/>
        <w:spacing w:after="0" w:line="254"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senior subordinated debt agreement provides for semi-annual principal repayments based on the results of operations for the six-month periods ended in June and December, as potentially limited by our cash position at the end of each such period. The timing of future principal repayments is contingent upon future results. The amount presented in 2004 represents the principal payment we expect to make on August 31, 2004 based on our cash position at the end of June 2004. The remaining balance of the Senior Subordinated Notes is presented as due upon maturity in 2009, because the amount of additional semi-annual principal repayments is not known at this time.</w:t>
      </w:r>
    </w:p>
    <w:p>
      <w:pPr>
        <w:spacing w:after="0" w:line="117" w:lineRule="exact"/>
        <w:rPr>
          <w:rFonts w:ascii="Arial" w:cs="Arial" w:eastAsia="Arial" w:hAnsi="Arial"/>
          <w:sz w:val="18"/>
          <w:szCs w:val="18"/>
          <w:color w:val="auto"/>
        </w:rPr>
      </w:pPr>
    </w:p>
    <w:p>
      <w:pPr>
        <w:ind w:left="1180" w:right="740" w:hanging="498"/>
        <w:spacing w:after="0" w:line="256"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lease obligations represent minimum rent payments under our Wal-Mart, Fred Meyer and various military agreements as well as miscellaneous operating equipment leases. The amount presented for 2004 is an annual amount and includes $6.3 million and $12.5 million of operating lease obligations that were expensed during the three and six months ended July 3, 2004, a portion of which will be paid as minimum rent to Wal-Mart in March 2005.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ind w:left="1180" w:right="860" w:hanging="488"/>
        <w:spacing w:after="0" w:line="259"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purchase obligations represent minimum purchase requirements for local phone and certain other data services including polling and internet capability. The amount presented for 2004 is an annual amount and includes $115,000 and $401,000 of purchase obligations that were paid in the three and six months ended July 3, 2004.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consolidated financial statements, as discussed under Management’s Discussion and Analysis of Financial Condition and Results of Operations, have been prepared in accordance with accounting principles generally accepted in the United States of America.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spacing w:after="0" w:line="167"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On an ongoing basis, management evaluates its estimates and judgments and incorporates any changes in such estimates and judgments into the accounting records underlying our consolidated financial statements.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defer revenue recognition until delivery of the product by estimating the value of transactions in which final delivery to the customer has not occurred at the end of the period presented. The amount of cash received at the time the customer’s order is placed is recorded as a deposit liability and is presented within accrued liabilities. These estimates are based on historical trends and take into consideration current changes in our manufacturing and distribution process.</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sell separately priced extended warranty contracts, generally with terms of twelve months. Revenues from the sale of our current contracts are deferred and amortized over the life of the contract on a straight-line basis. The costs to service the warranty claims are expensed as incurred. These warranty contracts currently generate a positive profit margin. However, if the utilization rates of these warranties increased significantly, the repair and replacement expense could exceed the sales price of these warranties. If that became the case, we would record a future liability for anticipated warranty claims at the time of sale, instead of expensing the warranty claims as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Premium revenue is recognized from HMO memberships and services over the life of the policy as the related insurance protection is provided.</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must make estimates of potential returns and replacements of all or part of the eyewear sold to a customer. We analyze historical remake and warranty activity, and consider current economic trends and changes in customer demand and acceptance of our products when evaluating the adequacy of our estimate of these costs. If management made different judgments or utilized different estimates, this would likely result in differences in the amount and timing of revenue and related costs for any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Uncollectible Managed Care Receivables</w:t>
      </w:r>
    </w:p>
    <w:p>
      <w:pPr>
        <w:spacing w:after="0" w:line="23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Managed care accounts receivable are recorded net of contractual allowances and are reduced by an allowance for amounts that may become uncollectible in the future. A significant portion of our receivables is due from health care plans or third-party administrators located throughout the United States. Approximately 12% of our net sales relate to products sold to customers that ultimately will be funded in full or in part through private insurance plans, third party insurance administration programs or government reimbursement programs such as Medicare and Medicaid. Any failure on our part to accurately and timely file for reimbursement with these programs can have an adverse effect on our collection results which, in turn, will have an adverse effect on liquidity and profitability.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99" w:right="279" w:bottom="1440" w:gutter="0" w:footer="0" w:header="0"/>
        </w:sectPr>
      </w:pPr>
    </w:p>
    <w:bookmarkStart w:id="25" w:name="page26"/>
    <w:bookmarkEnd w:id="25"/>
    <w:p>
      <w:pPr>
        <w:jc w:val="both"/>
        <w:ind w:right="440"/>
        <w:spacing w:after="0" w:line="259" w:lineRule="auto"/>
        <w:rPr>
          <w:sz w:val="20"/>
          <w:szCs w:val="20"/>
          <w:color w:val="auto"/>
        </w:rPr>
      </w:pPr>
      <w:r>
        <w:rPr>
          <w:rFonts w:ascii="Arial" w:cs="Arial" w:eastAsia="Arial" w:hAnsi="Arial"/>
          <w:sz w:val="18"/>
          <w:szCs w:val="18"/>
          <w:color w:val="auto"/>
        </w:rPr>
        <w:t>Estimates of our allowance for uncollectible receivables are based on our historical billing and collection experience. Changes in our billing and collection processes, changes in funding policies by insurance plans and changes in our sales mix within insurance plans may have a material effect on the amount and timing of our estimated expense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inventories are stated at the lower of weighted average cost or market.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most cases, the expected sales value (i.e., market value) of our inventory is higher than its cost. However, as we progress through a selling season, certain slow-moving merchandise may be removed from stores and returned to the distribution center to be sold below cost in secondary markets. As a result, there is a high degree of judgment and complexity in determining the market value of such inventories. For inventory on hand, we estimate the future selling price of our merchandise, given its current selling price and planned promotional activities, and provide a reserve for the difference between cost and the expected selling price for all items expected to be sold below cost.</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beginning of fiscal 2003, we adopted Emerging Issues Task Force Issue No. 02-16, “Accounting by a Customer for Certain Consideration Received from a Vendor” (“EITF 02-16”). As a result of the adoption of EITF 02-16, certain vendor allowances are now presented as a reduction of inventory cost and subsequently as a component of cost of goods sold.</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conduct physical inventory counts for all of our store locations at least twice per year and adjust our records to reflect the actual inventory counts. Cycle counts are performed weekly for inventory in our distribution centers and laboratory facilities, and all inventory in our distribution centers and laboratory facilities is counted near the end of the fiscal year. As all locations are not counted as of our reporting dates, we provide a reserve for inventory shrinkage based principally on historical inventory shrinkage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and Intangible Assets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most significant intangible asset is the Intangible Value of Contractual Rights, which was established as part of our adoption of fresh start accounting in May 2001. This intangible asset, which has a value of $89.5 million at July 3, 2004, represents the value of our lease agreement with Wal-Mart and the business relationship therein created. In accordance with SFAS No. 142, this intangible is an amortizable asset because it has a finite useful life. However, the precise length of its life is not known due primarily to the Wal-Mart SuperCenter conversions that automatically trigger extensions on the contractual life of the asset. Based on projections made at the time “fresh start” accounting was adopted, our best estimate of the useful life of this asset was fifteen years. At July 3, 2004, the remaining life of this asset is 11 years and 11 months. Due to the uncertainty involved in predicting the pattern of economic benefits realized from the Wal-Mart relationship, we amortize this asset using the straight-line method.</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all identifiable intangibles and long-lived assets on an annual basis and whenever events or changes in circumstances indicate that the carrying value may not be recoverable. Factors we consider important, which could trigger an impairment review, include (1) a significant underperformance of vision center operations relative to expected historical or projected future operating results; (2) significant changes in the manner of our use of our assets or the strategy for our overall retail optical business; (3) significant negative industry or economic trends; (4) a significant decline or adverse change in the rate or geographic concentration of Wal-Mart host store relocations or SuperCenter conversions; and (5) a permanent adverse change in cash flows generated by an operation.</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Upon the existence of one or more of the above indicators of impairment, we determine if the carrying value of intangibles or long-lived assets may not be recoverable based on a projected cash flow model. If the projected cash flows are not in excess of the book value of the related asset, we measure the impairment based on a projected discounted cash flow method. Significant management judgment is required regarding the existence of impairment indicators as discussed above.</w:t>
      </w:r>
    </w:p>
    <w:p>
      <w:pPr>
        <w:spacing w:after="0" w:line="19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Future events could cause us to conclude that impairment indicators exist and that long-lived assets or intangible assets are impaired. Any resulting impairment loss could have a material adverse impact on our financial condition and results of operations. Based on our review of our intangible and long-lived assets as of July 3, 2004, no impairment was determined to exist.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Accounting For Income Taxes</w:t>
      </w:r>
    </w:p>
    <w:p>
      <w:pPr>
        <w:spacing w:after="0" w:line="23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estimating our actual current tax exposure together with assessing temporary differences resulting from differing treatment of items, such as equipment depreciation and amortization of our intangible asset, for tax and accounting purposes. These differences result in deferred tax assets and liabilities. We emerged from a Chapter 11 bankruptcy reorganization proceeding on May 31, 2001. Before, during and after the bankruptcy process, we incurred significant net operating losses (“NOL”) that result in tax loss carry-forwards. We also recognize a deferred tax asset for the future tax benefit of these NOL carry-forward credits.</w:t>
      </w:r>
    </w:p>
    <w:p>
      <w:pPr>
        <w:spacing w:after="0" w:line="17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Deferred income taxes are recorded using enacted tax rates in effect for the years in which temporary differences between financial statement and taxable operating results are expected to reverse. Deferred income taxes are provided for depreciation and amortization differences, inventory basis differences, certain accrued expenses that are not yet deductible and allowances, and the expected future benefits of our NOL carry-forwards.</w:t>
      </w:r>
    </w:p>
    <w:p>
      <w:pPr>
        <w:spacing w:after="0" w:line="16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Under the methodology described in the preceding paragraph, our deferred tax computations have resulted in a net deferred tax asset because the expected future benefits of our NOL carry-forwards exceeds the net deferred tax liability associated with timing differences. A valuation allowance has been recorded against this net deferred tax asset because it is not considered “more likely than not” that we will be able to realize these excess NOL carry-forwards to offset future taxes. As a result, we currently record an income tax provision only to the extent that we expect to pay income taxes under federal alternative minimum tax provisions and in states in which our taxable income cannot be offset by our net operating loss carry-forwards.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ability to utilize our NOL carry-forwards to offset the reversal of timing differences could be limited in the event of a greater than 50% change in our stock ownership, as defined by Section 382 of the Internal Revenue Code (the “Code”). As of July 3, 2004, we estimate that the cumulative change in ownership of our stock, as defined by Section 382 of the Code, is 27% which represents a reduction from our previous estimate of 40% as of April 3, 2004. Any such limitation under Section 382 of the Code would be based on (1) our stock value and the Federal exempt tax rate on the date prior to the ownership change, (2) the amounts of any “built-in gains” (as defined in the Code) on the date of the ownership change, and (3) any gains subsequently realized upon repurchase of debt securities that were outstanding at the date of the ownership change. These limitations could create a cap on the amount of net operating loss carry-forwards that would be deductible for each year going forward until the amount is depleted or the time limitation on these net operating loss carry-forwards expires. A limitation in or loss of our ability to utilize the net operating loss carry-forwards could result in a significant non-cash charge to write down the deferred income tax asset recorded with respect to the NOL carry-forwards. Additionally, following such a change in control we would begin making income tax payments on our taxable income in excess of the net operating loss carry-forward limitation amount.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July 3, 2004 and January 3, 2004, we had U.S. regular tax net operating loss carry-forwards of approximately $72 million and $79 million, respectively, that can reduce future federal income taxes. If not utilized, these carry-forwards will expire beginning in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Accruals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self-insure estimated costs associated with workers' compensation claims and group medical liabilities, up to certain limits. Insurance reserves are established based on actuarial estimates of the loss that we will ultimately incur on reported claims, as well as estimates of claims that have been incurred but not yet reported. Trends in actual experience are a significant factor in the determination of such reserves. We believe our estimated reserves for such claims are adequate, however actual experience in claim frequency and/or severity could materially differ from our estimates and affect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Accounting Policies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generally accepted accounting principles.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expectations, beliefs and other non-historical statements contained in this Form 10-Q are forward-looking statements within the meaning of the Private Securities Litigation Reform Act of 1995. Forward-looking statements represent our expectations or belief concerning future events, including the following: any statements regarding future sales levels, any statements regarding the continuation of historical trends, any statements regarding our liquidity and any statements regarding tax losses. Without limiting the foregoing, the words “believes,” “anticipates,” “plans,” “expects,” and similar expressions are intended to identify forward-looking statements. With respect to such forward-looking statements and others that may be made by, or on behalf of, the Company, the factors described as “Risk Factors” in our Report on Form 10-K, filed on April 2, 2004, could materially affect our actual results.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Market risk is the potential change in an instrument’s value caused by, for example, fluctuations in interest and currency exchange rates. Our primary market risk exposures are interest rate risk and the risk of unfavorable movements in exchange rates between the U.S. dollar and the Mexican peso. Monitoring and managing these risks is a continual process carried out by senior management, which reviews and approves our risk management policies. We manage market risk on the basis of an ongoing assessment of trends in interest rates, foreign exchange rates, and economic developments, giving consideration to possible effects on both total return and reported earnings. Our financial advisors, both internal and external, provide ongoing advice regarding trends that affect management’s assessment. Our operations are not considered to give rise to significant market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borrow under our credit facility at variable interest rates. We therefore incur the risk of increased interest costs if interest rates rise. At July 3, 2004, we had no outstanding borrowings under our credit facility. Our interest cost under our Senior Notes is fixed at 12% through the maturity date in 2009.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division in Mexico operates in a functional currency other than the U.S. dollar. The net assets of this division are exposed to foreign currency translation gains and losses, which are included as a component of accumulated other comprehensive loss in shareholders' equity. Such translation resulted in an unrealized loss of approximately $50,000 and an unrealized gain of approximately $42,000 for the three months ended July 3, 2004 and June 28, 2003, respectively. Additionally, the translation resulted in an unrealized loss of approximately $27,000 and $31,000 for the six months ended July 3, 2004 and June 28, 2003, respectively. Historically, we have not attempted to hedge this equity risk.</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the end of the fiscal quarter covered by this Form 10-Q, we evaluated, under the supervision and with the participation of our management, including our Chief Executive Officer and Chief Financial Officer, the effectiveness of the design and operation of our disclosure controls and procedures pursuant to Exchange Act Rule 13a-15. Based upon that evaluation, our Chief Executive Officer and Chief Financial Officer concluded that our disclosure controls and procedures are effective as of the end of such fiscal quarter. Disclosure controls and procedures are controls and procedures that are designed to ensure that information required to be disclosed in reports filed or submitted under the Exchange Act is recorded, processed, summarized and reported within the time periods specified in the Securities and Exchange Commission's rules and forms. During the fiscal quarter covered by this Form 10-Q, there has not been any change in the Company's internal controls over financial reporting that has materially affected, or is reasonably likely to materially affect, the Company's internal controls over financial reporting. Internal control over financial reporting is a process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held our annual meeting of shareholders on June 29, 2004 to elect a Board of five Directors to serve until the 2005 annual meeting of shareholders and to approve the 2004 equity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directors, who were the only nominees for election, were elected at the meeting and constitute the entire Board of Directors of the Company: 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Robert Floum, James W. Krause, Marc B. Nelson, Jeffrey A. Snow and Peter T. Socha.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vote were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w w:val="88"/>
              </w:rPr>
              <w:t>Directors</w:t>
            </w:r>
          </w:p>
        </w:tc>
        <w:tc>
          <w:tcPr>
            <w:tcW w:w="198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Votes For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Votes Withheld</w:t>
            </w:r>
          </w:p>
        </w:tc>
      </w:tr>
      <w:tr>
        <w:trPr>
          <w:trHeight w:val="20"/>
        </w:trPr>
        <w:tc>
          <w:tcPr>
            <w:tcW w:w="6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62"/>
        </w:trPr>
        <w:tc>
          <w:tcPr>
            <w:tcW w:w="2640" w:type="dxa"/>
            <w:vAlign w:val="bottom"/>
            <w:gridSpan w:val="2"/>
          </w:tcPr>
          <w:p>
            <w:pPr>
              <w:spacing w:after="0"/>
              <w:rPr>
                <w:sz w:val="20"/>
                <w:szCs w:val="20"/>
                <w:color w:val="auto"/>
              </w:rPr>
            </w:pPr>
            <w:r>
              <w:rPr>
                <w:rFonts w:ascii="Arial" w:cs="Arial" w:eastAsia="Arial" w:hAnsi="Arial"/>
                <w:sz w:val="18"/>
                <w:szCs w:val="18"/>
                <w:color w:val="auto"/>
              </w:rPr>
              <w:t>B. Robert Floum</w:t>
            </w:r>
          </w:p>
        </w:tc>
        <w:tc>
          <w:tcPr>
            <w:tcW w:w="1680" w:type="dxa"/>
            <w:vAlign w:val="bottom"/>
            <w:gridSpan w:val="2"/>
          </w:tcPr>
          <w:p>
            <w:pPr>
              <w:spacing w:after="0"/>
              <w:rPr>
                <w:sz w:val="20"/>
                <w:szCs w:val="20"/>
                <w:color w:val="auto"/>
              </w:rPr>
            </w:pPr>
            <w:r>
              <w:rPr>
                <w:rFonts w:ascii="Arial" w:cs="Arial" w:eastAsia="Arial" w:hAnsi="Arial"/>
                <w:sz w:val="18"/>
                <w:szCs w:val="18"/>
                <w:color w:val="auto"/>
              </w:rPr>
              <w:t>3,317,987</w:t>
            </w:r>
          </w:p>
        </w:tc>
        <w:tc>
          <w:tcPr>
            <w:tcW w:w="2040" w:type="dxa"/>
            <w:vAlign w:val="bottom"/>
            <w:gridSpan w:val="2"/>
          </w:tcPr>
          <w:p>
            <w:pPr>
              <w:jc w:val="right"/>
              <w:ind w:right="500"/>
              <w:spacing w:after="0"/>
              <w:rPr>
                <w:sz w:val="20"/>
                <w:szCs w:val="20"/>
                <w:color w:val="auto"/>
              </w:rPr>
            </w:pPr>
            <w:r>
              <w:rPr>
                <w:rFonts w:ascii="Arial" w:cs="Arial" w:eastAsia="Arial" w:hAnsi="Arial"/>
                <w:sz w:val="18"/>
                <w:szCs w:val="18"/>
                <w:color w:val="auto"/>
              </w:rPr>
              <w:t>179,092</w:t>
            </w: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James W. Krause</w:t>
            </w:r>
          </w:p>
        </w:tc>
        <w:tc>
          <w:tcPr>
            <w:tcW w:w="1680" w:type="dxa"/>
            <w:vAlign w:val="bottom"/>
            <w:gridSpan w:val="2"/>
          </w:tcPr>
          <w:p>
            <w:pPr>
              <w:spacing w:after="0"/>
              <w:rPr>
                <w:sz w:val="20"/>
                <w:szCs w:val="20"/>
                <w:color w:val="auto"/>
              </w:rPr>
            </w:pPr>
            <w:r>
              <w:rPr>
                <w:rFonts w:ascii="Arial" w:cs="Arial" w:eastAsia="Arial" w:hAnsi="Arial"/>
                <w:sz w:val="18"/>
                <w:szCs w:val="18"/>
                <w:color w:val="auto"/>
              </w:rPr>
              <w:t>3,316,874</w:t>
            </w:r>
          </w:p>
        </w:tc>
        <w:tc>
          <w:tcPr>
            <w:tcW w:w="2040" w:type="dxa"/>
            <w:vAlign w:val="bottom"/>
            <w:gridSpan w:val="2"/>
          </w:tcPr>
          <w:p>
            <w:pPr>
              <w:jc w:val="right"/>
              <w:ind w:right="500"/>
              <w:spacing w:after="0"/>
              <w:rPr>
                <w:sz w:val="20"/>
                <w:szCs w:val="20"/>
                <w:color w:val="auto"/>
              </w:rPr>
            </w:pPr>
            <w:r>
              <w:rPr>
                <w:rFonts w:ascii="Arial" w:cs="Arial" w:eastAsia="Arial" w:hAnsi="Arial"/>
                <w:sz w:val="18"/>
                <w:szCs w:val="18"/>
                <w:color w:val="auto"/>
              </w:rPr>
              <w:t>180,205</w:t>
            </w: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Marc B. Nelson</w:t>
            </w:r>
          </w:p>
        </w:tc>
        <w:tc>
          <w:tcPr>
            <w:tcW w:w="1680" w:type="dxa"/>
            <w:vAlign w:val="bottom"/>
            <w:gridSpan w:val="2"/>
          </w:tcPr>
          <w:p>
            <w:pPr>
              <w:spacing w:after="0"/>
              <w:rPr>
                <w:sz w:val="20"/>
                <w:szCs w:val="20"/>
                <w:color w:val="auto"/>
              </w:rPr>
            </w:pPr>
            <w:r>
              <w:rPr>
                <w:rFonts w:ascii="Arial" w:cs="Arial" w:eastAsia="Arial" w:hAnsi="Arial"/>
                <w:sz w:val="18"/>
                <w:szCs w:val="18"/>
                <w:color w:val="auto"/>
              </w:rPr>
              <w:t>3,317,987</w:t>
            </w:r>
          </w:p>
        </w:tc>
        <w:tc>
          <w:tcPr>
            <w:tcW w:w="2040" w:type="dxa"/>
            <w:vAlign w:val="bottom"/>
            <w:gridSpan w:val="2"/>
          </w:tcPr>
          <w:p>
            <w:pPr>
              <w:jc w:val="right"/>
              <w:ind w:right="500"/>
              <w:spacing w:after="0"/>
              <w:rPr>
                <w:sz w:val="20"/>
                <w:szCs w:val="20"/>
                <w:color w:val="auto"/>
              </w:rPr>
            </w:pPr>
            <w:r>
              <w:rPr>
                <w:rFonts w:ascii="Arial" w:cs="Arial" w:eastAsia="Arial" w:hAnsi="Arial"/>
                <w:sz w:val="18"/>
                <w:szCs w:val="18"/>
                <w:color w:val="auto"/>
              </w:rPr>
              <w:t>179,092</w:t>
            </w: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Jeffrey A. Snow</w:t>
            </w:r>
          </w:p>
        </w:tc>
        <w:tc>
          <w:tcPr>
            <w:tcW w:w="1680" w:type="dxa"/>
            <w:vAlign w:val="bottom"/>
            <w:gridSpan w:val="2"/>
          </w:tcPr>
          <w:p>
            <w:pPr>
              <w:spacing w:after="0"/>
              <w:rPr>
                <w:sz w:val="20"/>
                <w:szCs w:val="20"/>
                <w:color w:val="auto"/>
              </w:rPr>
            </w:pPr>
            <w:r>
              <w:rPr>
                <w:rFonts w:ascii="Arial" w:cs="Arial" w:eastAsia="Arial" w:hAnsi="Arial"/>
                <w:sz w:val="18"/>
                <w:szCs w:val="18"/>
                <w:color w:val="auto"/>
              </w:rPr>
              <w:t>3,467,792</w:t>
            </w:r>
          </w:p>
        </w:tc>
        <w:tc>
          <w:tcPr>
            <w:tcW w:w="2040" w:type="dxa"/>
            <w:vAlign w:val="bottom"/>
            <w:gridSpan w:val="2"/>
          </w:tcPr>
          <w:p>
            <w:pPr>
              <w:jc w:val="right"/>
              <w:ind w:right="500"/>
              <w:spacing w:after="0"/>
              <w:rPr>
                <w:sz w:val="20"/>
                <w:szCs w:val="20"/>
                <w:color w:val="auto"/>
              </w:rPr>
            </w:pPr>
            <w:r>
              <w:rPr>
                <w:rFonts w:ascii="Arial" w:cs="Arial" w:eastAsia="Arial" w:hAnsi="Arial"/>
                <w:sz w:val="18"/>
                <w:szCs w:val="18"/>
                <w:color w:val="auto"/>
              </w:rPr>
              <w:t>29,287</w:t>
            </w: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Peter T. Socha</w:t>
            </w:r>
          </w:p>
        </w:tc>
        <w:tc>
          <w:tcPr>
            <w:tcW w:w="1680" w:type="dxa"/>
            <w:vAlign w:val="bottom"/>
            <w:gridSpan w:val="2"/>
          </w:tcPr>
          <w:p>
            <w:pPr>
              <w:spacing w:after="0"/>
              <w:rPr>
                <w:sz w:val="20"/>
                <w:szCs w:val="20"/>
                <w:color w:val="auto"/>
              </w:rPr>
            </w:pPr>
            <w:r>
              <w:rPr>
                <w:rFonts w:ascii="Arial" w:cs="Arial" w:eastAsia="Arial" w:hAnsi="Arial"/>
                <w:sz w:val="18"/>
                <w:szCs w:val="18"/>
                <w:color w:val="auto"/>
              </w:rPr>
              <w:t>3,303,676</w:t>
            </w:r>
          </w:p>
        </w:tc>
        <w:tc>
          <w:tcPr>
            <w:tcW w:w="2040" w:type="dxa"/>
            <w:vAlign w:val="bottom"/>
            <w:gridSpan w:val="2"/>
          </w:tcPr>
          <w:p>
            <w:pPr>
              <w:jc w:val="right"/>
              <w:ind w:right="500"/>
              <w:spacing w:after="0"/>
              <w:rPr>
                <w:sz w:val="20"/>
                <w:szCs w:val="20"/>
                <w:color w:val="auto"/>
              </w:rPr>
            </w:pPr>
            <w:r>
              <w:rPr>
                <w:rFonts w:ascii="Arial" w:cs="Arial" w:eastAsia="Arial" w:hAnsi="Arial"/>
                <w:sz w:val="18"/>
                <w:szCs w:val="18"/>
                <w:color w:val="auto"/>
              </w:rPr>
              <w:t>193,403</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2004 Equity Incentive Plan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2004 Equity Incentive Plan, which will replace each of the Company’s Restated Stock Option and Incentive Award Plan and the Company’s Restated Non-Employee Director Stock Option Plan, was approved.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Votes For</w:t>
            </w:r>
          </w:p>
        </w:tc>
        <w:tc>
          <w:tcPr>
            <w:tcW w:w="1380" w:type="dxa"/>
            <w:vAlign w:val="bottom"/>
          </w:tcPr>
          <w:p>
            <w:pPr>
              <w:jc w:val="right"/>
              <w:spacing w:after="0"/>
              <w:rPr>
                <w:sz w:val="20"/>
                <w:szCs w:val="20"/>
                <w:color w:val="auto"/>
              </w:rPr>
            </w:pPr>
            <w:r>
              <w:rPr>
                <w:rFonts w:ascii="Arial" w:cs="Arial" w:eastAsia="Arial" w:hAnsi="Arial"/>
                <w:sz w:val="18"/>
                <w:szCs w:val="18"/>
                <w:color w:val="auto"/>
              </w:rPr>
              <w:t>1,133,505</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Votes Against</w:t>
            </w:r>
          </w:p>
        </w:tc>
        <w:tc>
          <w:tcPr>
            <w:tcW w:w="1380" w:type="dxa"/>
            <w:vAlign w:val="bottom"/>
          </w:tcPr>
          <w:p>
            <w:pPr>
              <w:jc w:val="right"/>
              <w:spacing w:after="0"/>
              <w:rPr>
                <w:sz w:val="20"/>
                <w:szCs w:val="20"/>
                <w:color w:val="auto"/>
              </w:rPr>
            </w:pPr>
            <w:r>
              <w:rPr>
                <w:rFonts w:ascii="Arial" w:cs="Arial" w:eastAsia="Arial" w:hAnsi="Arial"/>
                <w:sz w:val="18"/>
                <w:szCs w:val="18"/>
                <w:color w:val="auto"/>
              </w:rPr>
              <w:t>545,566</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Abstentions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18,590</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Broker Non-Votes</w:t>
            </w:r>
          </w:p>
        </w:tc>
        <w:tc>
          <w:tcPr>
            <w:tcW w:w="1380" w:type="dxa"/>
            <w:vAlign w:val="bottom"/>
          </w:tcPr>
          <w:p>
            <w:pPr>
              <w:jc w:val="right"/>
              <w:spacing w:after="0"/>
              <w:rPr>
                <w:sz w:val="20"/>
                <w:szCs w:val="20"/>
                <w:color w:val="auto"/>
              </w:rPr>
            </w:pPr>
            <w:r>
              <w:rPr>
                <w:rFonts w:ascii="Arial" w:cs="Arial" w:eastAsia="Arial" w:hAnsi="Arial"/>
                <w:sz w:val="18"/>
                <w:szCs w:val="18"/>
                <w:color w:val="auto"/>
              </w:rPr>
              <w:t>1,799,418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 AND REPORTS ON FORM 8-K</w:t>
      </w:r>
    </w:p>
    <w:p>
      <w:pPr>
        <w:sectPr>
          <w:pgSz w:w="11900" w:h="16838" w:orient="portrait"/>
          <w:cols w:equalWidth="0" w:num="1">
            <w:col w:w="11220"/>
          </w:cols>
          <w:pgMar w:left="240" w:top="125" w:right="439" w:bottom="1440" w:gutter="0" w:footer="0" w:header="0"/>
        </w:sectPr>
      </w:pPr>
    </w:p>
    <w:p>
      <w:pPr>
        <w:spacing w:after="0" w:line="293" w:lineRule="exact"/>
        <w:rPr>
          <w:sz w:val="20"/>
          <w:szCs w:val="20"/>
          <w:color w:val="auto"/>
        </w:rPr>
      </w:pPr>
    </w:p>
    <w:p>
      <w:pPr>
        <w:ind w:left="1340" w:hanging="126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6"/>
          <w:szCs w:val="16"/>
          <w:color w:val="auto"/>
        </w:rPr>
        <w:t>The following exhibits are filed herewith or incorporated by reference:</w:t>
      </w:r>
    </w:p>
    <w:p>
      <w:pPr>
        <w:spacing w:after="0" w:line="180" w:lineRule="exact"/>
        <w:rPr>
          <w:rFonts w:ascii="Arial" w:cs="Arial" w:eastAsia="Arial" w:hAnsi="Arial"/>
          <w:sz w:val="18"/>
          <w:szCs w:val="18"/>
          <w:color w:val="auto"/>
        </w:rPr>
      </w:pPr>
    </w:p>
    <w:p>
      <w:pPr>
        <w:ind w:left="1560" w:right="260" w:hanging="220"/>
        <w:spacing w:after="0" w:line="268" w:lineRule="auto"/>
        <w:rPr>
          <w:rFonts w:ascii="Arial" w:cs="Arial" w:eastAsia="Arial" w:hAnsi="Arial"/>
          <w:sz w:val="18"/>
          <w:szCs w:val="18"/>
          <w:color w:val="auto"/>
        </w:rPr>
      </w:pPr>
      <w:r>
        <w:rPr>
          <w:rFonts w:ascii="Arial" w:cs="Arial" w:eastAsia="Arial" w:hAnsi="Arial"/>
          <w:sz w:val="18"/>
          <w:szCs w:val="18"/>
          <w:color w:val="auto"/>
        </w:rPr>
        <w:t>Certification of Chief Executive Officer pursuant to Section 302 of the Sarbanes-Oxley Act of 2002.</w:t>
      </w:r>
    </w:p>
    <w:p>
      <w:pPr>
        <w:spacing w:after="0" w:line="104" w:lineRule="exact"/>
        <w:rPr>
          <w:rFonts w:ascii="Arial" w:cs="Arial" w:eastAsia="Arial" w:hAnsi="Arial"/>
          <w:sz w:val="18"/>
          <w:szCs w:val="18"/>
          <w:color w:val="auto"/>
        </w:rPr>
      </w:pPr>
    </w:p>
    <w:p>
      <w:pPr>
        <w:ind w:left="1560" w:right="300" w:hanging="220"/>
        <w:spacing w:after="0" w:line="268" w:lineRule="auto"/>
        <w:rPr>
          <w:rFonts w:ascii="Arial" w:cs="Arial" w:eastAsia="Arial" w:hAnsi="Arial"/>
          <w:sz w:val="18"/>
          <w:szCs w:val="18"/>
          <w:color w:val="auto"/>
        </w:rPr>
      </w:pPr>
      <w:r>
        <w:rPr>
          <w:rFonts w:ascii="Arial" w:cs="Arial" w:eastAsia="Arial" w:hAnsi="Arial"/>
          <w:sz w:val="18"/>
          <w:szCs w:val="18"/>
          <w:color w:val="auto"/>
        </w:rPr>
        <w:t>Certification of Chief Financial Officer pursuant to Section 302 of the Sarbanes-Oxley Act of 2002.</w:t>
      </w:r>
    </w:p>
    <w:p>
      <w:pPr>
        <w:spacing w:after="0" w:line="104" w:lineRule="exact"/>
        <w:rPr>
          <w:rFonts w:ascii="Arial" w:cs="Arial" w:eastAsia="Arial" w:hAnsi="Arial"/>
          <w:sz w:val="18"/>
          <w:szCs w:val="18"/>
          <w:color w:val="auto"/>
        </w:rPr>
      </w:pPr>
    </w:p>
    <w:p>
      <w:pPr>
        <w:ind w:left="1600" w:right="260" w:hanging="263"/>
        <w:spacing w:after="0" w:line="268" w:lineRule="auto"/>
        <w:rPr>
          <w:rFonts w:ascii="Arial" w:cs="Arial" w:eastAsia="Arial" w:hAnsi="Arial"/>
          <w:sz w:val="18"/>
          <w:szCs w:val="18"/>
          <w:color w:val="auto"/>
        </w:rPr>
      </w:pPr>
      <w:r>
        <w:rPr>
          <w:rFonts w:ascii="Arial" w:cs="Arial" w:eastAsia="Arial" w:hAnsi="Arial"/>
          <w:sz w:val="18"/>
          <w:szCs w:val="18"/>
          <w:color w:val="auto"/>
        </w:rPr>
        <w:t>Certification of Chief Executive Officer pursuant to Section 906 of the Sarbanes-Oxley Act of 2002.</w:t>
      </w:r>
    </w:p>
    <w:p>
      <w:pPr>
        <w:spacing w:after="0" w:line="104" w:lineRule="exact"/>
        <w:rPr>
          <w:rFonts w:ascii="Arial" w:cs="Arial" w:eastAsia="Arial" w:hAnsi="Arial"/>
          <w:sz w:val="18"/>
          <w:szCs w:val="18"/>
          <w:color w:val="auto"/>
        </w:rPr>
      </w:pPr>
    </w:p>
    <w:p>
      <w:pPr>
        <w:ind w:left="1600" w:right="300" w:hanging="263"/>
        <w:spacing w:after="0" w:line="268" w:lineRule="auto"/>
        <w:rPr>
          <w:rFonts w:ascii="Arial" w:cs="Arial" w:eastAsia="Arial" w:hAnsi="Arial"/>
          <w:sz w:val="18"/>
          <w:szCs w:val="18"/>
          <w:color w:val="auto"/>
        </w:rPr>
      </w:pPr>
      <w:r>
        <w:rPr>
          <w:rFonts w:ascii="Arial" w:cs="Arial" w:eastAsia="Arial" w:hAnsi="Arial"/>
          <w:sz w:val="18"/>
          <w:szCs w:val="18"/>
          <w:color w:val="auto"/>
        </w:rPr>
        <w:t>Certification of Chief Financial Officer pursuant to Section 906 of the Sarbanes-Oxley Act of 2002.</w:t>
      </w:r>
    </w:p>
    <w:p>
      <w:pPr>
        <w:spacing w:after="0" w:line="104" w:lineRule="exact"/>
        <w:rPr>
          <w:rFonts w:ascii="Arial" w:cs="Arial" w:eastAsia="Arial" w:hAnsi="Arial"/>
          <w:sz w:val="18"/>
          <w:szCs w:val="18"/>
          <w:color w:val="auto"/>
        </w:rPr>
      </w:pPr>
    </w:p>
    <w:p>
      <w:pPr>
        <w:ind w:left="1340"/>
        <w:spacing w:after="0" w:line="286" w:lineRule="auto"/>
        <w:rPr>
          <w:rFonts w:ascii="Arial" w:cs="Arial" w:eastAsia="Arial" w:hAnsi="Arial"/>
          <w:sz w:val="18"/>
          <w:szCs w:val="18"/>
          <w:color w:val="auto"/>
        </w:rPr>
      </w:pPr>
      <w:r>
        <w:rPr>
          <w:rFonts w:ascii="Arial" w:cs="Arial" w:eastAsia="Arial" w:hAnsi="Arial"/>
          <w:sz w:val="16"/>
          <w:szCs w:val="16"/>
          <w:color w:val="auto"/>
        </w:rPr>
        <w:t>The following exhibit filed with our Proxy Statement in connection with our 2004 annual shareholders meeting is incorporated herein by reference:</w:t>
      </w:r>
    </w:p>
    <w:p>
      <w:pPr>
        <w:ind w:left="1560"/>
        <w:spacing w:after="0"/>
        <w:rPr>
          <w:rFonts w:ascii="Arial" w:cs="Arial" w:eastAsia="Arial" w:hAnsi="Arial"/>
          <w:sz w:val="18"/>
          <w:szCs w:val="18"/>
          <w:color w:val="auto"/>
        </w:rPr>
      </w:pPr>
      <w:r>
        <w:rPr>
          <w:rFonts w:ascii="Arial" w:cs="Arial" w:eastAsia="Arial" w:hAnsi="Arial"/>
          <w:sz w:val="18"/>
          <w:szCs w:val="18"/>
          <w:color w:val="auto"/>
        </w:rPr>
        <w:t>National Vision, Inc. 2004 Equity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10.24</w:t>
      </w:r>
    </w:p>
    <w:p>
      <w:pPr>
        <w:spacing w:after="0" w:line="240" w:lineRule="exact"/>
        <w:rPr>
          <w:sz w:val="20"/>
          <w:szCs w:val="20"/>
          <w:color w:val="auto"/>
        </w:rPr>
      </w:pPr>
    </w:p>
    <w:p>
      <w:pPr>
        <w:sectPr>
          <w:pgSz w:w="11900" w:h="16838" w:orient="portrait"/>
          <w:cols w:equalWidth="0" w:num="2">
            <w:col w:w="6560" w:space="240"/>
            <w:col w:w="4420"/>
          </w:cols>
          <w:pgMar w:left="240" w:top="125" w:right="439" w:bottom="1440" w:gutter="0" w:footer="0" w:header="0"/>
          <w:type w:val="continuous"/>
        </w:sectPr>
      </w:pP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type w:val="continuous"/>
        </w:sectPr>
      </w:pPr>
    </w:p>
    <w:bookmarkStart w:id="29" w:name="page30"/>
    <w:bookmarkEnd w:id="29"/>
    <w:p>
      <w:pPr>
        <w:ind w:left="1360" w:hanging="128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reports on Form 8-K have been filed during the quarter for which this report is filed:</w:t>
      </w:r>
    </w:p>
    <w:p>
      <w:pPr>
        <w:sectPr>
          <w:pgSz w:w="11900" w:h="16838" w:orient="portrait"/>
          <w:cols w:equalWidth="0" w:num="1">
            <w:col w:w="10980"/>
          </w:cols>
          <w:pgMar w:left="240" w:top="199" w:right="679" w:bottom="1440" w:gutter="0" w:footer="0" w:header="0"/>
        </w:sectPr>
      </w:pPr>
    </w:p>
    <w:p>
      <w:pPr>
        <w:spacing w:after="0" w:line="242"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Date of Report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Item Reported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Statement Filed</w:t>
      </w:r>
    </w:p>
    <w:p>
      <w:pPr>
        <w:spacing w:after="0" w:line="211" w:lineRule="exact"/>
        <w:rPr>
          <w:sz w:val="20"/>
          <w:szCs w:val="20"/>
          <w:color w:val="auto"/>
        </w:rPr>
      </w:pPr>
    </w:p>
    <w:p>
      <w:pPr>
        <w:sectPr>
          <w:pgSz w:w="11900" w:h="16838" w:orient="portrait"/>
          <w:cols w:equalWidth="0" w:num="3">
            <w:col w:w="2760" w:space="720"/>
            <w:col w:w="1400" w:space="720"/>
            <w:col w:w="5380"/>
          </w:cols>
          <w:pgMar w:left="240" w:top="199" w:right="679" w:bottom="1440" w:gutter="0" w:footer="0" w:header="0"/>
          <w:type w:val="continuous"/>
        </w:sectPr>
      </w:pPr>
    </w:p>
    <w:p>
      <w:pPr>
        <w:spacing w:after="0" w:line="54"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May 17, 2004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Item 12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3">
            <w:col w:w="3120" w:space="720"/>
            <w:col w:w="1700" w:space="720"/>
            <w:col w:w="4720"/>
          </w:cols>
          <w:pgMar w:left="240" w:top="199" w:right="6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NATIONAL VISION, INC.</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w:t>
      </w:r>
      <w:r>
        <w:rPr>
          <w:rFonts w:ascii="Arial" w:cs="Arial" w:eastAsia="Arial" w:hAnsi="Arial"/>
          <w:sz w:val="18"/>
          <w:szCs w:val="18"/>
          <w:i w:val="1"/>
          <w:iCs w:val="1"/>
          <w:u w:val="single" w:color="auto"/>
          <w:color w:val="auto"/>
        </w:rPr>
        <w:t>/</w:t>
      </w:r>
      <w:r>
        <w:rPr>
          <w:sz w:val="20"/>
          <w:szCs w:val="20"/>
          <w:color w:val="auto"/>
        </w:rPr>
        <w:tab/>
      </w:r>
      <w:r>
        <w:rPr>
          <w:rFonts w:ascii="Arial" w:cs="Arial" w:eastAsia="Arial" w:hAnsi="Arial"/>
          <w:sz w:val="16"/>
          <w:szCs w:val="16"/>
          <w:i w:val="1"/>
          <w:iCs w:val="1"/>
          <w:u w:val="single" w:color="auto"/>
          <w:color w:val="auto"/>
        </w:rPr>
        <w:t>Paul A. Criscillis, Jr.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Paul A. Criscillis, Jr.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Robert E. Schnelle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Robert E. Schnelle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August 17, 2004</w:t>
      </w:r>
    </w:p>
    <w:p>
      <w:pPr>
        <w:sectPr>
          <w:pgSz w:w="11900" w:h="16838" w:orient="portrait"/>
          <w:cols w:equalWidth="0" w:num="1">
            <w:col w:w="10980"/>
          </w:cols>
          <w:pgMar w:left="240" w:top="199" w:right="6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 E R T I F I C A T I O 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Reade Fahs, certify that:</w:t>
      </w:r>
    </w:p>
    <w:p>
      <w:pPr>
        <w:spacing w:after="0" w:line="279" w:lineRule="exact"/>
        <w:rPr>
          <w:sz w:val="20"/>
          <w:szCs w:val="20"/>
          <w:color w:val="auto"/>
        </w:rPr>
      </w:pPr>
    </w:p>
    <w:p>
      <w:pPr>
        <w:ind w:left="800" w:hanging="73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Vision, Inc.</w:t>
      </w:r>
    </w:p>
    <w:p>
      <w:pPr>
        <w:spacing w:after="0" w:line="117" w:lineRule="exact"/>
        <w:rPr>
          <w:rFonts w:ascii="Arial" w:cs="Arial" w:eastAsia="Arial" w:hAnsi="Arial"/>
          <w:sz w:val="18"/>
          <w:szCs w:val="18"/>
          <w:color w:val="auto"/>
        </w:rPr>
      </w:pPr>
    </w:p>
    <w:p>
      <w:pPr>
        <w:ind w:left="800" w:right="59" w:hanging="738"/>
        <w:spacing w:after="0" w:line="25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39" w:hanging="738"/>
        <w:spacing w:after="0" w:line="25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800" w:right="159" w:hanging="738"/>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7" w:lineRule="exact"/>
        <w:rPr>
          <w:rFonts w:ascii="Arial" w:cs="Arial" w:eastAsia="Arial" w:hAnsi="Arial"/>
          <w:sz w:val="18"/>
          <w:szCs w:val="18"/>
          <w:color w:val="auto"/>
        </w:rPr>
      </w:pPr>
    </w:p>
    <w:p>
      <w:pPr>
        <w:ind w:left="1620" w:right="359" w:hanging="815"/>
        <w:spacing w:after="0" w:line="256"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620" w:right="139" w:hanging="815"/>
        <w:spacing w:after="0" w:line="259"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620" w:right="279" w:hanging="771"/>
        <w:spacing w:after="0" w:line="256" w:lineRule="auto"/>
        <w:tabs>
          <w:tab w:leader="none" w:pos="16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800" w:right="279" w:hanging="738"/>
        <w:spacing w:after="0" w:line="25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jc w:val="both"/>
        <w:ind w:left="1620" w:right="199" w:hanging="815"/>
        <w:spacing w:after="0" w:line="259"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620" w:right="439" w:hanging="815"/>
        <w:spacing w:after="0" w:line="268"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40"/>
        <w:spacing w:after="0"/>
        <w:tabs>
          <w:tab w:leader="none" w:pos="6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wp:posOffset>
            </wp:positionV>
            <wp:extent cx="14585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Reade Fahs</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2004</w:t>
      </w:r>
    </w:p>
    <w:p>
      <w:pPr>
        <w:sectPr>
          <w:pgSz w:w="11900" w:h="16838" w:orient="portrait"/>
          <w:cols w:equalWidth="0" w:num="1">
            <w:col w:w="10219"/>
          </w:cols>
          <w:pgMar w:left="240" w:top="125"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 E R T I F I C A T I O 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Paul A. Criscillis, Jr., certify that:</w:t>
      </w:r>
    </w:p>
    <w:p>
      <w:pPr>
        <w:spacing w:after="0" w:line="279" w:lineRule="exact"/>
        <w:rPr>
          <w:sz w:val="20"/>
          <w:szCs w:val="20"/>
          <w:color w:val="auto"/>
        </w:rPr>
      </w:pPr>
    </w:p>
    <w:p>
      <w:pPr>
        <w:ind w:left="800" w:hanging="73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Vision, Inc.</w:t>
      </w:r>
    </w:p>
    <w:p>
      <w:pPr>
        <w:spacing w:after="0" w:line="117" w:lineRule="exact"/>
        <w:rPr>
          <w:rFonts w:ascii="Arial" w:cs="Arial" w:eastAsia="Arial" w:hAnsi="Arial"/>
          <w:sz w:val="18"/>
          <w:szCs w:val="18"/>
          <w:color w:val="auto"/>
        </w:rPr>
      </w:pPr>
    </w:p>
    <w:p>
      <w:pPr>
        <w:ind w:left="800" w:right="59" w:hanging="738"/>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39" w:hanging="738"/>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800" w:right="159" w:hanging="738"/>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7" w:lineRule="exact"/>
        <w:rPr>
          <w:rFonts w:ascii="Arial" w:cs="Arial" w:eastAsia="Arial" w:hAnsi="Arial"/>
          <w:sz w:val="18"/>
          <w:szCs w:val="18"/>
          <w:color w:val="auto"/>
        </w:rPr>
      </w:pPr>
    </w:p>
    <w:p>
      <w:pPr>
        <w:ind w:left="1620" w:right="359" w:hanging="815"/>
        <w:spacing w:after="0" w:line="256"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620" w:right="139" w:hanging="815"/>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620" w:right="279" w:hanging="771"/>
        <w:spacing w:after="0" w:line="256"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800" w:right="279" w:hanging="738"/>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jc w:val="both"/>
        <w:ind w:left="1620" w:right="199" w:hanging="815"/>
        <w:spacing w:after="0" w:line="25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620" w:right="439" w:hanging="815"/>
        <w:spacing w:after="0" w:line="268"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Paul A. Criscillis,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wp:posOffset>
            </wp:positionV>
            <wp:extent cx="1808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Paul A. Criscillis,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2004</w:t>
      </w:r>
    </w:p>
    <w:p>
      <w:pPr>
        <w:sectPr>
          <w:pgSz w:w="11900" w:h="16838" w:orient="portrait"/>
          <w:cols w:equalWidth="0" w:num="1">
            <w:col w:w="10219"/>
          </w:cols>
          <w:pgMar w:left="240" w:top="125"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Certificate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Pursuant to Section 906 of the Sarbanes-Oxley Act of 2002</w:t>
      </w:r>
    </w:p>
    <w:p>
      <w:pPr>
        <w:spacing w:after="0" w:line="219" w:lineRule="exact"/>
        <w:rPr>
          <w:sz w:val="20"/>
          <w:szCs w:val="20"/>
          <w:color w:val="auto"/>
        </w:rPr>
      </w:pPr>
    </w:p>
    <w:p>
      <w:pPr>
        <w:ind w:firstLine="675"/>
        <w:spacing w:after="0" w:line="259" w:lineRule="auto"/>
        <w:rPr>
          <w:sz w:val="20"/>
          <w:szCs w:val="20"/>
          <w:color w:val="auto"/>
        </w:rPr>
      </w:pPr>
      <w:r>
        <w:rPr>
          <w:rFonts w:ascii="Arial" w:cs="Arial" w:eastAsia="Arial" w:hAnsi="Arial"/>
          <w:sz w:val="18"/>
          <w:szCs w:val="18"/>
          <w:color w:val="auto"/>
        </w:rPr>
        <w:t>In connection with the quarterly report of National Vision, Inc. (the “Company”) on Form 10-Q for the quarter ended July 3, 2004, as filed with the Securities and Exchange Commission on the date hereof (the “Report”), I, Reade Fahs, the Chief Executive Officer of the Company, certify, pursuant to 18 U.S.C. Section 1350, as adopted pursuant to Section 906 of the Sarbanes-Oxley Act of 2002, that:</w:t>
      </w:r>
    </w:p>
    <w:p>
      <w:pPr>
        <w:spacing w:after="0" w:line="343" w:lineRule="exact"/>
        <w:rPr>
          <w:sz w:val="20"/>
          <w:szCs w:val="20"/>
          <w:color w:val="auto"/>
        </w:rPr>
      </w:pPr>
    </w:p>
    <w:p>
      <w:pPr>
        <w:ind w:left="580" w:hanging="38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38" w:lineRule="exact"/>
        <w:rPr>
          <w:rFonts w:ascii="Arial" w:cs="Arial" w:eastAsia="Arial" w:hAnsi="Arial"/>
          <w:sz w:val="18"/>
          <w:szCs w:val="18"/>
          <w:color w:val="auto"/>
        </w:rPr>
      </w:pPr>
    </w:p>
    <w:p>
      <w:pPr>
        <w:ind w:left="580" w:hanging="383"/>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800" w:type="dxa"/>
            <w:vAlign w:val="bottom"/>
          </w:tcPr>
          <w:p>
            <w:pPr>
              <w:spacing w:after="0"/>
              <w:rPr>
                <w:sz w:val="20"/>
                <w:szCs w:val="20"/>
                <w:color w:val="auto"/>
              </w:rPr>
            </w:pPr>
            <w:r>
              <w:rPr>
                <w:rFonts w:ascii="Arial" w:cs="Arial" w:eastAsia="Arial" w:hAnsi="Arial"/>
                <w:sz w:val="18"/>
                <w:szCs w:val="18"/>
                <w:color w:val="auto"/>
              </w:rPr>
              <w:t>Date:  August 17, 2004</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24"/>
                <w:szCs w:val="24"/>
                <w:i w:val="1"/>
                <w:iCs w:val="1"/>
                <w:color w:val="auto"/>
              </w:rPr>
              <w:t>Reade Fahs</w:t>
            </w:r>
          </w:p>
        </w:tc>
      </w:tr>
      <w:tr>
        <w:trPr>
          <w:trHeight w:val="242"/>
        </w:trPr>
        <w:tc>
          <w:tcPr>
            <w:tcW w:w="480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Reade Fahs</w:t>
            </w:r>
          </w:p>
        </w:tc>
      </w:tr>
      <w:tr>
        <w:trPr>
          <w:trHeight w:val="222"/>
        </w:trPr>
        <w:tc>
          <w:tcPr>
            <w:tcW w:w="480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Certificate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Pursuant to Section 906 of the Sarbanes-Oxley Act of 2002</w:t>
      </w:r>
    </w:p>
    <w:p>
      <w:pPr>
        <w:spacing w:after="0" w:line="219" w:lineRule="exact"/>
        <w:rPr>
          <w:sz w:val="20"/>
          <w:szCs w:val="20"/>
          <w:color w:val="auto"/>
        </w:rPr>
      </w:pPr>
    </w:p>
    <w:p>
      <w:pPr>
        <w:ind w:right="160" w:firstLine="675"/>
        <w:spacing w:after="0" w:line="259" w:lineRule="auto"/>
        <w:rPr>
          <w:sz w:val="20"/>
          <w:szCs w:val="20"/>
          <w:color w:val="auto"/>
        </w:rPr>
      </w:pPr>
      <w:r>
        <w:rPr>
          <w:rFonts w:ascii="Arial" w:cs="Arial" w:eastAsia="Arial" w:hAnsi="Arial"/>
          <w:sz w:val="18"/>
          <w:szCs w:val="18"/>
          <w:color w:val="auto"/>
        </w:rPr>
        <w:t>In connection with the quarterly report of National Vision, Inc. (the “Company”) on Form 10-Q for the quarter ended July 3, 2004, as filed with the Securities and Exchange Commission on the date hereof (the “Report”), I, Paul A. Criscillis, Jr., the Chief Financial Officer of the Company, certify, pursuant to 18 U.S.C. Section 1350, as adopted pursuant to Section 906 of the Sarbanes-Oxley Act of 2002, that:</w:t>
      </w:r>
    </w:p>
    <w:p>
      <w:pPr>
        <w:spacing w:after="0" w:line="343" w:lineRule="exact"/>
        <w:rPr>
          <w:sz w:val="20"/>
          <w:szCs w:val="20"/>
          <w:color w:val="auto"/>
        </w:rPr>
      </w:pPr>
    </w:p>
    <w:p>
      <w:pPr>
        <w:ind w:left="580" w:hanging="38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38" w:lineRule="exact"/>
        <w:rPr>
          <w:rFonts w:ascii="Arial" w:cs="Arial" w:eastAsia="Arial" w:hAnsi="Arial"/>
          <w:sz w:val="18"/>
          <w:szCs w:val="18"/>
          <w:color w:val="auto"/>
        </w:rPr>
      </w:pPr>
    </w:p>
    <w:p>
      <w:pPr>
        <w:ind w:left="580" w:hanging="383"/>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8"/>
                <w:szCs w:val="18"/>
                <w:color w:val="auto"/>
              </w:rPr>
              <w:t>Date:  August 17, 2004</w:t>
            </w: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Criscillis, Jr.</w:t>
            </w:r>
          </w:p>
        </w:tc>
      </w:tr>
      <w:tr>
        <w:trPr>
          <w:trHeight w:val="228"/>
        </w:trPr>
        <w:tc>
          <w:tcPr>
            <w:tcW w:w="48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Paul A. Criscillis, Jr.</w:t>
            </w:r>
          </w:p>
        </w:tc>
      </w:tr>
      <w:tr>
        <w:trPr>
          <w:trHeight w:val="222"/>
        </w:trPr>
        <w:tc>
          <w:tcPr>
            <w:tcW w:w="48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7"/>
    </w:lvl>
    <w:lvl w:ilvl="1">
      <w:lvlJc w:val="left"/>
      <w:lvlText w:val="(%2)"/>
      <w:numFmt w:val="lowerRoman"/>
      <w:start w:val="1"/>
    </w:lvl>
  </w:abstractNum>
  <w:abstractNum w:abstractNumId="1">
    <w:nsid w:val="5BD062C2"/>
    <w:multiLevelType w:val="hybridMultilevel"/>
    <w:lvl w:ilvl="0">
      <w:lvlJc w:val="left"/>
      <w:lvlText w:val="(%1)"/>
      <w:numFmt w:val="lowerRoman"/>
      <w:start w:val="3"/>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1"/>
    </w:lvl>
    <w:lvl w:ilvl="1">
      <w:lvlJc w:val="left"/>
      <w:lvlText w:val="%2)"/>
      <w:numFmt w:val="lowerLetter"/>
      <w:start w:val="2"/>
    </w:lvl>
  </w:abstractNum>
  <w:abstractNum w:abstractNumId="7">
    <w:nsid w:val="66EF438D"/>
    <w:multiLevelType w:val="hybridMultilevel"/>
    <w:lvl w:ilvl="0">
      <w:lvlJc w:val="left"/>
      <w:lvlText w:val="%1."/>
      <w:numFmt w:val="decimal"/>
      <w:start w:val="2"/>
    </w:lvl>
    <w:lvl w:ilvl="1">
      <w:lvlJc w:val="left"/>
      <w:lvlText w:val="%2"/>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3">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2020-02-17T10:45:22Z</dcterms:created>
  <dcterms:modified xsi:type="dcterms:W3CDTF">2020-02-17T10:45:22Z</dcterms:modified>
</cp:coreProperties>
</file>