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629285</wp:posOffset>
            </wp:positionV>
            <wp:extent cx="7126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12660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17145"/>
                    </a:xfrm>
                    <a:prstGeom prst="rect">
                      <a:avLst/>
                    </a:prstGeom>
                    <a:noFill/>
                  </pic:spPr>
                </pic:pic>
              </a:graphicData>
            </a:graphic>
          </wp:anchor>
        </w:drawing>
        <w:t>UNITED STATES</w:t>
      </w: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217"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FORM 8-K</w:t>
      </w:r>
    </w:p>
    <w:p>
      <w:pPr>
        <w:spacing w:after="0" w:line="99"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283"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CURRENT REPORT</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7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Date of Report (Date Earliest Event report):</w:t>
      </w:r>
    </w:p>
    <w:p>
      <w:pPr>
        <w:spacing w:after="0" w:line="7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May 9, 2019</w:t>
      </w:r>
    </w:p>
    <w:p>
      <w:pPr>
        <w:spacing w:after="0" w:line="86"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8"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National Vision Holdings, Inc.</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169"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ectPr>
          <w:pgSz w:w="11900" w:h="16838" w:orient="portrait"/>
          <w:cols w:equalWidth="0" w:num="1">
            <w:col w:w="11380"/>
          </w:cols>
          <w:pgMar w:left="240" w:top="1075" w:right="279" w:bottom="1440" w:gutter="0" w:footer="0" w:header="0"/>
        </w:sectPr>
      </w:pPr>
    </w:p>
    <w:p>
      <w:pPr>
        <w:spacing w:after="0" w:line="157"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Delaware</w:t>
      </w:r>
    </w:p>
    <w:p>
      <w:pPr>
        <w:spacing w:after="0" w:line="26" w:lineRule="exact"/>
        <w:rPr>
          <w:sz w:val="24"/>
          <w:szCs w:val="24"/>
          <w:color w:val="auto"/>
        </w:rPr>
      </w:pPr>
    </w:p>
    <w:p>
      <w:pPr>
        <w:ind w:left="1320"/>
        <w:spacing w:after="0"/>
        <w:rPr>
          <w:sz w:val="20"/>
          <w:szCs w:val="20"/>
          <w:color w:val="auto"/>
        </w:rPr>
      </w:pPr>
      <w:r>
        <w:rPr>
          <w:rFonts w:ascii="Arial" w:cs="Arial" w:eastAsia="Arial" w:hAnsi="Arial"/>
          <w:sz w:val="16"/>
          <w:szCs w:val="16"/>
          <w:color w:val="auto"/>
        </w:rPr>
        <w:t>(State or other jurisdiction of</w:t>
      </w:r>
    </w:p>
    <w:p>
      <w:pPr>
        <w:spacing w:after="0" w:line="19" w:lineRule="exact"/>
        <w:rPr>
          <w:sz w:val="24"/>
          <w:szCs w:val="24"/>
          <w:color w:val="auto"/>
        </w:rPr>
      </w:pPr>
    </w:p>
    <w:p>
      <w:pPr>
        <w:ind w:left="1280"/>
        <w:spacing w:after="0"/>
        <w:rPr>
          <w:sz w:val="20"/>
          <w:szCs w:val="20"/>
          <w:color w:val="auto"/>
        </w:rPr>
      </w:pPr>
      <w:r>
        <w:rPr>
          <w:rFonts w:ascii="Arial" w:cs="Arial" w:eastAsia="Arial" w:hAnsi="Arial"/>
          <w:sz w:val="16"/>
          <w:szCs w:val="16"/>
          <w:color w:val="auto"/>
        </w:rPr>
        <w:t>incorporation or organization)</w:t>
      </w:r>
    </w:p>
    <w:p>
      <w:pPr>
        <w:spacing w:after="0" w:line="321"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2435 Commerce Ave,</w:t>
      </w:r>
    </w:p>
    <w:p>
      <w:pPr>
        <w:spacing w:after="0" w:line="26"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Building 2200</w:t>
      </w:r>
    </w:p>
    <w:p>
      <w:pPr>
        <w:spacing w:after="0" w:line="19"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Duluth, Georgia</w:t>
      </w:r>
    </w:p>
    <w:p>
      <w:pPr>
        <w:spacing w:after="0" w:line="19" w:lineRule="exact"/>
        <w:rPr>
          <w:sz w:val="24"/>
          <w:szCs w:val="24"/>
          <w:color w:val="auto"/>
        </w:rPr>
      </w:pPr>
    </w:p>
    <w:p>
      <w:pPr>
        <w:jc w:val="center"/>
        <w:ind w:right="2060"/>
        <w:spacing w:after="0"/>
        <w:rPr>
          <w:sz w:val="20"/>
          <w:szCs w:val="20"/>
          <w:color w:val="auto"/>
        </w:rPr>
      </w:pPr>
      <w:r>
        <w:rPr>
          <w:rFonts w:ascii="Arial" w:cs="Arial" w:eastAsia="Arial" w:hAnsi="Arial"/>
          <w:sz w:val="16"/>
          <w:szCs w:val="16"/>
          <w:color w:val="auto"/>
        </w:rPr>
        <w:t>(Address of principal executive offices)</w:t>
      </w:r>
    </w:p>
    <w:p>
      <w:pPr>
        <w:spacing w:after="0" w:line="240" w:lineRule="exact"/>
        <w:rPr>
          <w:sz w:val="24"/>
          <w:szCs w:val="24"/>
          <w:color w:val="auto"/>
        </w:rPr>
      </w:pPr>
    </w:p>
    <w:p>
      <w:pPr>
        <w:jc w:val="center"/>
        <w:ind w:right="2060"/>
        <w:spacing w:after="0" w:line="184" w:lineRule="exact"/>
        <w:rPr>
          <w:sz w:val="20"/>
          <w:szCs w:val="20"/>
          <w:color w:val="auto"/>
        </w:rPr>
      </w:pPr>
      <w:r>
        <w:rPr>
          <w:rFonts w:ascii="Arial" w:cs="Arial" w:eastAsia="Arial" w:hAnsi="Arial"/>
          <w:sz w:val="16"/>
          <w:szCs w:val="16"/>
          <w:b w:val="1"/>
          <w:bCs w:val="1"/>
          <w:color w:val="auto"/>
        </w:rPr>
        <w:t>(770) 822</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3600</w:t>
      </w:r>
    </w:p>
    <w:p>
      <w:pPr>
        <w:spacing w:after="0" w:line="26" w:lineRule="exact"/>
        <w:rPr>
          <w:sz w:val="24"/>
          <w:szCs w:val="24"/>
          <w:color w:val="auto"/>
        </w:rPr>
      </w:pPr>
    </w:p>
    <w:p>
      <w:pPr>
        <w:jc w:val="center"/>
        <w:ind w:right="2060"/>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jc w:val="center"/>
        <w:ind w:right="600"/>
        <w:spacing w:after="0" w:line="184" w:lineRule="exact"/>
        <w:rPr>
          <w:sz w:val="20"/>
          <w:szCs w:val="20"/>
          <w:color w:val="auto"/>
        </w:rPr>
      </w:pPr>
      <w:r>
        <w:rPr>
          <w:rFonts w:ascii="Arial" w:cs="Arial" w:eastAsia="Arial" w:hAnsi="Arial"/>
          <w:sz w:val="16"/>
          <w:szCs w:val="16"/>
          <w:b w:val="1"/>
          <w:bCs w:val="1"/>
          <w:color w:val="auto"/>
        </w:rPr>
        <w:t>46</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4841717</w:t>
      </w:r>
    </w:p>
    <w:p>
      <w:pPr>
        <w:spacing w:after="0" w:line="26"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(I.R.S. Employer</w:t>
      </w:r>
    </w:p>
    <w:p>
      <w:pPr>
        <w:spacing w:after="0" w:line="19"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Identification No.)</w:t>
      </w:r>
    </w:p>
    <w:p>
      <w:pPr>
        <w:spacing w:after="0" w:line="200" w:lineRule="exact"/>
        <w:rPr>
          <w:sz w:val="24"/>
          <w:szCs w:val="24"/>
          <w:color w:val="auto"/>
        </w:rPr>
      </w:pPr>
    </w:p>
    <w:p>
      <w:pPr>
        <w:spacing w:after="0" w:line="216" w:lineRule="exact"/>
        <w:rPr>
          <w:sz w:val="24"/>
          <w:szCs w:val="24"/>
          <w:color w:val="auto"/>
        </w:rPr>
      </w:pPr>
    </w:p>
    <w:p>
      <w:pPr>
        <w:jc w:val="center"/>
        <w:ind w:right="600"/>
        <w:spacing w:after="0"/>
        <w:rPr>
          <w:sz w:val="20"/>
          <w:szCs w:val="20"/>
          <w:color w:val="auto"/>
        </w:rPr>
      </w:pPr>
      <w:r>
        <w:rPr>
          <w:rFonts w:ascii="Arial" w:cs="Arial" w:eastAsia="Arial" w:hAnsi="Arial"/>
          <w:sz w:val="16"/>
          <w:szCs w:val="16"/>
          <w:b w:val="1"/>
          <w:bCs w:val="1"/>
          <w:color w:val="auto"/>
        </w:rPr>
        <w:t>30096</w:t>
      </w:r>
    </w:p>
    <w:p>
      <w:pPr>
        <w:spacing w:after="0" w:line="26"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pacing w:after="0" w:line="216" w:lineRule="exact"/>
        <w:rPr>
          <w:sz w:val="24"/>
          <w:szCs w:val="24"/>
          <w:color w:val="auto"/>
        </w:rPr>
      </w:pPr>
    </w:p>
    <w:p>
      <w:pPr>
        <w:jc w:val="center"/>
        <w:ind w:right="600"/>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600"/>
        <w:spacing w:after="0"/>
        <w:rPr>
          <w:sz w:val="20"/>
          <w:szCs w:val="20"/>
          <w:color w:val="auto"/>
        </w:rPr>
      </w:pPr>
      <w:r>
        <w:rPr>
          <w:rFonts w:ascii="Arial" w:cs="Arial" w:eastAsia="Arial" w:hAnsi="Arial"/>
          <w:sz w:val="14"/>
          <w:szCs w:val="14"/>
          <w:color w:val="auto"/>
        </w:rPr>
        <w:t>(Former name, former address and former fiscal year,</w:t>
      </w:r>
    </w:p>
    <w:p>
      <w:pPr>
        <w:spacing w:after="0" w:line="42"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if changed since last report)</w:t>
      </w:r>
    </w:p>
    <w:p>
      <w:pPr>
        <w:spacing w:after="0" w:line="119" w:lineRule="exact"/>
        <w:rPr>
          <w:sz w:val="24"/>
          <w:szCs w:val="24"/>
          <w:color w:val="auto"/>
        </w:rPr>
      </w:pPr>
    </w:p>
    <w:p>
      <w:pPr>
        <w:sectPr>
          <w:pgSz w:w="11900" w:h="16838" w:orient="portrait"/>
          <w:cols w:equalWidth="0" w:num="2">
            <w:col w:w="6580" w:space="720"/>
            <w:col w:w="4080"/>
          </w:cols>
          <w:pgMar w:left="240" w:top="1075" w:right="279" w:bottom="1440" w:gutter="0" w:footer="0" w:header="0"/>
          <w:type w:val="continuous"/>
        </w:sect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84"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Written communications pursuant to Rule 425 under the Securities Act (17 CFR 230.42</w:t>
      </w:r>
    </w:p>
    <w:p>
      <w:pPr>
        <w:spacing w:after="0" w:line="11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11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0"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6"/>
          <w:szCs w:val="16"/>
          <w:color w:val="auto"/>
        </w:rPr>
        <w:t>☐</w:t>
      </w:r>
    </w:p>
    <w:p>
      <w:pPr>
        <w:spacing w:after="0" w:line="129"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7720" w:type="dxa"/>
            <w:vAlign w:val="bottom"/>
            <w:gridSpan w:val="5"/>
          </w:tcPr>
          <w:p>
            <w:pPr>
              <w:spacing w:after="0"/>
              <w:rPr>
                <w:sz w:val="20"/>
                <w:szCs w:val="20"/>
                <w:color w:val="auto"/>
              </w:rPr>
            </w:pPr>
            <w:r>
              <w:rPr>
                <w:rFonts w:ascii="Arial" w:cs="Arial" w:eastAsia="Arial" w:hAnsi="Arial"/>
                <w:sz w:val="18"/>
                <w:szCs w:val="18"/>
                <w:color w:val="auto"/>
                <w:w w:val="94"/>
              </w:rPr>
              <w:t>new or revised financial accounting standards provided pursuant to Section 13(a) of the Exchange Act.</w:t>
            </w:r>
          </w:p>
        </w:tc>
        <w:tc>
          <w:tcPr>
            <w:tcW w:w="20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1520" w:type="dxa"/>
            <w:vAlign w:val="bottom"/>
          </w:tcPr>
          <w:p>
            <w:pPr>
              <w:spacing w:after="0"/>
              <w:rPr>
                <w:sz w:val="22"/>
                <w:szCs w:val="22"/>
                <w:color w:val="auto"/>
              </w:rPr>
            </w:pPr>
          </w:p>
        </w:tc>
      </w:tr>
      <w:tr>
        <w:trPr>
          <w:trHeight w:val="286"/>
        </w:trPr>
        <w:tc>
          <w:tcPr>
            <w:tcW w:w="584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8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78"/>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Title of each class</w:t>
            </w:r>
          </w:p>
        </w:tc>
        <w:tc>
          <w:tcPr>
            <w:tcW w:w="1840" w:type="dxa"/>
            <w:vAlign w:val="bottom"/>
            <w:gridSpan w:val="2"/>
          </w:tcPr>
          <w:p>
            <w:pPr>
              <w:ind w:left="20"/>
              <w:spacing w:after="0"/>
              <w:rPr>
                <w:sz w:val="20"/>
                <w:szCs w:val="20"/>
                <w:color w:val="auto"/>
              </w:rPr>
            </w:pPr>
            <w:r>
              <w:rPr>
                <w:rFonts w:ascii="Arial" w:cs="Arial" w:eastAsia="Arial" w:hAnsi="Arial"/>
                <w:sz w:val="18"/>
                <w:szCs w:val="18"/>
                <w:color w:val="auto"/>
              </w:rPr>
              <w:t>Trading Symbol(s)</w:t>
            </w:r>
          </w:p>
        </w:tc>
        <w:tc>
          <w:tcPr>
            <w:tcW w:w="3880" w:type="dxa"/>
            <w:vAlign w:val="bottom"/>
            <w:gridSpan w:val="2"/>
          </w:tcPr>
          <w:p>
            <w:pPr>
              <w:ind w:left="20"/>
              <w:spacing w:after="0"/>
              <w:rPr>
                <w:sz w:val="20"/>
                <w:szCs w:val="20"/>
                <w:color w:val="auto"/>
              </w:rPr>
            </w:pPr>
            <w:r>
              <w:rPr>
                <w:rFonts w:ascii="Arial" w:cs="Arial" w:eastAsia="Arial" w:hAnsi="Arial"/>
                <w:sz w:val="18"/>
                <w:szCs w:val="18"/>
                <w:color w:val="auto"/>
              </w:rPr>
              <w:t>Name of each exchange on which registered</w:t>
            </w:r>
          </w:p>
        </w:tc>
        <w:tc>
          <w:tcPr>
            <w:tcW w:w="1520" w:type="dxa"/>
            <w:vAlign w:val="bottom"/>
          </w:tcPr>
          <w:p>
            <w:pPr>
              <w:spacing w:after="0"/>
              <w:rPr>
                <w:sz w:val="24"/>
                <w:szCs w:val="24"/>
                <w:color w:val="auto"/>
              </w:rPr>
            </w:pPr>
          </w:p>
        </w:tc>
      </w:tr>
      <w:tr>
        <w:trPr>
          <w:trHeight w:val="27"/>
        </w:trPr>
        <w:tc>
          <w:tcPr>
            <w:tcW w:w="3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4000" w:type="dxa"/>
            <w:vAlign w:val="bottom"/>
            <w:gridSpan w:val="2"/>
          </w:tcPr>
          <w:p>
            <w:pPr>
              <w:ind w:left="440"/>
              <w:spacing w:after="0"/>
              <w:rPr>
                <w:sz w:val="20"/>
                <w:szCs w:val="20"/>
                <w:color w:val="auto"/>
              </w:rPr>
            </w:pPr>
            <w:r>
              <w:rPr>
                <w:rFonts w:ascii="Arial" w:cs="Arial" w:eastAsia="Arial" w:hAnsi="Arial"/>
                <w:sz w:val="18"/>
                <w:szCs w:val="18"/>
                <w:color w:val="auto"/>
              </w:rPr>
              <w:t>Common stock, par value $0.01 per share</w:t>
            </w:r>
          </w:p>
        </w:tc>
        <w:tc>
          <w:tcPr>
            <w:tcW w:w="1840" w:type="dxa"/>
            <w:vAlign w:val="bottom"/>
            <w:gridSpan w:val="2"/>
          </w:tcPr>
          <w:p>
            <w:pPr>
              <w:ind w:left="20"/>
              <w:spacing w:after="0"/>
              <w:rPr>
                <w:sz w:val="20"/>
                <w:szCs w:val="20"/>
                <w:color w:val="auto"/>
              </w:rPr>
            </w:pPr>
            <w:r>
              <w:rPr>
                <w:rFonts w:ascii="Arial" w:cs="Arial" w:eastAsia="Arial" w:hAnsi="Arial"/>
                <w:sz w:val="18"/>
                <w:szCs w:val="18"/>
                <w:color w:val="auto"/>
              </w:rPr>
              <w:t>EYE</w:t>
            </w:r>
          </w:p>
        </w:tc>
        <w:tc>
          <w:tcPr>
            <w:tcW w:w="1880" w:type="dxa"/>
            <w:vAlign w:val="bottom"/>
          </w:tcPr>
          <w:p>
            <w:pPr>
              <w:ind w:left="20"/>
              <w:spacing w:after="0"/>
              <w:rPr>
                <w:sz w:val="20"/>
                <w:szCs w:val="20"/>
                <w:color w:val="auto"/>
              </w:rPr>
            </w:pPr>
            <w:r>
              <w:rPr>
                <w:rFonts w:ascii="Arial" w:cs="Arial" w:eastAsia="Arial" w:hAnsi="Arial"/>
                <w:sz w:val="18"/>
                <w:szCs w:val="18"/>
                <w:color w:val="auto"/>
              </w:rPr>
              <w:t>Nasdaq</w:t>
            </w:r>
          </w:p>
        </w:tc>
        <w:tc>
          <w:tcPr>
            <w:tcW w:w="20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0"/>
        </w:trPr>
        <w:tc>
          <w:tcPr>
            <w:tcW w:w="38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spacing w:after="0"/>
              <w:rPr>
                <w:sz w:val="23"/>
                <w:szCs w:val="23"/>
                <w:color w:val="auto"/>
              </w:rPr>
            </w:pPr>
          </w:p>
        </w:tc>
        <w:tc>
          <w:tcPr>
            <w:tcW w:w="20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spacing w:after="0"/>
              <w:rPr>
                <w:sz w:val="23"/>
                <w:szCs w:val="23"/>
                <w:color w:val="auto"/>
              </w:rPr>
            </w:pPr>
          </w:p>
        </w:tc>
      </w:tr>
      <w:tr>
        <w:trPr>
          <w:trHeight w:val="122"/>
        </w:trPr>
        <w:tc>
          <w:tcPr>
            <w:tcW w:w="38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r>
    </w:tbl>
    <w:p>
      <w:pPr>
        <w:sectPr>
          <w:pgSz w:w="11900" w:h="16838" w:orient="portrait"/>
          <w:cols w:equalWidth="0" w:num="1">
            <w:col w:w="11380"/>
          </w:cols>
          <w:pgMar w:left="240" w:top="1075" w:right="2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May 9, 2019, National Vision Holdings, Inc. (“National Vision”) issued a press release announcing financial results for the quarter ended March 30,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copy of the release is furnished herewith as Exhibit 99.1 and incorporated by reference herein.</w:t>
      </w:r>
    </w:p>
    <w:p>
      <w:pPr>
        <w:spacing w:after="0" w:line="10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information in this Current Report on Form 8-K, including exhibits, is being furnished to the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National Vision’s filings with the SEC under the Securities Act of 1933, as amended, or the Exchange Act, except as shall be expressly set forth by specific reference in such a filing.</w:t>
      </w:r>
    </w:p>
    <w:p>
      <w:pPr>
        <w:spacing w:after="0" w:line="15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immediately preceding the signature page hereto, which is incorporated herein by reference.</w:t>
      </w:r>
    </w:p>
    <w:p>
      <w:pPr>
        <w:sectPr>
          <w:pgSz w:w="11900" w:h="16838" w:orient="portrait"/>
          <w:cols w:equalWidth="0" w:num="1">
            <w:col w:w="11420"/>
          </w:cols>
          <w:pgMar w:left="240" w:top="58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20" w:type="dxa"/>
            <w:vAlign w:val="bottom"/>
          </w:tcPr>
          <w:p>
            <w:pPr>
              <w:ind w:left="2620"/>
              <w:spacing w:after="0"/>
              <w:rPr>
                <w:sz w:val="20"/>
                <w:szCs w:val="20"/>
                <w:color w:val="auto"/>
              </w:rPr>
            </w:pPr>
            <w:r>
              <w:rPr>
                <w:rFonts w:ascii="Arial" w:cs="Arial" w:eastAsia="Arial" w:hAnsi="Arial"/>
                <w:sz w:val="18"/>
                <w:szCs w:val="18"/>
                <w:b w:val="1"/>
                <w:bCs w:val="1"/>
                <w:color w:val="auto"/>
              </w:rPr>
              <w:t>EXHIBIT INDEX</w:t>
            </w:r>
          </w:p>
        </w:tc>
      </w:tr>
      <w:tr>
        <w:trPr>
          <w:trHeight w:val="338"/>
        </w:trPr>
        <w:tc>
          <w:tcPr>
            <w:tcW w:w="1500" w:type="dxa"/>
            <w:vAlign w:val="bottom"/>
            <w:gridSpan w:val="3"/>
          </w:tcPr>
          <w:p>
            <w:pPr>
              <w:spacing w:after="0"/>
              <w:rPr>
                <w:sz w:val="20"/>
                <w:szCs w:val="20"/>
                <w:color w:val="auto"/>
              </w:rPr>
            </w:pPr>
            <w:r>
              <w:rPr>
                <w:rFonts w:ascii="Arial" w:cs="Arial" w:eastAsia="Arial" w:hAnsi="Arial"/>
                <w:sz w:val="18"/>
                <w:szCs w:val="18"/>
                <w:color w:val="auto"/>
              </w:rPr>
              <w:t>Exhibit No.</w:t>
            </w:r>
          </w:p>
        </w:tc>
        <w:tc>
          <w:tcPr>
            <w:tcW w:w="486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250"/>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5">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w w:val="93"/>
              </w:rPr>
              <w:t>National Vision Holdings, Inc. Press Release dated May 9, 2019.</w:t>
            </w:r>
          </w:p>
        </w:tc>
      </w:tr>
    </w:tbl>
    <w:p>
      <w:pPr>
        <w:sectPr>
          <w:pgSz w:w="11900" w:h="16838" w:orient="portrait"/>
          <w:cols w:equalWidth="0" w:num="1">
            <w:col w:w="10159"/>
          </w:cols>
          <w:pgMar w:left="300" w:top="580" w:right="1440"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by the undersigned hereunto duly authorized.</w:t>
      </w:r>
    </w:p>
    <w:p>
      <w:pPr>
        <w:spacing w:after="0" w:line="333"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27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320" w:type="dxa"/>
            <w:vAlign w:val="bottom"/>
          </w:tcPr>
          <w:p>
            <w:pPr>
              <w:ind w:left="40"/>
              <w:spacing w:after="0"/>
              <w:rPr>
                <w:sz w:val="20"/>
                <w:szCs w:val="20"/>
                <w:color w:val="auto"/>
              </w:rPr>
            </w:pPr>
            <w:r>
              <w:rPr>
                <w:rFonts w:ascii="Arial" w:cs="Arial" w:eastAsia="Arial" w:hAnsi="Arial"/>
                <w:sz w:val="18"/>
                <w:szCs w:val="18"/>
                <w:color w:val="auto"/>
              </w:rPr>
              <w:t>National Vision Holdings, Inc.</w:t>
            </w:r>
          </w:p>
        </w:tc>
      </w:tr>
      <w:tr>
        <w:trPr>
          <w:trHeight w:val="486"/>
        </w:trPr>
        <w:tc>
          <w:tcPr>
            <w:tcW w:w="2740" w:type="dxa"/>
            <w:vAlign w:val="bottom"/>
          </w:tcPr>
          <w:p>
            <w:pPr>
              <w:spacing w:after="0"/>
              <w:rPr>
                <w:sz w:val="20"/>
                <w:szCs w:val="20"/>
                <w:color w:val="auto"/>
              </w:rPr>
            </w:pPr>
            <w:r>
              <w:rPr>
                <w:rFonts w:ascii="Arial" w:cs="Arial" w:eastAsia="Arial" w:hAnsi="Arial"/>
                <w:sz w:val="18"/>
                <w:szCs w:val="18"/>
                <w:color w:val="auto"/>
              </w:rPr>
              <w:t>Date: May 9, 2019</w:t>
            </w:r>
          </w:p>
        </w:tc>
        <w:tc>
          <w:tcPr>
            <w:tcW w:w="2760" w:type="dxa"/>
            <w:vAlign w:val="bottom"/>
          </w:tcPr>
          <w:p>
            <w:pPr>
              <w:ind w:left="1400"/>
              <w:spacing w:after="0"/>
              <w:rPr>
                <w:sz w:val="20"/>
                <w:szCs w:val="20"/>
                <w:color w:val="auto"/>
              </w:rPr>
            </w:pPr>
            <w:r>
              <w:rPr>
                <w:rFonts w:ascii="Arial" w:cs="Arial" w:eastAsia="Arial" w:hAnsi="Arial"/>
                <w:sz w:val="18"/>
                <w:szCs w:val="18"/>
                <w:color w:val="auto"/>
              </w:rPr>
              <w:t>By:</w:t>
            </w:r>
          </w:p>
        </w:tc>
        <w:tc>
          <w:tcPr>
            <w:tcW w:w="5320" w:type="dxa"/>
            <w:vAlign w:val="bottom"/>
          </w:tcPr>
          <w:p>
            <w:pPr>
              <w:ind w:left="40"/>
              <w:spacing w:after="0"/>
              <w:rPr>
                <w:sz w:val="20"/>
                <w:szCs w:val="20"/>
                <w:color w:val="auto"/>
              </w:rPr>
            </w:pPr>
            <w:r>
              <w:rPr>
                <w:rFonts w:ascii="Arial" w:cs="Arial" w:eastAsia="Arial" w:hAnsi="Arial"/>
                <w:sz w:val="18"/>
                <w:szCs w:val="18"/>
                <w:color w:val="auto"/>
              </w:rPr>
              <w:t>/s/ Jared Brandman</w:t>
            </w:r>
          </w:p>
        </w:tc>
      </w:tr>
      <w:tr>
        <w:trPr>
          <w:trHeight w:val="27"/>
        </w:trPr>
        <w:tc>
          <w:tcPr>
            <w:tcW w:w="27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r>
      <w:tr>
        <w:trPr>
          <w:trHeight w:val="237"/>
        </w:trPr>
        <w:tc>
          <w:tcPr>
            <w:tcW w:w="2740" w:type="dxa"/>
            <w:vAlign w:val="bottom"/>
          </w:tcPr>
          <w:p>
            <w:pPr>
              <w:spacing w:after="0"/>
              <w:rPr>
                <w:sz w:val="20"/>
                <w:szCs w:val="20"/>
                <w:color w:val="auto"/>
              </w:rPr>
            </w:pPr>
          </w:p>
        </w:tc>
        <w:tc>
          <w:tcPr>
            <w:tcW w:w="2760" w:type="dxa"/>
            <w:vAlign w:val="bottom"/>
          </w:tcPr>
          <w:p>
            <w:pPr>
              <w:ind w:left="1400"/>
              <w:spacing w:after="0"/>
              <w:rPr>
                <w:sz w:val="20"/>
                <w:szCs w:val="20"/>
                <w:color w:val="auto"/>
              </w:rPr>
            </w:pPr>
            <w:r>
              <w:rPr>
                <w:rFonts w:ascii="Arial" w:cs="Arial" w:eastAsia="Arial" w:hAnsi="Arial"/>
                <w:sz w:val="18"/>
                <w:szCs w:val="18"/>
                <w:color w:val="auto"/>
              </w:rPr>
              <w:t>Name:</w:t>
            </w:r>
          </w:p>
        </w:tc>
        <w:tc>
          <w:tcPr>
            <w:tcW w:w="5320" w:type="dxa"/>
            <w:vAlign w:val="bottom"/>
          </w:tcPr>
          <w:p>
            <w:pPr>
              <w:ind w:left="40"/>
              <w:spacing w:after="0"/>
              <w:rPr>
                <w:sz w:val="20"/>
                <w:szCs w:val="20"/>
                <w:color w:val="auto"/>
              </w:rPr>
            </w:pPr>
            <w:r>
              <w:rPr>
                <w:rFonts w:ascii="Arial" w:cs="Arial" w:eastAsia="Arial" w:hAnsi="Arial"/>
                <w:sz w:val="18"/>
                <w:szCs w:val="18"/>
                <w:color w:val="auto"/>
              </w:rPr>
              <w:t>Jared Brandman</w:t>
            </w:r>
          </w:p>
        </w:tc>
      </w:tr>
      <w:tr>
        <w:trPr>
          <w:trHeight w:val="270"/>
        </w:trPr>
        <w:tc>
          <w:tcPr>
            <w:tcW w:w="2740" w:type="dxa"/>
            <w:vAlign w:val="bottom"/>
          </w:tcPr>
          <w:p>
            <w:pPr>
              <w:spacing w:after="0"/>
              <w:rPr>
                <w:sz w:val="23"/>
                <w:szCs w:val="23"/>
                <w:color w:val="auto"/>
              </w:rPr>
            </w:pPr>
          </w:p>
        </w:tc>
        <w:tc>
          <w:tcPr>
            <w:tcW w:w="2760" w:type="dxa"/>
            <w:vAlign w:val="bottom"/>
          </w:tcPr>
          <w:p>
            <w:pPr>
              <w:ind w:left="1400"/>
              <w:spacing w:after="0"/>
              <w:rPr>
                <w:sz w:val="20"/>
                <w:szCs w:val="20"/>
                <w:color w:val="auto"/>
              </w:rPr>
            </w:pPr>
            <w:r>
              <w:rPr>
                <w:rFonts w:ascii="Arial" w:cs="Arial" w:eastAsia="Arial" w:hAnsi="Arial"/>
                <w:sz w:val="18"/>
                <w:szCs w:val="18"/>
                <w:color w:val="auto"/>
              </w:rPr>
              <w:t>Title:</w:t>
            </w:r>
          </w:p>
        </w:tc>
        <w:tc>
          <w:tcPr>
            <w:tcW w:w="5320" w:type="dxa"/>
            <w:vAlign w:val="bottom"/>
          </w:tcPr>
          <w:p>
            <w:pPr>
              <w:ind w:left="40"/>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1320"/>
          </w:cols>
          <w:pgMar w:left="240" w:top="58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969010" cy="7543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969010" cy="75438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National Vision Holdings, Inc. Reports First Quarter 2019 Financial Results</w:t>
      </w:r>
    </w:p>
    <w:p>
      <w:pPr>
        <w:spacing w:after="0" w:line="200" w:lineRule="exact"/>
        <w:rPr>
          <w:sz w:val="20"/>
          <w:szCs w:val="20"/>
          <w:color w:val="auto"/>
        </w:rPr>
      </w:pPr>
    </w:p>
    <w:p>
      <w:pPr>
        <w:spacing w:after="0" w:line="250"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Net revenue increased 13.0% to $461.2 million</w:t>
      </w:r>
    </w:p>
    <w:p>
      <w:pPr>
        <w:spacing w:after="0" w:line="23"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69th consecutive quarter of positive comparable store sales growth</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Comparable store sales growth of 6.2%; Adjusted comparable store sales growth of 6.7%</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Net income of $17.4 million; Adjusted net income increased 0.9% to $26.7 million</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EBITDA increased 4.2% to $63.3 million</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Diluted EPS of $0.21; Adjusted diluted EPS decreased 3.6% to $0.33</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Reaffirms Fiscal 2019 Outlook</w:t>
      </w:r>
    </w:p>
    <w:p>
      <w:pPr>
        <w:spacing w:after="0" w:line="2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Duluth, Ga. </w:t>
      </w:r>
      <w:r>
        <w:rPr>
          <w:rFonts w:ascii="Arial" w:cs="Arial" w:eastAsia="Arial" w:hAnsi="Arial"/>
          <w:sz w:val="18"/>
          <w:szCs w:val="18"/>
          <w:color w:val="auto"/>
        </w:rPr>
        <w:t>--</w:t>
      </w:r>
      <w:r>
        <w:rPr>
          <w:rFonts w:ascii="Arial" w:cs="Arial" w:eastAsia="Arial" w:hAnsi="Arial"/>
          <w:sz w:val="18"/>
          <w:szCs w:val="18"/>
          <w:b w:val="1"/>
          <w:bCs w:val="1"/>
          <w:color w:val="auto"/>
        </w:rPr>
        <w:t xml:space="preserve"> May 9, 2019 </w:t>
      </w:r>
      <w:r>
        <w:rPr>
          <w:rFonts w:ascii="Arial" w:cs="Arial" w:eastAsia="Arial" w:hAnsi="Arial"/>
          <w:sz w:val="18"/>
          <w:szCs w:val="18"/>
          <w:color w:val="auto"/>
        </w:rPr>
        <w:t>-- National Vision Holdings, Inc. (NASDAQ: EYE) (“National Vision” or the “Company”) today reported its financial results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quarter ended March 30, 2019.</w:t>
      </w:r>
    </w:p>
    <w:p>
      <w:pPr>
        <w:spacing w:after="0" w:line="11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Reade Fahs, chief executive officer, stated, “We are very pleased to report our first quarter results, which reflect the ongoing strength of our differentiated business model and compelling value proposition that continue to resonate with customers. Our team delivered its 69th consecutive quarter of positive comparable store sales growth, and its best first quarter comp since 2015. We opened 26 stores this quarter, and are on track to achieve our 2019 store opening plans. Our optometrists and associates remain committed to making quality eye exams and eyewear more affordable for our patients and customers throughout the United States. Overall, we remain well positioned in a very attractive industry and are confident in our growth strategies.”</w:t>
      </w:r>
    </w:p>
    <w:p>
      <w:pPr>
        <w:spacing w:after="0" w:line="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Adjusted comparable store sales growth, adjusted diluted EPS, adjusted EBITDA, adjusted EBITDA margin, adjusted net income and EBITDA are not measures recognized under generally accepted accounting principles (</w:t>
      </w: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w:t>
      </w:r>
      <w:r>
        <w:rPr>
          <w:rFonts w:ascii="Arial" w:cs="Arial" w:eastAsia="Arial" w:hAnsi="Arial"/>
          <w:sz w:val="18"/>
          <w:szCs w:val="18"/>
          <w:i w:val="1"/>
          <w:iCs w:val="1"/>
          <w:color w:val="auto"/>
        </w:rPr>
        <w:t xml:space="preserve">). Please see </w:t>
      </w:r>
      <w:r>
        <w:rPr>
          <w:rFonts w:ascii="Arial" w:cs="Arial" w:eastAsia="Arial" w:hAnsi="Arial"/>
          <w:sz w:val="18"/>
          <w:szCs w:val="18"/>
          <w:color w:val="auto"/>
        </w:rPr>
        <w:t>“</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w:t>
      </w:r>
      <w:r>
        <w:rPr>
          <w:rFonts w:ascii="Arial" w:cs="Arial" w:eastAsia="Arial" w:hAnsi="Arial"/>
          <w:sz w:val="18"/>
          <w:szCs w:val="18"/>
          <w:i w:val="1"/>
          <w:iCs w:val="1"/>
          <w:color w:val="auto"/>
        </w:rPr>
        <w:t xml:space="preserve"> and </w:t>
      </w:r>
      <w:r>
        <w:rPr>
          <w:rFonts w:ascii="Arial" w:cs="Arial" w:eastAsia="Arial" w:hAnsi="Arial"/>
          <w:sz w:val="18"/>
          <w:szCs w:val="18"/>
          <w:color w:val="auto"/>
        </w:rPr>
        <w:t>“</w:t>
      </w:r>
      <w:r>
        <w:rPr>
          <w:rFonts w:ascii="Arial" w:cs="Arial" w:eastAsia="Arial" w:hAnsi="Arial"/>
          <w:sz w:val="18"/>
          <w:szCs w:val="18"/>
          <w:i w:val="1"/>
          <w:iCs w:val="1"/>
          <w:color w:val="auto"/>
        </w:rPr>
        <w:t>Reconciliation of GAAP to Non-GAAP Financial Measures</w:t>
      </w:r>
      <w:r>
        <w:rPr>
          <w:rFonts w:ascii="Arial" w:cs="Arial" w:eastAsia="Arial" w:hAnsi="Arial"/>
          <w:sz w:val="18"/>
          <w:szCs w:val="18"/>
          <w:color w:val="auto"/>
        </w:rPr>
        <w:t>”</w:t>
      </w:r>
      <w:r>
        <w:rPr>
          <w:rFonts w:ascii="Arial" w:cs="Arial" w:eastAsia="Arial" w:hAnsi="Arial"/>
          <w:sz w:val="18"/>
          <w:szCs w:val="18"/>
          <w:i w:val="1"/>
          <w:iCs w:val="1"/>
          <w:color w:val="auto"/>
        </w:rPr>
        <w:t xml:space="preserve"> below for more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2019 Summary</w:t>
      </w:r>
    </w:p>
    <w:p>
      <w:pPr>
        <w:spacing w:after="0" w:line="27" w:lineRule="exact"/>
        <w:rPr>
          <w:sz w:val="20"/>
          <w:szCs w:val="20"/>
          <w:color w:val="auto"/>
        </w:rPr>
      </w:pPr>
    </w:p>
    <w:p>
      <w:pPr>
        <w:ind w:left="3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revenue increased 13.0% to $461.2 million from $408.0 million for the first quarter of 2018. Net revenue was negatively impacted by approximately 120 basis points by the timing of unearned revenue.</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Comparable store sales growth was 6.2% and adjusted comparable store sales growth was 6.7% for the first quarter of 2019.</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opened 26 new stores, closed three stores and ended the quarter with 1,105 stores. Overall, store count grew 7.6% from March 31, 2018 to March 30, 2019.</w:t>
      </w:r>
    </w:p>
    <w:p>
      <w:pPr>
        <w:jc w:val="both"/>
        <w:ind w:left="3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applicable to revenue increased 17.5% to $212.0 million from $180.5 million for the first quarter of 2018. As a percentage of net revenue, costs applicable to revenue increased 180 basis points to 46.0% from 44.2% for the first quarter of 2018. This increase as a percentage of net revenue was primarily driven by the AC Lens contact lens distribution relationship with Walmart and higher optometrist costs, partially offset by a higher mix of eye exam sales as a result of the Company's growing managed care business.</w:t>
      </w:r>
    </w:p>
    <w:p>
      <w:pPr>
        <w:spacing w:after="0" w:line="1" w:lineRule="exact"/>
        <w:rPr>
          <w:rFonts w:ascii="Arial" w:cs="Arial" w:eastAsia="Arial" w:hAnsi="Arial"/>
          <w:sz w:val="18"/>
          <w:szCs w:val="18"/>
          <w:color w:val="auto"/>
        </w:rPr>
      </w:pPr>
    </w:p>
    <w:p>
      <w:pPr>
        <w:jc w:val="both"/>
        <w:ind w:left="340" w:hanging="332"/>
        <w:spacing w:after="0" w:line="281"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Selling, general and administrative expenses (“SG&amp;A”) increased 13.6% to $193.9 million from $170.7 million for the first quarter of 2018. As a percentage of net revenue, SG&amp;A increased 20 basis points to 42.0% from 41.8% for the first quarter of 2018. This increase as a percentage of net revenue was primarily driven by non-recurring management realignment and associated stock compensation expenses and performance-based incentive compensation, partially offset by increased net revenue from the AC Lens contact lens distribution relationship with Walmart, store payroll leverage and secondary public offering expenses incurred during the three months ended March 31, 2018 not recurring during the three months ended March 30, 2019.</w:t>
      </w:r>
    </w:p>
    <w:p>
      <w:pPr>
        <w:spacing w:after="0" w:line="3" w:lineRule="exact"/>
        <w:rPr>
          <w:rFonts w:ascii="Arial" w:cs="Arial" w:eastAsia="Arial" w:hAnsi="Arial"/>
          <w:sz w:val="16"/>
          <w:szCs w:val="16"/>
          <w:color w:val="auto"/>
        </w:rPr>
      </w:pPr>
    </w:p>
    <w:p>
      <w:pPr>
        <w:ind w:left="340" w:right="2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was $17.4 million compared to net income of $24.5 million for the first quarter of 2018. Diluted EPS was $0.21 compared to $0.31 per share for the first quarter of 2018.</w:t>
      </w:r>
    </w:p>
    <w:p>
      <w:pPr>
        <w:jc w:val="both"/>
        <w:ind w:left="3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net income increased 0.9% to $26.7 million compared to $26.4 million for the first quarter of 2018. Adjusted diluted EPS was $0.33 per diluted share compared to $0.34 per diluted share for the first quarter of 2018. The net change in margin on unearned revenue negatively impacted year-over-year adjusted net income growth by 1,000 basis points.</w:t>
      </w:r>
    </w:p>
    <w:p>
      <w:pPr>
        <w:spacing w:after="0" w:line="1" w:lineRule="exact"/>
        <w:rPr>
          <w:rFonts w:ascii="Arial" w:cs="Arial" w:eastAsia="Arial" w:hAnsi="Arial"/>
          <w:sz w:val="18"/>
          <w:szCs w:val="18"/>
          <w:color w:val="auto"/>
        </w:rPr>
      </w:pPr>
    </w:p>
    <w:p>
      <w:pPr>
        <w:jc w:val="both"/>
        <w:ind w:left="340" w:hanging="332"/>
        <w:spacing w:after="0" w:line="25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 increased 4.2% to $63.3 million compared to $60.7 million for the first quarter of 2018. Adjusted EBITDA margin decreased to 13.7% from 14.9% for the first quarter of 2018, due to the net change in margin on unearned revenue as well as the AC Lens contact lens distribution relationship with Walmart. The net change in margin on unearned revenue negatively impacted year-over-year adjusted EBITDA growth by 590 basis points.</w:t>
      </w:r>
    </w:p>
    <w:p>
      <w:pPr>
        <w:sectPr>
          <w:pgSz w:w="11900" w:h="16838" w:orient="portrait"/>
          <w:cols w:equalWidth="0" w:num="1">
            <w:col w:w="11420"/>
          </w:cols>
          <w:pgMar w:left="240" w:top="144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Balance Sheet and Cash Flow Highlights as of March 30, 2019</w:t>
      </w:r>
    </w:p>
    <w:p>
      <w:pPr>
        <w:spacing w:after="0" w:line="27" w:lineRule="exact"/>
        <w:rPr>
          <w:sz w:val="20"/>
          <w:szCs w:val="20"/>
          <w:color w:val="auto"/>
        </w:rPr>
      </w:pPr>
    </w:p>
    <w:p>
      <w:pPr>
        <w:ind w:left="34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cash balance was $72.5 million as of March 30, 2019. The Company had no borrowings under its $100.0 million first lien revolving credit facility, exclusive of letters of credit of $5.5 million.</w:t>
      </w: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debt was $586.9 million as of March 30, 2019, consisting of outstanding first lien term loans and capital lease obligations.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Cash flows from operating activities for the first three months of 2019 were $83.0 million compared to $77.8 million for the same period of 2018.</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 expenditures for the first three months of 2019 totaled $26.0 million compared to $22.8 million for the same period of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2019 Outlook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Company reaffirms its outlook for the fiscal year ending December 28, 2019, as follows:</w:t>
      </w:r>
    </w:p>
    <w:p>
      <w:pPr>
        <w:spacing w:after="0" w:line="369"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Fiscal 2019 Outlook</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72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New Stores</w:t>
            </w:r>
          </w:p>
        </w:tc>
        <w:tc>
          <w:tcPr>
            <w:tcW w:w="5700" w:type="dxa"/>
            <w:vAlign w:val="bottom"/>
            <w:tcBorders>
              <w:top w:val="single" w:sz="8" w:color="auto"/>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~75 New Stores</w:t>
            </w:r>
          </w:p>
        </w:tc>
      </w:tr>
      <w:tr>
        <w:trPr>
          <w:trHeight w:val="243"/>
        </w:trPr>
        <w:tc>
          <w:tcPr>
            <w:tcW w:w="5720" w:type="dxa"/>
            <w:vAlign w:val="bottom"/>
          </w:tcPr>
          <w:p>
            <w:pPr>
              <w:jc w:val="center"/>
              <w:spacing w:after="0"/>
              <w:rPr>
                <w:sz w:val="20"/>
                <w:szCs w:val="20"/>
                <w:color w:val="auto"/>
              </w:rPr>
            </w:pPr>
            <w:r>
              <w:rPr>
                <w:rFonts w:ascii="Arial" w:cs="Arial" w:eastAsia="Arial" w:hAnsi="Arial"/>
                <w:sz w:val="18"/>
                <w:szCs w:val="18"/>
                <w:color w:val="auto"/>
                <w:w w:val="90"/>
              </w:rPr>
              <w:t>Adjusted Comparable Store Sales Growth</w:t>
            </w:r>
          </w:p>
        </w:tc>
        <w:tc>
          <w:tcPr>
            <w:tcW w:w="2520" w:type="dxa"/>
            <w:vAlign w:val="bottom"/>
          </w:tcPr>
          <w:p>
            <w:pPr>
              <w:spacing w:after="0"/>
              <w:rPr>
                <w:sz w:val="21"/>
                <w:szCs w:val="21"/>
                <w:color w:val="auto"/>
              </w:rPr>
            </w:pPr>
          </w:p>
        </w:tc>
        <w:tc>
          <w:tcPr>
            <w:tcW w:w="3180" w:type="dxa"/>
            <w:vAlign w:val="bottom"/>
          </w:tcPr>
          <w:p>
            <w:pPr>
              <w:jc w:val="right"/>
              <w:ind w:right="2510"/>
              <w:spacing w:after="0"/>
              <w:rPr>
                <w:sz w:val="20"/>
                <w:szCs w:val="20"/>
                <w:color w:val="auto"/>
              </w:rPr>
            </w:pPr>
            <w:r>
              <w:rPr>
                <w:rFonts w:ascii="Arial" w:cs="Arial" w:eastAsia="Arial" w:hAnsi="Arial"/>
                <w:sz w:val="18"/>
                <w:szCs w:val="18"/>
                <w:color w:val="auto"/>
              </w:rPr>
              <w:t>3 - 5%</w:t>
            </w:r>
          </w:p>
        </w:tc>
      </w:tr>
      <w:tr>
        <w:trPr>
          <w:trHeight w:val="27"/>
        </w:trPr>
        <w:tc>
          <w:tcPr>
            <w:tcW w:w="5720" w:type="dxa"/>
            <w:vAlign w:val="bottom"/>
          </w:tcPr>
          <w:p>
            <w:pPr>
              <w:spacing w:after="0"/>
              <w:rPr>
                <w:sz w:val="2"/>
                <w:szCs w:val="2"/>
                <w:color w:val="auto"/>
              </w:rPr>
            </w:pPr>
          </w:p>
        </w:tc>
        <w:tc>
          <w:tcPr>
            <w:tcW w:w="5700" w:type="dxa"/>
            <w:vAlign w:val="bottom"/>
            <w:gridSpan w:val="2"/>
          </w:tcPr>
          <w:p>
            <w:pPr>
              <w:spacing w:after="0"/>
              <w:rPr>
                <w:sz w:val="2"/>
                <w:szCs w:val="2"/>
                <w:color w:val="auto"/>
              </w:rPr>
            </w:pPr>
          </w:p>
        </w:tc>
      </w:tr>
      <w:tr>
        <w:trPr>
          <w:trHeight w:val="270"/>
        </w:trPr>
        <w:tc>
          <w:tcPr>
            <w:tcW w:w="5720" w:type="dxa"/>
            <w:vAlign w:val="bottom"/>
            <w:shd w:val="clear" w:color="auto" w:fill="CCEEFF"/>
          </w:tcPr>
          <w:p>
            <w:pPr>
              <w:jc w:val="center"/>
              <w:spacing w:after="0" w:line="270" w:lineRule="exact"/>
              <w:rPr>
                <w:sz w:val="20"/>
                <w:szCs w:val="20"/>
                <w:color w:val="auto"/>
              </w:rPr>
            </w:pPr>
            <w:r>
              <w:rPr>
                <w:rFonts w:ascii="Arial" w:cs="Arial" w:eastAsia="Arial" w:hAnsi="Arial"/>
                <w:sz w:val="18"/>
                <w:szCs w:val="18"/>
                <w:color w:val="auto"/>
                <w:w w:val="86"/>
              </w:rPr>
              <w:t>Net Revenue</w:t>
            </w:r>
            <w:r>
              <w:rPr>
                <w:rFonts w:ascii="Arial" w:cs="Arial" w:eastAsia="Arial" w:hAnsi="Arial"/>
                <w:sz w:val="25"/>
                <w:szCs w:val="25"/>
                <w:color w:val="auto"/>
                <w:w w:val="86"/>
                <w:vertAlign w:val="superscript"/>
              </w:rPr>
              <w:t>(1)</w:t>
            </w:r>
          </w:p>
        </w:tc>
        <w:tc>
          <w:tcPr>
            <w:tcW w:w="57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$1.675 - $1.705 billion</w:t>
            </w:r>
          </w:p>
        </w:tc>
      </w:tr>
      <w:tr>
        <w:trPr>
          <w:trHeight w:val="243"/>
        </w:trPr>
        <w:tc>
          <w:tcPr>
            <w:tcW w:w="5720" w:type="dxa"/>
            <w:vAlign w:val="bottom"/>
          </w:tcPr>
          <w:p>
            <w:pPr>
              <w:jc w:val="center"/>
              <w:spacing w:after="0"/>
              <w:rPr>
                <w:sz w:val="20"/>
                <w:szCs w:val="20"/>
                <w:color w:val="auto"/>
              </w:rPr>
            </w:pPr>
            <w:r>
              <w:rPr>
                <w:rFonts w:ascii="Arial" w:cs="Arial" w:eastAsia="Arial" w:hAnsi="Arial"/>
                <w:sz w:val="18"/>
                <w:szCs w:val="18"/>
                <w:color w:val="auto"/>
                <w:w w:val="97"/>
              </w:rPr>
              <w:t>Adjusted EBITDA</w:t>
            </w:r>
          </w:p>
        </w:tc>
        <w:tc>
          <w:tcPr>
            <w:tcW w:w="2520" w:type="dxa"/>
            <w:vAlign w:val="bottom"/>
          </w:tcPr>
          <w:p>
            <w:pPr>
              <w:jc w:val="right"/>
              <w:spacing w:after="0"/>
              <w:rPr>
                <w:sz w:val="20"/>
                <w:szCs w:val="20"/>
                <w:color w:val="auto"/>
              </w:rPr>
            </w:pPr>
            <w:r>
              <w:rPr>
                <w:rFonts w:ascii="Arial" w:cs="Arial" w:eastAsia="Arial" w:hAnsi="Arial"/>
                <w:sz w:val="18"/>
                <w:szCs w:val="18"/>
                <w:color w:val="auto"/>
              </w:rPr>
              <w:t>$186</w:t>
            </w:r>
          </w:p>
        </w:tc>
        <w:tc>
          <w:tcPr>
            <w:tcW w:w="3180" w:type="dxa"/>
            <w:vAlign w:val="bottom"/>
          </w:tcPr>
          <w:p>
            <w:pPr>
              <w:ind w:left="20"/>
              <w:spacing w:after="0"/>
              <w:rPr>
                <w:sz w:val="20"/>
                <w:szCs w:val="20"/>
                <w:color w:val="auto"/>
              </w:rPr>
            </w:pPr>
            <w:r>
              <w:rPr>
                <w:rFonts w:ascii="Arial" w:cs="Arial" w:eastAsia="Arial" w:hAnsi="Arial"/>
                <w:sz w:val="18"/>
                <w:szCs w:val="18"/>
                <w:color w:val="auto"/>
              </w:rPr>
              <w:t>- $191 million</w:t>
            </w:r>
          </w:p>
        </w:tc>
      </w:tr>
      <w:tr>
        <w:trPr>
          <w:trHeight w:val="27"/>
        </w:trPr>
        <w:tc>
          <w:tcPr>
            <w:tcW w:w="57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Adjusted Net Income</w:t>
            </w:r>
          </w:p>
        </w:tc>
        <w:tc>
          <w:tcPr>
            <w:tcW w:w="2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$56.5 million</w:t>
            </w:r>
          </w:p>
        </w:tc>
      </w:tr>
      <w:tr>
        <w:trPr>
          <w:trHeight w:val="243"/>
        </w:trPr>
        <w:tc>
          <w:tcPr>
            <w:tcW w:w="5720" w:type="dxa"/>
            <w:vAlign w:val="bottom"/>
          </w:tcPr>
          <w:p>
            <w:pPr>
              <w:jc w:val="center"/>
              <w:spacing w:after="0"/>
              <w:rPr>
                <w:sz w:val="20"/>
                <w:szCs w:val="20"/>
                <w:color w:val="auto"/>
              </w:rPr>
            </w:pPr>
            <w:r>
              <w:rPr>
                <w:rFonts w:ascii="Arial" w:cs="Arial" w:eastAsia="Arial" w:hAnsi="Arial"/>
                <w:sz w:val="18"/>
                <w:szCs w:val="18"/>
                <w:color w:val="auto"/>
                <w:w w:val="92"/>
              </w:rPr>
              <w:t>Depreciation and Amortization</w:t>
            </w:r>
          </w:p>
        </w:tc>
        <w:tc>
          <w:tcPr>
            <w:tcW w:w="2520" w:type="dxa"/>
            <w:vAlign w:val="bottom"/>
          </w:tcPr>
          <w:p>
            <w:pPr>
              <w:jc w:val="right"/>
              <w:spacing w:after="0"/>
              <w:rPr>
                <w:sz w:val="20"/>
                <w:szCs w:val="20"/>
                <w:color w:val="auto"/>
              </w:rPr>
            </w:pPr>
            <w:r>
              <w:rPr>
                <w:rFonts w:ascii="Arial" w:cs="Arial" w:eastAsia="Arial" w:hAnsi="Arial"/>
                <w:sz w:val="18"/>
                <w:szCs w:val="18"/>
                <w:color w:val="auto"/>
              </w:rPr>
              <w:t>$88</w:t>
            </w:r>
          </w:p>
        </w:tc>
        <w:tc>
          <w:tcPr>
            <w:tcW w:w="3180" w:type="dxa"/>
            <w:vAlign w:val="bottom"/>
          </w:tcPr>
          <w:p>
            <w:pPr>
              <w:ind w:left="20"/>
              <w:spacing w:after="0"/>
              <w:rPr>
                <w:sz w:val="20"/>
                <w:szCs w:val="20"/>
                <w:color w:val="auto"/>
              </w:rPr>
            </w:pPr>
            <w:r>
              <w:rPr>
                <w:rFonts w:ascii="Arial" w:cs="Arial" w:eastAsia="Arial" w:hAnsi="Arial"/>
                <w:sz w:val="18"/>
                <w:szCs w:val="18"/>
                <w:color w:val="auto"/>
              </w:rPr>
              <w:t>- $90 million</w:t>
            </w:r>
          </w:p>
        </w:tc>
      </w:tr>
      <w:tr>
        <w:trPr>
          <w:trHeight w:val="27"/>
        </w:trPr>
        <w:tc>
          <w:tcPr>
            <w:tcW w:w="57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Interest</w:t>
            </w:r>
          </w:p>
        </w:tc>
        <w:tc>
          <w:tcPr>
            <w:tcW w:w="2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$37 million</w:t>
            </w:r>
          </w:p>
        </w:tc>
      </w:tr>
      <w:tr>
        <w:trPr>
          <w:trHeight w:val="270"/>
        </w:trPr>
        <w:tc>
          <w:tcPr>
            <w:tcW w:w="5720" w:type="dxa"/>
            <w:vAlign w:val="bottom"/>
          </w:tcPr>
          <w:p>
            <w:pPr>
              <w:jc w:val="center"/>
              <w:spacing w:after="0" w:line="270" w:lineRule="exact"/>
              <w:rPr>
                <w:sz w:val="20"/>
                <w:szCs w:val="20"/>
                <w:color w:val="auto"/>
              </w:rPr>
            </w:pPr>
            <w:r>
              <w:rPr>
                <w:rFonts w:ascii="Arial" w:cs="Arial" w:eastAsia="Arial" w:hAnsi="Arial"/>
                <w:sz w:val="18"/>
                <w:szCs w:val="18"/>
                <w:color w:val="auto"/>
                <w:w w:val="83"/>
              </w:rPr>
              <w:t>Tax Rate</w:t>
            </w:r>
            <w:r>
              <w:rPr>
                <w:rFonts w:ascii="Arial" w:cs="Arial" w:eastAsia="Arial" w:hAnsi="Arial"/>
                <w:sz w:val="25"/>
                <w:szCs w:val="25"/>
                <w:color w:val="auto"/>
                <w:w w:val="83"/>
                <w:vertAlign w:val="superscript"/>
              </w:rPr>
              <w:t>(2)</w:t>
            </w:r>
          </w:p>
        </w:tc>
        <w:tc>
          <w:tcPr>
            <w:tcW w:w="2520" w:type="dxa"/>
            <w:vAlign w:val="bottom"/>
          </w:tcPr>
          <w:p>
            <w:pPr>
              <w:spacing w:after="0"/>
              <w:rPr>
                <w:sz w:val="23"/>
                <w:szCs w:val="23"/>
                <w:color w:val="auto"/>
              </w:rPr>
            </w:pPr>
          </w:p>
        </w:tc>
        <w:tc>
          <w:tcPr>
            <w:tcW w:w="3180" w:type="dxa"/>
            <w:vAlign w:val="bottom"/>
          </w:tcPr>
          <w:p>
            <w:pPr>
              <w:jc w:val="right"/>
              <w:ind w:right="2470"/>
              <w:spacing w:after="0"/>
              <w:rPr>
                <w:sz w:val="20"/>
                <w:szCs w:val="20"/>
                <w:color w:val="auto"/>
              </w:rPr>
            </w:pPr>
            <w:r>
              <w:rPr>
                <w:rFonts w:ascii="Arial" w:cs="Arial" w:eastAsia="Arial" w:hAnsi="Arial"/>
                <w:sz w:val="18"/>
                <w:szCs w:val="18"/>
                <w:color w:val="auto"/>
                <w:w w:val="97"/>
              </w:rPr>
              <w:t>~26.0%</w:t>
            </w:r>
          </w:p>
        </w:tc>
      </w:tr>
      <w:tr>
        <w:trPr>
          <w:trHeight w:val="243"/>
        </w:trPr>
        <w:tc>
          <w:tcPr>
            <w:tcW w:w="5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Capital Expenditures</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$105 million</w:t>
            </w:r>
          </w:p>
        </w:tc>
      </w:tr>
      <w:tr>
        <w:trPr>
          <w:trHeight w:val="27"/>
        </w:trPr>
        <w:tc>
          <w:tcPr>
            <w:tcW w:w="572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r>
    </w:tbl>
    <w:p>
      <w:pPr>
        <w:spacing w:after="0" w:line="8" w:lineRule="exact"/>
        <w:rPr>
          <w:sz w:val="20"/>
          <w:szCs w:val="20"/>
          <w:color w:val="auto"/>
        </w:rPr>
      </w:pPr>
    </w:p>
    <w:p>
      <w:pPr>
        <w:ind w:left="240" w:hanging="205"/>
        <w:spacing w:after="0"/>
        <w:tabs>
          <w:tab w:leader="none" w:pos="24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an estimated $20 - 25 million in incremental net revenue from the expanded contact lens distribution relationship with Walmart</w:t>
      </w:r>
    </w:p>
    <w:p>
      <w:pPr>
        <w:ind w:left="240" w:hanging="205"/>
        <w:spacing w:after="0"/>
        <w:tabs>
          <w:tab w:leader="none" w:pos="24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Excluding the impact of stock option exercises</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fiscal 2019 outlook information provided above includes Adjusted EBITDA and Adjusted Net Income guidance, which are non-GAAP financial measures management uses in measuring performance. The Company is not able to reconcile these forward-looking non-GAAP measures to GAAP without unreasonable efforts because it is not possible to predict with a reasonable degree of certainty the actual impact of certain items and unanticipated events, including taxes and non-recurring items, which would be included in GAAP results. The impact of such items and unanticipated events could be potentially significant.</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The fiscal 2019 outlook information provided above is forward-looking, subject to significant business, economic, regulatory and competitive uncertainties and contingencies, many of which are beyond the control of the Company and its management, and based upon assumptions with respect to future decisions, which are subject to change. Actual results may vary and those variations may be 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 conference call to discuss the first quarter 2019 financial results is scheduled for today, May 9, 2019, at 10:00 a.m. Eastern Time. The U.S. toll free dial-in for the conference call is 866-754-6931 and the international dial-in is 636-812-6625. The conference passcode is 7371959. A live audio webcast of the conference call will be available on the “Investors” section of the Company’s website </w:t>
      </w:r>
      <w:r>
        <w:rPr>
          <w:rFonts w:ascii="Arial" w:cs="Arial" w:eastAsia="Arial" w:hAnsi="Arial"/>
          <w:sz w:val="18"/>
          <w:szCs w:val="18"/>
          <w:u w:val="single" w:color="auto"/>
          <w:color w:val="0000FF"/>
        </w:rPr>
        <w:t>www.nationalvision.com/investors</w:t>
      </w:r>
      <w:r>
        <w:rPr>
          <w:rFonts w:ascii="Arial" w:cs="Arial" w:eastAsia="Arial" w:hAnsi="Arial"/>
          <w:sz w:val="18"/>
          <w:szCs w:val="18"/>
          <w:color w:val="auto"/>
        </w:rPr>
        <w:t>, where presentation materials will be posted prior to the conference call.</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telephone replay will be available shortly after the broadcast through Thursday, May 16, 2019, by dialing 855-859-2056 from the U.S. or 404-537-3406 from international locations, and entering conference passcode 7371959. A replay of the audio webcast will also be archived on the “Investors” section of the Company’s website.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National Vision Holdings, Inc</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National Vision Holdings, Inc. is one of the largest optical retail companies in the United States with over 1,100 retail stores in 44 states plus the District of Columbia and Puerto Rico. With a mission of helping people by making quality eyecare and eyewear more affordable and accessible, the Company operates five retail brands: America’s Best Contacts &amp; Eyeglasses, Eyeglass World, Vision Centers inside select Walmart stores, Vista Opticals inside Fred Meyer stores and on select military bases, and several e-commerce websites, offering a variety of products and services for customers’ eyecare needs.</w:t>
      </w:r>
    </w:p>
    <w:p>
      <w:pPr>
        <w:sectPr>
          <w:pgSz w:w="11900" w:h="16838" w:orient="portrait"/>
          <w:cols w:equalWidth="0" w:num="1">
            <w:col w:w="11420"/>
          </w:cols>
          <w:pgMar w:left="240" w:top="796"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press release contains forward-looking statements within the meaning of Section 27A of the Securities Act of 1933, as amended (the “Securities Act”) and Section 21E of the Securities Exchange Act of 1934. These statements include, but are not limited to, statements contained under "Fiscal 2019 Outlook" as well as other statements related to our expectations regarding the performance of our industry, growth strategy, goals and expectations concerning our market position, future operations, margins, profitability, capital expenditures, liquidity and capital resources and other financial and operating information. You can identify these forward looking statements by the use of words such as “outlook,” “guidance,” “believes,” “expects,” “potential,” “continues,” “may,” “will,” “should,” “could,” “seeks,” “projects,” “predicts,” “intends,” “plans,” “estimates,” “anticipates” or the negative version of these words or other comparable words. Such forward-looking statements are subject to various risks and uncertainties, including our ability to open and operate new stores in a timely and cost-effective manner and to successfully enter new markets; our ability to recruit and retain vision care professionals for our stores; our relationships with managed vision care companies, vision insurance providers and other third-party payors; our operating relationships with our host and legacy partners; state, local and federal vision care and healthcare laws and regulations; our ability to maintain sufficient levels of cash flow from our operations to grow; the risk of loss or disruption in our distribution centers and optical laboratories; risks associated with vendors and suppliers from whom our products are sourced; macroeconomic factors and other factors impacting consumer spending beyond the Company’s control; competition in the optical retail industry; our dependence on a limited number of suppliers; risks associated with information technology systems and the security of personal information and payment card data collected by us and our vendors; any failure, inadequacy, interruption, security failure or breach of our information technology systems; our growth strategy’s impact on our existing resources and performance of our existing stores; our ability to retain senior management and attract new personnel; our ability to manage costs; the success of our marketing, advertising and promotional efforts; risks associated with leasing substantial amounts of space; technological advances that may reduce demand for our products; product liability, product recall or personal injury issues; risks associated with managed vision care laws and regulations; our increasing reliance on third-party coverage and reimbursement; issues regarding inventory management; risks related to our e-commerce business; seasonal fluctuations in our business; we may incur losses arising from our investments in technological innovators in the optical retail industry; legal regulatory risks, including adverse judgments or settlements from legal proceedings; our ability to protect our intellectual property; the impact our leverage has on our ability to raise additional capital to fund our operations; risks related to our debt agreements, including restrictions that may limit our flexibility in operating our business; our ability to generate sufficient cash flow to satisfy our significant debt service obligations; and risks related to our common stock, including our ability to comply with requirements to design and implement and maintain effective internal controls. Additional information about these and other factors that could cause National Vision’s results to differ materially from those described in the forward-looking statements can be found in filings by National Vision with the Securities and Exchange Commission (“SEC”), including our Annual Report on Form 10-K and subsequent Quarterly Reports on Form 10-Q, which are accessible on the SEC’s website at www.sec.gov. Accordingly, there are or will be important factors that could cause actual outcomes or results to differ materially from those indicated in these statements. These factors should not be construed as exhaustive and should be read in conjunction with the other cautionary statements that are included in this release and in our filings with the SEC. We undertake no obligation to publicly update or review any forward-looking statement, whether as a result of new information, future developments or otherwise, except as required by law.</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To supplement the Company’s financial information presented in accordance with GAAP and aid understanding of the Company’s business performance, the Company uses certain non-GAAP financial measures, namely “EBITDA,” “Adjusted EBITDA,” “Adjusted EBITDA Margin,” “Adjusted Net Income,” “Adjusted Diluted EPS,” “Adjusted SG&amp;A” and “Adjusted SG&amp;A Percent of Net Revenue.” We believe EBITDA, Adjusted EBITDA, Adjusted EBITDA Margin, Adjusted Net Income, Adjusted Diluted EPS, Adjusted SG&amp;A and Adjusted SG&amp;A Percent of Net Revenue assist investors and analysts in comparing our operating performance across reporting periods on a consistent basis by excluding items that we do not believe are indicative of our core operating performance. Management believes these non-GAAP financial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these non-GAAP financial measures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ectPr>
          <w:pgSz w:w="11900" w:h="16838" w:orient="portrait"/>
          <w:cols w:equalWidth="0" w:num="1">
            <w:col w:w="11420"/>
          </w:cols>
          <w:pgMar w:left="240" w:top="580" w:right="239" w:bottom="1440" w:gutter="0" w:footer="0" w:header="0"/>
        </w:sectPr>
      </w:pPr>
    </w:p>
    <w:bookmarkStart w:id="7" w:name="page8"/>
    <w:bookmarkEnd w:id="7"/>
    <w:p>
      <w:pPr>
        <w:jc w:val="both"/>
        <w:spacing w:after="0" w:line="293" w:lineRule="auto"/>
        <w:rPr>
          <w:sz w:val="20"/>
          <w:szCs w:val="20"/>
          <w:color w:val="auto"/>
        </w:rPr>
      </w:pPr>
      <w:r>
        <w:rPr>
          <w:rFonts w:ascii="Arial" w:cs="Arial" w:eastAsia="Arial" w:hAnsi="Arial"/>
          <w:sz w:val="16"/>
          <w:szCs w:val="16"/>
          <w:color w:val="auto"/>
        </w:rPr>
        <w:t>To supplement the Company’s comparable store sales growth presented in accordance with GAAP, the Company provides “Adjusted Comparable Store Sales Growth,” which is a non-GAAP financial measure we believe is useful because it provides timely and accurate information relating to the two core metrics of retail sales: number of transactions and value of transactions. Management uses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 Sales Growth to be meaningful.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EBITDA: </w:t>
      </w:r>
      <w:r>
        <w:rPr>
          <w:rFonts w:ascii="Arial" w:cs="Arial" w:eastAsia="Arial" w:hAnsi="Arial"/>
          <w:sz w:val="18"/>
          <w:szCs w:val="18"/>
          <w:color w:val="auto"/>
        </w:rPr>
        <w:t>We define EBITDA as net income, plus interest expense, income tax provision (benefit) and depreciation and amortization.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We define Adjusted EBITDA as EBITDA, further adjusted to exclude stock compensation expense, asset impairment, new store pre-opening expenses, non-cash rent, secondary offering expenses, management realignment expenses, and other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EBITDA Margin: </w:t>
      </w:r>
      <w:r>
        <w:rPr>
          <w:rFonts w:ascii="Arial" w:cs="Arial" w:eastAsia="Arial" w:hAnsi="Arial"/>
          <w:sz w:val="18"/>
          <w:szCs w:val="18"/>
          <w:color w:val="auto"/>
        </w:rPr>
        <w:t>We define Adjusted EBITDA Margin as Adjusted EBITDA divided by net revenue.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Adjusted Net Income: </w:t>
      </w:r>
      <w:r>
        <w:rPr>
          <w:rFonts w:ascii="Arial" w:cs="Arial" w:eastAsia="Arial" w:hAnsi="Arial"/>
          <w:sz w:val="17"/>
          <w:szCs w:val="17"/>
          <w:color w:val="auto"/>
        </w:rPr>
        <w:t>We define Adjusted Net Income as net income, plus stock compensation expense, asset impairment, new store pre-opening expenses,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non-cash rent, secondary offering expenses, management realignment expenses, other expenses, amortization of acquisition intangibles and deferred financing costs, tax benefit of stock option exercises, tax legislation adjustment, less the tax effect of these adjustments.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Adjusted Diluted EPS: </w:t>
      </w:r>
      <w:r>
        <w:rPr>
          <w:rFonts w:ascii="Arial" w:cs="Arial" w:eastAsia="Arial" w:hAnsi="Arial"/>
          <w:sz w:val="17"/>
          <w:szCs w:val="17"/>
          <w:color w:val="auto"/>
        </w:rPr>
        <w:t>We define Adjusted Diluted EPS as Adjusted Net Income divided by diluted weighted average common shares outstanding.</w:t>
      </w:r>
    </w:p>
    <w:p>
      <w:pPr>
        <w:spacing w:after="0" w:line="23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 xml:space="preserve">Adjusted SG&amp;A: </w:t>
      </w:r>
      <w:r>
        <w:rPr>
          <w:rFonts w:ascii="Arial" w:cs="Arial" w:eastAsia="Arial" w:hAnsi="Arial"/>
          <w:sz w:val="16"/>
          <w:szCs w:val="16"/>
          <w:color w:val="auto"/>
        </w:rPr>
        <w:t>We define Adjusted SG&amp;A as SG&amp;A, adjusted to exclude stock compensation expense, new store pre-opening expenses, non-cash rent,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secondary offering expenses, management realignment expenses, and other expenses except for the share of losses on equity method investments.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SG&amp;A Percent of Net Revenue: </w:t>
      </w:r>
      <w:r>
        <w:rPr>
          <w:rFonts w:ascii="Arial" w:cs="Arial" w:eastAsia="Arial" w:hAnsi="Arial"/>
          <w:sz w:val="18"/>
          <w:szCs w:val="18"/>
          <w:color w:val="auto"/>
        </w:rPr>
        <w:t>We define Adjusted SG&amp;A Percent of Net Revenue as Adjusted SG&amp;A divided by net revenue.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Adjusted Comparable Store Sales Growth: </w:t>
      </w:r>
      <w:r>
        <w:rPr>
          <w:rFonts w:ascii="Arial" w:cs="Arial" w:eastAsia="Arial" w:hAnsi="Arial"/>
          <w:sz w:val="17"/>
          <w:szCs w:val="17"/>
          <w:color w:val="auto"/>
        </w:rPr>
        <w:t>We measure Adjusted Comparable Store Sales Growth as the increase or decrease in sales recorded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comparable store base in any reporting period, compared to sales recorded by the comparable store base in the prior reporting period, which we calculate as follows: (i) sales are recorded on a cash basis (i.e. when the order is placed and paid for, compared to when the order is delivered), utilizing cash basis point of sale information from stores; (ii) stores are added to the calculation in their 13th full month; (iii) closed stores are removed from the calculation for time periods that are not comparable; (iv) sales from partial months of operation are ignored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EBITDA, Adjusted EBITDA, Adjusted EBITDA Margin, Adjusted Net Income, Adjusted Diluted EPS, Adjusted SG&amp;A, Adjusted SG&amp;A Percent of Net Revenue, and Adjusted Comparable Store Sales Growth are not recognized terms under GAAP and should not be considered as an alternative to net income, the ratio of net income to net revenue as a measure of financial performance, SG&amp;A, the ratio of SG&amp;A to net revenue as a measure of financial performance, cash flows provided by operating activities as a measure of liquidity, comparable store sales growth as a measure of operating performance,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Please see “Reconciliation of GAAP to Non-GAAP Financial Measures” below for reconciliations of non-GAAP financial measures used in this release to their most directly comparable GAAP financial measures.</w:t>
      </w:r>
    </w:p>
    <w:p>
      <w:pPr>
        <w:sectPr>
          <w:pgSz w:w="11900" w:h="16838" w:orient="portrait"/>
          <w:cols w:equalWidth="0" w:num="1">
            <w:col w:w="11420"/>
          </w:cols>
          <w:pgMar w:left="240" w:top="58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30, 2019 and December 29,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Par Value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18"/>
                <w:szCs w:val="18"/>
                <w:color w:val="auto"/>
              </w:rPr>
            </w:pPr>
          </w:p>
        </w:tc>
        <w:tc>
          <w:tcPr>
            <w:tcW w:w="1860" w:type="dxa"/>
            <w:vAlign w:val="bottom"/>
            <w:gridSpan w:val="2"/>
          </w:tcPr>
          <w:p>
            <w:pPr>
              <w:jc w:val="center"/>
              <w:ind w:right="380"/>
              <w:spacing w:after="0"/>
              <w:rPr>
                <w:sz w:val="20"/>
                <w:szCs w:val="20"/>
                <w:color w:val="auto"/>
              </w:rPr>
            </w:pPr>
            <w:r>
              <w:rPr>
                <w:rFonts w:ascii="Arial" w:cs="Arial" w:eastAsia="Arial" w:hAnsi="Arial"/>
                <w:sz w:val="18"/>
                <w:szCs w:val="18"/>
                <w:color w:val="auto"/>
                <w:w w:val="97"/>
              </w:rPr>
              <w:t>As of</w:t>
            </w:r>
          </w:p>
        </w:tc>
        <w:tc>
          <w:tcPr>
            <w:tcW w:w="220" w:type="dxa"/>
            <w:vAlign w:val="bottom"/>
          </w:tcPr>
          <w:p>
            <w:pPr>
              <w:spacing w:after="0"/>
              <w:rPr>
                <w:sz w:val="18"/>
                <w:szCs w:val="18"/>
                <w:color w:val="auto"/>
              </w:rPr>
            </w:pPr>
          </w:p>
        </w:tc>
        <w:tc>
          <w:tcPr>
            <w:tcW w:w="1840" w:type="dxa"/>
            <w:vAlign w:val="bottom"/>
          </w:tcPr>
          <w:p>
            <w:pPr>
              <w:jc w:val="right"/>
              <w:ind w:right="73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122"/>
        </w:trPr>
        <w:tc>
          <w:tcPr>
            <w:tcW w:w="72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860" w:type="dxa"/>
            <w:vAlign w:val="bottom"/>
            <w:gridSpan w:val="2"/>
            <w:vMerge w:val="restart"/>
          </w:tcPr>
          <w:p>
            <w:pPr>
              <w:jc w:val="center"/>
              <w:ind w:right="400"/>
              <w:spacing w:after="0"/>
              <w:rPr>
                <w:sz w:val="20"/>
                <w:szCs w:val="20"/>
                <w:color w:val="auto"/>
              </w:rPr>
            </w:pPr>
            <w:r>
              <w:rPr>
                <w:rFonts w:ascii="Arial" w:cs="Arial" w:eastAsia="Arial" w:hAnsi="Arial"/>
                <w:sz w:val="18"/>
                <w:szCs w:val="18"/>
                <w:color w:val="auto"/>
                <w:w w:val="91"/>
              </w:rPr>
              <w:t>March 30, 2019</w:t>
            </w:r>
          </w:p>
        </w:tc>
        <w:tc>
          <w:tcPr>
            <w:tcW w:w="220" w:type="dxa"/>
            <w:vAlign w:val="bottom"/>
          </w:tcPr>
          <w:p>
            <w:pPr>
              <w:spacing w:after="0"/>
              <w:rPr>
                <w:sz w:val="10"/>
                <w:szCs w:val="10"/>
                <w:color w:val="auto"/>
              </w:rPr>
            </w:pPr>
          </w:p>
        </w:tc>
        <w:tc>
          <w:tcPr>
            <w:tcW w:w="1840" w:type="dxa"/>
            <w:vAlign w:val="bottom"/>
            <w:vMerge w:val="restart"/>
          </w:tcPr>
          <w:p>
            <w:pPr>
              <w:jc w:val="right"/>
              <w:ind w:right="230"/>
              <w:spacing w:after="0"/>
              <w:rPr>
                <w:sz w:val="20"/>
                <w:szCs w:val="20"/>
                <w:color w:val="auto"/>
              </w:rPr>
            </w:pPr>
            <w:r>
              <w:rPr>
                <w:rFonts w:ascii="Arial" w:cs="Arial" w:eastAsia="Arial" w:hAnsi="Arial"/>
                <w:sz w:val="18"/>
                <w:szCs w:val="18"/>
                <w:color w:val="auto"/>
                <w:w w:val="94"/>
              </w:rPr>
              <w:t>December 29, 2018</w:t>
            </w:r>
          </w:p>
        </w:tc>
        <w:tc>
          <w:tcPr>
            <w:tcW w:w="0" w:type="dxa"/>
            <w:vAlign w:val="bottom"/>
          </w:tcPr>
          <w:p>
            <w:pPr>
              <w:spacing w:after="0"/>
              <w:rPr>
                <w:sz w:val="1"/>
                <w:szCs w:val="1"/>
                <w:color w:val="auto"/>
              </w:rPr>
            </w:pPr>
          </w:p>
        </w:tc>
      </w:tr>
      <w:tr>
        <w:trPr>
          <w:trHeight w:val="108"/>
        </w:trPr>
        <w:tc>
          <w:tcPr>
            <w:tcW w:w="7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72,506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17,132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50,735</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111,936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116,022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30,815</w:t>
            </w:r>
          </w:p>
        </w:tc>
        <w:tc>
          <w:tcPr>
            <w:tcW w:w="0" w:type="dxa"/>
            <w:vAlign w:val="bottom"/>
          </w:tcPr>
          <w:p>
            <w:pPr>
              <w:spacing w:after="0"/>
              <w:rPr>
                <w:sz w:val="1"/>
                <w:szCs w:val="1"/>
                <w:color w:val="auto"/>
              </w:rPr>
            </w:pPr>
          </w:p>
        </w:tc>
      </w:tr>
      <w:tr>
        <w:trPr>
          <w:trHeight w:val="237"/>
        </w:trPr>
        <w:tc>
          <w:tcPr>
            <w:tcW w:w="72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270,089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214,704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7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Property and equipment, net</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364,627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355,117</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777,613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777,613</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Trademarks and trade names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240,547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240,547</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Other intangible assets, net</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62,487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64,532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Right of use assets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330,637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7,092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8,876</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non-current assets</w:t>
            </w:r>
          </w:p>
        </w:tc>
        <w:tc>
          <w:tcPr>
            <w:tcW w:w="3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1,783,003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1,446,685</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2,053,092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1,661,389</w:t>
            </w:r>
          </w:p>
        </w:tc>
        <w:tc>
          <w:tcPr>
            <w:tcW w:w="0" w:type="dxa"/>
            <w:vAlign w:val="bottom"/>
          </w:tcPr>
          <w:p>
            <w:pPr>
              <w:spacing w:after="0"/>
              <w:rPr>
                <w:sz w:val="1"/>
                <w:szCs w:val="1"/>
                <w:color w:val="auto"/>
              </w:rPr>
            </w:pPr>
          </w:p>
        </w:tc>
      </w:tr>
      <w:tr>
        <w:trPr>
          <w:trHeight w:val="67"/>
        </w:trPr>
        <w:tc>
          <w:tcPr>
            <w:tcW w:w="72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43,642</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Other payables and accrued expenses</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97,668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81,004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Unearned revenue</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27,295</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55,655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52,144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maturities of long-term debt and finance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7,567</w:t>
            </w:r>
          </w:p>
        </w:tc>
        <w:tc>
          <w:tcPr>
            <w:tcW w:w="0" w:type="dxa"/>
            <w:vAlign w:val="bottom"/>
          </w:tcPr>
          <w:p>
            <w:pPr>
              <w:spacing w:after="0"/>
              <w:rPr>
                <w:sz w:val="1"/>
                <w:szCs w:val="1"/>
                <w:color w:val="auto"/>
              </w:rPr>
            </w:pP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Current operating lease obligations</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55,967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297,669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211,652</w:t>
            </w:r>
          </w:p>
        </w:tc>
        <w:tc>
          <w:tcPr>
            <w:tcW w:w="0" w:type="dxa"/>
            <w:vAlign w:val="bottom"/>
          </w:tcPr>
          <w:p>
            <w:pPr>
              <w:spacing w:after="0"/>
              <w:rPr>
                <w:sz w:val="1"/>
                <w:szCs w:val="1"/>
                <w:color w:val="auto"/>
              </w:rPr>
            </w:pPr>
          </w:p>
        </w:tc>
      </w:tr>
      <w:tr>
        <w:trPr>
          <w:trHeight w:val="284"/>
        </w:trPr>
        <w:tc>
          <w:tcPr>
            <w:tcW w:w="7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8"/>
              </w:rPr>
              <w:t>Long-term debt and finance lease obligations, less current portion and debt discount</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578,397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570,545</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Non-current operating lease obligations</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314,282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21,307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20,134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53,964</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Deferred income taxes, net</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67,334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61,940</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non-current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100,164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136,038</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3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200" w:type="dxa"/>
            <w:vAlign w:val="bottom"/>
          </w:tcPr>
          <w:p>
            <w:pPr>
              <w:ind w:left="280"/>
              <w:spacing w:after="0"/>
              <w:rPr>
                <w:sz w:val="20"/>
                <w:szCs w:val="20"/>
                <w:color w:val="auto"/>
              </w:rPr>
            </w:pPr>
            <w:r>
              <w:rPr>
                <w:rFonts w:ascii="Arial" w:cs="Arial" w:eastAsia="Arial" w:hAnsi="Arial"/>
                <w:sz w:val="18"/>
                <w:szCs w:val="18"/>
                <w:color w:val="auto"/>
                <w:w w:val="88"/>
              </w:rPr>
              <w:t>Common stock, $0.01 par value; 200,000 shares authorized; 78,297 and 78,246 shares issued as</w:t>
            </w: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280"/>
              <w:spacing w:after="0"/>
              <w:rPr>
                <w:sz w:val="20"/>
                <w:szCs w:val="20"/>
                <w:color w:val="auto"/>
              </w:rPr>
            </w:pPr>
            <w:r>
              <w:rPr>
                <w:rFonts w:ascii="Arial" w:cs="Arial" w:eastAsia="Arial" w:hAnsi="Arial"/>
                <w:sz w:val="18"/>
                <w:szCs w:val="18"/>
                <w:color w:val="auto"/>
                <w:w w:val="90"/>
              </w:rPr>
              <w:t>of March 30, 2019 and December 29, 2018, respectively; 78,218 and 78,167 shares outstanding</w:t>
            </w: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80"/>
              <w:spacing w:after="0"/>
              <w:rPr>
                <w:sz w:val="20"/>
                <w:szCs w:val="20"/>
                <w:color w:val="auto"/>
              </w:rPr>
            </w:pPr>
            <w:r>
              <w:rPr>
                <w:rFonts w:ascii="Arial" w:cs="Arial" w:eastAsia="Arial" w:hAnsi="Arial"/>
                <w:sz w:val="18"/>
                <w:szCs w:val="18"/>
                <w:color w:val="auto"/>
              </w:rPr>
              <w:t>as of March 30, 2019 and December 29, 2018, respectively</w:t>
            </w:r>
          </w:p>
        </w:tc>
        <w:tc>
          <w:tcPr>
            <w:tcW w:w="300" w:type="dxa"/>
            <w:vAlign w:val="bottom"/>
          </w:tcPr>
          <w:p>
            <w:pPr>
              <w:spacing w:after="0"/>
              <w:rPr>
                <w:sz w:val="20"/>
                <w:szCs w:val="20"/>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675,952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672,503</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(3,757)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91,763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74,840</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Treasury stock, at cost; 79 shares as of March 30, 2019 and December 29, 2018</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(2,161)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762,580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743,154</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2,053,092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1,661,389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9" w:name="page10"/>
    <w:bookmarkEnd w:id="9"/>
    <w:p>
      <w:pPr>
        <w:jc w:val="center"/>
        <w:spacing w:after="0" w:line="259" w:lineRule="auto"/>
        <w:rPr>
          <w:sz w:val="20"/>
          <w:szCs w:val="20"/>
          <w:color w:val="auto"/>
        </w:rPr>
      </w:pPr>
      <w:r>
        <w:rPr>
          <w:rFonts w:ascii="Arial" w:cs="Arial" w:eastAsia="Arial" w:hAnsi="Arial"/>
          <w:sz w:val="18"/>
          <w:szCs w:val="18"/>
          <w:b w:val="1"/>
          <w:bCs w:val="1"/>
          <w:color w:val="auto"/>
        </w:rPr>
        <w:t xml:space="preserve">National Vision Holdings, Inc. and Subsidiaries Condensed Consolidated Statements of Operations and Comprehensive Income For the Three Months Ended March 30, 2019 and March 31, 2018 </w:t>
      </w:r>
      <w:r>
        <w:rPr>
          <w:rFonts w:ascii="Arial" w:cs="Arial" w:eastAsia="Arial" w:hAnsi="Arial"/>
          <w:sz w:val="18"/>
          <w:szCs w:val="18"/>
          <w:i w:val="1"/>
          <w:iCs w:val="1"/>
          <w:color w:val="auto"/>
        </w:rPr>
        <w:t xml:space="preserve">In Thousands, Except Per Share Information </w:t>
      </w: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40" w:type="dxa"/>
            <w:vAlign w:val="bottom"/>
            <w:gridSpan w:val="4"/>
          </w:tcPr>
          <w:p>
            <w:pPr>
              <w:jc w:val="right"/>
              <w:ind w:right="790"/>
              <w:spacing w:after="0"/>
              <w:rPr>
                <w:sz w:val="20"/>
                <w:szCs w:val="20"/>
                <w:color w:val="auto"/>
              </w:rPr>
            </w:pPr>
            <w:r>
              <w:rPr>
                <w:rFonts w:ascii="Arial" w:cs="Arial" w:eastAsia="Arial" w:hAnsi="Arial"/>
                <w:sz w:val="18"/>
                <w:szCs w:val="18"/>
                <w:color w:val="auto"/>
              </w:rPr>
              <w:t>Three Months Ended</w:t>
            </w:r>
          </w:p>
        </w:tc>
      </w:tr>
      <w:tr>
        <w:trPr>
          <w:trHeight w:val="27"/>
        </w:trPr>
        <w:tc>
          <w:tcPr>
            <w:tcW w:w="8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auto"/>
              </w:rPr>
              <w:t>March 30, 2019</w:t>
            </w:r>
          </w:p>
        </w:tc>
        <w:tc>
          <w:tcPr>
            <w:tcW w:w="180" w:type="dxa"/>
            <w:vAlign w:val="bottom"/>
          </w:tcPr>
          <w:p>
            <w:pPr>
              <w:spacing w:after="0"/>
              <w:rPr>
                <w:sz w:val="20"/>
                <w:szCs w:val="20"/>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w w:val="94"/>
              </w:rPr>
              <w:t>March 31, 2018</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Net product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383,160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338,777</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sales of services and plans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69,198</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Total net revenue</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461,215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407,975</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applicable to revenue (exclusive of 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Products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154,004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130,878</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Services and plans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49,576</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Total costs applicable to revenue</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211,969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180,454</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193,876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170,689</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17,862</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Asset impairment</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2,082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 net</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216,846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188,673</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38,848</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9,061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9,313</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29,535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5,910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5,080</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24,455</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71"/>
        </w:trPr>
        <w:tc>
          <w:tcPr>
            <w:tcW w:w="8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0.33</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78,205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74,714</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81,466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77,837</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84"/>
        </w:trPr>
        <w:tc>
          <w:tcPr>
            <w:tcW w:w="8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24,455</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Unrealized gain (loss) on hedge instruments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6,216</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provision (benefit) of unrealized gain (loss) on hedge instruments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1,592</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16,482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29,079</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30, 2019 and 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00" w:type="dxa"/>
            <w:vAlign w:val="bottom"/>
            <w:gridSpan w:val="4"/>
          </w:tcPr>
          <w:p>
            <w:pPr>
              <w:jc w:val="right"/>
              <w:ind w:right="878"/>
              <w:spacing w:after="0"/>
              <w:rPr>
                <w:sz w:val="20"/>
                <w:szCs w:val="20"/>
                <w:color w:val="auto"/>
              </w:rPr>
            </w:pPr>
            <w:r>
              <w:rPr>
                <w:rFonts w:ascii="Arial" w:cs="Arial" w:eastAsia="Arial" w:hAnsi="Arial"/>
                <w:sz w:val="16"/>
                <w:szCs w:val="16"/>
                <w:color w:val="auto"/>
              </w:rPr>
              <w:t>Three Months Ended</w:t>
            </w:r>
          </w:p>
        </w:tc>
      </w:tr>
      <w:tr>
        <w:trPr>
          <w:trHeight w:val="33"/>
        </w:trPr>
        <w:tc>
          <w:tcPr>
            <w:tcW w:w="8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ind w:left="80"/>
              <w:spacing w:after="0"/>
              <w:rPr>
                <w:sz w:val="20"/>
                <w:szCs w:val="20"/>
                <w:color w:val="auto"/>
              </w:rPr>
            </w:pPr>
            <w:r>
              <w:rPr>
                <w:rFonts w:ascii="Arial" w:cs="Arial" w:eastAsia="Arial" w:hAnsi="Arial"/>
                <w:sz w:val="16"/>
                <w:szCs w:val="16"/>
                <w:color w:val="auto"/>
              </w:rPr>
              <w:t>March 30, 2019</w:t>
            </w:r>
          </w:p>
        </w:tc>
        <w:tc>
          <w:tcPr>
            <w:tcW w:w="200" w:type="dxa"/>
            <w:vAlign w:val="bottom"/>
          </w:tcPr>
          <w:p>
            <w:pPr>
              <w:spacing w:after="0"/>
              <w:rPr>
                <w:sz w:val="20"/>
                <w:szCs w:val="20"/>
                <w:color w:val="auto"/>
              </w:rPr>
            </w:pPr>
          </w:p>
        </w:tc>
        <w:tc>
          <w:tcPr>
            <w:tcW w:w="1380" w:type="dxa"/>
            <w:vAlign w:val="bottom"/>
          </w:tcPr>
          <w:p>
            <w:pPr>
              <w:jc w:val="right"/>
              <w:ind w:right="198"/>
              <w:spacing w:after="0"/>
              <w:rPr>
                <w:sz w:val="20"/>
                <w:szCs w:val="20"/>
                <w:color w:val="auto"/>
              </w:rPr>
            </w:pPr>
            <w:r>
              <w:rPr>
                <w:rFonts w:ascii="Arial" w:cs="Arial" w:eastAsia="Arial" w:hAnsi="Arial"/>
                <w:sz w:val="16"/>
                <w:szCs w:val="16"/>
                <w:color w:val="auto"/>
                <w:w w:val="97"/>
              </w:rPr>
              <w:t>March 31, 2018</w:t>
            </w:r>
          </w:p>
        </w:tc>
      </w:tr>
      <w:tr>
        <w:trPr>
          <w:trHeight w:val="33"/>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17,429</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8"/>
              <w:spacing w:after="0"/>
              <w:rPr>
                <w:sz w:val="20"/>
                <w:szCs w:val="20"/>
                <w:color w:val="auto"/>
              </w:rPr>
            </w:pPr>
            <w:r>
              <w:rPr>
                <w:rFonts w:ascii="Arial" w:cs="Arial" w:eastAsia="Arial" w:hAnsi="Arial"/>
                <w:sz w:val="16"/>
                <w:szCs w:val="16"/>
                <w:color w:val="auto"/>
              </w:rPr>
              <w:t>24,455</w:t>
            </w: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20,415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8"/>
              <w:spacing w:after="0"/>
              <w:rPr>
                <w:sz w:val="20"/>
                <w:szCs w:val="20"/>
                <w:color w:val="auto"/>
              </w:rPr>
            </w:pPr>
            <w:r>
              <w:rPr>
                <w:rFonts w:ascii="Arial" w:cs="Arial" w:eastAsia="Arial" w:hAnsi="Arial"/>
                <w:sz w:val="16"/>
                <w:szCs w:val="16"/>
                <w:color w:val="auto"/>
              </w:rPr>
              <w:t>17,862</w:t>
            </w: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loan costs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430</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Asset impairment</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2,082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8"/>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income tax expense</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5,080</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Stock based compensation expense</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2,976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8"/>
              <w:spacing w:after="0"/>
              <w:rPr>
                <w:sz w:val="20"/>
                <w:szCs w:val="20"/>
                <w:color w:val="auto"/>
              </w:rPr>
            </w:pPr>
            <w:r>
              <w:rPr>
                <w:rFonts w:ascii="Arial" w:cs="Arial" w:eastAsia="Arial" w:hAnsi="Arial"/>
                <w:sz w:val="16"/>
                <w:szCs w:val="16"/>
                <w:color w:val="auto"/>
              </w:rPr>
              <w:t>1,596</w:t>
            </w: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Inventory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522</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Bad debt expense</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8"/>
              <w:spacing w:after="0"/>
              <w:rPr>
                <w:sz w:val="20"/>
                <w:szCs w:val="20"/>
                <w:color w:val="auto"/>
              </w:rPr>
            </w:pPr>
            <w:r>
              <w:rPr>
                <w:rFonts w:ascii="Arial" w:cs="Arial" w:eastAsia="Arial" w:hAnsi="Arial"/>
                <w:sz w:val="16"/>
                <w:szCs w:val="16"/>
                <w:color w:val="auto"/>
              </w:rPr>
              <w:t>1,620</w:t>
            </w: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64</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Changes in operating assets and liabilities:</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2,767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(3,049)</w:t>
            </w: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(554)</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1,445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8"/>
              <w:spacing w:after="0"/>
              <w:rPr>
                <w:sz w:val="20"/>
                <w:szCs w:val="20"/>
                <w:color w:val="auto"/>
              </w:rPr>
            </w:pPr>
            <w:r>
              <w:rPr>
                <w:rFonts w:ascii="Arial" w:cs="Arial" w:eastAsia="Arial" w:hAnsi="Arial"/>
                <w:sz w:val="16"/>
                <w:szCs w:val="16"/>
                <w:color w:val="auto"/>
              </w:rPr>
              <w:t>10,418</w:t>
            </w: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revenue</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4,261</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Other liabilities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24,035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8"/>
              <w:spacing w:after="0"/>
              <w:rPr>
                <w:sz w:val="20"/>
                <w:szCs w:val="20"/>
                <w:color w:val="auto"/>
              </w:rPr>
            </w:pPr>
            <w:r>
              <w:rPr>
                <w:rFonts w:ascii="Arial" w:cs="Arial" w:eastAsia="Arial" w:hAnsi="Arial"/>
                <w:sz w:val="16"/>
                <w:szCs w:val="16"/>
                <w:color w:val="auto"/>
              </w:rPr>
              <w:t>15,248</w:t>
            </w:r>
          </w:p>
        </w:tc>
      </w:tr>
      <w:tr>
        <w:trPr>
          <w:trHeight w:val="33"/>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83,014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77,787</w:t>
            </w:r>
          </w:p>
        </w:tc>
      </w:tr>
      <w:tr>
        <w:trPr>
          <w:trHeight w:val="23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 of property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(22,792)</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8"/>
              <w:spacing w:after="0"/>
              <w:rPr>
                <w:sz w:val="20"/>
                <w:szCs w:val="20"/>
                <w:color w:val="auto"/>
              </w:rPr>
            </w:pPr>
            <w:r>
              <w:rPr>
                <w:rFonts w:ascii="Arial" w:cs="Arial" w:eastAsia="Arial" w:hAnsi="Arial"/>
                <w:sz w:val="16"/>
                <w:szCs w:val="16"/>
                <w:color w:val="auto"/>
              </w:rPr>
              <w:t>116</w:t>
            </w:r>
          </w:p>
        </w:tc>
      </w:tr>
      <w:tr>
        <w:trPr>
          <w:trHeight w:val="33"/>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for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(22,676)</w:t>
            </w:r>
          </w:p>
        </w:tc>
      </w:tr>
      <w:tr>
        <w:trPr>
          <w:trHeight w:val="23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exercise of stock options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2,312</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Principal payments on long-term debt</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(1,425)</w:t>
            </w: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 of treasury stock</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(855)</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Payments on finance lease obligations</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(333)</w:t>
            </w:r>
          </w:p>
        </w:tc>
      </w:tr>
      <w:tr>
        <w:trPr>
          <w:trHeight w:val="33"/>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for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Net change in cash, cash equivalents and restricted cash</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55,854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54,810</w:t>
            </w: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beginning of year</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17,998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5,193</w:t>
            </w:r>
          </w:p>
        </w:tc>
      </w:tr>
      <w:tr>
        <w:trPr>
          <w:trHeight w:val="28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cash equivalents and restricted cash, end of period</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73,852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rPr>
              <w:t>60,003</w:t>
            </w:r>
          </w:p>
        </w:tc>
      </w:tr>
      <w:tr>
        <w:trPr>
          <w:trHeight w:val="257"/>
        </w:trPr>
        <w:tc>
          <w:tcPr>
            <w:tcW w:w="8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Supplemental cash flow disclosure information:</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paid for interest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10,573</w:t>
            </w:r>
          </w:p>
        </w:tc>
      </w:tr>
      <w:tr>
        <w:trPr>
          <w:trHeight w:val="243"/>
        </w:trPr>
        <w:tc>
          <w:tcPr>
            <w:tcW w:w="8120" w:type="dxa"/>
            <w:vAlign w:val="bottom"/>
          </w:tcPr>
          <w:p>
            <w:pPr>
              <w:ind w:left="40"/>
              <w:spacing w:after="0"/>
              <w:rPr>
                <w:sz w:val="20"/>
                <w:szCs w:val="20"/>
                <w:color w:val="auto"/>
              </w:rPr>
            </w:pPr>
            <w:r>
              <w:rPr>
                <w:rFonts w:ascii="Arial" w:cs="Arial" w:eastAsia="Arial" w:hAnsi="Arial"/>
                <w:sz w:val="16"/>
                <w:szCs w:val="16"/>
                <w:color w:val="auto"/>
              </w:rPr>
              <w:t>Property and equipment accrued at the end of the period</w:t>
            </w:r>
          </w:p>
        </w:tc>
        <w:tc>
          <w:tcPr>
            <w:tcW w:w="200" w:type="dxa"/>
            <w:vAlign w:val="bottom"/>
          </w:tcPr>
          <w:p>
            <w:pPr>
              <w:spacing w:after="0"/>
              <w:rPr>
                <w:sz w:val="21"/>
                <w:szCs w:val="21"/>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13,980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8"/>
              <w:spacing w:after="0"/>
              <w:rPr>
                <w:sz w:val="20"/>
                <w:szCs w:val="20"/>
                <w:color w:val="auto"/>
              </w:rPr>
            </w:pPr>
            <w:r>
              <w:rPr>
                <w:rFonts w:ascii="Arial" w:cs="Arial" w:eastAsia="Arial" w:hAnsi="Arial"/>
                <w:sz w:val="18"/>
                <w:szCs w:val="18"/>
                <w:color w:val="auto"/>
              </w:rPr>
              <w:t>8,934</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Right of use assets acquired under finance leases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1,416</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Right of use assets acquired under operating leases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32,981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8"/>
              <w:spacing w:after="0"/>
              <w:rPr>
                <w:sz w:val="20"/>
                <w:szCs w:val="20"/>
                <w:color w:val="auto"/>
              </w:rPr>
            </w:pPr>
            <w:r>
              <w:rPr>
                <w:rFonts w:ascii="Arial" w:cs="Arial" w:eastAsia="Arial" w:hAnsi="Arial"/>
                <w:sz w:val="16"/>
                <w:szCs w:val="16"/>
                <w:color w:val="auto"/>
              </w:rPr>
              <w:t>—</w:t>
            </w:r>
          </w:p>
        </w:tc>
      </w:tr>
    </w:tbl>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reported within the condensed consolidated balance sheets to the total of cash, cash equivalents and restricted cash shown above: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00" w:type="dxa"/>
            <w:vAlign w:val="bottom"/>
            <w:gridSpan w:val="4"/>
          </w:tcPr>
          <w:p>
            <w:pPr>
              <w:jc w:val="right"/>
              <w:ind w:right="879"/>
              <w:spacing w:after="0"/>
              <w:rPr>
                <w:sz w:val="20"/>
                <w:szCs w:val="20"/>
                <w:color w:val="auto"/>
              </w:rPr>
            </w:pPr>
            <w:r>
              <w:rPr>
                <w:rFonts w:ascii="Arial" w:cs="Arial" w:eastAsia="Arial" w:hAnsi="Arial"/>
                <w:sz w:val="16"/>
                <w:szCs w:val="16"/>
                <w:color w:val="auto"/>
              </w:rPr>
              <w:t>Three Months Ended</w:t>
            </w:r>
          </w:p>
        </w:tc>
      </w:tr>
      <w:tr>
        <w:trPr>
          <w:trHeight w:val="33"/>
        </w:trPr>
        <w:tc>
          <w:tcPr>
            <w:tcW w:w="8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ind w:left="80"/>
              <w:spacing w:after="0"/>
              <w:rPr>
                <w:sz w:val="20"/>
                <w:szCs w:val="20"/>
                <w:color w:val="auto"/>
              </w:rPr>
            </w:pPr>
            <w:r>
              <w:rPr>
                <w:rFonts w:ascii="Arial" w:cs="Arial" w:eastAsia="Arial" w:hAnsi="Arial"/>
                <w:sz w:val="16"/>
                <w:szCs w:val="16"/>
                <w:color w:val="auto"/>
              </w:rPr>
              <w:t>March 30, 2019</w:t>
            </w:r>
          </w:p>
        </w:tc>
        <w:tc>
          <w:tcPr>
            <w:tcW w:w="200" w:type="dxa"/>
            <w:vAlign w:val="bottom"/>
          </w:tcPr>
          <w:p>
            <w:pPr>
              <w:spacing w:after="0"/>
              <w:rPr>
                <w:sz w:val="20"/>
                <w:szCs w:val="20"/>
                <w:color w:val="auto"/>
              </w:rPr>
            </w:pPr>
          </w:p>
        </w:tc>
        <w:tc>
          <w:tcPr>
            <w:tcW w:w="1380" w:type="dxa"/>
            <w:vAlign w:val="bottom"/>
          </w:tcPr>
          <w:p>
            <w:pPr>
              <w:jc w:val="right"/>
              <w:ind w:right="199"/>
              <w:spacing w:after="0"/>
              <w:rPr>
                <w:sz w:val="20"/>
                <w:szCs w:val="20"/>
                <w:color w:val="auto"/>
              </w:rPr>
            </w:pPr>
            <w:r>
              <w:rPr>
                <w:rFonts w:ascii="Arial" w:cs="Arial" w:eastAsia="Arial" w:hAnsi="Arial"/>
                <w:sz w:val="16"/>
                <w:szCs w:val="16"/>
                <w:color w:val="auto"/>
                <w:w w:val="97"/>
              </w:rPr>
              <w:t>March 31, 2018</w:t>
            </w:r>
          </w:p>
        </w:tc>
      </w:tr>
      <w:tr>
        <w:trPr>
          <w:trHeight w:val="33"/>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72,506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58,433</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Restricted cash included in other assets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1,346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1,570</w:t>
            </w:r>
          </w:p>
        </w:tc>
      </w:tr>
      <w:tr>
        <w:trPr>
          <w:trHeight w:val="33"/>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cash, cash equivalents and restricted cash</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73,852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60,003</w:t>
            </w: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68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30, 2019 and 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ind w:left="40"/>
              <w:spacing w:after="0"/>
              <w:rPr>
                <w:sz w:val="20"/>
                <w:szCs w:val="20"/>
                <w:color w:val="auto"/>
              </w:rPr>
            </w:pPr>
            <w:r>
              <w:rPr>
                <w:rFonts w:ascii="Arial" w:cs="Arial" w:eastAsia="Arial" w:hAnsi="Arial"/>
                <w:sz w:val="18"/>
                <w:szCs w:val="18"/>
                <w:b w:val="1"/>
                <w:bCs w:val="1"/>
                <w:color w:val="auto"/>
                <w:w w:val="99"/>
              </w:rPr>
              <w:t>Reconciliation of Net Income to EBITDA, Adjusted EBITDA and Adjusted EBITDA Margin</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920" w:type="dxa"/>
            <w:vAlign w:val="bottom"/>
            <w:gridSpan w:val="6"/>
          </w:tcPr>
          <w:p>
            <w:pPr>
              <w:jc w:val="right"/>
              <w:ind w:right="210"/>
              <w:spacing w:after="0"/>
              <w:rPr>
                <w:sz w:val="20"/>
                <w:szCs w:val="20"/>
                <w:color w:val="auto"/>
              </w:rPr>
            </w:pPr>
            <w:r>
              <w:rPr>
                <w:rFonts w:ascii="Arial" w:cs="Arial" w:eastAsia="Arial" w:hAnsi="Arial"/>
                <w:sz w:val="18"/>
                <w:szCs w:val="18"/>
                <w:color w:val="auto"/>
                <w:w w:val="95"/>
              </w:rPr>
              <w:t>Three Months Ended</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3"/>
          </w:tcPr>
          <w:p>
            <w:pPr>
              <w:ind w:left="160"/>
              <w:spacing w:after="0"/>
              <w:rPr>
                <w:sz w:val="20"/>
                <w:szCs w:val="20"/>
                <w:color w:val="auto"/>
              </w:rPr>
            </w:pPr>
            <w:r>
              <w:rPr>
                <w:rFonts w:ascii="Arial" w:cs="Arial" w:eastAsia="Arial" w:hAnsi="Arial"/>
                <w:sz w:val="18"/>
                <w:szCs w:val="18"/>
                <w:color w:val="auto"/>
              </w:rPr>
              <w:t>March 30, 2019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3"/>
          </w:tcPr>
          <w:p>
            <w:pPr>
              <w:ind w:left="160"/>
              <w:spacing w:after="0"/>
              <w:rPr>
                <w:sz w:val="20"/>
                <w:szCs w:val="20"/>
                <w:color w:val="auto"/>
              </w:rPr>
            </w:pPr>
            <w:r>
              <w:rPr>
                <w:rFonts w:ascii="Arial" w:cs="Arial" w:eastAsia="Arial" w:hAnsi="Arial"/>
                <w:sz w:val="18"/>
                <w:szCs w:val="18"/>
                <w:color w:val="auto"/>
              </w:rPr>
              <w:t>March 31, 2018</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17,429</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3.8%</w:t>
            </w:r>
          </w:p>
        </w:tc>
        <w:tc>
          <w:tcPr>
            <w:tcW w:w="80" w:type="dxa"/>
            <w:vAlign w:val="bottom"/>
          </w:tcPr>
          <w:p>
            <w:pPr>
              <w:spacing w:after="0"/>
              <w:rPr>
                <w:sz w:val="20"/>
                <w:szCs w:val="20"/>
                <w:color w:val="auto"/>
              </w:rPr>
            </w:pPr>
          </w:p>
        </w:tc>
        <w:tc>
          <w:tcPr>
            <w:tcW w:w="3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24,455</w:t>
            </w:r>
          </w:p>
        </w:tc>
        <w:tc>
          <w:tcPr>
            <w:tcW w:w="700" w:type="dxa"/>
            <w:vAlign w:val="bottom"/>
          </w:tcPr>
          <w:p>
            <w:pPr>
              <w:jc w:val="center"/>
              <w:ind w:left="10"/>
              <w:spacing w:after="0"/>
              <w:rPr>
                <w:sz w:val="20"/>
                <w:szCs w:val="20"/>
                <w:color w:val="auto"/>
              </w:rPr>
            </w:pPr>
            <w:r>
              <w:rPr>
                <w:rFonts w:ascii="Arial" w:cs="Arial" w:eastAsia="Arial" w:hAnsi="Arial"/>
                <w:sz w:val="18"/>
                <w:szCs w:val="18"/>
                <w:color w:val="auto"/>
                <w:w w:val="87"/>
              </w:rPr>
              <w:t>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9,061</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9,313</w:t>
            </w:r>
          </w:p>
        </w:tc>
        <w:tc>
          <w:tcPr>
            <w:tcW w:w="70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7"/>
              </w:rPr>
              <w:t>2.3%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5,910</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1.3%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5,080</w:t>
            </w:r>
          </w:p>
        </w:tc>
        <w:tc>
          <w:tcPr>
            <w:tcW w:w="700" w:type="dxa"/>
            <w:vAlign w:val="bottom"/>
          </w:tcPr>
          <w:p>
            <w:pPr>
              <w:jc w:val="center"/>
              <w:ind w:left="10"/>
              <w:spacing w:after="0"/>
              <w:rPr>
                <w:sz w:val="20"/>
                <w:szCs w:val="20"/>
                <w:color w:val="auto"/>
              </w:rPr>
            </w:pPr>
            <w:r>
              <w:rPr>
                <w:rFonts w:ascii="Arial" w:cs="Arial" w:eastAsia="Arial" w:hAnsi="Arial"/>
                <w:sz w:val="18"/>
                <w:szCs w:val="18"/>
                <w:color w:val="auto"/>
                <w:w w:val="87"/>
              </w:rPr>
              <w:t>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20,415</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4.4%</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17,862</w:t>
            </w:r>
          </w:p>
        </w:tc>
        <w:tc>
          <w:tcPr>
            <w:tcW w:w="70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7"/>
              </w:rPr>
              <w:t>4.4%</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600" w:type="dxa"/>
            <w:vAlign w:val="bottom"/>
          </w:tcPr>
          <w:p>
            <w:pPr>
              <w:ind w:left="180"/>
              <w:spacing w:after="0"/>
              <w:rPr>
                <w:sz w:val="20"/>
                <w:szCs w:val="20"/>
                <w:color w:val="auto"/>
              </w:rPr>
            </w:pPr>
            <w:r>
              <w:rPr>
                <w:rFonts w:ascii="Arial" w:cs="Arial" w:eastAsia="Arial" w:hAnsi="Arial"/>
                <w:sz w:val="18"/>
                <w:szCs w:val="18"/>
                <w:color w:val="auto"/>
              </w:rPr>
              <w:t>EBITDA</w:t>
            </w:r>
          </w:p>
        </w:tc>
        <w:tc>
          <w:tcPr>
            <w:tcW w:w="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52,815</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11.5%</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56,710</w:t>
            </w:r>
          </w:p>
        </w:tc>
        <w:tc>
          <w:tcPr>
            <w:tcW w:w="700" w:type="dxa"/>
            <w:vAlign w:val="bottom"/>
          </w:tcPr>
          <w:p>
            <w:pPr>
              <w:jc w:val="center"/>
              <w:ind w:left="10"/>
              <w:spacing w:after="0"/>
              <w:rPr>
                <w:sz w:val="20"/>
                <w:szCs w:val="20"/>
                <w:color w:val="auto"/>
              </w:rPr>
            </w:pPr>
            <w:r>
              <w:rPr>
                <w:rFonts w:ascii="Arial" w:cs="Arial" w:eastAsia="Arial" w:hAnsi="Arial"/>
                <w:sz w:val="18"/>
                <w:szCs w:val="18"/>
                <w:color w:val="auto"/>
                <w:w w:val="93"/>
              </w:rPr>
              <w:t>13.9%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6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5"/>
                <w:szCs w:val="25"/>
                <w:color w:val="auto"/>
                <w:vertAlign w:val="superscript"/>
              </w:rPr>
              <w:t>(a)</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2,976</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0.6%</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1,596</w:t>
            </w:r>
          </w:p>
        </w:tc>
        <w:tc>
          <w:tcPr>
            <w:tcW w:w="700" w:type="dxa"/>
            <w:vAlign w:val="bottom"/>
          </w:tcPr>
          <w:p>
            <w:pPr>
              <w:jc w:val="center"/>
              <w:ind w:left="10"/>
              <w:spacing w:after="0"/>
              <w:rPr>
                <w:sz w:val="20"/>
                <w:szCs w:val="20"/>
                <w:color w:val="auto"/>
              </w:rPr>
            </w:pPr>
            <w:r>
              <w:rPr>
                <w:rFonts w:ascii="Arial" w:cs="Arial" w:eastAsia="Arial" w:hAnsi="Arial"/>
                <w:sz w:val="18"/>
                <w:szCs w:val="18"/>
                <w:color w:val="auto"/>
                <w:w w:val="87"/>
              </w:rPr>
              <w:t>0.4%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5"/>
                <w:szCs w:val="25"/>
                <w:color w:val="auto"/>
                <w:vertAlign w:val="superscript"/>
              </w:rPr>
              <w:t>(b)</w:t>
            </w: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2,082</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0.5%</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70"/>
        </w:trPr>
        <w:tc>
          <w:tcPr>
            <w:tcW w:w="76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New store pre-opening expenses </w:t>
            </w:r>
            <w:r>
              <w:rPr>
                <w:rFonts w:ascii="Arial" w:cs="Arial" w:eastAsia="Arial" w:hAnsi="Arial"/>
                <w:sz w:val="25"/>
                <w:szCs w:val="25"/>
                <w:color w:val="auto"/>
                <w:vertAlign w:val="superscript"/>
              </w:rPr>
              <w:t>(c)</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885</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0.2%</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474</w:t>
            </w:r>
          </w:p>
        </w:tc>
        <w:tc>
          <w:tcPr>
            <w:tcW w:w="700" w:type="dxa"/>
            <w:vAlign w:val="bottom"/>
          </w:tcPr>
          <w:p>
            <w:pPr>
              <w:jc w:val="center"/>
              <w:ind w:left="10"/>
              <w:spacing w:after="0"/>
              <w:rPr>
                <w:sz w:val="20"/>
                <w:szCs w:val="20"/>
                <w:color w:val="auto"/>
              </w:rPr>
            </w:pPr>
            <w:r>
              <w:rPr>
                <w:rFonts w:ascii="Arial" w:cs="Arial" w:eastAsia="Arial" w:hAnsi="Arial"/>
                <w:sz w:val="18"/>
                <w:szCs w:val="18"/>
                <w:color w:val="auto"/>
                <w:w w:val="87"/>
              </w:rPr>
              <w:t>0.1%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Non-cash rent </w:t>
            </w:r>
            <w:r>
              <w:rPr>
                <w:rFonts w:ascii="Arial" w:cs="Arial" w:eastAsia="Arial" w:hAnsi="Arial"/>
                <w:sz w:val="25"/>
                <w:szCs w:val="25"/>
                <w:color w:val="auto"/>
                <w:vertAlign w:val="superscript"/>
              </w:rPr>
              <w:t>(d)</w:t>
            </w: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1,198</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0.3%</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528</w:t>
            </w:r>
          </w:p>
        </w:tc>
        <w:tc>
          <w:tcPr>
            <w:tcW w:w="7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7"/>
              </w:rPr>
              <w:t>0.1%</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Secondary offering expenses </w:t>
            </w:r>
            <w:r>
              <w:rPr>
                <w:rFonts w:ascii="Arial" w:cs="Arial" w:eastAsia="Arial" w:hAnsi="Arial"/>
                <w:sz w:val="25"/>
                <w:szCs w:val="25"/>
                <w:color w:val="auto"/>
                <w:vertAlign w:val="superscript"/>
              </w:rPr>
              <w:t>(e)</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963</w:t>
            </w:r>
          </w:p>
        </w:tc>
        <w:tc>
          <w:tcPr>
            <w:tcW w:w="700" w:type="dxa"/>
            <w:vAlign w:val="bottom"/>
          </w:tcPr>
          <w:p>
            <w:pPr>
              <w:jc w:val="center"/>
              <w:ind w:left="10"/>
              <w:spacing w:after="0"/>
              <w:rPr>
                <w:sz w:val="20"/>
                <w:szCs w:val="20"/>
                <w:color w:val="auto"/>
              </w:rPr>
            </w:pPr>
            <w:r>
              <w:rPr>
                <w:rFonts w:ascii="Arial" w:cs="Arial" w:eastAsia="Arial" w:hAnsi="Arial"/>
                <w:sz w:val="18"/>
                <w:szCs w:val="18"/>
                <w:color w:val="auto"/>
                <w:w w:val="87"/>
              </w:rPr>
              <w:t>0.2%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Management realignment expenses </w:t>
            </w:r>
            <w:r>
              <w:rPr>
                <w:rFonts w:ascii="Arial" w:cs="Arial" w:eastAsia="Arial" w:hAnsi="Arial"/>
                <w:sz w:val="25"/>
                <w:szCs w:val="25"/>
                <w:color w:val="auto"/>
                <w:vertAlign w:val="superscript"/>
              </w:rPr>
              <w:t>(f)</w:t>
            </w: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2,155</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0.5%</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70"/>
        </w:trPr>
        <w:tc>
          <w:tcPr>
            <w:tcW w:w="76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(g)</w:t>
            </w:r>
          </w:p>
        </w:tc>
        <w:tc>
          <w:tcPr>
            <w:tcW w:w="6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1,192</w:t>
            </w:r>
          </w:p>
        </w:tc>
        <w:tc>
          <w:tcPr>
            <w:tcW w:w="7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0.3%</w:t>
            </w: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459</w:t>
            </w:r>
          </w:p>
        </w:tc>
        <w:tc>
          <w:tcPr>
            <w:tcW w:w="70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color w:val="auto"/>
                <w:w w:val="87"/>
              </w:rPr>
              <w:t>0.1%</w:t>
            </w:r>
          </w:p>
        </w:tc>
        <w:tc>
          <w:tcPr>
            <w:tcW w:w="1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Adjusted EBITDA/ Adjusted EBITDA Margin</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63,303</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13.7%</w:t>
            </w:r>
          </w:p>
        </w:tc>
        <w:tc>
          <w:tcPr>
            <w:tcW w:w="80" w:type="dxa"/>
            <w:vAlign w:val="bottom"/>
            <w:shd w:val="clear" w:color="auto" w:fill="CCEEFF"/>
          </w:tcPr>
          <w:p>
            <w:pPr>
              <w:spacing w:after="0"/>
              <w:rPr>
                <w:sz w:val="22"/>
                <w:szCs w:val="22"/>
                <w:color w:val="auto"/>
              </w:rPr>
            </w:pP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60,730</w:t>
            </w:r>
          </w:p>
        </w:tc>
        <w:tc>
          <w:tcPr>
            <w:tcW w:w="7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3"/>
              </w:rPr>
              <w:t>14.9%</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4"/>
                <w:szCs w:val="14"/>
                <w:color w:val="auto"/>
              </w:rPr>
              <w:t>Note: Percentages reflect line item as a percentage of net revenue</w:t>
            </w: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2"/>
        </w:trPr>
        <w:tc>
          <w:tcPr>
            <w:tcW w:w="7600" w:type="dxa"/>
            <w:vAlign w:val="bottom"/>
          </w:tcPr>
          <w:p>
            <w:pPr>
              <w:ind w:left="40"/>
              <w:spacing w:after="0"/>
              <w:rPr>
                <w:sz w:val="20"/>
                <w:szCs w:val="20"/>
                <w:color w:val="auto"/>
              </w:rPr>
            </w:pPr>
            <w:r>
              <w:rPr>
                <w:rFonts w:ascii="Arial" w:cs="Arial" w:eastAsia="Arial" w:hAnsi="Arial"/>
                <w:sz w:val="18"/>
                <w:szCs w:val="18"/>
                <w:b w:val="1"/>
                <w:bCs w:val="1"/>
                <w:color w:val="auto"/>
              </w:rPr>
              <w:t>Reconciliation of Net Income to Adjusted Net Income</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920" w:type="dxa"/>
            <w:vAlign w:val="bottom"/>
            <w:gridSpan w:val="6"/>
          </w:tcPr>
          <w:p>
            <w:pPr>
              <w:jc w:val="right"/>
              <w:ind w:right="290"/>
              <w:spacing w:after="0"/>
              <w:rPr>
                <w:sz w:val="20"/>
                <w:szCs w:val="20"/>
                <w:color w:val="auto"/>
              </w:rPr>
            </w:pPr>
            <w:r>
              <w:rPr>
                <w:rFonts w:ascii="Arial" w:cs="Arial" w:eastAsia="Arial" w:hAnsi="Arial"/>
                <w:sz w:val="18"/>
                <w:szCs w:val="18"/>
                <w:color w:val="auto"/>
                <w:w w:val="90"/>
              </w:rPr>
              <w:t>Three Months Ended</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3"/>
          </w:tcPr>
          <w:p>
            <w:pPr>
              <w:ind w:left="80"/>
              <w:spacing w:after="0"/>
              <w:rPr>
                <w:sz w:val="20"/>
                <w:szCs w:val="20"/>
                <w:color w:val="auto"/>
              </w:rPr>
            </w:pPr>
            <w:r>
              <w:rPr>
                <w:rFonts w:ascii="Arial" w:cs="Arial" w:eastAsia="Arial" w:hAnsi="Arial"/>
                <w:sz w:val="18"/>
                <w:szCs w:val="18"/>
                <w:color w:val="auto"/>
              </w:rPr>
              <w:t>March 30, 2019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3"/>
          </w:tcPr>
          <w:p>
            <w:pPr>
              <w:ind w:left="60"/>
              <w:spacing w:after="0"/>
              <w:rPr>
                <w:sz w:val="20"/>
                <w:szCs w:val="20"/>
                <w:color w:val="auto"/>
              </w:rPr>
            </w:pPr>
            <w:r>
              <w:rPr>
                <w:rFonts w:ascii="Arial" w:cs="Arial" w:eastAsia="Arial" w:hAnsi="Arial"/>
                <w:sz w:val="18"/>
                <w:szCs w:val="18"/>
                <w:color w:val="auto"/>
              </w:rPr>
              <w:t>March 31, 2018</w:t>
            </w:r>
          </w:p>
        </w:tc>
        <w:tc>
          <w:tcPr>
            <w:tcW w:w="0" w:type="dxa"/>
            <w:vAlign w:val="bottom"/>
          </w:tcPr>
          <w:p>
            <w:pPr>
              <w:spacing w:after="0"/>
              <w:rPr>
                <w:sz w:val="1"/>
                <w:szCs w:val="1"/>
                <w:color w:val="auto"/>
              </w:rPr>
            </w:pPr>
          </w:p>
        </w:tc>
      </w:tr>
      <w:tr>
        <w:trPr>
          <w:trHeight w:val="27"/>
        </w:trPr>
        <w:tc>
          <w:tcPr>
            <w:tcW w:w="7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17,429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24,455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6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5"/>
                <w:szCs w:val="25"/>
                <w:color w:val="auto"/>
                <w:vertAlign w:val="superscript"/>
              </w:rPr>
              <w:t>(a)</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jc w:val="center"/>
              <w:ind w:left="10"/>
              <w:spacing w:after="0"/>
              <w:rPr>
                <w:sz w:val="20"/>
                <w:szCs w:val="20"/>
                <w:color w:val="auto"/>
              </w:rPr>
            </w:pPr>
            <w:r>
              <w:rPr>
                <w:rFonts w:ascii="Arial" w:cs="Arial" w:eastAsia="Arial" w:hAnsi="Arial"/>
                <w:sz w:val="18"/>
                <w:szCs w:val="18"/>
                <w:color w:val="auto"/>
                <w:w w:val="88"/>
              </w:rPr>
              <w:t>2,976</w:t>
            </w:r>
          </w:p>
        </w:tc>
        <w:tc>
          <w:tcPr>
            <w:tcW w:w="80" w:type="dxa"/>
            <w:vAlign w:val="bottom"/>
          </w:tcPr>
          <w:p>
            <w:pPr>
              <w:spacing w:after="0"/>
              <w:rPr>
                <w:sz w:val="23"/>
                <w:szCs w:val="23"/>
                <w:color w:val="auto"/>
              </w:rPr>
            </w:pPr>
          </w:p>
        </w:tc>
        <w:tc>
          <w:tcPr>
            <w:tcW w:w="3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3"/>
                <w:szCs w:val="23"/>
                <w:color w:val="auto"/>
              </w:rPr>
            </w:pPr>
          </w:p>
        </w:tc>
        <w:tc>
          <w:tcPr>
            <w:tcW w:w="700" w:type="dxa"/>
            <w:vAlign w:val="bottom"/>
          </w:tcPr>
          <w:p>
            <w:pPr>
              <w:jc w:val="center"/>
              <w:ind w:left="10"/>
              <w:spacing w:after="0"/>
              <w:rPr>
                <w:sz w:val="20"/>
                <w:szCs w:val="20"/>
                <w:color w:val="auto"/>
              </w:rPr>
            </w:pPr>
            <w:r>
              <w:rPr>
                <w:rFonts w:ascii="Arial" w:cs="Arial" w:eastAsia="Arial" w:hAnsi="Arial"/>
                <w:sz w:val="18"/>
                <w:szCs w:val="18"/>
                <w:color w:val="auto"/>
                <w:w w:val="88"/>
              </w:rPr>
              <w:t>1,596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5"/>
                <w:szCs w:val="25"/>
                <w:color w:val="auto"/>
                <w:vertAlign w:val="superscript"/>
              </w:rPr>
              <w:t>(b)</w:t>
            </w: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7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8"/>
              </w:rPr>
              <w:t>2,082</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New store pre-opening expenses </w:t>
            </w:r>
            <w:r>
              <w:rPr>
                <w:rFonts w:ascii="Arial" w:cs="Arial" w:eastAsia="Arial" w:hAnsi="Arial"/>
                <w:sz w:val="25"/>
                <w:szCs w:val="25"/>
                <w:color w:val="auto"/>
                <w:vertAlign w:val="superscript"/>
              </w:rPr>
              <w:t>(c)</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885</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Non-cash rent </w:t>
            </w:r>
            <w:r>
              <w:rPr>
                <w:rFonts w:ascii="Arial" w:cs="Arial" w:eastAsia="Arial" w:hAnsi="Arial"/>
                <w:sz w:val="25"/>
                <w:szCs w:val="25"/>
                <w:color w:val="auto"/>
                <w:vertAlign w:val="superscript"/>
              </w:rPr>
              <w:t>(d)</w:t>
            </w: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7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8"/>
              </w:rPr>
              <w:t>1,198</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Secondary offering expenses </w:t>
            </w:r>
            <w:r>
              <w:rPr>
                <w:rFonts w:ascii="Arial" w:cs="Arial" w:eastAsia="Arial" w:hAnsi="Arial"/>
                <w:sz w:val="25"/>
                <w:szCs w:val="25"/>
                <w:color w:val="auto"/>
                <w:vertAlign w:val="superscript"/>
              </w:rPr>
              <w:t>(e)</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Management realignment expenses </w:t>
            </w:r>
            <w:r>
              <w:rPr>
                <w:rFonts w:ascii="Arial" w:cs="Arial" w:eastAsia="Arial" w:hAnsi="Arial"/>
                <w:sz w:val="25"/>
                <w:szCs w:val="25"/>
                <w:color w:val="auto"/>
                <w:vertAlign w:val="superscript"/>
              </w:rPr>
              <w:t>(f)</w:t>
            </w: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7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8"/>
              </w:rPr>
              <w:t>2,155</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(g)</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jc w:val="center"/>
              <w:ind w:left="10"/>
              <w:spacing w:after="0"/>
              <w:rPr>
                <w:sz w:val="20"/>
                <w:szCs w:val="20"/>
                <w:color w:val="auto"/>
              </w:rPr>
            </w:pPr>
            <w:r>
              <w:rPr>
                <w:rFonts w:ascii="Arial" w:cs="Arial" w:eastAsia="Arial" w:hAnsi="Arial"/>
                <w:sz w:val="18"/>
                <w:szCs w:val="18"/>
                <w:color w:val="auto"/>
                <w:w w:val="88"/>
              </w:rPr>
              <w:t>1,192</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Amortization of acquisition intangibles and deferred financing costs </w:t>
            </w:r>
            <w:r>
              <w:rPr>
                <w:rFonts w:ascii="Arial" w:cs="Arial" w:eastAsia="Arial" w:hAnsi="Arial"/>
                <w:sz w:val="25"/>
                <w:szCs w:val="25"/>
                <w:color w:val="auto"/>
                <w:vertAlign w:val="superscript"/>
              </w:rPr>
              <w:t>(h)</w:t>
            </w: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7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8"/>
              </w:rPr>
              <w:t>2,258</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7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8"/>
              </w:rPr>
              <w:t>2,281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Tax benefit of stock option exercises </w:t>
            </w:r>
            <w:r>
              <w:rPr>
                <w:rFonts w:ascii="Arial" w:cs="Arial" w:eastAsia="Arial" w:hAnsi="Arial"/>
                <w:sz w:val="25"/>
                <w:szCs w:val="25"/>
                <w:color w:val="auto"/>
                <w:vertAlign w:val="superscript"/>
              </w:rPr>
              <w:t>(i)</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jc w:val="center"/>
              <w:ind w:left="10"/>
              <w:spacing w:after="0"/>
              <w:rPr>
                <w:sz w:val="20"/>
                <w:szCs w:val="20"/>
                <w:color w:val="auto"/>
              </w:rPr>
            </w:pPr>
            <w:r>
              <w:rPr>
                <w:rFonts w:ascii="Arial" w:cs="Arial" w:eastAsia="Arial" w:hAnsi="Arial"/>
                <w:sz w:val="18"/>
                <w:szCs w:val="18"/>
                <w:color w:val="auto"/>
                <w:w w:val="91"/>
              </w:rPr>
              <w:t>(2,695)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Tax effect of total adjustments </w:t>
            </w:r>
            <w:r>
              <w:rPr>
                <w:rFonts w:ascii="Arial" w:cs="Arial" w:eastAsia="Arial" w:hAnsi="Arial"/>
                <w:sz w:val="25"/>
                <w:szCs w:val="25"/>
                <w:color w:val="auto"/>
                <w:vertAlign w:val="superscript"/>
              </w:rPr>
              <w:t>(j)</w:t>
            </w:r>
          </w:p>
        </w:tc>
        <w:tc>
          <w:tcPr>
            <w:tcW w:w="6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1"/>
              </w:rPr>
              <w:t>(3,263)</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1"/>
              </w:rPr>
              <w:t>(1,613)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600" w:type="dxa"/>
            <w:vAlign w:val="bottom"/>
          </w:tcPr>
          <w:p>
            <w:pPr>
              <w:ind w:left="180"/>
              <w:spacing w:after="0"/>
              <w:rPr>
                <w:sz w:val="20"/>
                <w:szCs w:val="20"/>
                <w:color w:val="auto"/>
              </w:rPr>
            </w:pPr>
            <w:r>
              <w:rPr>
                <w:rFonts w:ascii="Arial" w:cs="Arial" w:eastAsia="Arial" w:hAnsi="Arial"/>
                <w:sz w:val="18"/>
                <w:szCs w:val="18"/>
                <w:b w:val="1"/>
                <w:bCs w:val="1"/>
                <w:color w:val="auto"/>
              </w:rPr>
              <w:t>Adjusted Net Income</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840" w:type="dxa"/>
            <w:vAlign w:val="bottom"/>
          </w:tcPr>
          <w:p>
            <w:pPr>
              <w:spacing w:after="0"/>
              <w:rPr>
                <w:sz w:val="22"/>
                <w:szCs w:val="22"/>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26,682</w:t>
            </w:r>
          </w:p>
        </w:tc>
        <w:tc>
          <w:tcPr>
            <w:tcW w:w="80" w:type="dxa"/>
            <w:vAlign w:val="bottom"/>
          </w:tcPr>
          <w:p>
            <w:pPr>
              <w:spacing w:after="0"/>
              <w:rPr>
                <w:sz w:val="22"/>
                <w:szCs w:val="22"/>
                <w:color w:val="auto"/>
              </w:rPr>
            </w:pPr>
          </w:p>
        </w:tc>
        <w:tc>
          <w:tcPr>
            <w:tcW w:w="3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2"/>
                <w:szCs w:val="22"/>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26,448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Reconciliation of Diluted EPS to Adjusted Diluted EPS</w:t>
            </w: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0"/>
        </w:trPr>
        <w:tc>
          <w:tcPr>
            <w:tcW w:w="7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320" w:type="dxa"/>
            <w:vAlign w:val="bottom"/>
            <w:gridSpan w:val="4"/>
          </w:tcPr>
          <w:p>
            <w:pPr>
              <w:jc w:val="right"/>
              <w:ind w:right="890"/>
              <w:spacing w:after="0"/>
              <w:rPr>
                <w:sz w:val="20"/>
                <w:szCs w:val="20"/>
                <w:color w:val="auto"/>
              </w:rPr>
            </w:pPr>
            <w:r>
              <w:rPr>
                <w:rFonts w:ascii="Arial" w:cs="Arial" w:eastAsia="Arial" w:hAnsi="Arial"/>
                <w:sz w:val="18"/>
                <w:szCs w:val="18"/>
                <w:color w:val="auto"/>
              </w:rPr>
              <w:t>Three Months Ended</w:t>
            </w:r>
          </w:p>
        </w:tc>
      </w:tr>
      <w:tr>
        <w:trPr>
          <w:trHeight w:val="27"/>
        </w:trPr>
        <w:tc>
          <w:tcPr>
            <w:tcW w:w="7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March 30, 2019</w:t>
            </w:r>
          </w:p>
        </w:tc>
        <w:tc>
          <w:tcPr>
            <w:tcW w:w="200" w:type="dxa"/>
            <w:vAlign w:val="bottom"/>
          </w:tcPr>
          <w:p>
            <w:pPr>
              <w:spacing w:after="0"/>
              <w:rPr>
                <w:sz w:val="20"/>
                <w:szCs w:val="20"/>
                <w:color w:val="auto"/>
              </w:rPr>
            </w:pPr>
          </w:p>
        </w:tc>
        <w:tc>
          <w:tcPr>
            <w:tcW w:w="1500" w:type="dxa"/>
            <w:vAlign w:val="bottom"/>
          </w:tcPr>
          <w:p>
            <w:pPr>
              <w:jc w:val="right"/>
              <w:ind w:right="190"/>
              <w:spacing w:after="0"/>
              <w:rPr>
                <w:sz w:val="20"/>
                <w:szCs w:val="20"/>
                <w:color w:val="auto"/>
              </w:rPr>
            </w:pPr>
            <w:r>
              <w:rPr>
                <w:rFonts w:ascii="Arial" w:cs="Arial" w:eastAsia="Arial" w:hAnsi="Arial"/>
                <w:sz w:val="18"/>
                <w:szCs w:val="18"/>
                <w:color w:val="auto"/>
                <w:w w:val="95"/>
              </w:rPr>
              <w:t>March 31, 2018</w:t>
            </w:r>
          </w:p>
        </w:tc>
      </w:tr>
      <w:tr>
        <w:trPr>
          <w:trHeight w:val="27"/>
        </w:trPr>
        <w:tc>
          <w:tcPr>
            <w:tcW w:w="7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Diluted EPS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0.31</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5"/>
                <w:szCs w:val="25"/>
                <w:color w:val="auto"/>
                <w:vertAlign w:val="superscript"/>
              </w:rPr>
              <w:t>(a)</w:t>
            </w: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r>
      <w:tr>
        <w:trPr>
          <w:trHeight w:val="270"/>
        </w:trPr>
        <w:tc>
          <w:tcPr>
            <w:tcW w:w="79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5"/>
                <w:szCs w:val="25"/>
                <w:color w:val="auto"/>
                <w:vertAlign w:val="superscript"/>
              </w:rPr>
              <w:t>(b)</w:t>
            </w:r>
          </w:p>
        </w:tc>
        <w:tc>
          <w:tcPr>
            <w:tcW w:w="20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New store pre-opening expenses </w:t>
            </w:r>
            <w:r>
              <w:rPr>
                <w:rFonts w:ascii="Arial" w:cs="Arial" w:eastAsia="Arial" w:hAnsi="Arial"/>
                <w:sz w:val="25"/>
                <w:szCs w:val="25"/>
                <w:color w:val="auto"/>
                <w:vertAlign w:val="superscript"/>
              </w:rPr>
              <w:t>(c)</w:t>
            </w: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r>
      <w:tr>
        <w:trPr>
          <w:trHeight w:val="270"/>
        </w:trPr>
        <w:tc>
          <w:tcPr>
            <w:tcW w:w="79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Non-cash rent </w:t>
            </w:r>
            <w:r>
              <w:rPr>
                <w:rFonts w:ascii="Arial" w:cs="Arial" w:eastAsia="Arial" w:hAnsi="Arial"/>
                <w:sz w:val="25"/>
                <w:szCs w:val="25"/>
                <w:color w:val="auto"/>
                <w:vertAlign w:val="superscript"/>
              </w:rPr>
              <w:t>(d)</w:t>
            </w:r>
          </w:p>
        </w:tc>
        <w:tc>
          <w:tcPr>
            <w:tcW w:w="20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0.01</w:t>
            </w:r>
          </w:p>
        </w:tc>
      </w:tr>
      <w:tr>
        <w:trPr>
          <w:trHeight w:val="270"/>
        </w:trPr>
        <w:tc>
          <w:tcPr>
            <w:tcW w:w="7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Secondary offering expenses </w:t>
            </w:r>
            <w:r>
              <w:rPr>
                <w:rFonts w:ascii="Arial" w:cs="Arial" w:eastAsia="Arial" w:hAnsi="Arial"/>
                <w:sz w:val="25"/>
                <w:szCs w:val="25"/>
                <w:color w:val="auto"/>
                <w:vertAlign w:val="superscript"/>
              </w:rPr>
              <w:t>(e)</w:t>
            </w:r>
          </w:p>
        </w:tc>
        <w:tc>
          <w:tcPr>
            <w:tcW w:w="20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r>
      <w:tr>
        <w:trPr>
          <w:trHeight w:val="270"/>
        </w:trPr>
        <w:tc>
          <w:tcPr>
            <w:tcW w:w="79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Management realignment expenses </w:t>
            </w:r>
            <w:r>
              <w:rPr>
                <w:rFonts w:ascii="Arial" w:cs="Arial" w:eastAsia="Arial" w:hAnsi="Arial"/>
                <w:sz w:val="25"/>
                <w:szCs w:val="25"/>
                <w:color w:val="auto"/>
                <w:vertAlign w:val="superscript"/>
              </w:rPr>
              <w:t>(f)</w:t>
            </w:r>
          </w:p>
        </w:tc>
        <w:tc>
          <w:tcPr>
            <w:tcW w:w="20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(g)</w:t>
            </w: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r>
      <w:tr>
        <w:trPr>
          <w:trHeight w:val="270"/>
        </w:trPr>
        <w:tc>
          <w:tcPr>
            <w:tcW w:w="79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Amortization of acquisition intangibles and deferred financing costs </w:t>
            </w:r>
            <w:r>
              <w:rPr>
                <w:rFonts w:ascii="Arial" w:cs="Arial" w:eastAsia="Arial" w:hAnsi="Arial"/>
                <w:sz w:val="25"/>
                <w:szCs w:val="25"/>
                <w:color w:val="auto"/>
                <w:vertAlign w:val="superscript"/>
              </w:rPr>
              <w:t>(h)</w:t>
            </w:r>
          </w:p>
        </w:tc>
        <w:tc>
          <w:tcPr>
            <w:tcW w:w="20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0.03</w:t>
            </w:r>
          </w:p>
        </w:tc>
      </w:tr>
      <w:tr>
        <w:trPr>
          <w:trHeight w:val="270"/>
        </w:trPr>
        <w:tc>
          <w:tcPr>
            <w:tcW w:w="7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Tax benefit of stock option exercises </w:t>
            </w:r>
            <w:r>
              <w:rPr>
                <w:rFonts w:ascii="Arial" w:cs="Arial" w:eastAsia="Arial" w:hAnsi="Arial"/>
                <w:sz w:val="25"/>
                <w:szCs w:val="25"/>
                <w:color w:val="auto"/>
                <w:vertAlign w:val="superscript"/>
              </w:rPr>
              <w:t>(i)</w:t>
            </w:r>
          </w:p>
        </w:tc>
        <w:tc>
          <w:tcPr>
            <w:tcW w:w="20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70"/>
        </w:trPr>
        <w:tc>
          <w:tcPr>
            <w:tcW w:w="79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Tax effect of total adjustments </w:t>
            </w:r>
            <w:r>
              <w:rPr>
                <w:rFonts w:ascii="Arial" w:cs="Arial" w:eastAsia="Arial" w:hAnsi="Arial"/>
                <w:sz w:val="25"/>
                <w:szCs w:val="25"/>
                <w:color w:val="auto"/>
                <w:vertAlign w:val="superscript"/>
              </w:rPr>
              <w:t>(j)</w:t>
            </w:r>
          </w:p>
        </w:tc>
        <w:tc>
          <w:tcPr>
            <w:tcW w:w="2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r>
      <w:tr>
        <w:trPr>
          <w:trHeight w:val="257"/>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Adjusted Diluted EPS</w:t>
            </w:r>
          </w:p>
        </w:tc>
        <w:tc>
          <w:tcPr>
            <w:tcW w:w="20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0.34</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311"/>
        </w:trPr>
        <w:tc>
          <w:tcPr>
            <w:tcW w:w="7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diluted shares outstanding</w:t>
            </w: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81,466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77,837</w:t>
            </w:r>
          </w:p>
        </w:tc>
      </w:tr>
      <w:tr>
        <w:trPr>
          <w:trHeight w:val="27"/>
        </w:trPr>
        <w:tc>
          <w:tcPr>
            <w:tcW w:w="79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60" w:type="dxa"/>
            <w:vAlign w:val="bottom"/>
          </w:tcPr>
          <w:p>
            <w:pPr>
              <w:ind w:left="120"/>
              <w:spacing w:after="0"/>
              <w:rPr>
                <w:sz w:val="20"/>
                <w:szCs w:val="20"/>
                <w:color w:val="auto"/>
              </w:rPr>
            </w:pPr>
            <w:r>
              <w:rPr>
                <w:rFonts w:ascii="Arial" w:cs="Arial" w:eastAsia="Arial" w:hAnsi="Arial"/>
                <w:sz w:val="14"/>
                <w:szCs w:val="14"/>
                <w:color w:val="auto"/>
              </w:rPr>
              <w:t>Note: Some of the totals in the table above do not foot due to rounding differences</w:t>
            </w: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0"/>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Reconciliation of SG&amp;A to Adjusted SG&amp;A and Adjusted SG&amp;A Percent of Net Revenue</w:t>
            </w: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920" w:type="dxa"/>
            <w:vAlign w:val="bottom"/>
            <w:gridSpan w:val="3"/>
          </w:tcPr>
          <w:p>
            <w:pPr>
              <w:jc w:val="right"/>
              <w:ind w:right="210"/>
              <w:spacing w:after="0"/>
              <w:rPr>
                <w:sz w:val="20"/>
                <w:szCs w:val="20"/>
                <w:color w:val="auto"/>
              </w:rPr>
            </w:pPr>
            <w:r>
              <w:rPr>
                <w:rFonts w:ascii="Arial" w:cs="Arial" w:eastAsia="Arial" w:hAnsi="Arial"/>
                <w:sz w:val="18"/>
                <w:szCs w:val="18"/>
                <w:color w:val="auto"/>
                <w:w w:val="95"/>
              </w:rPr>
              <w:t>Three Months Ended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940" w:type="dxa"/>
            <w:vAlign w:val="bottom"/>
            <w:gridSpan w:val="3"/>
          </w:tcPr>
          <w:p>
            <w:pPr>
              <w:ind w:left="360"/>
              <w:spacing w:after="0"/>
              <w:rPr>
                <w:sz w:val="20"/>
                <w:szCs w:val="20"/>
                <w:color w:val="auto"/>
              </w:rPr>
            </w:pPr>
            <w:r>
              <w:rPr>
                <w:rFonts w:ascii="Arial" w:cs="Arial" w:eastAsia="Arial" w:hAnsi="Arial"/>
                <w:sz w:val="18"/>
                <w:szCs w:val="18"/>
                <w:color w:val="auto"/>
              </w:rPr>
              <w:t>March 30, 2019</w:t>
            </w:r>
          </w:p>
        </w:tc>
        <w:tc>
          <w:tcPr>
            <w:tcW w:w="1820" w:type="dxa"/>
            <w:vAlign w:val="bottom"/>
            <w:gridSpan w:val="2"/>
          </w:tcPr>
          <w:p>
            <w:pPr>
              <w:ind w:left="340"/>
              <w:spacing w:after="0"/>
              <w:rPr>
                <w:sz w:val="20"/>
                <w:szCs w:val="20"/>
                <w:color w:val="auto"/>
              </w:rPr>
            </w:pPr>
            <w:r>
              <w:rPr>
                <w:rFonts w:ascii="Arial" w:cs="Arial" w:eastAsia="Arial" w:hAnsi="Arial"/>
                <w:sz w:val="18"/>
                <w:szCs w:val="18"/>
                <w:color w:val="auto"/>
              </w:rPr>
              <w:t>March 31, 2018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SG&amp;A</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193,876</w:t>
            </w: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42.0%</w:t>
            </w:r>
          </w:p>
        </w:tc>
        <w:tc>
          <w:tcPr>
            <w:tcW w:w="1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170,689</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41.8%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5"/>
                <w:szCs w:val="25"/>
                <w:color w:val="auto"/>
                <w:vertAlign w:val="superscript"/>
              </w:rPr>
              <w:t>(a)</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2,976</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0.6%</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1,596</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0.4%</w:t>
            </w:r>
          </w:p>
        </w:tc>
        <w:tc>
          <w:tcPr>
            <w:tcW w:w="0" w:type="dxa"/>
            <w:vAlign w:val="bottom"/>
          </w:tcPr>
          <w:p>
            <w:pPr>
              <w:spacing w:after="0"/>
              <w:rPr>
                <w:sz w:val="1"/>
                <w:szCs w:val="1"/>
                <w:color w:val="auto"/>
              </w:rPr>
            </w:pPr>
          </w:p>
        </w:tc>
      </w:tr>
      <w:tr>
        <w:trPr>
          <w:trHeight w:val="270"/>
        </w:trPr>
        <w:tc>
          <w:tcPr>
            <w:tcW w:w="76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New store pre-opening expenses </w:t>
            </w:r>
            <w:r>
              <w:rPr>
                <w:rFonts w:ascii="Arial" w:cs="Arial" w:eastAsia="Arial" w:hAnsi="Arial"/>
                <w:sz w:val="25"/>
                <w:szCs w:val="25"/>
                <w:color w:val="auto"/>
                <w:vertAlign w:val="superscript"/>
              </w:rPr>
              <w:t>(c)</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885</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0.2%</w:t>
            </w:r>
          </w:p>
        </w:tc>
        <w:tc>
          <w:tcPr>
            <w:tcW w:w="1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474</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0.1%</w:t>
            </w:r>
          </w:p>
        </w:tc>
        <w:tc>
          <w:tcPr>
            <w:tcW w:w="0" w:type="dxa"/>
            <w:vAlign w:val="bottom"/>
          </w:tcPr>
          <w:p>
            <w:pPr>
              <w:spacing w:after="0"/>
              <w:rPr>
                <w:sz w:val="1"/>
                <w:szCs w:val="1"/>
                <w:color w:val="auto"/>
              </w:rPr>
            </w:pPr>
          </w:p>
        </w:tc>
      </w:tr>
      <w:tr>
        <w:trPr>
          <w:trHeight w:val="270"/>
        </w:trPr>
        <w:tc>
          <w:tcPr>
            <w:tcW w:w="76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Non-cash rent </w:t>
            </w:r>
            <w:r>
              <w:rPr>
                <w:rFonts w:ascii="Arial" w:cs="Arial" w:eastAsia="Arial" w:hAnsi="Arial"/>
                <w:sz w:val="25"/>
                <w:szCs w:val="25"/>
                <w:color w:val="auto"/>
                <w:vertAlign w:val="superscript"/>
              </w:rPr>
              <w:t>(d)</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1,198</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0.3%</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528</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0" w:type="dxa"/>
            <w:vAlign w:val="bottom"/>
          </w:tcPr>
          <w:p>
            <w:pPr>
              <w:spacing w:after="0"/>
              <w:rPr>
                <w:sz w:val="1"/>
                <w:szCs w:val="1"/>
                <w:color w:val="auto"/>
              </w:rPr>
            </w:pPr>
          </w:p>
        </w:tc>
      </w:tr>
      <w:tr>
        <w:trPr>
          <w:trHeight w:val="270"/>
        </w:trPr>
        <w:tc>
          <w:tcPr>
            <w:tcW w:w="76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Secondary offering expenses </w:t>
            </w:r>
            <w:r>
              <w:rPr>
                <w:rFonts w:ascii="Arial" w:cs="Arial" w:eastAsia="Arial" w:hAnsi="Arial"/>
                <w:sz w:val="25"/>
                <w:szCs w:val="25"/>
                <w:color w:val="auto"/>
                <w:vertAlign w:val="superscript"/>
              </w:rPr>
              <w:t>(e)</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963</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0.2%</w:t>
            </w:r>
          </w:p>
        </w:tc>
        <w:tc>
          <w:tcPr>
            <w:tcW w:w="0" w:type="dxa"/>
            <w:vAlign w:val="bottom"/>
          </w:tcPr>
          <w:p>
            <w:pPr>
              <w:spacing w:after="0"/>
              <w:rPr>
                <w:sz w:val="1"/>
                <w:szCs w:val="1"/>
                <w:color w:val="auto"/>
              </w:rPr>
            </w:pPr>
          </w:p>
        </w:tc>
      </w:tr>
      <w:tr>
        <w:trPr>
          <w:trHeight w:val="270"/>
        </w:trPr>
        <w:tc>
          <w:tcPr>
            <w:tcW w:w="76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Management realignment expenses </w:t>
            </w:r>
            <w:r>
              <w:rPr>
                <w:rFonts w:ascii="Arial" w:cs="Arial" w:eastAsia="Arial" w:hAnsi="Arial"/>
                <w:sz w:val="25"/>
                <w:szCs w:val="25"/>
                <w:color w:val="auto"/>
                <w:vertAlign w:val="superscript"/>
              </w:rPr>
              <w:t>(f)</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2,155</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0.5%</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70"/>
        </w:trPr>
        <w:tc>
          <w:tcPr>
            <w:tcW w:w="76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(k)</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631</w:t>
            </w:r>
          </w:p>
        </w:tc>
        <w:tc>
          <w:tcPr>
            <w:tcW w:w="7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0.1%</w:t>
            </w:r>
          </w:p>
        </w:tc>
        <w:tc>
          <w:tcPr>
            <w:tcW w:w="12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267</w:t>
            </w:r>
          </w:p>
        </w:tc>
        <w:tc>
          <w:tcPr>
            <w:tcW w:w="8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0.1%</w:t>
            </w: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Adjusted SG&amp;A/ Adjusted SG&amp;A Percent of Net Revenue</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   186,031</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40.3%</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   166,861</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40.9%</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200"/>
              <w:spacing w:after="0"/>
              <w:rPr>
                <w:sz w:val="20"/>
                <w:szCs w:val="20"/>
                <w:color w:val="auto"/>
              </w:rPr>
            </w:pPr>
            <w:r>
              <w:rPr>
                <w:rFonts w:ascii="Arial" w:cs="Arial" w:eastAsia="Arial" w:hAnsi="Arial"/>
                <w:sz w:val="14"/>
                <w:szCs w:val="14"/>
                <w:color w:val="auto"/>
              </w:rPr>
              <w:t>Note: Percentages reflect line item as a percentage of net revenue</w:t>
            </w:r>
          </w:p>
        </w:tc>
        <w:tc>
          <w:tcPr>
            <w:tcW w:w="10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66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Non-cash charges related to stock-based compensation programs, which vary from period to period depending on the timing of awards and performance vesting conditions.</w:t>
      </w:r>
    </w:p>
    <w:p>
      <w:pPr>
        <w:spacing w:after="0" w:line="13" w:lineRule="exact"/>
        <w:rPr>
          <w:rFonts w:ascii="Arial" w:cs="Arial" w:eastAsia="Arial" w:hAnsi="Arial"/>
          <w:sz w:val="14"/>
          <w:szCs w:val="14"/>
          <w:color w:val="auto"/>
        </w:rPr>
      </w:pPr>
    </w:p>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Reflects write-off of property and equipment for the three months ended March 30, 2019.</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Pre-opening expenses, which include marketing and advertising, labor and occupancy expenses incurred prior to opening a new store, are generally higher than comparable expenses incurred once such store is open and generating revenue. We believe that such higher pre-opening expenses are specific in nature and are not indicative of ongoing core operating performance. We adjust for these costs to facilitate comparisons of store operating performance from period to period.</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7"/>
        </w:numPr>
        <w:rPr>
          <w:rFonts w:ascii="Arial" w:cs="Arial" w:eastAsia="Arial" w:hAnsi="Arial"/>
          <w:sz w:val="13"/>
          <w:szCs w:val="13"/>
          <w:color w:val="auto"/>
        </w:rPr>
      </w:pPr>
      <w:r>
        <w:rPr>
          <w:rFonts w:ascii="Arial" w:cs="Arial" w:eastAsia="Arial" w:hAnsi="Arial"/>
          <w:sz w:val="13"/>
          <w:szCs w:val="13"/>
          <w:color w:val="auto"/>
        </w:rPr>
        <w:t>Consists of the non-cash portion of rent expense, which reflects the extent to which our straight-line rent expense recognized under GAAP exceeds or is less than our cash rent payments.</w:t>
      </w:r>
    </w:p>
    <w:p>
      <w:pPr>
        <w:spacing w:after="0" w:line="12" w:lineRule="exact"/>
        <w:rPr>
          <w:rFonts w:ascii="Arial" w:cs="Arial" w:eastAsia="Arial" w:hAnsi="Arial"/>
          <w:sz w:val="13"/>
          <w:szCs w:val="13"/>
          <w:color w:val="auto"/>
        </w:rPr>
      </w:pPr>
    </w:p>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Expenses related to our secondary public offerings for the three months ended March 31, 2018.</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Expenses related to a non-recurring realignment of management described on the Form 8-K filed with the SEC on January 10, 2019.</w:t>
      </w:r>
    </w:p>
    <w:p>
      <w:pPr>
        <w:spacing w:after="0" w:line="1" w:lineRule="exact"/>
        <w:rPr>
          <w:rFonts w:ascii="Arial" w:cs="Arial" w:eastAsia="Arial" w:hAnsi="Arial"/>
          <w:sz w:val="14"/>
          <w:szCs w:val="14"/>
          <w:color w:val="auto"/>
        </w:rPr>
      </w:pPr>
    </w:p>
    <w:p>
      <w:pPr>
        <w:jc w:val="both"/>
        <w:ind w:left="660" w:hanging="328"/>
        <w:spacing w:after="0" w:line="243"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Other adjustments include amounts that management believes are not representative of our operating performance(amounts in brackets represent reductions in Adjusted EBITDA and Adjusted Net Income), including our share of losses on equity method investments of $0.6 million and $0.2 million for the three months ended March 30, 2019 and March 31, 2018, respectively; the amortization impact of the KKR Acquisition-related adjustments (e.g., fair value of leasehold interests) of $0.1 million and $17 thousand for the three months ended March 30, 2019 and March 31, 2018, respectively; differences between the timing of expense versus cash payments related to contributions to charitable organizations of $(0.3) million for the three months ended March 31, 2018; costs of severance and relocation of $0.2 million for the three months ended March 30, 2019 and March 31, 2018; excess payroll taxes related to stock option exercises of $23 thousand and $0.3 million for the three months ended March 30, 2019 and March 31, 2018, respectively; and other expenses and adjustments totaling $0.3 million and $0.1 million for the three months ended March 30, 2019 and March 31, 2018, respectively.</w:t>
      </w:r>
    </w:p>
    <w:p>
      <w:pPr>
        <w:sectPr>
          <w:pgSz w:w="11900" w:h="16838" w:orient="portrait"/>
          <w:cols w:equalWidth="0" w:num="1">
            <w:col w:w="11420"/>
          </w:cols>
          <w:pgMar w:left="240" w:top="742" w:right="239" w:bottom="1440" w:gutter="0" w:footer="0" w:header="0"/>
        </w:sectPr>
      </w:pPr>
    </w:p>
    <w:bookmarkStart w:id="13" w:name="page14"/>
    <w:bookmarkEnd w:id="13"/>
    <w:p>
      <w:pPr>
        <w:jc w:val="both"/>
        <w:ind w:left="660" w:hanging="328"/>
        <w:spacing w:after="0" w:line="264" w:lineRule="auto"/>
        <w:tabs>
          <w:tab w:leader="none" w:pos="660" w:val="left"/>
        </w:tabs>
        <w:numPr>
          <w:ilvl w:val="0"/>
          <w:numId w:val="8"/>
        </w:numPr>
        <w:rPr>
          <w:rFonts w:ascii="Arial" w:cs="Arial" w:eastAsia="Arial" w:hAnsi="Arial"/>
          <w:sz w:val="13"/>
          <w:szCs w:val="13"/>
          <w:color w:val="auto"/>
        </w:rPr>
      </w:pPr>
      <w:r>
        <w:rPr>
          <w:rFonts w:ascii="Arial" w:cs="Arial" w:eastAsia="Arial" w:hAnsi="Arial"/>
          <w:sz w:val="13"/>
          <w:szCs w:val="13"/>
          <w:color w:val="auto"/>
        </w:rPr>
        <w:t>Amortization of the increase in carrying values of definite-lived intangible assets resulting from the application of purchase accounting to the KKR Acquisition of $1.9 million for each of the three months ended March 30, 2019 and March 31, 2018. Amortization of deferred financing costs is primarily associated with the March 2014 term loan borrowings in connection with the KKR Acquisition and, to a lesser extent, amortization of debt discounts associated with the May 2015 and February 2017 incremental First Lien - Term Loan B and the November 2017 First Lien - Term Loan B refinancing, aggregating to $0.4 million for the three months ended March 30, 2019 and March 31, 2018.</w:t>
      </w:r>
    </w:p>
    <w:p>
      <w:pPr>
        <w:spacing w:after="0" w:line="2" w:lineRule="exact"/>
        <w:rPr>
          <w:rFonts w:ascii="Arial" w:cs="Arial" w:eastAsia="Arial" w:hAnsi="Arial"/>
          <w:sz w:val="13"/>
          <w:szCs w:val="13"/>
          <w:color w:val="auto"/>
        </w:rPr>
      </w:pPr>
    </w:p>
    <w:p>
      <w:pPr>
        <w:ind w:left="660" w:hanging="328"/>
        <w:spacing w:after="0" w:line="241"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Tax benefit associated with accounting guidance adopted at the beginning of fiscal year 2017 (Accounting Standards Update 2016-09, </w:t>
      </w:r>
      <w:r>
        <w:rPr>
          <w:rFonts w:ascii="Arial" w:cs="Arial" w:eastAsia="Arial" w:hAnsi="Arial"/>
          <w:sz w:val="14"/>
          <w:szCs w:val="14"/>
          <w:i w:val="1"/>
          <w:iCs w:val="1"/>
          <w:color w:val="auto"/>
        </w:rPr>
        <w:t>Compensation - Stock Compensation</w:t>
      </w:r>
      <w:r>
        <w:rPr>
          <w:rFonts w:ascii="Arial" w:cs="Arial" w:eastAsia="Arial" w:hAnsi="Arial"/>
          <w:sz w:val="14"/>
          <w:szCs w:val="14"/>
          <w:color w:val="auto"/>
        </w:rPr>
        <w:t>), requiring excess tax benefits to be recorded in earnings as discrete items in the reporting period in which they occur.</w:t>
      </w:r>
    </w:p>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the income tax effect of the total adjustments at our combined statutory federal and state income tax rates.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Reflects other expenses in (g) above, except for our share of losses on equity method investments, which are non-SG&amp;A expenses.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180" w:type="dxa"/>
            <w:vAlign w:val="bottom"/>
            <w:gridSpan w:val="5"/>
          </w:tcPr>
          <w:p>
            <w:pPr>
              <w:ind w:left="1840"/>
              <w:spacing w:after="0"/>
              <w:rPr>
                <w:sz w:val="20"/>
                <w:szCs w:val="20"/>
                <w:color w:val="auto"/>
              </w:rPr>
            </w:pPr>
            <w:r>
              <w:rPr>
                <w:rFonts w:ascii="Arial" w:cs="Arial" w:eastAsia="Arial" w:hAnsi="Arial"/>
                <w:sz w:val="18"/>
                <w:szCs w:val="18"/>
                <w:b w:val="1"/>
                <w:bCs w:val="1"/>
                <w:color w:val="auto"/>
                <w:w w:val="97"/>
              </w:rPr>
              <w:t>Reconciliation of Adjusted Comparable Store Sales Growth to Total Comparable Store Sales Growth</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280" w:type="dxa"/>
            <w:vAlign w:val="bottom"/>
          </w:tcPr>
          <w:p>
            <w:pPr>
              <w:spacing w:after="0"/>
              <w:rPr>
                <w:sz w:val="24"/>
                <w:szCs w:val="24"/>
                <w:color w:val="auto"/>
              </w:rPr>
            </w:pPr>
          </w:p>
        </w:tc>
        <w:tc>
          <w:tcPr>
            <w:tcW w:w="4140" w:type="dxa"/>
            <w:vAlign w:val="bottom"/>
            <w:tcBorders>
              <w:bottom w:val="single" w:sz="8" w:color="auto"/>
            </w:tcBorders>
            <w:gridSpan w:val="5"/>
          </w:tcPr>
          <w:p>
            <w:pPr>
              <w:ind w:left="880"/>
              <w:spacing w:after="0"/>
              <w:rPr>
                <w:sz w:val="20"/>
                <w:szCs w:val="20"/>
                <w:color w:val="auto"/>
              </w:rPr>
            </w:pPr>
            <w:r>
              <w:rPr>
                <w:rFonts w:ascii="Arial" w:cs="Arial" w:eastAsia="Arial" w:hAnsi="Arial"/>
                <w:sz w:val="18"/>
                <w:szCs w:val="18"/>
                <w:color w:val="auto"/>
              </w:rPr>
              <w:t xml:space="preserve">Comparable store sales growth </w:t>
            </w:r>
            <w:r>
              <w:rPr>
                <w:rFonts w:ascii="Arial" w:cs="Arial" w:eastAsia="Arial" w:hAnsi="Arial"/>
                <w:sz w:val="25"/>
                <w:szCs w:val="25"/>
                <w:color w:val="auto"/>
                <w:vertAlign w:val="superscript"/>
              </w:rPr>
              <w:t>(a)</w:t>
            </w:r>
          </w:p>
        </w:tc>
        <w:tc>
          <w:tcPr>
            <w:tcW w:w="0" w:type="dxa"/>
            <w:vAlign w:val="bottom"/>
          </w:tcPr>
          <w:p>
            <w:pPr>
              <w:spacing w:after="0"/>
              <w:rPr>
                <w:sz w:val="1"/>
                <w:szCs w:val="1"/>
                <w:color w:val="auto"/>
              </w:rPr>
            </w:pPr>
          </w:p>
        </w:tc>
      </w:tr>
      <w:tr>
        <w:trPr>
          <w:trHeight w:val="222"/>
        </w:trPr>
        <w:tc>
          <w:tcPr>
            <w:tcW w:w="7280" w:type="dxa"/>
            <w:vAlign w:val="bottom"/>
          </w:tcPr>
          <w:p>
            <w:pPr>
              <w:spacing w:after="0"/>
              <w:rPr>
                <w:sz w:val="19"/>
                <w:szCs w:val="19"/>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Three Months</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Three Months</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Ended</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Ended</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March 30, 2019</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March 31, 2018</w:t>
            </w:r>
          </w:p>
        </w:tc>
        <w:tc>
          <w:tcPr>
            <w:tcW w:w="1240" w:type="dxa"/>
            <w:vAlign w:val="bottom"/>
          </w:tcPr>
          <w:p>
            <w:pPr>
              <w:ind w:left="120"/>
              <w:spacing w:after="0"/>
              <w:rPr>
                <w:sz w:val="20"/>
                <w:szCs w:val="20"/>
                <w:color w:val="auto"/>
              </w:rPr>
            </w:pPr>
            <w:r>
              <w:rPr>
                <w:rFonts w:ascii="Arial" w:cs="Arial" w:eastAsia="Arial" w:hAnsi="Arial"/>
                <w:sz w:val="18"/>
                <w:szCs w:val="18"/>
                <w:color w:val="auto"/>
              </w:rPr>
              <w:t>2019 Outlook</w:t>
            </w:r>
          </w:p>
        </w:tc>
        <w:tc>
          <w:tcPr>
            <w:tcW w:w="0" w:type="dxa"/>
            <w:vAlign w:val="bottom"/>
          </w:tcPr>
          <w:p>
            <w:pPr>
              <w:spacing w:after="0"/>
              <w:rPr>
                <w:sz w:val="1"/>
                <w:szCs w:val="1"/>
                <w:color w:val="auto"/>
              </w:rPr>
            </w:pPr>
          </w:p>
        </w:tc>
      </w:tr>
      <w:tr>
        <w:trPr>
          <w:trHeight w:val="27"/>
        </w:trPr>
        <w:tc>
          <w:tcPr>
            <w:tcW w:w="7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Owned &amp; Host segment</w:t>
            </w: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80" w:type="dxa"/>
            <w:vAlign w:val="bottom"/>
            <w:vMerge w:val="continue"/>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Best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Eyeglass World</w:t>
            </w:r>
          </w:p>
        </w:tc>
        <w:tc>
          <w:tcPr>
            <w:tcW w:w="1360" w:type="dxa"/>
            <w:vAlign w:val="bottom"/>
          </w:tcPr>
          <w:p>
            <w:pPr>
              <w:jc w:val="right"/>
              <w:spacing w:after="0"/>
              <w:rPr>
                <w:sz w:val="20"/>
                <w:szCs w:val="20"/>
                <w:color w:val="auto"/>
              </w:rPr>
            </w:pPr>
            <w:r>
              <w:rPr>
                <w:rFonts w:ascii="Arial" w:cs="Arial" w:eastAsia="Arial" w:hAnsi="Arial"/>
                <w:sz w:val="18"/>
                <w:szCs w:val="18"/>
                <w:color w:val="auto"/>
              </w:rPr>
              <w:t>6.5 %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Military</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Fred Meyer</w:t>
            </w:r>
          </w:p>
        </w:tc>
        <w:tc>
          <w:tcPr>
            <w:tcW w:w="136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Legacy segment</w:t>
            </w:r>
            <w:r>
              <w:rPr>
                <w:rFonts w:ascii="Arial" w:cs="Arial" w:eastAsia="Arial" w:hAnsi="Arial"/>
                <w:sz w:val="25"/>
                <w:szCs w:val="25"/>
                <w:b w:val="1"/>
                <w:bCs w:val="1"/>
                <w:color w:val="auto"/>
                <w:vertAlign w:val="superscript"/>
              </w:rPr>
              <w:t>(b)</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7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comparable store sales growth</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3.5 - 5.5%</w:t>
            </w:r>
          </w:p>
        </w:tc>
        <w:tc>
          <w:tcPr>
            <w:tcW w:w="0" w:type="dxa"/>
            <w:vAlign w:val="bottom"/>
          </w:tcPr>
          <w:p>
            <w:pPr>
              <w:spacing w:after="0"/>
              <w:rPr>
                <w:sz w:val="1"/>
                <w:szCs w:val="1"/>
                <w:color w:val="auto"/>
              </w:rPr>
            </w:pPr>
          </w:p>
        </w:tc>
      </w:tr>
      <w:tr>
        <w:trPr>
          <w:trHeight w:val="341"/>
        </w:trPr>
        <w:tc>
          <w:tcPr>
            <w:tcW w:w="7280" w:type="dxa"/>
            <w:vAlign w:val="bottom"/>
          </w:tcPr>
          <w:p>
            <w:pPr>
              <w:ind w:left="40"/>
              <w:spacing w:after="0"/>
              <w:rPr>
                <w:sz w:val="20"/>
                <w:szCs w:val="20"/>
                <w:color w:val="auto"/>
              </w:rPr>
            </w:pPr>
            <w:r>
              <w:rPr>
                <w:rFonts w:ascii="Arial" w:cs="Arial" w:eastAsia="Arial" w:hAnsi="Arial"/>
                <w:sz w:val="18"/>
                <w:szCs w:val="18"/>
                <w:color w:val="auto"/>
              </w:rPr>
              <w:t>Adjusted comparable store sales growth</w:t>
            </w:r>
            <w:r>
              <w:rPr>
                <w:rFonts w:ascii="Arial" w:cs="Arial" w:eastAsia="Arial" w:hAnsi="Arial"/>
                <w:sz w:val="25"/>
                <w:szCs w:val="25"/>
                <w:color w:val="auto"/>
                <w:vertAlign w:val="superscript"/>
              </w:rPr>
              <w:t>(c)</w:t>
            </w:r>
          </w:p>
        </w:tc>
        <w:tc>
          <w:tcPr>
            <w:tcW w:w="1360" w:type="dxa"/>
            <w:vAlign w:val="bottom"/>
          </w:tcPr>
          <w:p>
            <w:pPr>
              <w:jc w:val="right"/>
              <w:spacing w:after="0"/>
              <w:rPr>
                <w:sz w:val="20"/>
                <w:szCs w:val="20"/>
                <w:color w:val="auto"/>
              </w:rPr>
            </w:pPr>
            <w:r>
              <w:rPr>
                <w:rFonts w:ascii="Arial" w:cs="Arial" w:eastAsia="Arial" w:hAnsi="Arial"/>
                <w:sz w:val="18"/>
                <w:szCs w:val="18"/>
                <w:color w:val="auto"/>
              </w:rPr>
              <w:t>6.7 %</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3 - 5%</w:t>
            </w:r>
          </w:p>
        </w:tc>
        <w:tc>
          <w:tcPr>
            <w:tcW w:w="0" w:type="dxa"/>
            <w:vAlign w:val="bottom"/>
          </w:tcPr>
          <w:p>
            <w:pPr>
              <w:spacing w:after="0"/>
              <w:rPr>
                <w:sz w:val="1"/>
                <w:szCs w:val="1"/>
                <w:color w:val="auto"/>
              </w:rPr>
            </w:pPr>
          </w:p>
        </w:tc>
      </w:tr>
    </w:tbl>
    <w:p>
      <w:pPr>
        <w:spacing w:after="0" w:line="18" w:lineRule="exact"/>
        <w:rPr>
          <w:sz w:val="20"/>
          <w:szCs w:val="20"/>
          <w:color w:val="auto"/>
        </w:rPr>
      </w:pPr>
    </w:p>
    <w:p>
      <w:pPr>
        <w:jc w:val="both"/>
        <w:ind w:left="660" w:hanging="328"/>
        <w:spacing w:after="0" w:line="245"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calculate total comparable store sales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9. “Segment Reporting” in our unaudited condensed consolidated financial statements included in Part 1. Item 1. in our Quarterly Report on Form 10-Q, with the exception of the legacy segment, which is adjusted as noted in clause (c) (ii) below.</w:t>
      </w:r>
    </w:p>
    <w:p>
      <w:pPr>
        <w:jc w:val="both"/>
        <w:ind w:left="660" w:hanging="328"/>
        <w:spacing w:after="0" w:line="241"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As a result of changes in applicable California law, certain optometrists employed by FirstSight Vision Services Inc. (“FirstSight”) were transferred to a professional corporation that contracts directly with our legacy segment in the fourth quarter of 2018, similar to optometrist transfers that occurred in the third quarter of 2017. Incremental eye exam revenue as a result of these changes in operations at FirstSight drove a favorable impact to comparable store sales growth in the Legacy segment of approximately 185 basis points and 205 basis points for the three months ended March 30, 2019 and March 30, 2018, respectively.</w:t>
      </w:r>
    </w:p>
    <w:p>
      <w:pPr>
        <w:spacing w:after="0" w:line="1" w:lineRule="exact"/>
        <w:rPr>
          <w:rFonts w:ascii="Arial" w:cs="Arial" w:eastAsia="Arial" w:hAnsi="Arial"/>
          <w:sz w:val="14"/>
          <w:szCs w:val="14"/>
          <w:color w:val="auto"/>
        </w:rPr>
      </w:pPr>
    </w:p>
    <w:p>
      <w:pPr>
        <w:jc w:val="both"/>
        <w:ind w:left="660" w:hanging="328"/>
        <w:spacing w:after="0" w:line="268" w:lineRule="auto"/>
        <w:tabs>
          <w:tab w:leader="none" w:pos="66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 decrease of 0.8% and 0.1% from total comparable store sales growth based consolidated net revenue for the three months ended March 30, 2019 and March 31, 2018, respectively, and (ii) adjusted comparable store sales growth includes retail sales to the Legacy partner’s customers (rather than the revenues recognized consistent with the management &amp; services agreement), resulting in an increase of 0.3% and 0.1% from total comparable store sales growth based on consolidated net revenue for the three months ended March 30, 2019 and March 31, 2018, respectively.</w:t>
      </w:r>
    </w:p>
    <w:p>
      <w:pPr>
        <w:sectPr>
          <w:pgSz w:w="11900" w:h="16838" w:orient="portrait"/>
          <w:cols w:equalWidth="0" w:num="1">
            <w:col w:w="11420"/>
          </w:cols>
          <w:pgMar w:left="240" w:top="58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Investors: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David Mann, CFA, Vice President of Investor Relations</w:t>
      </w:r>
    </w:p>
    <w:p>
      <w:pPr>
        <w:spacing w:after="0" w:line="32" w:lineRule="exact"/>
        <w:rPr>
          <w:sz w:val="20"/>
          <w:szCs w:val="20"/>
          <w:color w:val="auto"/>
        </w:rPr>
      </w:pPr>
    </w:p>
    <w:p>
      <w:pPr>
        <w:ind w:right="7439" w:firstLine="8"/>
        <w:spacing w:after="0" w:line="323" w:lineRule="auto"/>
        <w:tabs>
          <w:tab w:leader="none" w:pos="435" w:val="left"/>
        </w:tabs>
        <w:numPr>
          <w:ilvl w:val="0"/>
          <w:numId w:val="10"/>
        </w:numPr>
        <w:rPr>
          <w:rFonts w:ascii="Arial" w:cs="Arial" w:eastAsia="Arial" w:hAnsi="Arial"/>
          <w:sz w:val="16"/>
          <w:szCs w:val="16"/>
          <w:color w:val="auto"/>
        </w:rPr>
      </w:pPr>
      <w:r>
        <w:rPr>
          <w:rFonts w:ascii="Arial" w:cs="Arial" w:eastAsia="Arial" w:hAnsi="Arial"/>
          <w:sz w:val="16"/>
          <w:szCs w:val="16"/>
          <w:color w:val="auto"/>
        </w:rPr>
        <w:t>448-2448 investor.relations@nationalvision.com</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Kristina Gross, Director of Communications</w:t>
      </w:r>
    </w:p>
    <w:p>
      <w:pPr>
        <w:spacing w:after="0" w:line="9" w:lineRule="exact"/>
        <w:rPr>
          <w:sz w:val="20"/>
          <w:szCs w:val="20"/>
          <w:color w:val="auto"/>
        </w:rPr>
      </w:pPr>
    </w:p>
    <w:p>
      <w:pPr>
        <w:ind w:right="8239" w:firstLine="8"/>
        <w:spacing w:after="0" w:line="323" w:lineRule="auto"/>
        <w:tabs>
          <w:tab w:leader="none" w:pos="435" w:val="left"/>
        </w:tabs>
        <w:numPr>
          <w:ilvl w:val="0"/>
          <w:numId w:val="11"/>
        </w:numPr>
        <w:rPr>
          <w:rFonts w:ascii="Arial" w:cs="Arial" w:eastAsia="Arial" w:hAnsi="Arial"/>
          <w:sz w:val="16"/>
          <w:szCs w:val="16"/>
          <w:color w:val="auto"/>
        </w:rPr>
      </w:pPr>
      <w:r>
        <w:rPr>
          <w:rFonts w:ascii="Arial" w:cs="Arial" w:eastAsia="Arial" w:hAnsi="Arial"/>
          <w:sz w:val="16"/>
          <w:szCs w:val="16"/>
          <w:color w:val="auto"/>
        </w:rPr>
        <w:t>448-2355 media@nationalvision.com</w:t>
      </w:r>
    </w:p>
    <w:sectPr>
      <w:pgSz w:w="11900" w:h="16838" w:orient="portrait"/>
      <w:cols w:equalWidth="0" w:num="1">
        <w:col w:w="10219"/>
      </w:cols>
      <w:pgMar w:left="240" w:top="10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8"/>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decimal"/>
      <w:start w:val="470"/>
    </w:lvl>
  </w:abstractNum>
  <w:abstractNum w:abstractNumId="10">
    <w:nsid w:val="1F16E9E8"/>
    <w:multiLevelType w:val="hybridMultilevel"/>
    <w:lvl w:ilvl="0">
      <w:lvlJc w:val="left"/>
      <w:lvlText w:val="(%1)"/>
      <w:numFmt w:val="decimal"/>
      <w:start w:val="47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2019-12-28T12:40:37Z</dcterms:created>
  <dcterms:modified xsi:type="dcterms:W3CDTF">2019-12-28T12:40:37Z</dcterms:modified>
</cp:coreProperties>
</file>