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27, 2024</w:t>
      </w:r>
    </w:p>
    <w:p>
      <w:pPr>
        <w:spacing w:after="0" w:line="27" w:lineRule="exact"/>
        <w:rPr>
          <w:sz w:val="24"/>
          <w:szCs w:val="24"/>
          <w:color w:val="auto"/>
        </w:rPr>
      </w:pPr>
    </w:p>
    <w:p>
      <w:pPr>
        <w:ind w:left="9640"/>
        <w:spacing w:after="0"/>
        <w:rPr>
          <w:sz w:val="20"/>
          <w:szCs w:val="20"/>
          <w:color w:val="auto"/>
        </w:rPr>
      </w:pPr>
      <w:r>
        <w:rPr>
          <w:rFonts w:ascii="Times New Roman" w:cs="Times New Roman" w:eastAsia="Times New Roman" w:hAnsi="Times New Roman"/>
          <w:sz w:val="18"/>
          <w:szCs w:val="18"/>
          <w:b w:val="1"/>
          <w:bCs w:val="1"/>
          <w:color w:val="auto"/>
        </w:rPr>
        <w:t>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S-8</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120" w:type="dxa"/>
        <w:tblCellMar>
          <w:top w:w="0" w:type="dxa"/>
          <w:left w:w="0" w:type="dxa"/>
          <w:bottom w:w="0" w:type="dxa"/>
          <w:right w:w="0" w:type="dxa"/>
        </w:tblCellMar>
      </w:tblPr>
      <w:tr>
        <w:trPr>
          <w:trHeight w:val="220"/>
        </w:trPr>
        <w:tc>
          <w:tcPr>
            <w:tcW w:w="468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46-4841717</w:t>
            </w:r>
          </w:p>
        </w:tc>
      </w:tr>
      <w:tr>
        <w:trPr>
          <w:trHeight w:val="216"/>
        </w:trPr>
        <w:tc>
          <w:tcPr>
            <w:tcW w:w="468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00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68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organization)</w:t>
            </w:r>
          </w:p>
        </w:tc>
        <w:tc>
          <w:tcPr>
            <w:tcW w:w="4000" w:type="dxa"/>
            <w:vAlign w:val="bottom"/>
          </w:tcPr>
          <w:p>
            <w:pPr>
              <w:spacing w:after="0"/>
              <w:rPr>
                <w:sz w:val="20"/>
                <w:szCs w:val="20"/>
                <w:color w:val="auto"/>
              </w:rPr>
            </w:pPr>
          </w:p>
        </w:tc>
      </w:tr>
      <w:tr>
        <w:trPr>
          <w:trHeight w:val="410"/>
        </w:trPr>
        <w:tc>
          <w:tcPr>
            <w:tcW w:w="468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2435 Commerce Ave, Building 2200</w:t>
            </w:r>
          </w:p>
        </w:tc>
        <w:tc>
          <w:tcPr>
            <w:tcW w:w="40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30096</w:t>
            </w:r>
          </w:p>
        </w:tc>
      </w:tr>
      <w:tr>
        <w:trPr>
          <w:trHeight w:val="220"/>
        </w:trPr>
        <w:tc>
          <w:tcPr>
            <w:tcW w:w="468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Duluth, Georgia</w:t>
            </w:r>
          </w:p>
        </w:tc>
        <w:tc>
          <w:tcPr>
            <w:tcW w:w="400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468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2017 Omnibus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Jared Brandman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2435 Commerce Ave, Building 2200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Georgia 30096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822-3600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L. Stevens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Alston &amp; Bird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Atlantic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 Peachtree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881-7000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8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10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4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0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7(a)(2)(B) of the Securities Act.</w:t>
            </w:r>
          </w:p>
        </w:tc>
        <w:tc>
          <w:tcPr>
            <w:tcW w:w="460" w:type="dxa"/>
            <w:vAlign w:val="bottom"/>
          </w:tcPr>
          <w:p>
            <w:pPr>
              <w:spacing w:after="0"/>
              <w:rPr>
                <w:sz w:val="20"/>
                <w:szCs w:val="20"/>
                <w:color w:val="auto"/>
              </w:rPr>
            </w:pPr>
          </w:p>
        </w:tc>
      </w:tr>
      <w:tr>
        <w:trPr>
          <w:trHeight w:val="250"/>
        </w:trPr>
        <w:tc>
          <w:tcPr>
            <w:tcW w:w="107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r>
      <w:tr>
        <w:trPr>
          <w:trHeight w:val="28"/>
        </w:trPr>
        <w:tc>
          <w:tcPr>
            <w:tcW w:w="10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729"/>
        </w:trPr>
        <w:tc>
          <w:tcPr>
            <w:tcW w:w="10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National Vision Holdings, Inc. (the “Company”) has filed this Registration Statement on Form S-8 (this “Registration Statement”) with the Securities and Exchange Commission (the “Commission”) under the Securities Act of 1933, as amended (the “Securities Act”), to register (i) 5,600,000 shares of the Company’s common stock, $0.01 par value per share (“Common Stock”), that may be issued under the National Vision Holdings, Inc. Amended and Restated 2017 Omnibus Incentive Plan (the “Plan”); and (ii) such additional shares that may become issuable in accordance with the adjustment and anti-dilution provisions of the Plan. The Company previously registered, for issuance under the Plan, 4,000,000 shares on a Form S-8 filed on October 26, 2017 (File No. 333-221131).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documents constituting Part I of this Registration Statement will be sent or given to participants in the Plan as specified by Rule 428(b)</w:t>
      </w:r>
    </w:p>
    <w:p>
      <w:pPr>
        <w:spacing w:after="0" w:line="27" w:lineRule="exact"/>
        <w:rPr>
          <w:sz w:val="20"/>
          <w:szCs w:val="20"/>
          <w:color w:val="auto"/>
        </w:rPr>
      </w:pPr>
    </w:p>
    <w:p>
      <w:pPr>
        <w:ind w:firstLine="8"/>
        <w:spacing w:after="0" w:line="250" w:lineRule="auto"/>
        <w:tabs>
          <w:tab w:leader="none" w:pos="26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These documents and the documents incorporated by reference in this Registration Statement pursuant to Item 3 of Part II of this form, taken together, constitute a prospectus that meets the requirements of Section 10(a) of the Securities Act.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       Upon written or oral request, the Company will provide, without charge, the documents incorporated by reference in Item 3 of Part II of this Registration Statement. The documents are incorporated by reference in the Section 10(a) prospectus. The Company will also provide, without charge, upon written or oral request, other documents required to be delivered to participants pursuant to Rule 428(b). Requests for the above mentioned information should be directed to the Company’s Secretary at telephone number (770) 822-3600 or the address on the cover of this Registration Statement.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by the Company with the Commission pursuant to the Securities Exchange Act of 1934,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are incorporated herein by reference and deemed to be a part hereof (excluding any portions of such documents that are deemed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but not “filed” for purposes of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60" w:hanging="404"/>
        <w:spacing w:after="0"/>
        <w:tabs>
          <w:tab w:leader="none" w:pos="1060" w:val="left"/>
        </w:tabs>
        <w:numPr>
          <w:ilvl w:val="0"/>
          <w:numId w:val="2"/>
        </w:numPr>
        <w:rPr>
          <w:rFonts w:ascii="Times New Roman" w:cs="Times New Roman" w:eastAsia="Times New Roman" w:hAnsi="Times New Roman"/>
          <w:sz w:val="18"/>
          <w:szCs w:val="18"/>
          <w:u w:val="single" w:color="auto"/>
          <w:color w:val="0000EE"/>
        </w:rPr>
      </w:pPr>
      <w:hyperlink r:id="rId12">
        <w:r>
          <w:rPr>
            <w:rFonts w:ascii="Times New Roman" w:cs="Times New Roman" w:eastAsia="Times New Roman" w:hAnsi="Times New Roman"/>
            <w:sz w:val="18"/>
            <w:szCs w:val="18"/>
            <w:u w:val="single" w:color="auto"/>
            <w:color w:val="0000EE"/>
          </w:rPr>
          <w:t>The Company’s Annual Report on Form 10-K for the year ended December 30, 2023, filed with the Commission on February 27, 2024;</w:t>
        </w:r>
      </w:hyperlink>
    </w:p>
    <w:p>
      <w:pPr>
        <w:spacing w:after="0" w:line="9" w:lineRule="exact"/>
        <w:rPr>
          <w:rFonts w:ascii="Times New Roman" w:cs="Times New Roman" w:eastAsia="Times New Roman" w:hAnsi="Times New Roman"/>
          <w:sz w:val="18"/>
          <w:szCs w:val="18"/>
          <w:u w:val="single" w:color="auto"/>
          <w:color w:val="0000EE"/>
        </w:rPr>
      </w:pPr>
    </w:p>
    <w:p>
      <w:pPr>
        <w:ind w:left="10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u w:val="single" w:color="auto"/>
          <w:color w:val="0000EE"/>
        </w:rPr>
      </w:pPr>
    </w:p>
    <w:p>
      <w:pPr>
        <w:ind w:left="1060" w:hanging="404"/>
        <w:spacing w:after="0"/>
        <w:tabs>
          <w:tab w:leader="none" w:pos="1060" w:val="left"/>
        </w:tabs>
        <w:numPr>
          <w:ilvl w:val="0"/>
          <w:numId w:val="2"/>
        </w:numPr>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The Company’s Quarterly Report on Form 10-Q for the quarter ended March 30, 2024, filed with the Commission on May 8, 2024;</w:t>
        </w:r>
      </w:hyperlink>
    </w:p>
    <w:p>
      <w:pPr>
        <w:spacing w:after="0" w:line="9" w:lineRule="exact"/>
        <w:rPr>
          <w:rFonts w:ascii="Times New Roman" w:cs="Times New Roman" w:eastAsia="Times New Roman" w:hAnsi="Times New Roman"/>
          <w:sz w:val="18"/>
          <w:szCs w:val="18"/>
          <w:u w:val="single" w:color="auto"/>
          <w:color w:val="0000EE"/>
        </w:rPr>
      </w:pPr>
    </w:p>
    <w:p>
      <w:pPr>
        <w:ind w:left="106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u w:val="single" w:color="auto"/>
          <w:color w:val="0000EE"/>
        </w:rPr>
      </w:pPr>
    </w:p>
    <w:p>
      <w:pPr>
        <w:ind w:left="1060" w:hanging="404"/>
        <w:spacing w:after="0"/>
        <w:tabs>
          <w:tab w:leader="none" w:pos="1060" w:val="left"/>
        </w:tabs>
        <w:numPr>
          <w:ilvl w:val="0"/>
          <w:numId w:val="2"/>
        </w:numPr>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The Company’s Current Reports on Form 8-K, filed with the Commission on February 8, 2024 (Item 5.02 only); and</w:t>
        </w:r>
      </w:hyperlink>
    </w:p>
    <w:p>
      <w:pPr>
        <w:spacing w:after="0" w:line="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060" w:hanging="404"/>
        <w:spacing w:after="0" w:line="250"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Company’s registration statement on </w:t>
      </w:r>
      <w:hyperlink r:id="rId1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(Registration No. 001-38257), filed with the Commission on October 24, 2017 pursuant to Section 12(b) of the Exchange Act, as amended by the description of the Common Stock contained in </w:t>
      </w:r>
      <w:hyperlink r:id="rId1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January 1, 2022 (File No. 001-38257), filed with the Commission on February 28, 2022, and any amendment or report filed with the Commission for the purpose of updating such description.</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reports and other documents filed (but not furnished) by the Company subsequent to the date of this Registration Statement pursuant to</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Sections 13(a), 13(c), 14 and 15(d) of the Exchange Act, and prior to the filing of a post-effective amendment which indicates that all securities offered</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hereby have been sold or which deregisters all such securities then remaining unsold, shall be deemed to be incorporated by reference in this Registration</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Statement and to be a part hereof from the date of filing of such documents.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  </w:t>
      </w:r>
    </w:p>
    <w:p>
      <w:pPr>
        <w:spacing w:after="0" w:line="39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first quarter of 2024, the Company’s Management &amp; Services Agreement with Walmart, along with various ancillary agreements, terminated. The Company is also winding down its Walmart associated contact lens business conducted by its subsidiary, Arlington Contacts Lens Service, Inc. The Company’s Walmart store operations, including its former Legacy reportable segment and certain other results previously included in its Corporate/Other and Reconciliations categories in its Financial Statements, met the criteria to be presented as discontinued operations as of March 30, 2024. Please see Notes 2, 3 and 12 to the Financial Statements of the Company’s Form 10-Q for the quarter ended March 31, 2024. The annual financial statements for the three years ended December 30, 2023 included in the Annual Report on Form 10-K for the year ended December 30, 2023, have not been updated for these discontinued operations.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the person reasonably believed to be in or not opposed to the corporation’s best interests and, with respect to any criminal action or proceeding, had no reasonable cause to believe that his or her conduct was unlawful.</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Delaware corporation may indemnify any person who was or is or is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the person in connection with the defense or settlement of such action or suit, provided the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 in connection with the defense.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under Section 145.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at any time within 6 years after paying such unlawful dividend or after such unlawful stock purchase or redemption.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Exhibit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220" w:type="dxa"/>
            <w:vAlign w:val="bottom"/>
            <w:vMerge w:val="continue"/>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91"/>
        </w:trPr>
        <w:tc>
          <w:tcPr>
            <w:tcW w:w="11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9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Third Amended and Restated Certificate of Incorporation of National Vision Holdings, Inc. (Incorporated by reference to Exhibit 3.1 of</w:t>
              </w:r>
            </w:hyperlink>
          </w:p>
        </w:tc>
        <w:tc>
          <w:tcPr>
            <w:tcW w:w="0" w:type="dxa"/>
            <w:vAlign w:val="bottom"/>
          </w:tcPr>
          <w:p>
            <w:pPr>
              <w:spacing w:after="0"/>
              <w:rPr>
                <w:sz w:val="1"/>
                <w:szCs w:val="1"/>
                <w:color w:val="auto"/>
              </w:rPr>
            </w:pPr>
          </w:p>
        </w:tc>
      </w:tr>
    </w:tbl>
    <w:p>
      <w:pPr>
        <w:spacing w:after="0" w:line="9" w:lineRule="exact"/>
        <w:rPr>
          <w:sz w:val="20"/>
          <w:szCs w:val="20"/>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the Company’s Form 8-K filed with the Commission on June 10, 2021).</w:t>
        </w:r>
      </w:hyperlink>
    </w:p>
    <w:p>
      <w:pPr>
        <w:spacing w:after="0" w:line="27"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1340" w:val="left"/>
        </w:tabs>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21">
        <w:r>
          <w:rPr>
            <w:rFonts w:ascii="Times New Roman" w:cs="Times New Roman" w:eastAsia="Times New Roman" w:hAnsi="Times New Roman"/>
            <w:sz w:val="18"/>
            <w:szCs w:val="18"/>
            <w:u w:val="single" w:color="auto"/>
            <w:color w:val="0000EE"/>
          </w:rPr>
          <w:t>Fourth Amended and Restated Bylaws of National Vision Holdings, Inc. (Incorporated by reference to Exhibit 3.1 to the Company’s</w:t>
        </w:r>
      </w:hyperlink>
    </w:p>
    <w:p>
      <w:pPr>
        <w:spacing w:after="0" w:line="9" w:lineRule="exact"/>
        <w:rPr>
          <w:sz w:val="20"/>
          <w:szCs w:val="20"/>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Form 8-K filed with the Commission on December 12, 2023).</w:t>
        </w:r>
      </w:hyperlink>
    </w:p>
    <w:p>
      <w:pPr>
        <w:spacing w:after="0" w:line="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10920" w:type="dxa"/>
            <w:vAlign w:val="bottom"/>
            <w:gridSpan w:val="6"/>
          </w:tcPr>
          <w:p>
            <w:pPr>
              <w:ind w:left="820"/>
              <w:spacing w:after="0" w:line="18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Alston &amp; Bird LLP.</w:t>
            </w:r>
          </w:p>
        </w:tc>
      </w:tr>
      <w:tr>
        <w:trPr>
          <w:trHeight w:val="218"/>
        </w:trPr>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top w:val="single" w:sz="8" w:color="0000EE"/>
            </w:tcBorders>
          </w:tcPr>
          <w:p>
            <w:pPr>
              <w:spacing w:after="0"/>
              <w:rPr>
                <w:sz w:val="18"/>
                <w:szCs w:val="18"/>
                <w:color w:val="auto"/>
              </w:rPr>
            </w:pPr>
          </w:p>
        </w:tc>
        <w:tc>
          <w:tcPr>
            <w:tcW w:w="7640" w:type="dxa"/>
            <w:vAlign w:val="bottom"/>
            <w:gridSpan w:val="4"/>
          </w:tcPr>
          <w:p>
            <w:pPr>
              <w:spacing w:after="0"/>
              <w:rPr>
                <w:sz w:val="18"/>
                <w:szCs w:val="18"/>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920" w:type="dxa"/>
            <w:vAlign w:val="bottom"/>
            <w:gridSpan w:val="6"/>
          </w:tcPr>
          <w:p>
            <w:pPr>
              <w:ind w:left="82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Alston &amp; Bird LLP (included in Exhibit 5.1).</w:t>
            </w:r>
          </w:p>
        </w:tc>
      </w:tr>
      <w:tr>
        <w:trPr>
          <w:trHeight w:val="218"/>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4080" w:type="dxa"/>
            <w:vAlign w:val="bottom"/>
            <w:tcBorders>
              <w:top w:val="single" w:sz="8" w:color="0000EE"/>
            </w:tcBorders>
            <w:gridSpan w:val="3"/>
          </w:tcPr>
          <w:p>
            <w:pPr>
              <w:spacing w:after="0"/>
              <w:rPr>
                <w:sz w:val="18"/>
                <w:szCs w:val="18"/>
                <w:color w:val="auto"/>
              </w:rPr>
            </w:pPr>
          </w:p>
        </w:tc>
        <w:tc>
          <w:tcPr>
            <w:tcW w:w="5800" w:type="dxa"/>
            <w:vAlign w:val="bottom"/>
            <w:gridSpan w:val="2"/>
          </w:tcPr>
          <w:p>
            <w:pPr>
              <w:spacing w:after="0"/>
              <w:rPr>
                <w:sz w:val="18"/>
                <w:szCs w:val="18"/>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10920" w:type="dxa"/>
            <w:vAlign w:val="bottom"/>
            <w:gridSpan w:val="6"/>
          </w:tcPr>
          <w:p>
            <w:pPr>
              <w:ind w:left="82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Deloitte &amp; Touche LLP.</w:t>
            </w:r>
          </w:p>
        </w:tc>
      </w:tr>
      <w:tr>
        <w:trPr>
          <w:trHeight w:val="218"/>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2560" w:type="dxa"/>
            <w:vAlign w:val="bottom"/>
            <w:tcBorders>
              <w:top w:val="single" w:sz="8" w:color="0000EE"/>
            </w:tcBorders>
            <w:gridSpan w:val="2"/>
          </w:tcPr>
          <w:p>
            <w:pPr>
              <w:spacing w:after="0"/>
              <w:rPr>
                <w:sz w:val="18"/>
                <w:szCs w:val="18"/>
                <w:color w:val="auto"/>
              </w:rPr>
            </w:pPr>
          </w:p>
        </w:tc>
        <w:tc>
          <w:tcPr>
            <w:tcW w:w="7320" w:type="dxa"/>
            <w:vAlign w:val="bottom"/>
            <w:gridSpan w:val="3"/>
          </w:tcPr>
          <w:p>
            <w:pPr>
              <w:spacing w:after="0"/>
              <w:rPr>
                <w:sz w:val="18"/>
                <w:szCs w:val="18"/>
                <w:color w:val="auto"/>
              </w:rPr>
            </w:pPr>
          </w:p>
        </w:tc>
      </w:tr>
      <w:tr>
        <w:trPr>
          <w:trHeight w:val="194"/>
        </w:trPr>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10920" w:type="dxa"/>
            <w:vAlign w:val="bottom"/>
            <w:gridSpan w:val="6"/>
          </w:tcPr>
          <w:p>
            <w:pPr>
              <w:ind w:left="82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Power of Attorney (included on the signature page of this Registration Statement).</w:t>
            </w:r>
          </w:p>
        </w:tc>
      </w:tr>
      <w:tr>
        <w:trPr>
          <w:trHeight w:val="218"/>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5940" w:type="dxa"/>
            <w:vAlign w:val="bottom"/>
            <w:tcBorders>
              <w:top w:val="single" w:sz="8" w:color="0000EE"/>
            </w:tcBorders>
            <w:gridSpan w:val="4"/>
          </w:tcPr>
          <w:p>
            <w:pPr>
              <w:spacing w:after="0"/>
              <w:rPr>
                <w:sz w:val="18"/>
                <w:szCs w:val="18"/>
                <w:color w:val="auto"/>
              </w:rPr>
            </w:pPr>
          </w:p>
        </w:tc>
        <w:tc>
          <w:tcPr>
            <w:tcW w:w="3940" w:type="dxa"/>
            <w:vAlign w:val="bottom"/>
          </w:tcPr>
          <w:p>
            <w:pPr>
              <w:spacing w:after="0"/>
              <w:rPr>
                <w:sz w:val="18"/>
                <w:szCs w:val="18"/>
                <w:color w:val="auto"/>
              </w:rPr>
            </w:pPr>
          </w:p>
        </w:tc>
      </w:tr>
      <w:tr>
        <w:trPr>
          <w:trHeight w:val="194"/>
        </w:trPr>
        <w:tc>
          <w:tcPr>
            <w:tcW w:w="3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1040" w:type="dxa"/>
            <w:vAlign w:val="bottom"/>
          </w:tcPr>
          <w:p>
            <w:pPr>
              <w:spacing w:after="0"/>
              <w:rPr>
                <w:sz w:val="16"/>
                <w:szCs w:val="16"/>
                <w:color w:val="auto"/>
              </w:rPr>
            </w:pPr>
          </w:p>
        </w:tc>
        <w:tc>
          <w:tcPr>
            <w:tcW w:w="988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National Vision Holdings, Inc. Amended and Restated 2017 Omnibus Incentive Plan (Incorporated by reference to Exhibit 10.1 to the</w:t>
              </w:r>
            </w:hyperlink>
          </w:p>
        </w:tc>
      </w:tr>
    </w:tbl>
    <w:p>
      <w:pPr>
        <w:spacing w:after="0" w:line="9" w:lineRule="exact"/>
        <w:rPr>
          <w:sz w:val="20"/>
          <w:szCs w:val="20"/>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Company’s Form 8-K filed with the Commission on June 13, 2024).</w:t>
        </w:r>
      </w:hyperlink>
    </w:p>
    <w:p>
      <w:pPr>
        <w:spacing w:after="0" w:line="27"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Filing Fee Table.</w:t>
      </w:r>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hereby undertakes: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this Registration Statement or any material change to such information in this Registration Statement;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immediately above do not apply if the registration statement is on Form S-8,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information required to be included in a post-effective amendment by those paragraphs is contained in reports filed with or furnished to the Commission by the Company pursuant to Section 13 or 15(d) of the Exchange Act that are incorporated by reference in this Registration Statement.  </w:t>
      </w:r>
    </w:p>
    <w:p>
      <w:pPr>
        <w:spacing w:after="0" w:line="204"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The undersigned Company hereby undertakes that, for purposes of determining any liability under the Securities Act, each filing of the Company’s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(c)       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Duluth, state of Georgia, on this 27th day of June, 2024.</w:t>
      </w:r>
    </w:p>
    <w:tbl>
      <w:tblPr>
        <w:tblLayout w:type="fixed"/>
        <w:tblInd w:w="0" w:type="dxa"/>
        <w:tblCellMar>
          <w:top w:w="0" w:type="dxa"/>
          <w:left w:w="0" w:type="dxa"/>
          <w:bottom w:w="0" w:type="dxa"/>
          <w:right w:w="0" w:type="dxa"/>
        </w:tblCellMar>
      </w:tblPr>
      <w:tr>
        <w:trPr>
          <w:trHeight w:val="199"/>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NATIONAL VISION HOLDINGS, INC.</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/s/ L. Reade Fahs</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 Reade Fahs</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    Chief Executive Officer and Director</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9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KNOW ALL MEN BY THESE PRESENTS, </w:t>
      </w:r>
      <w:r>
        <w:rPr>
          <w:rFonts w:ascii="Times New Roman" w:cs="Times New Roman" w:eastAsia="Times New Roman" w:hAnsi="Times New Roman"/>
          <w:sz w:val="18"/>
          <w:szCs w:val="18"/>
          <w:color w:val="auto"/>
        </w:rPr>
        <w:t>that each person whose signature appears below constitutes and appoints Jared Brandman, his 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lawful attorney-in-fact and agent, with full power of substitution and resubstitution, for him and in his name, place and stead, in any and all capacities,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sign any amendments (including post-effective amendments) to this Registration Statement, and to file the same, with all exhibits thereto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 connection therewith, with the Securities and Exchange Commission, granting unto said attorney-in-fact and agent full power and authority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do and perform each and every act and thing requisite and necessary to be done in and about the premises, as fully to all intents and purposes as he might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could do in person, hereby ratifying and confirming all that said attorney-in-fact, agent or his substitutes may lawfully do or cause to be done by virtue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tbl>
      <w:tblPr>
        <w:tblLayout w:type="fixed"/>
        <w:tblInd w:w="0" w:type="dxa"/>
        <w:tblCellMar>
          <w:top w:w="0" w:type="dxa"/>
          <w:left w:w="0" w:type="dxa"/>
          <w:bottom w:w="0" w:type="dxa"/>
          <w:right w:w="0" w:type="dxa"/>
        </w:tblCellMar>
      </w:tblPr>
      <w:tr>
        <w:trPr>
          <w:trHeight w:val="198"/>
        </w:trPr>
        <w:tc>
          <w:tcPr>
            <w:tcW w:w="38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4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Title</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Date</w:t>
            </w:r>
          </w:p>
        </w:tc>
      </w:tr>
      <w:tr>
        <w:trPr>
          <w:trHeight w:val="198"/>
        </w:trPr>
        <w:tc>
          <w:tcPr>
            <w:tcW w:w="3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600" w:type="dxa"/>
            <w:vAlign w:val="bottom"/>
            <w:tcBorders>
              <w:top w:val="single" w:sz="8" w:color="auto"/>
            </w:tcBorders>
          </w:tcPr>
          <w:p>
            <w:pPr>
              <w:jc w:val="right"/>
              <w:ind w:right="345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3600" w:type="dxa"/>
            <w:vAlign w:val="bottom"/>
            <w:tcBorders>
              <w:top w:val="single" w:sz="8" w:color="auto"/>
            </w:tcBorders>
          </w:tcPr>
          <w:p>
            <w:pPr>
              <w:jc w:val="right"/>
              <w:ind w:right="3450"/>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 Reade Fahs</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Chief Executive Officer and Director (Principal</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 Reade Fahs</w:t>
            </w:r>
          </w:p>
        </w:tc>
        <w:tc>
          <w:tcPr>
            <w:tcW w:w="37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  Executive Officer)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Melissa Rasmussen</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Senior Vice President, Chief Financial Officer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Melissa Rasmussen</w:t>
            </w:r>
          </w:p>
        </w:tc>
        <w:tc>
          <w:tcPr>
            <w:tcW w:w="37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  (Principal Financial and Accounting Officer)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 Randolph Peeler</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Director and Board Chair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 Randolph Peeler</w:t>
            </w:r>
          </w:p>
        </w:tc>
        <w:tc>
          <w:tcPr>
            <w:tcW w:w="3720" w:type="dxa"/>
            <w:vAlign w:val="bottom"/>
            <w:gridSpan w:val="3"/>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 Armario</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Director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 Armario</w:t>
            </w:r>
          </w:p>
        </w:tc>
        <w:tc>
          <w:tcPr>
            <w:tcW w:w="3720" w:type="dxa"/>
            <w:vAlign w:val="bottom"/>
            <w:gridSpan w:val="3"/>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Virginia A. Hepner</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Director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Virginia A. Hepner</w:t>
            </w:r>
          </w:p>
        </w:tc>
        <w:tc>
          <w:tcPr>
            <w:tcW w:w="3720" w:type="dxa"/>
            <w:vAlign w:val="bottom"/>
            <w:gridSpan w:val="3"/>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Somersille Johnson</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Director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Susan Somersille Johnson</w:t>
            </w:r>
          </w:p>
        </w:tc>
        <w:tc>
          <w:tcPr>
            <w:tcW w:w="3720" w:type="dxa"/>
            <w:vAlign w:val="bottom"/>
            <w:gridSpan w:val="3"/>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Naomi Kelman</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Director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Naomi Kelman</w:t>
            </w:r>
          </w:p>
        </w:tc>
        <w:tc>
          <w:tcPr>
            <w:tcW w:w="3720" w:type="dxa"/>
            <w:vAlign w:val="bottom"/>
            <w:gridSpan w:val="3"/>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O’Farrell</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Director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Susan O’Farrell</w:t>
            </w:r>
          </w:p>
        </w:tc>
        <w:tc>
          <w:tcPr>
            <w:tcW w:w="3720" w:type="dxa"/>
            <w:vAlign w:val="bottom"/>
            <w:gridSpan w:val="3"/>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V. Taylor, Jr.</w:t>
            </w: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Director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June 27, 2024</w:t>
            </w:r>
          </w:p>
        </w:tc>
      </w:tr>
      <w:tr>
        <w:trPr>
          <w:trHeight w:val="191"/>
        </w:trPr>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V. Taylor, Jr.</w:t>
            </w:r>
          </w:p>
        </w:tc>
        <w:tc>
          <w:tcPr>
            <w:tcW w:w="3720" w:type="dxa"/>
            <w:vAlign w:val="bottom"/>
            <w:gridSpan w:val="3"/>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gridSpan w:val="2"/>
          </w:tcPr>
          <w:p>
            <w:pPr>
              <w:jc w:val="right"/>
              <w:ind w:right="3450"/>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156845</wp:posOffset>
            </wp:positionV>
            <wp:extent cx="2374265"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3742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Atlantic Center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1201 West Peachtree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Atlanta, GA 30309-3424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404-881-7000 | Fax: 404-881-7777</w:t>
      </w:r>
    </w:p>
    <w:p>
      <w:pPr>
        <w:spacing w:after="0" w:line="207" w:lineRule="exact"/>
        <w:rPr>
          <w:sz w:val="20"/>
          <w:szCs w:val="20"/>
          <w:color w:val="auto"/>
        </w:rPr>
      </w:pPr>
    </w:p>
    <w:p>
      <w:pPr>
        <w:spacing w:after="0"/>
        <w:tabs>
          <w:tab w:leader="none" w:pos="4620" w:val="left"/>
          <w:tab w:leader="none" w:pos="8760" w:val="left"/>
        </w:tabs>
        <w:rPr>
          <w:sz w:val="20"/>
          <w:szCs w:val="20"/>
          <w:color w:val="auto"/>
        </w:rPr>
      </w:pPr>
      <w:r>
        <w:rPr>
          <w:rFonts w:ascii="Times New Roman" w:cs="Times New Roman" w:eastAsia="Times New Roman" w:hAnsi="Times New Roman"/>
          <w:sz w:val="18"/>
          <w:szCs w:val="18"/>
          <w:color w:val="auto"/>
        </w:rPr>
        <w:t>Michael L. Stevens</w:t>
      </w:r>
      <w:r>
        <w:rPr>
          <w:sz w:val="20"/>
          <w:szCs w:val="20"/>
          <w:color w:val="auto"/>
        </w:rPr>
        <w:tab/>
      </w:r>
      <w:r>
        <w:rPr>
          <w:rFonts w:ascii="Times New Roman" w:cs="Times New Roman" w:eastAsia="Times New Roman" w:hAnsi="Times New Roman"/>
          <w:sz w:val="18"/>
          <w:szCs w:val="18"/>
          <w:color w:val="auto"/>
        </w:rPr>
        <w:t>Direct Dial: 404-881-7970</w:t>
      </w:r>
      <w:r>
        <w:rPr>
          <w:sz w:val="20"/>
          <w:szCs w:val="20"/>
          <w:color w:val="auto"/>
        </w:rPr>
        <w:tab/>
      </w:r>
      <w:r>
        <w:rPr>
          <w:rFonts w:ascii="Times New Roman" w:cs="Times New Roman" w:eastAsia="Times New Roman" w:hAnsi="Times New Roman"/>
          <w:sz w:val="18"/>
          <w:szCs w:val="18"/>
          <w:color w:val="auto"/>
        </w:rPr>
        <w:t>Email: mike.stevens@alston.com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2435 Commerce Ave, Building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Duluth, Georgia 30096</w:t>
      </w:r>
    </w:p>
    <w:p>
      <w:pPr>
        <w:sectPr>
          <w:pgSz w:w="11900" w:h="16838" w:orient="portrait"/>
          <w:cols w:equalWidth="0" w:num="1">
            <w:col w:w="11240"/>
          </w:cols>
          <w:pgMar w:left="320" w:top="333"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Registration Statement on Form S-8 – National Vision Holdings,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2017 Omnibus Incentive Plan</w:t>
      </w:r>
    </w:p>
    <w:p>
      <w:pPr>
        <w:spacing w:after="0" w:line="200" w:lineRule="exact"/>
        <w:rPr>
          <w:sz w:val="20"/>
          <w:szCs w:val="20"/>
          <w:color w:val="auto"/>
        </w:rPr>
      </w:pPr>
    </w:p>
    <w:p>
      <w:pPr>
        <w:sectPr>
          <w:pgSz w:w="11900" w:h="16838" w:orient="portrait"/>
          <w:cols w:equalWidth="0" w:num="2">
            <w:col w:w="260" w:space="400"/>
            <w:col w:w="10580"/>
          </w:cols>
          <w:pgMar w:left="320" w:top="333"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National Vision Holdings, Inc., a Delaware corporation (the “Corporation”), in connection with the above-referenced Registration Statement on Form S-8 (the “Registration Statement”) to be filed on the date hereof by the Corporation with the Securities and Exchange Commission (the “Commission”) to register under the Securities Act of 1933, as amended (the “Securities Act”), 5,600,000 shares of the Corporation’s common stock, $0.01 par value per share (the “Shares”), which may be issued pursuant to the National Vision Holdings, Inc. Amended and Restated 2017 Omnibus Incentive Plan (the “Plan”). We are furnishing this opinion letter pursuant to Item 8 of Form S-8 and Item 601(b)(5) of the Commission’s Regulation S-K.</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opinion below, we have examined the Third Amended and Restated Certificate of Incorporation of the Corporation, the Fourth Amended and Restated Bylaws of the Corporation, records of proceedings of the Board of Directors of the Corporation deemed by us to be relevant to this opinion letter, the Plan and the Registration Statement. We also have made such further legal and factual examinations and investigations as we deemed necessary for purposes of expressing the opinion set forth herein. In our examination, we have assumed the genuineness of all signatures, the legal capacity of all natural persons, the authenticity of all documents submitted to us as original documents and the conformity to original documents of all documents submitted to us as certified, conformed, facsimile, electronic or photostatic copies.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to certain factual matters relevant to this opinion letter, we have relied conclusively upon originals or copies, certified or otherwise identified to our satisfaction, of such other records, agreements, documents and instruments, including certificates or comparable documents of officers of the Corporation and of public officials, as we have deemed appropriate as a basis for the opinion hereinafter set forth. Except to the extent expressly set forth herein, we have made no independent investigations with regard to matters of fact, and, accordingly, we do not express any opinion as to matters that might have been disclosed by independent verification.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set forth below is limited to the General Corporation Law of the State of Delaware, applicable provisions of the Constitution of the State of Delaware and reported judicial decisions interpreting such General Corporation Law and Constitution that, in our professional judgment, are normally applicable to transactions of the type contemplated by the Plan, and we do not express any opinion herein concerning any other laws.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letter is provided for use solely in connection with the transactions contemplated by the Registration Statement and may not be used, circulated, quoted or otherwise relied upon for any other purpose without our express written consent. The only opinion rendered by us consists of those matters set forth in the sixth paragraph hereof, and no opinion may be implied or inferred beyond the opinion expressly stated. Our opinion expressed herein is as of the date hereof, and we undertake no obligation to advise you of any changes in applicable law or any other matters that may come to our attention after the date hereof that may affect our opinion expressed 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it is our opinion that the Shares are duly authorized for issuance, and, when issued by the Corporation in accordance with the terms of the Plan,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 w:name="page8"/>
    <w:bookmarkEnd w:id="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letter as an exhibit to the Registration Statement and to the use of our name wherever appearing in the Registration Statement. In giving such consent, we do not thereby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ALSTON &amp; BIRD LLP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L.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L. Stevens,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33333"/>
        </w:rPr>
        <w:t>We consent to the incorporation by reference in this Registration Statement on Form S-8 of our reports dated February 26, 2024, relating to the consolidated financial statements of National Vision Holdings, Inc. and the effectiveness of National Vision Holdings, Inc.’s internal control over financial reporting, appearing in the Annual Report on Form 10-K of National Vision Holdings, Inc. for the year ended December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Atlanta, Georgia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Security Type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Security Class</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Calculation</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Title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 (1)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Offering Price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1"/>
        </w:trPr>
        <w:tc>
          <w:tcPr>
            <w:tcW w:w="13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Equity</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5,600,000 (1)</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$12.97 (2)</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$72,632,000</w:t>
            </w:r>
          </w:p>
        </w:tc>
        <w:tc>
          <w:tcPr>
            <w:tcW w:w="1340" w:type="dxa"/>
            <w:vAlign w:val="bottom"/>
            <w:tcBorders>
              <w:right w:val="single" w:sz="8" w:color="auto"/>
            </w:tcBorders>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$.00014760</w:t>
            </w:r>
          </w:p>
        </w:tc>
        <w:tc>
          <w:tcPr>
            <w:tcW w:w="17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$10,720.48</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$0.01</w:t>
            </w: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(457(c) and</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3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10"/>
        </w:trPr>
        <w:tc>
          <w:tcPr>
            <w:tcW w:w="1380" w:type="dxa"/>
            <w:vAlign w:val="bottom"/>
            <w:tcBorders>
              <w:left w:val="single" w:sz="8" w:color="auto"/>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$72,632,000</w:t>
            </w:r>
          </w:p>
        </w:tc>
        <w:tc>
          <w:tcPr>
            <w:tcW w:w="13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1380" w:type="dxa"/>
            <w:vAlign w:val="bottom"/>
            <w:tcBorders>
              <w:left w:val="single" w:sz="8" w:color="auto"/>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Total Fee Offsets (3)</w:t>
            </w: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1380" w:type="dxa"/>
            <w:vAlign w:val="bottom"/>
            <w:tcBorders>
              <w:left w:val="single" w:sz="8" w:color="auto"/>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Net Fee Due</w:t>
            </w:r>
          </w:p>
        </w:tc>
        <w:tc>
          <w:tcPr>
            <w:tcW w:w="13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$10,720.48</w:t>
            </w:r>
          </w:p>
        </w:tc>
        <w:tc>
          <w:tcPr>
            <w:tcW w:w="13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that may be issued under the National Vision Holdings, Inc. Amended and Restated 2017 Omnibus Incentive Plan (the “Plan”), including additional shares that may become issuable in accordance with the adjustment and anti-dilution provisions of the Plan.</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pursuant to Rule 457(c) and 457(h) under the Securities Act of 1933, as amended (the “Securities Act”), solely for the purpose of calculating the registration fee, based on the average of the high and low prices of the Company’s common stock (“Common Stock”) on the Nasdaq Global Select Market on June 24, 2024.</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
      <w:numFmt w:val="bullet"/>
      <w:start w:val="1"/>
    </w:lvl>
  </w:abstractNum>
  <w:abstractNum w:abstractNumId="4">
    <w:nsid w:val="2EB141F2"/>
    <w:multiLevelType w:val="hybridMultilevel"/>
    <w:lvl w:ilvl="0">
      <w:lvlJc w:val="left"/>
      <w:lvlText w:val=" "/>
      <w:numFmt w:val="bullet"/>
      <w:start w:val="1"/>
    </w:lvl>
  </w:abstractNum>
  <w:abstractNum w:abstractNumId="5">
    <w:nsid w:val="41B71EFB"/>
    <w:multiLevelType w:val="hybridMultilevel"/>
    <w:lvl w:ilvl="0">
      <w:lvlJc w:val="left"/>
      <w:lvlText w:val=" "/>
      <w:numFmt w:val="bullet"/>
      <w:start w:val="1"/>
    </w:lvl>
  </w:abstractNum>
  <w:abstractNum w:abstractNumId="6">
    <w:nsid w:val="79E2A9E3"/>
    <w:multiLevelType w:val="hybridMultilevel"/>
    <w:lvl w:ilvl="0">
      <w:lvlJc w:val="left"/>
      <w:lvlText w:val="%1"/>
      <w:numFmt w:val="decimal"/>
      <w:start w:val="107"/>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jpe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12" Type="http://schemas.openxmlformats.org/officeDocument/2006/relationships/hyperlink" Target="https://www.sec.gov/ix?doc=/Archives/edgar/data/1710155/000171015524000018/eye-20231230.htm" TargetMode="External"/><Relationship Id="rId13" Type="http://schemas.openxmlformats.org/officeDocument/2006/relationships/hyperlink" Target="https://www.sec.gov/ix?doc=/Archives/edgar/data/1710155/000171015524000028/eye-20240330.htm" TargetMode="External"/><Relationship Id="rId14" Type="http://schemas.openxmlformats.org/officeDocument/2006/relationships/hyperlink" Target="https://www.sec.gov/ix?doc=/Archives/edgar/data/1710155/000171015524000005/eye-20240207.htm" TargetMode="External"/><Relationship Id="rId15" Type="http://schemas.openxmlformats.org/officeDocument/2006/relationships/hyperlink" Target="https://www.sec.gov/Archives/edgar/data/1710155/000156761917002227/s001582x13_8a12b.htm" TargetMode="External"/><Relationship Id="rId16" Type="http://schemas.openxmlformats.org/officeDocument/2006/relationships/hyperlink" Target="https://www.sec.gov/Archives/edgar/data/1710155/000171015522000010/exhibit41descriptionofsecu.htm" TargetMode="External"/><Relationship Id="rId17" Type="http://schemas.openxmlformats.org/officeDocument/2006/relationships/hyperlink" Target="https://www.sec.gov/ix?doc=/Archives/edgar/data/1710155/000171015522000010/eye-20220101.htm" TargetMode="External"/><Relationship Id="rId20" Type="http://schemas.openxmlformats.org/officeDocument/2006/relationships/hyperlink" Target="https://www.sec.gov/Archives/edgar/data/1710155/000171015521000036/nationalvision-thirdamende.htm" TargetMode="External"/><Relationship Id="rId21" Type="http://schemas.openxmlformats.org/officeDocument/2006/relationships/hyperlink" Target="https://www.sec.gov/Archives/edgar/data/1710155/000171015523000063/ex31eye-bylawamendmentsnov.htm" TargetMode="External"/><Relationship Id="rId22" Type="http://schemas.openxmlformats.org/officeDocument/2006/relationships/hyperlink" Target="https://www.sec.gov/Archives/edgar/data/1710155/000171015524000035/nvhi_arx2017xomnibusx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2024-06-27T15:47:03Z</dcterms:created>
  <dcterms:modified xsi:type="dcterms:W3CDTF">2024-06-27T15:47:03Z</dcterms:modified>
</cp:coreProperties>
</file>