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CURRENT REPORT</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Earliest Event reported):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19, 2018 (March 14,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National Vision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100" w:type="dxa"/>
            <w:vAlign w:val="bottom"/>
          </w:tcPr>
          <w:p>
            <w:pPr>
              <w:jc w:val="center"/>
              <w:ind w:left="610"/>
              <w:spacing w:after="0"/>
              <w:rPr>
                <w:sz w:val="20"/>
                <w:szCs w:val="20"/>
                <w:color w:val="auto"/>
              </w:rPr>
            </w:pPr>
            <w:r>
              <w:rPr>
                <w:rFonts w:ascii="Arial" w:cs="Arial" w:eastAsia="Arial" w:hAnsi="Arial"/>
                <w:sz w:val="18"/>
                <w:szCs w:val="18"/>
                <w:b w:val="1"/>
                <w:bCs w:val="1"/>
                <w:color w:val="auto"/>
                <w:w w:val="91"/>
              </w:rPr>
              <w:t>Delaware</w:t>
            </w:r>
          </w:p>
        </w:tc>
        <w:tc>
          <w:tcPr>
            <w:tcW w:w="508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001-38257</w:t>
            </w:r>
          </w:p>
        </w:tc>
        <w:tc>
          <w:tcPr>
            <w:tcW w:w="3240" w:type="dxa"/>
            <w:vAlign w:val="bottom"/>
          </w:tcPr>
          <w:p>
            <w:pPr>
              <w:jc w:val="right"/>
              <w:ind w:right="1370"/>
              <w:spacing w:after="0"/>
              <w:rPr>
                <w:sz w:val="20"/>
                <w:szCs w:val="20"/>
                <w:color w:val="auto"/>
              </w:rPr>
            </w:pPr>
            <w:r>
              <w:rPr>
                <w:rFonts w:ascii="Arial" w:cs="Arial" w:eastAsia="Arial" w:hAnsi="Arial"/>
                <w:sz w:val="18"/>
                <w:szCs w:val="18"/>
                <w:b w:val="1"/>
                <w:bCs w:val="1"/>
                <w:color w:val="auto"/>
              </w:rPr>
              <w:t>46-4841717</w:t>
            </w:r>
          </w:p>
        </w:tc>
      </w:tr>
      <w:tr>
        <w:trPr>
          <w:trHeight w:val="216"/>
        </w:trPr>
        <w:tc>
          <w:tcPr>
            <w:tcW w:w="3100" w:type="dxa"/>
            <w:vAlign w:val="bottom"/>
          </w:tcPr>
          <w:p>
            <w:pPr>
              <w:jc w:val="center"/>
              <w:ind w:left="630"/>
              <w:spacing w:after="0"/>
              <w:rPr>
                <w:sz w:val="20"/>
                <w:szCs w:val="20"/>
                <w:color w:val="auto"/>
              </w:rPr>
            </w:pPr>
            <w:r>
              <w:rPr>
                <w:rFonts w:ascii="Arial" w:cs="Arial" w:eastAsia="Arial" w:hAnsi="Arial"/>
                <w:sz w:val="18"/>
                <w:szCs w:val="18"/>
                <w:color w:val="auto"/>
                <w:w w:val="92"/>
              </w:rPr>
              <w:t>(State or other jurisdiction</w:t>
            </w:r>
          </w:p>
        </w:tc>
        <w:tc>
          <w:tcPr>
            <w:tcW w:w="5080" w:type="dxa"/>
            <w:vAlign w:val="bottom"/>
          </w:tcPr>
          <w:p>
            <w:pPr>
              <w:jc w:val="center"/>
              <w:ind w:left="5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tcPr>
          <w:p>
            <w:pPr>
              <w:jc w:val="center"/>
              <w:ind w:right="4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ind w:left="630"/>
              <w:spacing w:after="0"/>
              <w:rPr>
                <w:sz w:val="20"/>
                <w:szCs w:val="20"/>
                <w:color w:val="auto"/>
              </w:rPr>
            </w:pPr>
            <w:r>
              <w:rPr>
                <w:rFonts w:ascii="Arial" w:cs="Arial" w:eastAsia="Arial" w:hAnsi="Arial"/>
                <w:sz w:val="18"/>
                <w:szCs w:val="18"/>
                <w:color w:val="auto"/>
                <w:w w:val="93"/>
              </w:rPr>
              <w:t>of incorporation)</w:t>
            </w:r>
          </w:p>
        </w:tc>
        <w:tc>
          <w:tcPr>
            <w:tcW w:w="508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41"/>
        </w:trPr>
        <w:tc>
          <w:tcPr>
            <w:tcW w:w="3100" w:type="dxa"/>
            <w:vAlign w:val="bottom"/>
          </w:tcPr>
          <w:p>
            <w:pPr>
              <w:spacing w:after="0"/>
              <w:rPr>
                <w:sz w:val="24"/>
                <w:szCs w:val="24"/>
                <w:color w:val="auto"/>
              </w:rPr>
            </w:pPr>
          </w:p>
        </w:tc>
        <w:tc>
          <w:tcPr>
            <w:tcW w:w="50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2435 Commerce Avenue</w:t>
            </w:r>
          </w:p>
        </w:tc>
        <w:tc>
          <w:tcPr>
            <w:tcW w:w="324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508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Bldg. 2200</w:t>
            </w:r>
          </w:p>
        </w:tc>
        <w:tc>
          <w:tcPr>
            <w:tcW w:w="324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08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Duluth, Georgia 30096-4980</w:t>
            </w:r>
          </w:p>
        </w:tc>
        <w:tc>
          <w:tcPr>
            <w:tcW w:w="324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08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(770) 822-3600</w:t>
            </w:r>
          </w:p>
        </w:tc>
        <w:tc>
          <w:tcPr>
            <w:tcW w:w="324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08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(Address, including zip code, and telephone number,</w:t>
            </w:r>
          </w:p>
        </w:tc>
        <w:tc>
          <w:tcPr>
            <w:tcW w:w="3240" w:type="dxa"/>
            <w:vAlign w:val="bottom"/>
          </w:tcPr>
          <w:p>
            <w:pPr>
              <w:spacing w:after="0"/>
              <w:rPr>
                <w:sz w:val="18"/>
                <w:szCs w:val="18"/>
                <w:color w:val="auto"/>
              </w:rPr>
            </w:pPr>
          </w:p>
        </w:tc>
      </w:tr>
      <w:tr>
        <w:trPr>
          <w:trHeight w:val="234"/>
        </w:trPr>
        <w:tc>
          <w:tcPr>
            <w:tcW w:w="3100" w:type="dxa"/>
            <w:vAlign w:val="bottom"/>
          </w:tcPr>
          <w:p>
            <w:pPr>
              <w:spacing w:after="0"/>
              <w:rPr>
                <w:sz w:val="20"/>
                <w:szCs w:val="20"/>
                <w:color w:val="auto"/>
              </w:rPr>
            </w:pPr>
          </w:p>
        </w:tc>
        <w:tc>
          <w:tcPr>
            <w:tcW w:w="5080" w:type="dxa"/>
            <w:vAlign w:val="bottom"/>
          </w:tcPr>
          <w:p>
            <w:pPr>
              <w:jc w:val="center"/>
              <w:ind w:left="70"/>
              <w:spacing w:after="0"/>
              <w:rPr>
                <w:sz w:val="20"/>
                <w:szCs w:val="20"/>
                <w:color w:val="auto"/>
              </w:rPr>
            </w:pPr>
            <w:r>
              <w:rPr>
                <w:rFonts w:ascii="Arial" w:cs="Arial" w:eastAsia="Arial" w:hAnsi="Arial"/>
                <w:sz w:val="18"/>
                <w:szCs w:val="18"/>
                <w:b w:val="1"/>
                <w:bCs w:val="1"/>
                <w:color w:val="auto"/>
                <w:w w:val="88"/>
              </w:rPr>
              <w:t>including area code, of registrant’s principal executive offices)</w:t>
            </w:r>
          </w:p>
        </w:tc>
        <w:tc>
          <w:tcPr>
            <w:tcW w:w="3240" w:type="dxa"/>
            <w:vAlign w:val="bottom"/>
          </w:tcPr>
          <w:p>
            <w:pPr>
              <w:spacing w:after="0"/>
              <w:rPr>
                <w:sz w:val="20"/>
                <w:szCs w:val="20"/>
                <w:color w:val="auto"/>
              </w:rPr>
            </w:pPr>
          </w:p>
        </w:tc>
      </w:tr>
      <w:tr>
        <w:trPr>
          <w:trHeight w:val="115"/>
        </w:trPr>
        <w:tc>
          <w:tcPr>
            <w:tcW w:w="3100" w:type="dxa"/>
            <w:vAlign w:val="bottom"/>
            <w:tcBorders>
              <w:bottom w:val="single" w:sz="8" w:color="auto"/>
            </w:tcBorders>
          </w:tcPr>
          <w:p>
            <w:pPr>
              <w:spacing w:after="0"/>
              <w:rPr>
                <w:sz w:val="10"/>
                <w:szCs w:val="10"/>
                <w:color w:val="auto"/>
              </w:rPr>
            </w:pPr>
          </w:p>
        </w:tc>
        <w:tc>
          <w:tcPr>
            <w:tcW w:w="508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r>
    </w:tbl>
    <w:p>
      <w:pPr>
        <w:spacing w:after="0" w:line="330"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5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519430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March 14, 2018, National Vision Holdings, Inc. (the “Company”) entered into an Underwriting Agreement (the “Underwriting Agreement”), by and among the Company, KKR Vision Aggregator L.P., Berkshire Fund VI, Limited Partnership, Berkshire Investors LLC, Berkshire Investors III LLC and the management selling stockholders named therein (collectively, the “Selling Stockholders”), and Merrill Lynch, Pierce, Fenner &amp; Smith Incorporated, Citigroup Global Markets Inc., Goldman Sachs &amp; Co. LLC and Jefferies LLC, as representatives of the several underwriters named therein (the “Underwriters”), relating to an underwritten offering of 12,000,000 shares (the “Shares”) of the Company’s common stock, par value $0.01 per share (“Common Stock”), pursuant to the Company’s Registration Statement on Form S-1 (File No. 333- 223602), filed on March 12, 2018, and the related Registration Statement on Form S-1 (File No. 333-223676), filed pursuant to Rule 462(b) under the Securities Act of 1933, as amended, on March 15, 2018. The offering of the Shares was completed on March 19, 2018. Pursuant to the Underwriting Agreement, the Underwriters purchased the Shares at a price of $31.68 per share. The Company did not receive any proceeds from the offering. The Selling Stockholders have granted the Underwriters the option to purchase, within 30 days from the date of the Underwriting Agreement, an additional 1,800,000 shares of Common Stock.</w:t>
      </w:r>
    </w:p>
    <w:p>
      <w:pPr>
        <w:spacing w:after="0" w:line="2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description of the Underwriting Agreement is qualified in its entirety by the terms of such agreement, which is incorporated herein by reference and attached to this report as Exhibit 1.1.</w:t>
      </w:r>
    </w:p>
    <w:p>
      <w:pPr>
        <w:spacing w:after="0" w:line="22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60" w:type="dxa"/>
            <w:vAlign w:val="bottom"/>
          </w:tcPr>
          <w:p>
            <w:pPr>
              <w:ind w:left="3260"/>
              <w:spacing w:after="0"/>
              <w:rPr>
                <w:sz w:val="20"/>
                <w:szCs w:val="20"/>
                <w:color w:val="auto"/>
              </w:rPr>
            </w:pPr>
            <w:r>
              <w:rPr>
                <w:rFonts w:ascii="Arial" w:cs="Arial" w:eastAsia="Arial" w:hAnsi="Arial"/>
                <w:sz w:val="18"/>
                <w:szCs w:val="18"/>
                <w:b w:val="1"/>
                <w:bCs w:val="1"/>
                <w:color w:val="auto"/>
              </w:rPr>
              <w:t>EXHIBIT INDEX</w:t>
            </w:r>
          </w:p>
        </w:tc>
      </w:tr>
      <w:tr>
        <w:trPr>
          <w:trHeight w:val="723"/>
        </w:trPr>
        <w:tc>
          <w:tcPr>
            <w:tcW w:w="1760" w:type="dxa"/>
            <w:vAlign w:val="bottom"/>
            <w:gridSpan w:val="4"/>
          </w:tcPr>
          <w:p>
            <w:pPr>
              <w:spacing w:after="0"/>
              <w:rPr>
                <w:sz w:val="20"/>
                <w:szCs w:val="20"/>
                <w:color w:val="auto"/>
              </w:rPr>
            </w:pPr>
            <w:r>
              <w:rPr>
                <w:rFonts w:ascii="Arial" w:cs="Arial" w:eastAsia="Arial" w:hAnsi="Arial"/>
                <w:sz w:val="18"/>
                <w:szCs w:val="18"/>
                <w:color w:val="auto"/>
              </w:rPr>
              <w:t>Exhibit No.</w:t>
            </w:r>
          </w:p>
        </w:tc>
        <w:tc>
          <w:tcPr>
            <w:tcW w:w="9660" w:type="dxa"/>
            <w:vAlign w:val="bottom"/>
          </w:tcPr>
          <w:p>
            <w:pPr>
              <w:spacing w:after="0"/>
              <w:rPr>
                <w:sz w:val="20"/>
                <w:szCs w:val="20"/>
                <w:color w:val="auto"/>
              </w:rPr>
            </w:pPr>
            <w:r>
              <w:rPr>
                <w:rFonts w:ascii="Arial" w:cs="Arial" w:eastAsia="Arial" w:hAnsi="Arial"/>
                <w:sz w:val="18"/>
                <w:szCs w:val="18"/>
                <w:color w:val="auto"/>
              </w:rPr>
              <w:t>Description</w:t>
            </w:r>
          </w:p>
        </w:tc>
      </w:tr>
      <w:tr>
        <w:trPr>
          <w:trHeight w:val="176"/>
        </w:trPr>
        <w:tc>
          <w:tcPr>
            <w:tcW w:w="20" w:type="dxa"/>
            <w:vAlign w:val="bottom"/>
          </w:tcPr>
          <w:p>
            <w:pPr>
              <w:spacing w:after="0"/>
              <w:rPr>
                <w:sz w:val="15"/>
                <w:szCs w:val="15"/>
                <w:color w:val="auto"/>
              </w:rPr>
            </w:pPr>
          </w:p>
        </w:tc>
        <w:tc>
          <w:tcPr>
            <w:tcW w:w="1520" w:type="dxa"/>
            <w:vAlign w:val="bottom"/>
            <w:tcBorders>
              <w:top w:val="single" w:sz="8" w:color="auto"/>
            </w:tcBorders>
            <w:gridSpan w:val="2"/>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220" w:type="dxa"/>
            <w:vAlign w:val="bottom"/>
          </w:tcPr>
          <w:p>
            <w:pPr>
              <w:spacing w:after="0"/>
              <w:rPr>
                <w:sz w:val="15"/>
                <w:szCs w:val="15"/>
                <w:color w:val="auto"/>
              </w:rPr>
            </w:pPr>
          </w:p>
        </w:tc>
        <w:tc>
          <w:tcPr>
            <w:tcW w:w="96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95"/>
              </w:rPr>
              <w:t>Underwriting Agreement, dated March 14, 2018, by and among National Vision Holdings, Inc., the Selling Stockholders named</w:t>
            </w:r>
          </w:p>
        </w:tc>
      </w:tr>
      <w:tr>
        <w:trPr>
          <w:trHeight w:val="222"/>
        </w:trPr>
        <w:tc>
          <w:tcPr>
            <w:tcW w:w="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60" w:type="dxa"/>
            <w:vAlign w:val="bottom"/>
          </w:tcPr>
          <w:p>
            <w:pPr>
              <w:spacing w:after="0"/>
              <w:rPr>
                <w:sz w:val="20"/>
                <w:szCs w:val="20"/>
                <w:color w:val="auto"/>
              </w:rPr>
            </w:pPr>
            <w:r>
              <w:rPr>
                <w:rFonts w:ascii="Arial" w:cs="Arial" w:eastAsia="Arial" w:hAnsi="Arial"/>
                <w:sz w:val="18"/>
                <w:szCs w:val="18"/>
                <w:color w:val="auto"/>
                <w:w w:val="96"/>
              </w:rPr>
              <w:t>therein and Merrill Lynch, Pierce, Fenner &amp; Smith Incorporated, Citigroup Global Markets Inc., Goldman Sachs &amp; Co. LLC and</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Jefferies LLC, as representatives of the several underwriters named therein</w:t>
            </w:r>
          </w:p>
        </w:tc>
      </w:tr>
      <w:tr>
        <w:trPr>
          <w:trHeight w:val="426"/>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2"/>
          </w:tcPr>
          <w:p>
            <w:pPr>
              <w:ind w:left="2060"/>
              <w:spacing w:after="0"/>
              <w:rPr>
                <w:sz w:val="20"/>
                <w:szCs w:val="20"/>
                <w:color w:val="auto"/>
              </w:rPr>
            </w:pPr>
            <w:r>
              <w:rPr>
                <w:rFonts w:ascii="Arial" w:cs="Arial" w:eastAsia="Arial" w:hAnsi="Arial"/>
                <w:sz w:val="18"/>
                <w:szCs w:val="18"/>
                <w:color w:val="auto"/>
              </w:rPr>
              <w:t>National Vision Holdings, Inc.</w:t>
            </w:r>
          </w:p>
        </w:tc>
      </w:tr>
      <w:tr>
        <w:trPr>
          <w:trHeight w:val="655"/>
        </w:trPr>
        <w:tc>
          <w:tcPr>
            <w:tcW w:w="3660" w:type="dxa"/>
            <w:vAlign w:val="bottom"/>
          </w:tcPr>
          <w:p>
            <w:pPr>
              <w:spacing w:after="0"/>
              <w:rPr>
                <w:sz w:val="20"/>
                <w:szCs w:val="20"/>
                <w:color w:val="auto"/>
              </w:rPr>
            </w:pPr>
            <w:r>
              <w:rPr>
                <w:rFonts w:ascii="Arial" w:cs="Arial" w:eastAsia="Arial" w:hAnsi="Arial"/>
                <w:sz w:val="18"/>
                <w:szCs w:val="18"/>
                <w:color w:val="auto"/>
              </w:rPr>
              <w:t>Date: March 19, 2018</w:t>
            </w:r>
          </w:p>
        </w:tc>
        <w:tc>
          <w:tcPr>
            <w:tcW w:w="2740" w:type="dxa"/>
            <w:vAlign w:val="bottom"/>
          </w:tcPr>
          <w:p>
            <w:pPr>
              <w:ind w:left="20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Mitchell Goodman</w:t>
            </w:r>
          </w:p>
        </w:tc>
      </w:tr>
      <w:tr>
        <w:trPr>
          <w:trHeight w:val="202"/>
        </w:trPr>
        <w:tc>
          <w:tcPr>
            <w:tcW w:w="3660" w:type="dxa"/>
            <w:vAlign w:val="bottom"/>
          </w:tcPr>
          <w:p>
            <w:pPr>
              <w:spacing w:after="0"/>
              <w:rPr>
                <w:sz w:val="17"/>
                <w:szCs w:val="17"/>
                <w:color w:val="auto"/>
              </w:rPr>
            </w:pPr>
          </w:p>
        </w:tc>
        <w:tc>
          <w:tcPr>
            <w:tcW w:w="2740" w:type="dxa"/>
            <w:vAlign w:val="bottom"/>
          </w:tcPr>
          <w:p>
            <w:pPr>
              <w:ind w:left="2060"/>
              <w:spacing w:after="0" w:line="201"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Mitchell Goodman</w:t>
            </w:r>
          </w:p>
        </w:tc>
      </w:tr>
      <w:tr>
        <w:trPr>
          <w:trHeight w:val="230"/>
        </w:trPr>
        <w:tc>
          <w:tcPr>
            <w:tcW w:w="3660" w:type="dxa"/>
            <w:vAlign w:val="bottom"/>
          </w:tcPr>
          <w:p>
            <w:pPr>
              <w:spacing w:after="0"/>
              <w:rPr>
                <w:sz w:val="20"/>
                <w:szCs w:val="20"/>
                <w:color w:val="auto"/>
              </w:rPr>
            </w:pPr>
          </w:p>
        </w:tc>
        <w:tc>
          <w:tcPr>
            <w:tcW w:w="2740" w:type="dxa"/>
            <w:vAlign w:val="bottom"/>
          </w:tcPr>
          <w:p>
            <w:pPr>
              <w:ind w:left="206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358"/>
        </w:trPr>
        <w:tc>
          <w:tcPr>
            <w:tcW w:w="36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1.1</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National Vision Holdings,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12,000,000 Shares</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Common Stock</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($0.01 par value)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14,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Merrill Lynch, Pierce, Fenner &amp; Smith</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20" w:firstLine="1297"/>
        <w:spacing w:after="0" w:line="253" w:lineRule="auto"/>
        <w:rPr>
          <w:sz w:val="20"/>
          <w:szCs w:val="20"/>
          <w:color w:val="auto"/>
        </w:rPr>
      </w:pPr>
      <w:r>
        <w:rPr>
          <w:rFonts w:ascii="Arial" w:cs="Arial" w:eastAsia="Arial" w:hAnsi="Arial"/>
          <w:sz w:val="18"/>
          <w:szCs w:val="18"/>
          <w:color w:val="auto"/>
        </w:rPr>
        <w:t>Each of (i) KKR Vision Aggregator L.P. (the “KKR Selling Stockholder”), (ii) Berkshire Fund VI, Limited Partnership, Berkshire Investors LLC and Berkshire Investors III LLC (collectively, the “Berkshire Selling Stockholders”) and (iii) the other selling stockholders named on Schedule I(B) hereto (collectively, the “Management Selling Stockholders” and together with the KKR Selling Stockholder and the Berkshire Selling Stockholders, the “Selling Stockholders”), as a stockholder of National Vision Holdings, Inc., a Delaware corporation (the “Company”), proposes to sell to the several underwriters named in Schedule I(A) hereto (the “Underwriters”), for whom you (the “Representatives”) are acting as representatives, the number of shares (the “Shares”) of the Company’s common stock, par value $0.01 per share (“Common Stock”), set forth next to such Selling Stockholder’s name on Schedule I(B) hereto. The aggregate 12,000,000 Shares to be sold by the Selling Stockholders are herein called the “Underwritten Securities”. The Selling Stockholders also propose to grant to the Underwriters an option to purchase up to 1,800,000 additional shares of Common Stock (the “Option Securities”; the Option Securities, together with the Underwritten Securities, being hereinafter called the “Securities”). Certain terms used herein are defined in Section 23 hereof.</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p>
      <w:pPr>
        <w:jc w:val="center"/>
        <w:ind w:right="60"/>
        <w:spacing w:after="0"/>
        <w:rPr>
          <w:sz w:val="20"/>
          <w:szCs w:val="20"/>
          <w:color w:val="auto"/>
        </w:rPr>
      </w:pPr>
      <w:r>
        <w:rPr>
          <w:rFonts w:ascii="Arial" w:cs="Arial" w:eastAsia="Arial" w:hAnsi="Arial"/>
          <w:sz w:val="18"/>
          <w:szCs w:val="18"/>
          <w:color w:val="auto"/>
        </w:rPr>
        <w:t>The Company and the Selling Stockholders hereby confirm their respective agreements with the Underwriters as follows:</w:t>
      </w:r>
    </w:p>
    <w:p>
      <w:pPr>
        <w:spacing w:after="0" w:line="279" w:lineRule="exact"/>
        <w:rPr>
          <w:sz w:val="20"/>
          <w:szCs w:val="20"/>
          <w:color w:val="auto"/>
        </w:rPr>
      </w:pPr>
    </w:p>
    <w:p>
      <w:pPr>
        <w:ind w:right="120" w:firstLine="656"/>
        <w:spacing w:after="0" w:line="277" w:lineRule="auto"/>
        <w:tabs>
          <w:tab w:leader="none" w:pos="1323"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each Underwriter as set forth below in this Section 1.</w:t>
      </w:r>
    </w:p>
    <w:p>
      <w:pPr>
        <w:spacing w:after="0" w:line="224" w:lineRule="exact"/>
        <w:rPr>
          <w:sz w:val="20"/>
          <w:szCs w:val="20"/>
          <w:color w:val="auto"/>
        </w:rPr>
      </w:pPr>
    </w:p>
    <w:p>
      <w:pPr>
        <w:ind w:right="40" w:firstLine="656"/>
        <w:spacing w:after="0" w:line="271" w:lineRule="auto"/>
        <w:tabs>
          <w:tab w:leader="none" w:pos="1388"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has prepared and filed with the Commission a registration statement (file number 333-223602) on Form S-1, including a related preliminary prospectus, for registration under the Act of the offering and sale of the Securities. Such Registration Statement, including any amendments thereto filed prior to the Execution Time, has become effective. The Company may have filed one or more amendments thereto, including a related preliminary prospectus, each of which has previously been furnished to you. The Company will file with the Commission a final prospectus in accordance with Rule 424(b). As filed, such final prospectus shall contain all information required by the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Company has advised you, prior to the Execution Time, will be included or made therein.</w:t>
      </w:r>
    </w:p>
    <w:p>
      <w:pPr>
        <w:spacing w:after="0" w:line="232" w:lineRule="exact"/>
        <w:rPr>
          <w:rFonts w:ascii="Arial" w:cs="Arial" w:eastAsia="Arial" w:hAnsi="Arial"/>
          <w:sz w:val="17"/>
          <w:szCs w:val="17"/>
          <w:color w:val="auto"/>
        </w:rPr>
      </w:pPr>
    </w:p>
    <w:p>
      <w:pPr>
        <w:ind w:firstLine="656"/>
        <w:spacing w:after="0" w:line="285" w:lineRule="auto"/>
        <w:tabs>
          <w:tab w:leader="none" w:pos="1398"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On the Effective Date, the Registration Statement did, and when the Prospectus is first filed in accordance with Rule 424(b) and on the Closing Date (as defined herein) and on any date on which Option Securities are purchased, if such date is not the Closing Date (a “settlement date”), the Prospectus (and any supplement thereto) will, comply in all material respects with the applicable requirements of the Act and the rules thereunder; on the Effective Date, at the Execution Time and on the Closing Date, the Registration Statement did not and will not contain any untrue statement of a material fact or omit to state any material fact required to be stated therein or necessary to make the statements therein not misleading; and on the date of any filing pursuant to Rule 424(b) and on the Closing Date and any settlement date, the Prospectus (together with any supplement thereto) will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any Underwriter through the Representatives specifically for inclusion in the Registration Statement or the Prospectus (or any supplement thereto); it being understood and agreed that the only such information furnished by any Underwriter consists of the information described as such in Section 10(c) below. The documents incorporated by reference in the Registration Statement and the Prospectus, when they were filed with the Commission, conformed in all material respects to the requirements of the Exchange Act, and the rules thereunder, and none of such documents contained any untrue statement of a material fact or omitted to state any material fact necessary to make the statements therein, in the light of the circumstances under which they were made, not misleading; any further documents so filed and incorporated by reference in the Prospectus or any further amendment or supplement thereto, when such documents are filed with the Commission, will conform in all material respects to the requirements of the Exchange Act, and the rules thereunder and will not contain any untrue statement of a material fact or omit to state any material fact necessary to make the statements therein, in the light of the circumstances under which they were made, not misleading.</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ind w:left="-20" w:right="80" w:firstLine="656"/>
        <w:spacing w:after="0" w:line="255" w:lineRule="auto"/>
        <w:tabs>
          <w:tab w:leader="none" w:pos="1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(i) The Disclosure Package and the price to the public, the number of Underwritten Securities and the number of Option Securities to be included on the cover page of the Prospectus, when taken together as a whole, and (ii) each electronic road show, when taken together as a whole with the Disclosure Package and the price to the public, the number of Underwritten Securities and the number of Option Securities to be included on the cover page of the Prospectus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or on behalf of any Underwriter through the Representatives specifically for use therein.</w:t>
      </w:r>
    </w:p>
    <w:p>
      <w:pPr>
        <w:spacing w:after="0" w:line="243" w:lineRule="exact"/>
        <w:rPr>
          <w:rFonts w:ascii="Arial" w:cs="Arial" w:eastAsia="Arial" w:hAnsi="Arial"/>
          <w:sz w:val="18"/>
          <w:szCs w:val="18"/>
          <w:color w:val="auto"/>
        </w:rPr>
      </w:pPr>
    </w:p>
    <w:p>
      <w:pPr>
        <w:ind w:left="-20" w:right="60" w:firstLine="656"/>
        <w:spacing w:after="0" w:line="286" w:lineRule="auto"/>
        <w:tabs>
          <w:tab w:leader="none" w:pos="1378" w:val="left"/>
        </w:tabs>
        <w:numPr>
          <w:ilvl w:val="0"/>
          <w:numId w:val="5"/>
        </w:numPr>
        <w:rPr>
          <w:rFonts w:ascii="Arial" w:cs="Arial" w:eastAsia="Arial" w:hAnsi="Arial"/>
          <w:sz w:val="17"/>
          <w:szCs w:val="17"/>
          <w:color w:val="auto"/>
        </w:rPr>
      </w:pPr>
      <w:r>
        <w:rPr>
          <w:rFonts w:ascii="Arial" w:cs="Arial" w:eastAsia="Arial" w:hAnsi="Arial"/>
          <w:sz w:val="17"/>
          <w:szCs w:val="17"/>
          <w:color w:val="auto"/>
        </w:rPr>
        <w:t>(i) At the time of filing the Registration Statement and (ii) as of the Execution Time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219" w:lineRule="exact"/>
        <w:rPr>
          <w:rFonts w:ascii="Arial" w:cs="Arial" w:eastAsia="Arial" w:hAnsi="Arial"/>
          <w:sz w:val="17"/>
          <w:szCs w:val="17"/>
          <w:color w:val="auto"/>
        </w:rPr>
      </w:pPr>
    </w:p>
    <w:p>
      <w:pPr>
        <w:ind w:left="-20" w:right="100" w:firstLine="656"/>
        <w:spacing w:after="0" w:line="312" w:lineRule="auto"/>
        <w:tabs>
          <w:tab w:leader="none" w:pos="1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Each Issuer Free Writing Prospectus does not include any information that conflicts with the information contained in the Registration Statement. The foregoing sentence does not apply to statements in or omissions from any Issuer Free Writing Prospectus based upon and in conformity with written information furnished to the Company by or on behalf of any Underwriter through the Representatives specifically for use therein.</w:t>
      </w:r>
    </w:p>
    <w:p>
      <w:pPr>
        <w:spacing w:after="0" w:line="200" w:lineRule="exact"/>
        <w:rPr>
          <w:rFonts w:ascii="Arial" w:cs="Arial" w:eastAsia="Arial" w:hAnsi="Arial"/>
          <w:sz w:val="16"/>
          <w:szCs w:val="16"/>
          <w:color w:val="auto"/>
        </w:rPr>
      </w:pPr>
    </w:p>
    <w:p>
      <w:pPr>
        <w:ind w:left="-20" w:firstLine="656"/>
        <w:spacing w:after="0" w:line="277" w:lineRule="auto"/>
        <w:tabs>
          <w:tab w:leader="none" w:pos="1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None of the Company or any Significant Subsidiary (as defined below) is an “investment company” as defined in the Investment Company Act, without taking account of any exemption arising out of the number of holders of the Company’s securities.</w:t>
      </w:r>
    </w:p>
    <w:p>
      <w:pPr>
        <w:spacing w:after="0" w:line="224" w:lineRule="exact"/>
        <w:rPr>
          <w:rFonts w:ascii="Arial" w:cs="Arial" w:eastAsia="Arial" w:hAnsi="Arial"/>
          <w:sz w:val="18"/>
          <w:szCs w:val="18"/>
          <w:color w:val="auto"/>
        </w:rPr>
      </w:pPr>
    </w:p>
    <w:p>
      <w:pPr>
        <w:ind w:left="-20" w:right="600" w:firstLine="656"/>
        <w:spacing w:after="0" w:line="277" w:lineRule="auto"/>
        <w:tabs>
          <w:tab w:leader="none" w:pos="1378" w:val="left"/>
        </w:tabs>
        <w:numPr>
          <w:ilvl w:val="0"/>
          <w:numId w:val="5"/>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paid or agreed to pay to any person any compensation for soliciting another to purchase any Securities (except as contemplated in this Agreement).</w:t>
      </w:r>
    </w:p>
    <w:p>
      <w:pPr>
        <w:spacing w:after="0" w:line="224" w:lineRule="exact"/>
        <w:rPr>
          <w:rFonts w:ascii="Arial" w:cs="Arial" w:eastAsia="Arial" w:hAnsi="Arial"/>
          <w:sz w:val="18"/>
          <w:szCs w:val="18"/>
          <w:color w:val="auto"/>
        </w:rPr>
      </w:pPr>
    </w:p>
    <w:p>
      <w:pPr>
        <w:ind w:left="-20" w:right="60" w:firstLine="656"/>
        <w:spacing w:after="0" w:line="286" w:lineRule="auto"/>
        <w:tabs>
          <w:tab w:leader="none" w:pos="1378" w:val="left"/>
        </w:tabs>
        <w:numPr>
          <w:ilvl w:val="0"/>
          <w:numId w:val="5"/>
        </w:numPr>
        <w:rPr>
          <w:rFonts w:ascii="Arial" w:cs="Arial" w:eastAsia="Arial" w:hAnsi="Arial"/>
          <w:sz w:val="17"/>
          <w:szCs w:val="17"/>
          <w:color w:val="auto"/>
        </w:rPr>
      </w:pPr>
      <w:r>
        <w:rPr>
          <w:rFonts w:ascii="Arial" w:cs="Arial" w:eastAsia="Arial" w:hAnsi="Arial"/>
          <w:sz w:val="17"/>
          <w:szCs w:val="17"/>
          <w:color w:val="auto"/>
        </w:rPr>
        <w:t>None of the Company or any of its subsidiaries or any of their respective Affiliates has taken or will take, directly or indirectly, any action designed to or that has constituted or that would reasonably be expected to cause or result, under the Exchange Act or otherwise, in stabilization or manipulation of the price of any security of the Company or any of its subsidiaries to facilitate the sale or resale of the Securities.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95" w:right="259" w:bottom="1440" w:gutter="0" w:footer="0" w:header="0"/>
        </w:sectPr>
      </w:pPr>
    </w:p>
    <w:bookmarkStart w:id="7" w:name="page8"/>
    <w:bookmarkEnd w:id="7"/>
    <w:p>
      <w:pPr>
        <w:ind w:left="-40" w:firstLine="656"/>
        <w:spacing w:after="0" w:line="271" w:lineRule="auto"/>
        <w:tabs>
          <w:tab w:leader="none" w:pos="1318" w:val="left"/>
        </w:tabs>
        <w:numPr>
          <w:ilvl w:val="0"/>
          <w:numId w:val="6"/>
        </w:numPr>
        <w:rPr>
          <w:rFonts w:ascii="Arial" w:cs="Arial" w:eastAsia="Arial" w:hAnsi="Arial"/>
          <w:sz w:val="17"/>
          <w:szCs w:val="17"/>
          <w:color w:val="auto"/>
        </w:rPr>
      </w:pPr>
      <w:r>
        <w:rPr>
          <w:rFonts w:ascii="Arial" w:cs="Arial" w:eastAsia="Arial" w:hAnsi="Arial"/>
          <w:sz w:val="17"/>
          <w:szCs w:val="17"/>
          <w:color w:val="auto"/>
        </w:rPr>
        <w:t>Each of the Company and its subsidiaries (i) has been duly organized and is validly existing as an entity in good standing under the laws of the jurisdiction in which it is chartered or organized, (ii) has full corporate or other organizational power and authority to own or lease, as the case may be, and to operate its properties and conduct its business as described in the Disclosure Package and the Prospectus, and (iii) is duly qualified to do business as a foreign corporation or other entity and is in good standing under the laws of each jurisdiction where the ownership or leasing of its properties or the conduct of its business requires such qualification except, in the case of its subsidiaries, and solely with respect to clause (iii), the Company, where the failure to be so organized or qualified, have such power or authority or be in good standing would not have a material adverse effect, or reasonably be expected to have a prospective material adverse effect, on the condition (financial or otherwise), business or results of operations of the Company and its subsidiaries, taken as a whole (a “Material Adverse Effect”).</w:t>
      </w:r>
    </w:p>
    <w:p>
      <w:pPr>
        <w:spacing w:after="0" w:line="232" w:lineRule="exact"/>
        <w:rPr>
          <w:rFonts w:ascii="Arial" w:cs="Arial" w:eastAsia="Arial" w:hAnsi="Arial"/>
          <w:sz w:val="17"/>
          <w:szCs w:val="17"/>
          <w:color w:val="auto"/>
        </w:rPr>
      </w:pPr>
    </w:p>
    <w:p>
      <w:pPr>
        <w:ind w:left="-40" w:right="200" w:firstLine="656"/>
        <w:spacing w:after="0" w:line="277" w:lineRule="auto"/>
        <w:tabs>
          <w:tab w:leader="none" w:pos="131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no “significant subsidiary,” as defined in Rule 1-02(w) of Regulation S-X under the Act, other than those subsidiaries listed on Schedule III (each, a “Significant Subsidiary”).</w:t>
      </w:r>
    </w:p>
    <w:p>
      <w:pPr>
        <w:spacing w:after="0" w:line="224" w:lineRule="exact"/>
        <w:rPr>
          <w:rFonts w:ascii="Arial" w:cs="Arial" w:eastAsia="Arial" w:hAnsi="Arial"/>
          <w:sz w:val="18"/>
          <w:szCs w:val="18"/>
          <w:color w:val="auto"/>
        </w:rPr>
      </w:pPr>
    </w:p>
    <w:p>
      <w:pPr>
        <w:ind w:left="-40" w:firstLine="656"/>
        <w:spacing w:after="0" w:line="269" w:lineRule="auto"/>
        <w:tabs>
          <w:tab w:leader="none" w:pos="1358"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of December 30, 2017, the Company and its subsidiaries had the issued and outstanding capitalization as set forth in Disclosure Package and the Prospectus under the heading “Capitalization”, and all the outstanding shares of capital stock or membership interests, as applicable, of the Company (including the Securities to be sold by the Selling Stockholders) and each subsidiary listed on Exhibit 21 of the Registration Statement have been duly authorized and validly issued, are fully paid and nonassessable, if applicable, and were not issued in violation of any preemptive or similar rights and, except as otherwise set forth in the Disclosure Package and the Prospectus, as of the Closing Date, all outstanding shares of capital stock or membership interests of the subsidiaries held by the Company are owned either directly or indirectly free and clear of any security interest, claim, lien or encumbrance (other than liens, encumbrances and restrictions imposed in connection with the first lien senior secured credit facilities (the “Credit Facilities”) or permitted under the Credit Facilities or by the Act). Except as disclosed in the Disclosure Package and the Prospectus, except in connection with equity investments by, or awards of stock options or other equity-based awards to, members of management or other employees of the Company, or any directors, contractors or agents of the Company, as described in the Disclosure Package and the Prospectus, there will be, on the Closing Date, no (i) outstanding options, warrants or other rights to purchase, (ii) agreements or other obligations to issue or (iii) other rights to convert any obligation into, or exchange any securities for, shares of capital stock of or ownership interests in the Company or any of its subsidiaries.</w:t>
      </w:r>
    </w:p>
    <w:p>
      <w:pPr>
        <w:spacing w:after="0" w:line="233" w:lineRule="exact"/>
        <w:rPr>
          <w:rFonts w:ascii="Arial" w:cs="Arial" w:eastAsia="Arial" w:hAnsi="Arial"/>
          <w:sz w:val="17"/>
          <w:szCs w:val="17"/>
          <w:color w:val="auto"/>
        </w:rPr>
      </w:pPr>
    </w:p>
    <w:p>
      <w:pPr>
        <w:ind w:left="1320" w:hanging="70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79" w:lineRule="exact"/>
        <w:rPr>
          <w:rFonts w:ascii="Arial" w:cs="Arial" w:eastAsia="Arial" w:hAnsi="Arial"/>
          <w:sz w:val="18"/>
          <w:szCs w:val="18"/>
          <w:color w:val="auto"/>
        </w:rPr>
      </w:pPr>
    </w:p>
    <w:p>
      <w:pPr>
        <w:ind w:left="-40" w:right="40" w:firstLine="656"/>
        <w:spacing w:after="0" w:line="255" w:lineRule="auto"/>
        <w:tabs>
          <w:tab w:leader="none" w:pos="1408"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consent, approval, authorization, filing with or order of any United States (or any political subdivision thereof) court or governmental agency or body, or to the knowledge of the Company, any non-United States court or governmental agency or body, in either case is required in connection with the execution, delivery and performance of this Agreement or the consummation of the transactions contemplated hereby, except (i) registration of the Securities under the Act, (ii) such as may be required under the blue sky laws of any jurisdiction in which the Securities are offered and sold in connection with the transactions contemplated hereby or under the Conduct Rules of the Financial Industry Regulatory Authority, Inc. (“FINRA”), (iii) filings with the Commission pursuant to Rule 424(b), (iv) filings with the Commission under the Exchange Act, or (v) as shall have been obtained or made prior to the Closing Date.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395" w:right="279" w:bottom="1440" w:gutter="0" w:footer="0" w:header="0"/>
        </w:sectPr>
      </w:pPr>
    </w:p>
    <w:bookmarkStart w:id="8" w:name="page9"/>
    <w:bookmarkEnd w:id="8"/>
    <w:p>
      <w:pPr>
        <w:ind w:left="-20" w:right="140" w:firstLine="656"/>
        <w:spacing w:after="0" w:line="290" w:lineRule="auto"/>
        <w:tabs>
          <w:tab w:leader="none" w:pos="1378" w:val="left"/>
        </w:tabs>
        <w:numPr>
          <w:ilvl w:val="0"/>
          <w:numId w:val="7"/>
        </w:numPr>
        <w:rPr>
          <w:rFonts w:ascii="Arial" w:cs="Arial" w:eastAsia="Arial" w:hAnsi="Arial"/>
          <w:sz w:val="16"/>
          <w:szCs w:val="16"/>
          <w:color w:val="auto"/>
        </w:rPr>
      </w:pPr>
      <w:r>
        <w:rPr>
          <w:rFonts w:ascii="Arial" w:cs="Arial" w:eastAsia="Arial" w:hAnsi="Arial"/>
          <w:sz w:val="16"/>
          <w:szCs w:val="16"/>
          <w:color w:val="auto"/>
        </w:rPr>
        <w:t>None of the consummation of the transactions contemplated hereby, nor the fulfillment of the terms hereof, will conflict with, result in a breach or violation of or imposition of any lien, charge or encumbrance upon any property or assets of the Company or any of its subsidiaries pursuant to (i) the terms of any indenture, contract, lease, mortgage, deed of trust, note agreement, loan agreement or other agreement, obligation, condition, covenant or instrument to which the Company or any of its subsidiaries is a party or bound or to which its or their property is subject; or (ii) any statute, law, rule, regulation, judgment, order or decree of any court, regulatory body, administrative agency, governmental body, arbitrator or other authority having jurisdiction over the Company or any of its subsidiaries or any of its or their properties, other than in the cases of clauses (i) and (ii), such breaches, violations, liens, charges, or encumbrances that would not reasonably be expected to, individually or in the aggregate, have a Material Adverse Effect; or result in the violation of the charter, bylaws or any equivalent organizational document of the Company or any of its subsidiaries.</w:t>
      </w:r>
    </w:p>
    <w:p>
      <w:pPr>
        <w:spacing w:after="0" w:line="220" w:lineRule="exact"/>
        <w:rPr>
          <w:rFonts w:ascii="Arial" w:cs="Arial" w:eastAsia="Arial" w:hAnsi="Arial"/>
          <w:sz w:val="16"/>
          <w:szCs w:val="16"/>
          <w:color w:val="auto"/>
        </w:rPr>
      </w:pPr>
    </w:p>
    <w:p>
      <w:pPr>
        <w:ind w:left="-20" w:right="20" w:firstLine="656"/>
        <w:spacing w:after="0" w:line="293" w:lineRule="auto"/>
        <w:tabs>
          <w:tab w:leader="none" w:pos="1378"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There is no contract or other document of a character required to be described in the Registration Statement or Prospectus, or to be filed as an exhibit thereto, which is not described or filed as required. The statements in (i) the Preliminary Prospectus and the Prospectus under the heading “Material United States Federal Income and Estate Tax Consequences to Non-U.S. Holders,” and (ii) the Company’s Annual Report on Form 10-K for the fiscal year ended December 30, 2017 (the “2017 10-K”), incorporated by reference into the Preliminary Prospectus and the Prospectus, under the headings “Business—Intellectual Property,” “Business—Government Regulation” and “Legal Proceedings”, insofar as such statements summarize legal matters, agreements, documents or proceedings discussed therein, are accurate and fair summaries of such legal matters, agreements, documents or proceedings.</w:t>
      </w:r>
    </w:p>
    <w:p>
      <w:pPr>
        <w:spacing w:after="0" w:line="218" w:lineRule="exact"/>
        <w:rPr>
          <w:rFonts w:ascii="Arial" w:cs="Arial" w:eastAsia="Arial" w:hAnsi="Arial"/>
          <w:sz w:val="16"/>
          <w:szCs w:val="16"/>
          <w:color w:val="auto"/>
        </w:rPr>
      </w:pPr>
    </w:p>
    <w:p>
      <w:pPr>
        <w:ind w:left="-20" w:right="200" w:firstLine="656"/>
        <w:spacing w:after="0" w:line="264" w:lineRule="auto"/>
        <w:tabs>
          <w:tab w:leader="none" w:pos="1378"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holders of securities of the Company have rights to the registration of such securities under the Registration Statement, other than as required by (i) the Registration Rights Agreement, dated as of March 13, 2014, among the Company and the stockholders party thereto and (ii) each management stockholder’s agreement between the Company and each stockholder party thereto.</w:t>
      </w:r>
    </w:p>
    <w:p>
      <w:pPr>
        <w:spacing w:after="0" w:line="235" w:lineRule="exact"/>
        <w:rPr>
          <w:rFonts w:ascii="Arial" w:cs="Arial" w:eastAsia="Arial" w:hAnsi="Arial"/>
          <w:sz w:val="18"/>
          <w:szCs w:val="18"/>
          <w:color w:val="auto"/>
        </w:rPr>
      </w:pPr>
    </w:p>
    <w:p>
      <w:pPr>
        <w:ind w:left="-20" w:firstLine="656"/>
        <w:spacing w:after="0" w:line="269" w:lineRule="auto"/>
        <w:tabs>
          <w:tab w:leader="none" w:pos="1378"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Except as set forth in the Disclosure Package and the Prospectus, the consolidated historical financial statements of the Company and its consolidated subsidiaries incorporated by reference in the Disclosure Package and the Prospectus present fairly in all material respects the consolidated financial position, results of operations and cash flows of the Company and its consolidated subsidiaries as of the dates and for the periods indicated and have been prepared in conformity with United States generally accepted accounting principles applied on a consistent basis throughout the periods involved (except as otherwise noted therein); the selected financial data set forth under the heading “Selected Financial Data” in the 2017 10-K incorporated by reference into the Disclosure Package and the Prospectus fairly presents in all material respects, on the basis stated in the 2017 10-K, the information included therein; and the summary historical financial data set forth under the heading “Prospectus Summary—Summary Historical Consolidated Financial and Other Data” in the Disclosure Package and the Prospectus fairly presents in all material respects, on the basis stated in the Disclosure Package and the Prospectus, the information included therein. The interactive data in eXtensible Business Reporting Language included or incorporated by reference as exhibits to the Registration Statement fairly present the information called for in all material respects and has been prepared in accordance with the Commission’s rules and guidelines applicable thereto.</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95" w:right="259" w:bottom="1440" w:gutter="0" w:footer="0" w:header="0"/>
        </w:sectPr>
      </w:pPr>
    </w:p>
    <w:bookmarkStart w:id="9" w:name="page10"/>
    <w:bookmarkEnd w:id="9"/>
    <w:p>
      <w:pPr>
        <w:ind w:right="120" w:firstLine="656"/>
        <w:spacing w:after="0" w:line="255" w:lineRule="auto"/>
        <w:tabs>
          <w:tab w:leader="none" w:pos="1368"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otherwise set forth therein, since the respective dates as of which information is given in the Disclosure Package or the Prospectus, (i) there has not occurred any material adverse change or development that could reasonably be expected to involve a prospective material adverse change, in the condition (financial or otherwise), business or results of operations of the Company and its subsidiaries, taken as a whole, (ii) there have been no transactions entered into by the Company or any of its subsidiaries, other than those in the ordinary course of business, which are material with respect to the Company and its subsidiaries, taken as a whole, and (iii) there has been no dividend or distribution of any kind declared, paid or made by the Company on any class of its capital stock.</w:t>
      </w:r>
    </w:p>
    <w:p>
      <w:pPr>
        <w:spacing w:after="0" w:line="247" w:lineRule="exact"/>
        <w:rPr>
          <w:rFonts w:ascii="Arial" w:cs="Arial" w:eastAsia="Arial" w:hAnsi="Arial"/>
          <w:sz w:val="18"/>
          <w:szCs w:val="18"/>
          <w:color w:val="auto"/>
        </w:rPr>
      </w:pPr>
    </w:p>
    <w:p>
      <w:pPr>
        <w:ind w:right="80" w:firstLine="656"/>
        <w:spacing w:after="0" w:line="257" w:lineRule="auto"/>
        <w:tabs>
          <w:tab w:leader="none" w:pos="1378"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set forth in or contemplated in the Disclosure Package and the Prospectus (exclusive of any supplement thereto), no action, suit, proceeding, investigation or audit by or before any court or governmental agency, authority or body or any arbitrator involving the Company or any of its subsidiaries or their respective property is pending or, to the knowledge of the Company, threatened or contemplated that (i) would reasonably be expected to have a material adverse effect on the performance of this Agreement or the consummation of any of the transactions contemplated hereby, or (ii) would reasonably be expected to have a Material Adverse Effect.</w:t>
      </w:r>
    </w:p>
    <w:p>
      <w:pPr>
        <w:spacing w:after="0" w:line="242" w:lineRule="exact"/>
        <w:rPr>
          <w:rFonts w:ascii="Arial" w:cs="Arial" w:eastAsia="Arial" w:hAnsi="Arial"/>
          <w:sz w:val="18"/>
          <w:szCs w:val="18"/>
          <w:color w:val="auto"/>
        </w:rPr>
      </w:pPr>
    </w:p>
    <w:p>
      <w:pPr>
        <w:ind w:right="60" w:firstLine="656"/>
        <w:spacing w:after="0" w:line="297" w:lineRule="auto"/>
        <w:tabs>
          <w:tab w:leader="none" w:pos="135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and its subsidiaries have good and marketable title in fee simple to all real property and good and marketable title to all personal property owned by them, in each case free and clear of all liens, encumbrances and defects except (i) pursuant to the Credit Facilities or as described in the Disclosure Package and the Prospectus or (ii) where failure to have such good and marketable title or free and clear title would not reasonably be expected to have a Material Adverse Effect; and any real property and buildings held under lease by the Company and its subsidiaries are held by them under valid, subsisting and enforceable leases with such exceptions as would not reasonably be expected to have a Material Adverse Effect.</w:t>
      </w:r>
    </w:p>
    <w:p>
      <w:pPr>
        <w:spacing w:after="0" w:line="212" w:lineRule="exact"/>
        <w:rPr>
          <w:rFonts w:ascii="Arial" w:cs="Arial" w:eastAsia="Arial" w:hAnsi="Arial"/>
          <w:sz w:val="16"/>
          <w:szCs w:val="16"/>
          <w:color w:val="auto"/>
        </w:rPr>
      </w:pPr>
    </w:p>
    <w:p>
      <w:pPr>
        <w:ind w:firstLine="656"/>
        <w:spacing w:after="0" w:line="291" w:lineRule="auto"/>
        <w:tabs>
          <w:tab w:leader="none" w:pos="1398"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none of the Company or any of its subsidiaries is in violation or default of (i) any provision of its charter, bylaws or any equivalent organizational document;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applicable to the Company or any its subsidiaries of any court, regulatory body, administrative agency, governmental body, arbitrator or other authority having jurisdiction over the Company, its subsidiaries or any of their respective properties, as applicable, other than in the cases of clauses (i) (if such entity is not the Company or a Significant Subsidiary), (ii) and (iii), such violations and defaults that would not reasonably be expected to have a Material Adverse Effect.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 w:name="page11"/>
    <w:bookmarkEnd w:id="10"/>
    <w:p>
      <w:pPr>
        <w:ind w:left="-80" w:right="140" w:firstLine="656"/>
        <w:spacing w:after="0" w:line="259" w:lineRule="auto"/>
        <w:tabs>
          <w:tab w:leader="none" w:pos="1318"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Deloitte &amp; Touche LLP, who has audited the consolidated financial statements of the Company as of December 30, 2017 and December 31, 2016 and for each of the three fiscal years in the period ended December 30, 2017 incorporated by reference in the Disclosure Package and the Prospectus, are independent registered public accountants with respect to the Company within the meaning of the Exchange Act and the rules of the Public Company Accounting Oversight Board.</w:t>
      </w:r>
    </w:p>
    <w:p>
      <w:pPr>
        <w:spacing w:after="0" w:line="240" w:lineRule="exact"/>
        <w:rPr>
          <w:rFonts w:ascii="Arial" w:cs="Arial" w:eastAsia="Arial" w:hAnsi="Arial"/>
          <w:sz w:val="18"/>
          <w:szCs w:val="18"/>
          <w:color w:val="auto"/>
        </w:rPr>
      </w:pPr>
    </w:p>
    <w:p>
      <w:pPr>
        <w:jc w:val="both"/>
        <w:ind w:left="-80" w:firstLine="656"/>
        <w:spacing w:after="0" w:line="297" w:lineRule="auto"/>
        <w:tabs>
          <w:tab w:leader="none" w:pos="1358"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the Company and its subsidiaries (i) have filed all non-U.S., U.S. federal, state and local tax returns that are required to be filed or have requested extensions thereof except in any case in which the failure so to file would not reasonably be expected to have a Material Adverse Effect and (ii) have paid all taxes required to be paid by them and any other tax assessment, fine or penalty levied against them, to the extent that any of the foregoing is due and payable, except for any such tax, tax assessment, fine or penalty that is currently being contested in good faith or as would not reasonably be expected to have a Material Adverse Effect.</w:t>
      </w:r>
    </w:p>
    <w:p>
      <w:pPr>
        <w:spacing w:after="0" w:line="212" w:lineRule="exact"/>
        <w:rPr>
          <w:rFonts w:ascii="Arial" w:cs="Arial" w:eastAsia="Arial" w:hAnsi="Arial"/>
          <w:sz w:val="16"/>
          <w:szCs w:val="16"/>
          <w:color w:val="auto"/>
        </w:rPr>
      </w:pPr>
    </w:p>
    <w:p>
      <w:pPr>
        <w:jc w:val="both"/>
        <w:ind w:left="-80" w:right="40" w:firstLine="656"/>
        <w:spacing w:after="0" w:line="264" w:lineRule="auto"/>
        <w:tabs>
          <w:tab w:leader="none" w:pos="131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are no transfer taxes or other similar fees or charges under federal law or the laws of any state, or any political subdivision thereof, required to be paid by the Company in connection with the execution and delivery of this Agreement or the sale by the Selling Stockholders of the Securities to the Underwriters.</w:t>
      </w:r>
    </w:p>
    <w:p>
      <w:pPr>
        <w:spacing w:after="0" w:line="235" w:lineRule="exact"/>
        <w:rPr>
          <w:rFonts w:ascii="Arial" w:cs="Arial" w:eastAsia="Arial" w:hAnsi="Arial"/>
          <w:sz w:val="18"/>
          <w:szCs w:val="18"/>
          <w:color w:val="auto"/>
        </w:rPr>
      </w:pPr>
    </w:p>
    <w:p>
      <w:pPr>
        <w:ind w:left="-80" w:right="440" w:firstLine="656"/>
        <w:spacing w:after="0" w:line="264" w:lineRule="auto"/>
        <w:tabs>
          <w:tab w:leader="none" w:pos="1318"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labor problem or dispute with the employees of the Company or any of its subsidiaries exists or to the Company’s knowledge, is threatened, and the Company is unaware of any existing labor problem or dispute, that, in each case, would reasonably be expected to have a Material Adverse Effect.</w:t>
      </w:r>
    </w:p>
    <w:p>
      <w:pPr>
        <w:spacing w:after="0" w:line="235" w:lineRule="exact"/>
        <w:rPr>
          <w:rFonts w:ascii="Arial" w:cs="Arial" w:eastAsia="Arial" w:hAnsi="Arial"/>
          <w:sz w:val="18"/>
          <w:szCs w:val="18"/>
          <w:color w:val="auto"/>
        </w:rPr>
      </w:pPr>
    </w:p>
    <w:p>
      <w:pPr>
        <w:ind w:left="-80" w:right="360" w:firstLine="656"/>
        <w:spacing w:after="0" w:line="277" w:lineRule="auto"/>
        <w:tabs>
          <w:tab w:leader="none" w:pos="130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and its subsidiaries, taken as a whole, are insured against such losses and risks and in such amounts as are prudent and customary in the businesses in which they are engaged or as required by law.</w:t>
      </w:r>
    </w:p>
    <w:p>
      <w:pPr>
        <w:spacing w:after="0" w:line="224" w:lineRule="exact"/>
        <w:rPr>
          <w:sz w:val="20"/>
          <w:szCs w:val="20"/>
          <w:color w:val="auto"/>
        </w:rPr>
      </w:pPr>
    </w:p>
    <w:p>
      <w:pPr>
        <w:ind w:left="-80" w:right="40" w:firstLine="656"/>
        <w:spacing w:after="0" w:line="272" w:lineRule="auto"/>
        <w:tabs>
          <w:tab w:leader="none" w:pos="1388"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subsidiary of the Company is prohibited, directly or indirectly, from paying any dividends to the Company or any other subsidiary (except as may be limited by applicable state or foreign corporation, limited liability company, limited partnership, partnership, insurance or other applicable regulatory law), from making any other distribution on such subsidiary’s capital stock or membership interests (except as may be limited by applicable state or foreign corporation, limited liability company, limited partnership, partnership, insurance or other applicable regulatory law), from repaying to the Company or any other subsidiary any loans or advances to such subsidiary from the Company or any other subsidiary or from transferring any of such subsidiary’s property or assets to the Company or any other subsidiary of the Company, except as described in the Disclosure Package and the Prospectus (exclusive of any supplement thereto) or contemplated pursuant to the Credit Facilities.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320" w:top="395" w:right="319" w:bottom="1440" w:gutter="0" w:footer="0" w:header="0"/>
        </w:sectPr>
      </w:pPr>
    </w:p>
    <w:bookmarkStart w:id="11" w:name="page12"/>
    <w:bookmarkEnd w:id="11"/>
    <w:p>
      <w:pPr>
        <w:ind w:right="160" w:firstLine="656"/>
        <w:spacing w:after="0" w:line="293" w:lineRule="auto"/>
        <w:tabs>
          <w:tab w:leader="none" w:pos="1488"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(i) the Company and its subsidiaries possess all licenses, certificates, permits and other authorizations issued by the appropriate U.S. federal, state or non-U.S. regulatory authorities necessary to conduct their respective businesses, except where the failure to possess such licenses, certificates, permits and other authorizations would not reasonably be expected to have a Material Adverse Effect, and (ii) none of the Company or any of its subsidiaries has received any notice of proceedings relating to the revocation or modification of any such certificate, authorization or permit that, individually or in the aggregate, if the subject of an unfavorable decision, ruling or finding, would reasonably be expected to have a Material Adverse Effect.</w:t>
      </w:r>
    </w:p>
    <w:p>
      <w:pPr>
        <w:spacing w:after="0" w:line="218" w:lineRule="exact"/>
        <w:rPr>
          <w:rFonts w:ascii="Arial" w:cs="Arial" w:eastAsia="Arial" w:hAnsi="Arial"/>
          <w:sz w:val="16"/>
          <w:szCs w:val="16"/>
          <w:color w:val="auto"/>
        </w:rPr>
      </w:pPr>
    </w:p>
    <w:p>
      <w:pPr>
        <w:ind w:firstLine="656"/>
        <w:spacing w:after="0" w:line="271" w:lineRule="auto"/>
        <w:tabs>
          <w:tab w:leader="none" w:pos="146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and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the Preliminary Prospectus and the Prospectus is in compliance with the Commission’s published rules, regulations and guidelines applicable thereto. Except as set forth in the Disclosure Package and the Prospectus, the Company is not aware of any material weakness in the Company and its subsidiaries’ internal controls over financial reporting.</w:t>
      </w:r>
    </w:p>
    <w:p>
      <w:pPr>
        <w:spacing w:after="0" w:line="232" w:lineRule="exact"/>
        <w:rPr>
          <w:rFonts w:ascii="Arial" w:cs="Arial" w:eastAsia="Arial" w:hAnsi="Arial"/>
          <w:sz w:val="17"/>
          <w:szCs w:val="17"/>
          <w:color w:val="auto"/>
        </w:rPr>
      </w:pPr>
    </w:p>
    <w:p>
      <w:pPr>
        <w:ind w:right="320" w:firstLine="656"/>
        <w:spacing w:after="0" w:line="277" w:lineRule="auto"/>
        <w:tabs>
          <w:tab w:leader="none" w:pos="148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its subsidiaries maintain “disclosure controls and procedures” (as such term is defined in Rule 13a-15(e) under the Exchange Act); such disclosure controls and procedures are effective.</w:t>
      </w:r>
    </w:p>
    <w:p>
      <w:pPr>
        <w:spacing w:after="0" w:line="224" w:lineRule="exact"/>
        <w:rPr>
          <w:rFonts w:ascii="Arial" w:cs="Arial" w:eastAsia="Arial" w:hAnsi="Arial"/>
          <w:sz w:val="18"/>
          <w:szCs w:val="18"/>
          <w:color w:val="auto"/>
        </w:rPr>
      </w:pPr>
    </w:p>
    <w:p>
      <w:pPr>
        <w:ind w:firstLine="656"/>
        <w:spacing w:after="0" w:line="289" w:lineRule="auto"/>
        <w:tabs>
          <w:tab w:leader="none" w:pos="1468"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the Company and its subsidiaries (i) are in compliance with any and all applicable non-U.S., U.S. federal, state and local laws and regulations relating to the protection of human health and safety (as such is affected by hazardous or toxic substances or wastes (including, without limitation, medical waste), pollutants or contaminants), or of the environment or the release of hazardous or toxic substances or wastes, pollutants or contaminants (“Environmental Laws”); (ii) have received and are in compliance with all permits, licenses or other approvals required of them under applicable Environmental Laws to conduct their respective businesses; (iii) have not received notice of any actual or potential liability under any Environmental Law; and (iv) have not been named as a “potentially responsible party” under the Comprehensive Environmental Response, Compensation, and Liability Act of 1980, as amended, except where such non-compliance with Environmental Laws, failure to receive or comply with such required permits, licenses or other approvals, such liability or status as a potentially responsible party would not reasonably be expected to, individually or in the aggregate, have a Material Adverse Effect.</w:t>
      </w:r>
    </w:p>
    <w:p>
      <w:pPr>
        <w:spacing w:after="0" w:line="220" w:lineRule="exact"/>
        <w:rPr>
          <w:rFonts w:ascii="Arial" w:cs="Arial" w:eastAsia="Arial" w:hAnsi="Arial"/>
          <w:sz w:val="16"/>
          <w:szCs w:val="16"/>
          <w:color w:val="auto"/>
        </w:rPr>
      </w:pPr>
    </w:p>
    <w:p>
      <w:pPr>
        <w:jc w:val="both"/>
        <w:ind w:right="20" w:firstLine="656"/>
        <w:spacing w:after="0" w:line="264" w:lineRule="auto"/>
        <w:tabs>
          <w:tab w:leader="none" w:pos="14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established or maintains a “pension plan” (as defined in Section 3(2) of the Employee Retirement Income Security Act of 1974, as amended (“ERISA”)) that is subject to Title IV of ERISA or Section 412 or Section 4971 of the Internal Revenue Code of 1986, as amended (the “Code”).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 w:name="page13"/>
    <w:bookmarkEnd w:id="12"/>
    <w:p>
      <w:pPr>
        <w:ind w:left="-20" w:firstLine="656"/>
        <w:spacing w:after="0" w:line="268" w:lineRule="auto"/>
        <w:tabs>
          <w:tab w:leader="none" w:pos="146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and its subsidiaries own, possess, license or have other rights to use all patents, trademarks and service marks, trade names, copyrights, domain names (in each case including all registrations and applications to register same), inventions, trade secrets, technology, know-how and other intellectual property (collectively, the “Intellectual Property”) necessary for the conduct of their respective businesses as now conducted or as proposed in the Disclosure Package and the Prospectus to be conducted, except where the failure to own, possess, license or otherwise have such rights would not reasonably be expected to have a Material Adverse Effect. Except as set forth in the Disclosure Package and the Prospectus, or except as would not reasonably be expected to have a Material Adverse Effect, (i) the Company and its subsidiaries own, or have rights to use under license or otherwise, all such Intellectual Property free and clear in all respects of all adverse claims, liens or other encumbrances, except for claims, liens or other encumbrances pursuant to the Credit Facilities; (ii) to the knowledge of the Company, there is no infringement by third parties of any such Intellectual Property; (iii) there is no pending or, to the Company’s knowledge, threatened action, suit, proceeding or claim by any third party challenging the Company’s or its subsidiaries’ rights in or to any such Intellectual Property; (iv) there is no pending or, to the Company’s knowledge, threatened action, suit, proceeding or claim by any third party challenging the validity, scope or enforceability of any such Intellectual Property; and (v) there is no pending or, to the Company’s knowledge, threatened action, suit, proceeding or claim by any third party that the Company or any of its subsidiaries infringes or otherwise violates any patent, trademark, copyright, trade secret or other proprietary rights of any third party.</w:t>
      </w:r>
    </w:p>
    <w:p>
      <w:pPr>
        <w:spacing w:after="0" w:line="241" w:lineRule="exact"/>
        <w:rPr>
          <w:rFonts w:ascii="Arial" w:cs="Arial" w:eastAsia="Arial" w:hAnsi="Arial"/>
          <w:sz w:val="17"/>
          <w:szCs w:val="17"/>
          <w:color w:val="auto"/>
        </w:rPr>
      </w:pPr>
    </w:p>
    <w:p>
      <w:pPr>
        <w:ind w:left="1480" w:hanging="844"/>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20" w:right="120" w:firstLine="656"/>
        <w:spacing w:after="0" w:line="264" w:lineRule="auto"/>
        <w:tabs>
          <w:tab w:leader="none" w:pos="13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is and has been no failure on the part of the Company and any of the Company’s directors or officers, in their capacities as such, to comply with any provision of the Sarbanes-Oxley Act of 2002, as amended, and the rules and regulations promulgated in connection therewith (the “Sarbanes-Oxley Act”), including Section 402 relating to loans and Sections 302 and 906 relating to certifications.</w:t>
      </w:r>
    </w:p>
    <w:p>
      <w:pPr>
        <w:spacing w:after="0" w:line="235" w:lineRule="exact"/>
        <w:rPr>
          <w:rFonts w:ascii="Arial" w:cs="Arial" w:eastAsia="Arial" w:hAnsi="Arial"/>
          <w:sz w:val="18"/>
          <w:szCs w:val="18"/>
          <w:color w:val="auto"/>
        </w:rPr>
      </w:pPr>
    </w:p>
    <w:p>
      <w:pPr>
        <w:ind w:left="-20" w:right="160" w:firstLine="656"/>
        <w:spacing w:after="0" w:line="264" w:lineRule="auto"/>
        <w:tabs>
          <w:tab w:leader="none" w:pos="13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Act and Section 21E of the Exchange Act) or presentation of market-related or statistical data contained, or incorporated by reference, in the Disclosure Package or the Prospectus has been made or reaffirmed without a reasonable basis or has been disclosed other than in good faith.</w:t>
      </w:r>
    </w:p>
    <w:p>
      <w:pPr>
        <w:spacing w:after="0" w:line="235" w:lineRule="exact"/>
        <w:rPr>
          <w:rFonts w:ascii="Arial" w:cs="Arial" w:eastAsia="Arial" w:hAnsi="Arial"/>
          <w:sz w:val="18"/>
          <w:szCs w:val="18"/>
          <w:color w:val="auto"/>
        </w:rPr>
      </w:pPr>
    </w:p>
    <w:p>
      <w:pPr>
        <w:ind w:left="-20" w:right="40" w:firstLine="656"/>
        <w:spacing w:after="0" w:line="255" w:lineRule="auto"/>
        <w:tabs>
          <w:tab w:leader="none" w:pos="14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applicable money laundering statutes of all jurisdictions, the rules and regulations thereunder and any related or similar rules, regulations or guidelines, issued, administered or enforced by a governmental entity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13" w:name="page14"/>
    <w:bookmarkEnd w:id="13"/>
    <w:p>
      <w:pPr>
        <w:ind w:left="-20" w:right="240" w:firstLine="656"/>
        <w:spacing w:after="0" w:line="302" w:lineRule="auto"/>
        <w:tabs>
          <w:tab w:leader="none" w:pos="1388"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None of the Company, any of its subsidiaries or, to the knowledge of the Company, any director, officer or controlled Affiliate of the Company or any of its subsidiaries is currently subject to any sanctions administered by the Office of Foreign Assets Control of the Department of the U.S. Treasury, the U.S. Department of State, the United Nations Security Council, the European Union, Her Majesty’s Treasury, or other relevant sanctions authority (collectively, the “Sanctions”), nor is the Company located, organized or resident in a country or territory that is the subject of Sanctions.</w:t>
      </w:r>
    </w:p>
    <w:p>
      <w:pPr>
        <w:spacing w:after="0" w:line="208" w:lineRule="exact"/>
        <w:rPr>
          <w:rFonts w:ascii="Arial" w:cs="Arial" w:eastAsia="Arial" w:hAnsi="Arial"/>
          <w:sz w:val="16"/>
          <w:szCs w:val="16"/>
          <w:color w:val="auto"/>
        </w:rPr>
      </w:pPr>
    </w:p>
    <w:p>
      <w:pPr>
        <w:ind w:left="-20" w:firstLine="656"/>
        <w:spacing w:after="0" w:line="289" w:lineRule="auto"/>
        <w:tabs>
          <w:tab w:leader="none" w:pos="1568"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agent, employee, controlled Affiliate or other person acting on behalf of the Company or any of its subsidiaries has taken any action, directly or indirectly, that would result in a violation by such persons of the Foreign Corrupt Practices Act of 1977, as amended, and the rules and regulations thereunder (the “FCPA”) the U.K. Bribery Act of 2010 or any other applicable anti-corruption law (collectively, “Anti-Corruption Laws”), including, without limitation, making use of the mails or any means or instrumentality of interstate commerce corruptly in furtherance of an offer, payment, promise to pay or authorization of the payment of any money, or offer, gift, promise to give, or authorization of the giving of anything of value to any “foreign official” (as such term is defined in the FCPA) or any foreign political party or official thereof or any candidate for foreign political office, in contravention of any Anti-Corruption Laws; and the Company has, and, to the Company’s knowledge, its subsidiaries have conducted their businesses in compliance with the Anti-Corruption Laws and have instituted and maintain policies and procedures reasonably designed to ensure, and which are reasonably expected to continue to ensure, continued compliance therewith.</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14" w:name="page15"/>
    <w:bookmarkEnd w:id="14"/>
    <w:p>
      <w:pPr>
        <w:ind w:left="-40" w:firstLine="656"/>
        <w:spacing w:after="0" w:line="283" w:lineRule="auto"/>
        <w:tabs>
          <w:tab w:leader="none" w:pos="1448"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Except as described in the Disclosure Package and the Prospectus, each of the Company and its subsidiaries is and, since January 1, 2015, has been, in material compliance with all applicable Health Care Laws, and, since January 1, 2015, has not engaged in activities which could reasonably provide, as applicable, cause for false claims liability, material civil penalties or mandatory or permissive exclusion from Medicare, Medicaid or any other state or federal health care program, except for any liability, penalty or exclusion which would not reasonably be expected to have a Material Adverse Effect. In addition, the Company has no knowledge that any Managed Practice (x) is not and, since January 1, 2015, has not been, in compliance with all applicable Health Care Laws and (y) since January 1, 2015, has engaged in activities which could reasonably provide, as applicable, cause for false claims liability, material civil penalties or mandatory or permissive exclusion from Medicare, Medicaid or any other state or federal health care program, except in each case, (i) as described in the Disclosure Package and the Prospectus or (ii) any of the circumstances described in (x) or (y) which would not reasonably be expected to have a material adverse effect on ability of such Managed Practice to engage in business. The term “Managed Practice” shall mean any person or entity providing optometry or ophthalmology services that is not a Company subsidiary to which the Company or any of its subsidiaries provides administrative or support services. The term “Health Care Laws” shall mean any applicable federal, state, local or foreign statute, law, rule, guidance, regulation, ordinance, code, policy or rule of common law or any judicial or administrative interpretation thereof, including any judicial or administrative order, consent, decree or judgment, relating to healthcare, including, without limitation: (i) the Federal Food, Drug, and Cosmetic Act (21 U.S.C. §§ 301 et seq.) and the regulations promulgated thereunder; (ii) all applicable healthcare related fraud and abuse laws, including, the U.S. Anti-Kickback Statute (42 U.S.C. Section 1320a-7b(b)), the Ethics in Patient Referrals Act (the Stark Law), 42 U.S.C. § 1395nn; the U.S. Physician Payment Sunshine Act (42 U.S.C. § 1320a-7h), the U.S. Civil False Claims Act (31 U.S.C. Section 3729 et seq.), the criminal False Claims Law (42 U.S.C. § 1320a-7b(a)), all criminal laws relating to health care fraud and abuse, including but not limited to 18 U.S.C. Sections 286 and 287, the Program Fraud Civil Remedies Act, 31 U.S.C. §§ 3801-3812; and the health care fraud criminal provisions under the U.S. Health Insurance Portability and Accountability Act of 1996 (“HIPAA”) (42 U.S.C. Section 1320d et seq.), the exclusion laws (42 U.S.C. § 1320a-7), the civil monetary penalties law (42 U.S.C. § 1320a-7a), HIPAA, as amended by the Health Information Technology for Economic and Clinical Health Act (42 U.S.C. Section 17921 et seq.), and the regulations promulgated pursuant to such statutes, each as amended from time to time; (iii) Medicare (Title XVIII of the Social Security Act), Medicaid (Title XIX of the Social Security Act), and TRICARE, 10 U.S.C. § 1071 et seq.; and (iv) all other applicable federal or state health care laws and regulations applicable to the Company or any of its subsidiaries, including but not limited to data privacy and security, corporate practice of medicine or optometry, fee splitting, anti-kickback or self-referral, managed care organizations or health plans, third-party administrators, conditions for participation, regulatory and reimbursement, and consumer protection laws and regulations. Except as described in the Disclosure Package and the Prospectus, neither the Company nor any subsidiary has received notice of any claim, action, suit, proceeding, hearing, enforcement, investigation, arbitration or other action from any court or arbitrator or governmental or regulatory authority or third party alleging that any product, service, operation or activity is in violation of any Health Care Laws, and no such claim, action, suit, proceeding, hearing, enforcement, investigation, arbitration or other action is, to the Company’s knowledge, threatened, except in each case, for such claim, action, suit, proceeding, hearing, enforcement, investigation, arbitration or other action which would not reasonably be expected to have a Material Adverse Effect. Except as described in the Disclosure Package and the Prospectus, neither the Company nor any subsidiary is a party to or has any ongoing reporting obligations pursuant to any corporate integrity agreements, deferred prosecution agreements, monitoring agreements, consent decrees, settlement orders, plans of correction or similar agreements with or imposed by the Food and Drug Administration of the U.S. Department of Health and Human Services or any committee thereof or from any other U.S. or foreign government regulatory agency, or health care facility Institutional Review Board or other governmental or regulatory authority, except in each case, for such agreement, decree, order or obligation which would not reasonably be expected to have a Material Adverse Effect. Additionally, except as described in the Disclosure Package and the Prospectus, none of the Company, its subsidiaries, or any of their respective officers, directors or employees have been excluded, suspended or debarred from participation in any government health care program or, to the knowledge of the Company, is subject to a governmental inquiry, investigation, proceeding, or other similar action that could reasonably be expected to result in debarment, suspension, or exclusion, except for such exclusion, suspension or debarment which would not reasonably be expected to have a Material Adverse Effect.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395" w:right="259" w:bottom="1440" w:gutter="0" w:footer="0" w:header="0"/>
        </w:sectPr>
      </w:pPr>
    </w:p>
    <w:bookmarkStart w:id="15" w:name="page16"/>
    <w:bookmarkEnd w:id="15"/>
    <w:p>
      <w:pPr>
        <w:ind w:firstLine="656"/>
        <w:spacing w:after="0" w:line="286" w:lineRule="auto"/>
        <w:tabs>
          <w:tab w:leader="none" w:pos="1488"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Each of the Company and its subsidiaries has, since January 1, 2015, materially complied, and is presently in material compliance with, their privacy policies and other legal and contractual obligations regarding the collection, use, transfer, storage, protection, disposal and disclosure by each of the Company and its subsidiaries of personally identifiable information and/or any other information collected from or provided by third parties. In addition, the Company has no knowledge that any Managed Practice, since January 1, 2015, has not complied, and is not presently in compliance with, its privacy policies and other legal and contractual obligations regarding the collection, use, transfer, storage, protection, disposal and disclosure by such Managed Practice of personally identifiable information and/or any other information collected from or provided by third parties, except in each case, (i) as described in the Disclosure Package and the Prospectus or (ii) for non-compliance which would not reasonably be expected to have a material adverse effect on ability of such Managed Practice to engage in business. Each of the Company and its subsidiaries has taken commercially reasonable steps to protect the information technology systems and data used in connection with the operation of the Company and its subsidiaries. The Company and its subsidiaries have used commercially reasonable efforts to establish, and have, since January 1, 2015, established, commercially reasonable disaster recovery and security plans, procedures and facilities for each of their businesses, including, without limitation, for the information technology systems and data held or used by or on behalf of or for the Company and its subsidiaries. Neither the Company nor its subsidiaries has experienced a security breach or other compromise of, or relating to, any such information technology system or data requiring notice to any third party under applicable state or federal law.</w:t>
      </w:r>
    </w:p>
    <w:p>
      <w:pPr>
        <w:spacing w:after="0" w:line="228" w:lineRule="exact"/>
        <w:rPr>
          <w:rFonts w:ascii="Arial" w:cs="Arial" w:eastAsia="Arial" w:hAnsi="Arial"/>
          <w:sz w:val="16"/>
          <w:szCs w:val="16"/>
          <w:color w:val="auto"/>
        </w:rPr>
      </w:pPr>
    </w:p>
    <w:p>
      <w:pPr>
        <w:ind w:right="680" w:firstLine="656"/>
        <w:spacing w:after="0" w:line="277" w:lineRule="auto"/>
        <w:tabs>
          <w:tab w:leader="none" w:pos="14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does not have any debt securities outstanding that have been rated by any “nationally recognized statistical rating organization” as defined in Section 3(a)(62) of the Exchange Act.</w:t>
      </w:r>
    </w:p>
    <w:p>
      <w:pPr>
        <w:spacing w:after="0" w:line="197" w:lineRule="exact"/>
        <w:rPr>
          <w:sz w:val="20"/>
          <w:szCs w:val="20"/>
          <w:color w:val="auto"/>
        </w:rPr>
      </w:pPr>
    </w:p>
    <w:p>
      <w:pPr>
        <w:ind w:right="280" w:firstLine="1297"/>
        <w:spacing w:after="0" w:line="342" w:lineRule="auto"/>
        <w:rPr>
          <w:sz w:val="20"/>
          <w:szCs w:val="20"/>
          <w:color w:val="auto"/>
        </w:rPr>
      </w:pPr>
      <w:r>
        <w:rPr>
          <w:rFonts w:ascii="Arial" w:cs="Arial" w:eastAsia="Arial" w:hAnsi="Arial"/>
          <w:sz w:val="16"/>
          <w:szCs w:val="16"/>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178" w:lineRule="exact"/>
        <w:rPr>
          <w:sz w:val="20"/>
          <w:szCs w:val="20"/>
          <w:color w:val="auto"/>
        </w:rPr>
      </w:pPr>
    </w:p>
    <w:p>
      <w:pPr>
        <w:ind w:right="80" w:firstLine="656"/>
        <w:spacing w:after="0" w:line="277" w:lineRule="auto"/>
        <w:tabs>
          <w:tab w:leader="none" w:pos="1323"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Selling Stockholders.</w:t>
      </w:r>
      <w:r>
        <w:rPr>
          <w:rFonts w:ascii="Arial" w:cs="Arial" w:eastAsia="Arial" w:hAnsi="Arial"/>
          <w:sz w:val="18"/>
          <w:szCs w:val="18"/>
          <w:color w:val="auto"/>
        </w:rPr>
        <w:t xml:space="preserve"> Each Selling Stockholder represents, warrants and covenants to the Company and the Underwriters, severally and not jointly, as follows:</w:t>
      </w:r>
    </w:p>
    <w:p>
      <w:pPr>
        <w:spacing w:after="0" w:line="224" w:lineRule="exact"/>
        <w:rPr>
          <w:sz w:val="20"/>
          <w:szCs w:val="20"/>
          <w:color w:val="auto"/>
        </w:rPr>
      </w:pPr>
    </w:p>
    <w:p>
      <w:pPr>
        <w:ind w:left="1400" w:hanging="744"/>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or on behalf of such Selling Stockholder.</w:t>
      </w:r>
    </w:p>
    <w:p>
      <w:pPr>
        <w:spacing w:after="0" w:line="279" w:lineRule="exact"/>
        <w:rPr>
          <w:rFonts w:ascii="Arial" w:cs="Arial" w:eastAsia="Arial" w:hAnsi="Arial"/>
          <w:sz w:val="18"/>
          <w:szCs w:val="18"/>
          <w:color w:val="auto"/>
        </w:rPr>
      </w:pPr>
    </w:p>
    <w:p>
      <w:pPr>
        <w:ind w:right="80" w:firstLine="656"/>
        <w:spacing w:after="0" w:line="288" w:lineRule="auto"/>
        <w:tabs>
          <w:tab w:leader="none" w:pos="1398"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such Selling Stockholder is a Management Selling Stockholder, (i) book-entry entitlements representing all of the Securities to be sold by such Management Selling Stockholder hereunder have been placed in custody under a Custody Agreement, in the form heretofore furnished to you (the “Custody Agreement”), duly executed and delivered by such Management Selling Stockholder to Computershare Trust Company, N.A., as custodian (the “Custodian”), (ii) such Management Selling Stockholder shall have duly executed and delivered a Stock Power relating to the Underwritten Securities to be sold by such Management Selling Stockholder (the “Stock Power”), and (iii) such Management Selling Stockholder shall have duly executed and delivered a Power of Attorney, in the form heretofore furnished to you (the “Power of Attorney”), appointing Mitchell Goodman and Jared Brandman, and each of them, as such Management’s Selling Stockholder’s attorneys-in-fact (the “Attorneys-in-Fact”) with authority to execute and deliver this Agreement on behalf of such Management Selling Stockholder, to determine the purchase price to be paid by the Underwriters to the Selling Stockholders as provided in Section 3 hereof, to authorize the delivery of the Securities to be sold by such Management Selling Stockholder hereunder and otherwise to act on behalf of such Management Selling Stockholder in connection with the transactions contemplated by this Agreement and the Custody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6" w:name="page17"/>
    <w:bookmarkEnd w:id="16"/>
    <w:p>
      <w:pPr>
        <w:ind w:left="-60" w:firstLine="656"/>
        <w:spacing w:after="0" w:line="269" w:lineRule="auto"/>
        <w:tabs>
          <w:tab w:leader="none" w:pos="13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Upon payment for the Underwritten Securities to be sold by such Selling Stockholders pursuant to this Agreement, delivery of such Underwritten Securities, as directed by the Representatives, to Cede &amp; Co. (“Cede”) or such other nominee as may be designated by The Depository Trust Company (“DTC”), registration of such Underwritten Securities in the name of Cede or such other nominee and the crediting of such Shares on the books of DTC to the securities account of the Underwriters (assuming that neither DTC nor the Underwriters has notice of any adverse claim (within the meaning of Section 8-105 of the New York Uniform Commercial Code (the “UCC”)) to such Shares), (A) DTC shall be a “protected purchaser” of such Underwritten Securities within the meaning of Section 8-303 of the UCC, (B) under Section 8-501 of the UCC, the Underwriters will acquire a valid security entitlement in respect of such Underwritten Securities and (C) no action based on any “adverse claim”, within the meaning of Section 8-102 of the UCC, to such Underwritten Securities may be asserted against the Underwriters with respect to such security entitlement; for purposes of this representation, such Selling Stockholder may assume that when such payment, delivery and crediting occur, (x) such Underwritten Securities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entry to the account of the Underwriters on the records of DTC will have been made pursuant to the UCC.</w:t>
      </w:r>
    </w:p>
    <w:p>
      <w:pPr>
        <w:spacing w:after="0" w:line="233" w:lineRule="exact"/>
        <w:rPr>
          <w:rFonts w:ascii="Arial" w:cs="Arial" w:eastAsia="Arial" w:hAnsi="Arial"/>
          <w:sz w:val="17"/>
          <w:szCs w:val="17"/>
          <w:color w:val="auto"/>
        </w:rPr>
      </w:pPr>
    </w:p>
    <w:p>
      <w:pPr>
        <w:ind w:left="-60" w:firstLine="656"/>
        <w:spacing w:after="0" w:line="268" w:lineRule="auto"/>
        <w:tabs>
          <w:tab w:leader="none" w:pos="1338"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execution and delivery by such Selling Stockholder, or such Selling Stockholder’s Attorneys-in-Fact, as applicable, of, and the performance by such Selling Stockholder of its obligations under, this Agreement, and, if such Selling Stockholder is a Management Selling Stockholder, the Power of Attorney, the Custody Agreement and Stock Power, will not contravene or conflict with, result in a breach of, or constitute a default (or, with the giving of notice or lapse of time, would be in default) under, or require the consent of any other party to, (i) in the case of the KKR Selling Stockholder, the limited partnership agreement of the KKR Selling Stockholder, (ii) in the case of each Berkshire Selling Stockholder, the limited partnership agreement or limited liability company agreement, as the case may be, of such Selling Stockholder, (iii) any other agreement or instrument to which such Selling Stockholder is a party or by which it is bound or (iv) any provision of applicable law or any judgment, order, decree or regulation applicable to such Selling Stockholder of any court, regulatory body, administrative agency, governmental body or arbitrator having jurisdiction over such Selling Stockholder, except, in the case of the foregoing clauses (iii) and (iv) as would not, individually or in the aggregate, reasonably be expected to materially impact such Selling Stockholder’s ability to perform its obligations under this Agreement. No consent, approval, authorization or other order of, or registration or filing with, any court or other governmental authority or agency, is required for the consummation by such Selling Stockholder of the transactions contemplated in this Agreement or, if such Selling Stockholder is a Management Selling Stockholder, under the Power of Attorney, the Custody Agreement and the Stock Power, except such as may be required under the Securities Act, applicable state securities or blue sky laws and from the FINRA and such other approvals as have been or will be made or obtained on or prior to the Closing Date.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00" w:top="395" w:right="279" w:bottom="1440" w:gutter="0" w:footer="0" w:header="0"/>
        </w:sectPr>
      </w:pPr>
    </w:p>
    <w:bookmarkStart w:id="17" w:name="page18"/>
    <w:bookmarkEnd w:id="17"/>
    <w:p>
      <w:pPr>
        <w:ind w:right="100" w:firstLine="656"/>
        <w:spacing w:after="0" w:line="255" w:lineRule="auto"/>
        <w:tabs>
          <w:tab w:leader="none" w:pos="13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information furnished to the Company or the Underwriters by or on behalf of such Selling Stockholder in writing expressly for use in the Registration Statement, the Disclosure Package or the Prospectus is, and on the Closing Date will be, true, correct and complete in all material respects, and did not, as of the Execution Time, and on the Closing Date will not, contain any untrue statement of a material fact or omit to state any material fact necessary to make such information not misleading, it being understood and agreed that the only such information consists of the information with respect to such Selling Stockholder under the caption “Selling Stockholders” in the Registration Statement, the Disclosure Package and the Prospectus (such information, the “Selling Stockholders Information”).</w:t>
      </w:r>
    </w:p>
    <w:p>
      <w:pPr>
        <w:spacing w:after="0" w:line="247" w:lineRule="exact"/>
        <w:rPr>
          <w:rFonts w:ascii="Arial" w:cs="Arial" w:eastAsia="Arial" w:hAnsi="Arial"/>
          <w:sz w:val="18"/>
          <w:szCs w:val="18"/>
          <w:color w:val="auto"/>
        </w:rPr>
      </w:pPr>
    </w:p>
    <w:p>
      <w:pPr>
        <w:ind w:right="180" w:firstLine="656"/>
        <w:spacing w:after="0" w:line="264" w:lineRule="auto"/>
        <w:tabs>
          <w:tab w:leader="none" w:pos="13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Prior to the completion of the Underwriters’ distribution of the Underwritten Securities, such Selling Stockholder has not distributed and will not distribute any offering material in connection with the offering and sale of the Underwritten Securities other than the Registration Statement, the Preliminary Prospectus, the Disclosure Package and the Prospectus.</w:t>
      </w:r>
    </w:p>
    <w:p>
      <w:pPr>
        <w:spacing w:after="0" w:line="235" w:lineRule="exact"/>
        <w:rPr>
          <w:rFonts w:ascii="Arial" w:cs="Arial" w:eastAsia="Arial" w:hAnsi="Arial"/>
          <w:sz w:val="18"/>
          <w:szCs w:val="18"/>
          <w:color w:val="auto"/>
        </w:rPr>
      </w:pPr>
    </w:p>
    <w:p>
      <w:pPr>
        <w:ind w:right="40" w:firstLine="656"/>
        <w:spacing w:after="0" w:line="264" w:lineRule="auto"/>
        <w:tabs>
          <w:tab w:leader="none" w:pos="1398"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Selling Stockholder has not taken and will not take, directly or indirectly, any action that is designed to or that has constituted or that might reasonably be expected to cause or result in stabilization or manipulation of the price of any security of the Company to facilitate the sale or resale of the Securities.</w:t>
      </w:r>
    </w:p>
    <w:p>
      <w:pPr>
        <w:spacing w:after="0" w:line="235" w:lineRule="exact"/>
        <w:rPr>
          <w:rFonts w:ascii="Arial" w:cs="Arial" w:eastAsia="Arial" w:hAnsi="Arial"/>
          <w:sz w:val="18"/>
          <w:szCs w:val="18"/>
          <w:color w:val="auto"/>
        </w:rPr>
      </w:pPr>
    </w:p>
    <w:p>
      <w:pPr>
        <w:ind w:right="320" w:firstLine="656"/>
        <w:spacing w:after="0" w:line="264" w:lineRule="auto"/>
        <w:tabs>
          <w:tab w:leader="none" w:pos="1398"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Selling Stockholder is not (i) an employee benefit plan (as defined in Section 3(3) of ERISA that is subject to the prohibited transaction provisions of Section 406 of ERISA), (ii) a “plan” as defined in Section 4975 of the Code or (iii) an entity deemed to hold “plan assets” of the foregoing plans described in clause (i) or (ii) pursuant to 29 CFR 2510.3 as modified by Section 3(42) of ERISA.</w:t>
      </w:r>
    </w:p>
    <w:p>
      <w:pPr>
        <w:spacing w:after="0" w:line="20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Any certificate signed by or on behalf of such Selling Stockholder and delivered to the Representatives or to counsel for the Underwriters in connection with the offering of the Securities shall be deemed a representation and warranty by such Selling Stockholder to the Underwriters as to the matters covered thereby with respect to such Selling Stockholder.</w:t>
      </w:r>
    </w:p>
    <w:p>
      <w:pPr>
        <w:spacing w:after="0" w:line="208"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Such Selling Stockholder has a reasonable basis for making each of the representations set forth in this Section 2. Such Selling Stockholder acknowledges that the Underwriters and, for purposes of the opinions to be delivered pursuant to Sections 8(b)(i) and (iii) and Section 8(c) hereof, counsel to such Selling Stockholder and counsel to the Underwriters, will rely upon the accuracy and truthfulness of the foregoing representations and hereby consents to such reliance.</w:t>
      </w:r>
    </w:p>
    <w:p>
      <w:pPr>
        <w:spacing w:after="0" w:line="241" w:lineRule="exact"/>
        <w:rPr>
          <w:sz w:val="20"/>
          <w:szCs w:val="20"/>
          <w:color w:val="auto"/>
        </w:rPr>
      </w:pPr>
    </w:p>
    <w:p>
      <w:pPr>
        <w:ind w:right="200" w:firstLine="656"/>
        <w:spacing w:after="0" w:line="272" w:lineRule="auto"/>
        <w:tabs>
          <w:tab w:leader="none" w:pos="1233"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Purchase and Sale</w:t>
      </w:r>
      <w:r>
        <w:rPr>
          <w:rFonts w:ascii="Arial" w:cs="Arial" w:eastAsia="Arial" w:hAnsi="Arial"/>
          <w:sz w:val="17"/>
          <w:szCs w:val="17"/>
          <w:color w:val="auto"/>
        </w:rPr>
        <w:t>. (a) Subject to the terms and conditions and in reliance upon the representations and warranties herein set forth, each Selling Stockholder hereby agrees, severally and not jointly, to sell to each Underwriter, and each Underwriter agrees, severally and not jointly, to purchase from such Selling Stockholder, at a purchase price of $31.68 per share, the amount of the Underwritten Securities determined by multiplying the aggregate number of Underwritten Securities to be sold by each of the Selling Stockholders as set forth opposite its name in Schedule I(B) hereto by a fraction, the numerator of which is the aggregate number of Underwritten Securities to be purchased by such Underwriter as set forth opposite such Underwriter’s name in Schedule I(A) hereto and the denominator of which is the aggregate number of the Underwritten Securities to be purchased by all of the Underwriters from all of the Selling Stockholders hereunder.</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8" w:name="page19"/>
    <w:bookmarkEnd w:id="18"/>
    <w:p>
      <w:pPr>
        <w:ind w:firstLine="656"/>
        <w:spacing w:after="0" w:line="270" w:lineRule="auto"/>
        <w:tabs>
          <w:tab w:leader="none" w:pos="1398"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Subject to the terms and conditions and in reliance upon the representations and warranties herein set forth, the Selling Stockholders hereby grant an option to the several Underwriters to purchase, severally and not jointly, up to 1,800,000 Option Securities at the same purchase price per share as the Underwriters shall pay for the Underwritten Securities, less an amount per share equal to any dividends or distributions declared by the Company and payable on the Underwritten Securities but not payable on the Option Securities. Said option may be exercised in whole or in part at any time (but not more than twice) on or before the 30th day after the date of the Prospectus upon written or telegraphic notice by the Representatives to the Selling Stockholders setting forth the number of shares of the Option Securities as to which the several Underwriters are exercising the option and the settlement date. The number of Option Securities to be purchased by each Underwriter shall be the same percentage of the total number of shares of the Option Securities to be purchased by the several Underwriters as such Underwriter is purchasing of the Underwritten Securities, subject to such adjustments as you in your absolute discretion shall make to eliminate any fractional shares.</w:t>
      </w:r>
    </w:p>
    <w:p>
      <w:pPr>
        <w:spacing w:after="0" w:line="236" w:lineRule="exact"/>
        <w:rPr>
          <w:sz w:val="20"/>
          <w:szCs w:val="20"/>
          <w:color w:val="auto"/>
        </w:rPr>
      </w:pPr>
    </w:p>
    <w:p>
      <w:pPr>
        <w:ind w:firstLine="656"/>
        <w:spacing w:after="0" w:line="270" w:lineRule="auto"/>
        <w:tabs>
          <w:tab w:leader="none" w:pos="1323"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Delivery and Payment</w:t>
      </w:r>
      <w:r>
        <w:rPr>
          <w:rFonts w:ascii="Arial" w:cs="Arial" w:eastAsia="Arial" w:hAnsi="Arial"/>
          <w:sz w:val="17"/>
          <w:szCs w:val="17"/>
          <w:color w:val="auto"/>
        </w:rPr>
        <w:t>. Delivery of and payment for the Underwritten Securities and the Option Securities (if the option provided for in Section 3(b) hereof shall have been exercised on or before the second Business Day immediately preceding the Closing Date) shall be made at the offices of Simpson Thacher &amp; Bartlett LLP, 425 Lexington Avenue, New York, New York 10017 at 10:00 AM, New York City time, on March 19, 2018, or at such time on such later date not more than two Business Days after the foregoing date as the Representatives shall designate, which date and time may be postponed by agreement between the Representatives, the Company and the Selling Stockholders or as provided in Section 11 hereof (such date and time of delivery and payment for the Securities being herein called the “Closing Date”). Delivery of the Securities shall be made to the Representatives for the respective accounts of the several Underwriters against payment by the several Underwriters through the Representatives of the purchase price thereof to or upon the order of the Selling Stockholders or the Custodian, as applicable, by wire transfer payable in same-day funds to the account(s) specified by the Selling Stockholders or the Custodian, as applicable, in writing to the Representatives. Delivery of the Underwritten Securities and the Option Securities shall be made through the facilities of DTC unless the Representatives shall otherwise instruct.</w:t>
      </w:r>
    </w:p>
    <w:p>
      <w:pPr>
        <w:spacing w:after="0" w:line="205" w:lineRule="exact"/>
        <w:rPr>
          <w:sz w:val="20"/>
          <w:szCs w:val="20"/>
          <w:color w:val="auto"/>
        </w:rPr>
      </w:pPr>
    </w:p>
    <w:p>
      <w:pPr>
        <w:ind w:right="100" w:firstLine="1297"/>
        <w:spacing w:after="0" w:line="270" w:lineRule="auto"/>
        <w:rPr>
          <w:sz w:val="20"/>
          <w:szCs w:val="20"/>
          <w:color w:val="auto"/>
        </w:rPr>
      </w:pPr>
      <w:r>
        <w:rPr>
          <w:rFonts w:ascii="Arial" w:cs="Arial" w:eastAsia="Arial" w:hAnsi="Arial"/>
          <w:sz w:val="17"/>
          <w:szCs w:val="17"/>
          <w:color w:val="auto"/>
        </w:rPr>
        <w:t>If the option provided for in Section 3(b) hereof is exercised after the second Business Day immediately preceding the Closing Date, the Selling Stockholders will deliver the Option Securities to the Representatives on the date specified by the Representatives (which shall be within two Business Days after exercise of said option, which date may be postponed by agreement between the Representatives, the Company and the Selling Stockholders) for the respective accounts of the several Underwriters, against payment by the several Underwriters through the Representatives of the purchase price thereof to or upon the order of the Selling Stockholders or the Custodian, as applicable, by wire transfer payable in same-day funds to the account(s) specified by the Selling Stockholders or the Custodian, as applicable. If settlement for the Option Securities occurs after the Closing Date, the Selling Stockholders will deliver to the Representatives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8 hereof.</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9" w:name="page20"/>
    <w:bookmarkEnd w:id="19"/>
    <w:p>
      <w:pPr>
        <w:ind w:left="1340" w:hanging="684"/>
        <w:spacing w:after="0"/>
        <w:tabs>
          <w:tab w:leader="none" w:pos="134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Offering by Underwriters</w:t>
      </w:r>
      <w:r>
        <w:rPr>
          <w:rFonts w:ascii="Arial" w:cs="Arial" w:eastAsia="Arial" w:hAnsi="Arial"/>
          <w:sz w:val="16"/>
          <w:szCs w:val="16"/>
          <w:color w:val="auto"/>
        </w:rPr>
        <w:t>. It is understood that the several Underwriters propose to offer the Securities for sale to the public as set forth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Prospectus.</w:t>
      </w:r>
    </w:p>
    <w:p>
      <w:pPr>
        <w:spacing w:after="0" w:line="264" w:lineRule="exact"/>
        <w:rPr>
          <w:rFonts w:ascii="Arial" w:cs="Arial" w:eastAsia="Arial" w:hAnsi="Arial"/>
          <w:sz w:val="16"/>
          <w:szCs w:val="16"/>
          <w:color w:val="auto"/>
        </w:rPr>
      </w:pPr>
    </w:p>
    <w:p>
      <w:pPr>
        <w:ind w:left="1340" w:hanging="684"/>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Agreements of the Company</w:t>
      </w:r>
      <w:r>
        <w:rPr>
          <w:rFonts w:ascii="Arial" w:cs="Arial" w:eastAsia="Arial" w:hAnsi="Arial"/>
          <w:sz w:val="18"/>
          <w:szCs w:val="18"/>
          <w:color w:val="auto"/>
        </w:rPr>
        <w:t>. The Company agrees with the several Underwriters as follows:</w:t>
      </w:r>
    </w:p>
    <w:p>
      <w:pPr>
        <w:spacing w:after="0" w:line="279" w:lineRule="exact"/>
        <w:rPr>
          <w:sz w:val="20"/>
          <w:szCs w:val="20"/>
          <w:color w:val="auto"/>
        </w:rPr>
      </w:pPr>
    </w:p>
    <w:p>
      <w:pPr>
        <w:ind w:firstLine="656"/>
        <w:spacing w:after="0" w:line="285" w:lineRule="auto"/>
        <w:tabs>
          <w:tab w:leader="none" w:pos="1388"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Prior to the termination of the offering of the Securities, the Company will not file any amendment of the Registration Statement or supplement to the Prospectus or any Rule 462(b) Registration Statement unless the Company has furnished you a copy for your review prior to filing and will not file any such proposed amendment or supplement to which you reasonably object. The Company will cause the Prospectus, properly completed, and any supplement thereto to be filed in a form approved by the Representatives with the Commission pursuant to the applicable paragraph of Rule 424(b) within the time period prescribed and will provide evidence satisfactory to the Representatives of such timely filing. The Company will promptly advise the Representatives (i) when the Prospectus, and any supplement thereto, shall have been filed (if required)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of the Registration Statement, or any Rule 462(b)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or pursuant to Section 8A of the Act and (v) of the receipt by the Company of any notification with respect to the suspension of the qualification of the Securities for sale in any jurisdiction or the institution or threatening of any proceeding for such purpose. The Company will use its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231" w:lineRule="exact"/>
        <w:rPr>
          <w:rFonts w:ascii="Arial" w:cs="Arial" w:eastAsia="Arial" w:hAnsi="Arial"/>
          <w:sz w:val="16"/>
          <w:szCs w:val="16"/>
          <w:color w:val="auto"/>
        </w:rPr>
      </w:pPr>
    </w:p>
    <w:p>
      <w:pPr>
        <w:ind w:firstLine="656"/>
        <w:spacing w:after="0" w:line="293" w:lineRule="auto"/>
        <w:tabs>
          <w:tab w:leader="none" w:pos="1398"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at any time prior to the filing of the Prospectus pursuant to Rule 424(b), any event occurs as a result of which, in the opinion of counsel to the Underwriters, or counsel for the Company, the Disclosure Package would include any untrue statement of a material fact or omit to state any material fact necessary in order to make the statements therein, in the light of the circumstances under which they were made, not misleading, the Company will (i) notify promptly the Representatives so that any use of the Disclosure Package may cease until it is amended or supplemented; (ii) amend or supplement the Disclosure Package, or file under the Exchange Act any documents incorporated by reference therein, to correct such statement or omission; and (iii) supply any amendment or supplement to the several Underwriters and counsel for the Underwriters without charge in such quantities as they may reasonably request.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20" w:name="page21"/>
    <w:bookmarkEnd w:id="20"/>
    <w:p>
      <w:pPr>
        <w:jc w:val="both"/>
        <w:ind w:left="-8" w:right="100" w:firstLine="656"/>
        <w:spacing w:after="0" w:line="291" w:lineRule="auto"/>
        <w:tabs>
          <w:tab w:leader="none" w:pos="13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If, during such period of time after the first date of the public offering of the Securities as in the opinion of counsel for the Underwriters a prospectus relating to the Securities is required by law to be delivered (including in circumstances where such requirement may be satisfied pursuant to Rule</w:t>
      </w:r>
    </w:p>
    <w:p>
      <w:pPr>
        <w:ind w:left="-8" w:firstLine="8"/>
        <w:spacing w:after="0" w:line="269" w:lineRule="auto"/>
        <w:tabs>
          <w:tab w:leader="none" w:pos="367"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“Prospectus Delivery Period”), any event occurs, as a result of which, in the opinion of counsel to the Underwriters, or counsel for the Company, the Prospectus as then supplemented would include any untrue statement of a material fact or omit to state any material fact necessary in order to make the statements therein, in the light of the circumstances under which they were, made not misleading, or if it shall be necessary to amend the Registration Statement or supplement the Prospectus to comply with applicable law, the Company will promptly (i) notify the Representatives of any such event; (ii) prepare and file with the Commission, subject to the second sentence of paragraph (a) of this Section 6, an amendment or supplement that will correct such statement or omission or effect such compliance; and (iii) supply any supplemented Prospectus to the several Underwriters and counsel for the Underwriters without charge in such quantities as they may reasonably request.</w:t>
      </w:r>
    </w:p>
    <w:p>
      <w:pPr>
        <w:spacing w:after="0" w:line="234" w:lineRule="exact"/>
        <w:rPr>
          <w:rFonts w:ascii="Arial" w:cs="Arial" w:eastAsia="Arial" w:hAnsi="Arial"/>
          <w:sz w:val="17"/>
          <w:szCs w:val="17"/>
          <w:color w:val="auto"/>
        </w:rPr>
      </w:pPr>
    </w:p>
    <w:p>
      <w:pPr>
        <w:ind w:left="-8" w:right="340" w:firstLine="656"/>
        <w:spacing w:after="0" w:line="264" w:lineRule="auto"/>
        <w:tabs>
          <w:tab w:leader="none" w:pos="139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As soon as practicable, the Company will make generally available to its security holders and to the Representatives (which may be satisfied by filing with the Commission’s EDGAR system) an earnings statement or statements of the Company and its subsidiaries which will satisfy the provisions of Section 11(a) of the Act and Rule 158.</w:t>
      </w:r>
    </w:p>
    <w:p>
      <w:pPr>
        <w:spacing w:after="0" w:line="235" w:lineRule="exact"/>
        <w:rPr>
          <w:rFonts w:ascii="Arial" w:cs="Arial" w:eastAsia="Arial" w:hAnsi="Arial"/>
          <w:sz w:val="18"/>
          <w:szCs w:val="18"/>
          <w:color w:val="auto"/>
        </w:rPr>
      </w:pPr>
    </w:p>
    <w:p>
      <w:pPr>
        <w:ind w:left="-8" w:right="220" w:firstLine="656"/>
        <w:spacing w:after="0" w:line="277" w:lineRule="auto"/>
        <w:tabs>
          <w:tab w:leader="none" w:pos="13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will cooperate with the Representatives and use its commercially reasonable efforts to permit the Securities to be eligible for clearance and settlement through DTC.</w:t>
      </w:r>
    </w:p>
    <w:p>
      <w:pPr>
        <w:spacing w:after="0" w:line="224" w:lineRule="exact"/>
        <w:rPr>
          <w:rFonts w:ascii="Arial" w:cs="Arial" w:eastAsia="Arial" w:hAnsi="Arial"/>
          <w:sz w:val="18"/>
          <w:szCs w:val="18"/>
          <w:color w:val="auto"/>
        </w:rPr>
      </w:pPr>
    </w:p>
    <w:p>
      <w:pPr>
        <w:ind w:left="-8" w:firstLine="656"/>
        <w:spacing w:after="0" w:line="288" w:lineRule="auto"/>
        <w:tabs>
          <w:tab w:leader="none" w:pos="13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Company will furnish to the Representatives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w:t>
      </w:r>
    </w:p>
    <w:p>
      <w:pPr>
        <w:ind w:left="-8" w:right="100" w:firstLine="8"/>
        <w:spacing w:after="0" w:line="255" w:lineRule="auto"/>
        <w:tabs>
          <w:tab w:leader="none" w:pos="367"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Prospectus Delivery Period, as many copies of each Preliminary Prospectus, the Prospectus and each Issuer Free Writing Prospectus and any supplement thereto as the Representatives may reasonably request. The Company will pay the expenses of printing or other production of all documents relating to the offering.</w:t>
      </w:r>
    </w:p>
    <w:p>
      <w:pPr>
        <w:spacing w:after="0" w:line="244" w:lineRule="exact"/>
        <w:rPr>
          <w:rFonts w:ascii="Arial" w:cs="Arial" w:eastAsia="Arial" w:hAnsi="Arial"/>
          <w:sz w:val="18"/>
          <w:szCs w:val="18"/>
          <w:color w:val="auto"/>
        </w:rPr>
      </w:pPr>
    </w:p>
    <w:p>
      <w:pPr>
        <w:ind w:left="-8" w:right="60" w:firstLine="656"/>
        <w:spacing w:after="0" w:line="255" w:lineRule="auto"/>
        <w:tabs>
          <w:tab w:leader="none" w:pos="139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The Company will assist the Underwriters in arranging, if necessary, for the qualification of the Securities for sale by the Underwriters under the laws of such jurisdictions as the Representatives may designate and will maintain such qualifications in effect so long as required for the sale of the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Company be obligated to qualify to do business in any jurisdiction where it is not now so qualified or to take any action that would reasonably be expected to subject it to service of process in suits, other than those arising out of the offering or sale of the Securities, in any jurisdiction where it is not now so subject or to subject themselves to taxation in excess of a nominal amount in respect of doing business in any jurisdiction.</w:t>
      </w:r>
    </w:p>
    <w:p>
      <w:pPr>
        <w:spacing w:after="0" w:line="148"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395" w:right="259" w:bottom="1440" w:gutter="0" w:footer="0" w:header="0"/>
        </w:sectPr>
      </w:pPr>
    </w:p>
    <w:bookmarkStart w:id="21" w:name="page22"/>
    <w:bookmarkEnd w:id="21"/>
    <w:p>
      <w:pPr>
        <w:ind w:left="-60" w:firstLine="656"/>
        <w:spacing w:after="0" w:line="284" w:lineRule="auto"/>
        <w:tabs>
          <w:tab w:leader="none" w:pos="133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will not, without the prior written consent of any two of Merrill Lynch, Pierce, Fenner &amp; Smith Incorporated, Citigroup Global Markets Inc. and Goldman Sachs &amp; Co. LLC offer, sell or contract to sell, pledge (other than on behalf of an Affiliate of the Company)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public filing (or participation in the public filing) of a registration statement with the Commission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(“Related Securities”); or publicly announce an intention to effect any such transaction, for a period of 90 days after the date of the Underwriting Agreement. The foregoing sentence shall not apply to (A) any shares of Common Stock issued by the Company upon the exercise of options to purchase shares of Common Stock or upon the vesting of restricted stock awards, in each case disclosed in the Disclosure Package and the Prospectus, (B) the grant of awards pursuant to employee benefit plans or arrangements (including to non-employee directors under the 2014 Stock Incentive Plan and the 2017 Omnibus Incentive Plan), in each case, as described in the Disclosure Package and the Prospectus, (C) the issuance or grant of shares of Common Stock (including in connection with the settlement of restricted stock unit awards), restricted stock awards, options to purchase shares of common stock or any other stock-based awards, in each case, registered or to be registered pursuant to any registration statement on Form S-8 pursuant to employee benefit plans or arrangements (including to non-employee directors under the 2014 Stock Incentive Plan and the 2017 Omnibus Incentive Plan), in each case, as described in the Disclosure Package and the Prospectus, (D) the issuance of shares of Common Stock in connection with the acquisition by the Company or any of its subsidiaries of the securities, business, property or other assets of another person or business entity or pursuant to any employee benefit plan assumed by the Company in connection with any such acquisition or (E) the issuance of shares of Common Stock, of restricted stock awards or of options to purchase shares of Common Stock, in each case, in connection with joint ventures, commercial relationships or other strategic transactions; provided that, in the case of immediately preceding clauses (D) and (E), the aggregate number of restricted stock awards and shares of Common Stock issued in connection with, or issuable pursuant to the exercise of any options issued in connection with, all such acquisitions and other transactions does not exceed 5% of the aggregate number of shares of common stock outstanding immediately following the consummation of the offering of the Securities and the recipient of the shares of Common Stock agrees in writing to be bound by the same terms described in the agreement attached hereto as Exhibit A.</w:t>
      </w:r>
    </w:p>
    <w:p>
      <w:pPr>
        <w:spacing w:after="0" w:line="232" w:lineRule="exact"/>
        <w:rPr>
          <w:rFonts w:ascii="Arial" w:cs="Arial" w:eastAsia="Arial" w:hAnsi="Arial"/>
          <w:sz w:val="16"/>
          <w:szCs w:val="16"/>
          <w:color w:val="auto"/>
        </w:rPr>
      </w:pPr>
    </w:p>
    <w:p>
      <w:pPr>
        <w:ind w:left="1300" w:hanging="70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60" w:right="140" w:firstLine="656"/>
        <w:spacing w:after="0" w:line="264" w:lineRule="auto"/>
        <w:tabs>
          <w:tab w:leader="none" w:pos="129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or that would constitute or that might reasonably be expected to cause or result in, under the Exchange Act or otherwise, unlawful stabilization or manipulation of the price of any security of the Company to facilitate the sale or resale of the Securities.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00" w:top="395" w:right="279" w:bottom="1440" w:gutter="0" w:footer="0" w:header="0"/>
        </w:sectPr>
      </w:pPr>
    </w:p>
    <w:bookmarkStart w:id="22" w:name="page23"/>
    <w:bookmarkEnd w:id="22"/>
    <w:p>
      <w:pPr>
        <w:ind w:left="-40" w:firstLine="656"/>
        <w:spacing w:after="0" w:line="284" w:lineRule="auto"/>
        <w:tabs>
          <w:tab w:leader="none" w:pos="1358"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agrees to pay the costs and expenses relating to the following matters: (i) the preparation, printing or reproduction and filing with the Commission of the Registration Statement (including financial statements and exhibits thereto), each Preliminary Prospectus, the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Prospectus and each Issuer Free Writing Prospectus, and all amendments or supplements to any of them, as may, in each case, be reasonably requested for use in connection with the offering and sale of the Securities; (iii) the printing (or reproduction) and delivery of any blue sky memorandum delivered in connection with the offering of the Securities; (iv) any registration or qualification of the Securities for offer and sale under the securities or blue sky laws of the several states and any other jurisdictions specified pursuant to Section 6(g) hereof (including filing fees and the reasonable and documented fees and expenses of counsel for the Underwriters relating to such registration and qualification in an amount not to exceed $20,000); (v) the approval of the Securities for book entry transfer by DTC; (vi) any filings required to be made with the FINRA (including filing fees and the reasonable and documented fees and expenses of counsel for the Underwriters relating to such filings in an amount not to exceed $25,000); (vii) the transportation and other expenses incurred by or on behalf of the Company in connection with presentations to prospective purchasers of the Securities, including any “roadshow” (and including one half of the cost of all aircraft used in connection with any “roadshow”); (viii) the costs and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(ix) the fees and expenses of the Company’s accountants and the fees and expenses of counsel (including local and special counsel) for the Company and the Selling Stockholders and (x) all other costs and expenses incident to the performance by the Company of its obligations hereunder. Notwithstanding the forgoing, except as specifically provided in this paragraph (k) and in Section 9 hereof, the Underwriters shall pay their own costs and expenses in connection with presentations for prospective purchasers of the Securities including the transportation and other expenses incurred by or on behalf of the Underwriters in connection with presentations to prospective purchasers of the Securities, including any “roadshow” (and including one half of the cost of all aircraft used in connection with any “roadshow”). Each Selling Stockholder further agrees with the Underwriters to pay (directly or by reimbursement) all fees and expenses incident to the performance of such Selling Stockholder’s obligations under this Agreement that are not otherwise specifically provided for herein, including but not limited to stock transfer taxes, stamp duties and other similar taxes, and any other fees, expenses and taxes incident to the sale and delivery of the Underwritten Securities to be sold by such Selling Stockholder to the Underwriters hereunder. This Section 6(k) shall not affect or modify any separate, valid agreement relating to the allocation of payment of expenses between the Company, on the one hand, and any Selling Stockholder, on the other hand.</w:t>
      </w:r>
    </w:p>
    <w:p>
      <w:pPr>
        <w:spacing w:after="0" w:line="200" w:lineRule="exact"/>
        <w:rPr>
          <w:rFonts w:ascii="Arial" w:cs="Arial" w:eastAsia="Arial" w:hAnsi="Arial"/>
          <w:sz w:val="16"/>
          <w:szCs w:val="16"/>
          <w:color w:val="auto"/>
        </w:rPr>
      </w:pPr>
    </w:p>
    <w:p>
      <w:pPr>
        <w:spacing w:after="0" w:line="247" w:lineRule="exact"/>
        <w:rPr>
          <w:rFonts w:ascii="Arial" w:cs="Arial" w:eastAsia="Arial" w:hAnsi="Arial"/>
          <w:sz w:val="16"/>
          <w:szCs w:val="16"/>
          <w:color w:val="auto"/>
        </w:rPr>
      </w:pPr>
    </w:p>
    <w:p>
      <w:pPr>
        <w:ind w:left="1320" w:hanging="704"/>
        <w:spacing w:after="0"/>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[Reserved].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395" w:right="259" w:bottom="1440" w:gutter="0" w:footer="0" w:header="0"/>
        </w:sectPr>
      </w:pPr>
    </w:p>
    <w:bookmarkStart w:id="23" w:name="page24"/>
    <w:bookmarkEnd w:id="23"/>
    <w:p>
      <w:pPr>
        <w:ind w:right="80" w:firstLine="656"/>
        <w:spacing w:after="0" w:line="286" w:lineRule="auto"/>
        <w:tabs>
          <w:tab w:leader="none" w:pos="14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Company agrees that, unless it has or shall have obtained the prior written consent of the Representatives, and each Underwriter, severally and not jointly, agrees with the Company that, unless it has or shall have obtained, as the case may be, the prior written consent of the Company, it has not made and will not make any offer relating to the Securities that would constitute, or otherwise use, refer to or distribute, an Issuer Free Writing Prospectus or that would otherwise constitute a “free writing prospectus” (as defined in Rule 405) required to be filed by the Company with the Commission or retained by the Company under Rule 433;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prior written consent of the parties hereto shall be deemed to have been given in respect of the Free Writing Prospectuses included in Schedule II hereto and any electronic road show, each furnished to the Representatives before first use. Any such free writing prospectus consented to by the Representatives or the Company is hereinafter referred to as a “Permitted Free Writing Prospectus.” The Company agrees that (x) it has treated and will treat, as the case may be, each Permitted Free Writing Prospectus as an Issuer Free Writing Prospectus and (y) it has complied and will comply, as the case may be, with the requirements of Rules 164 and 433 applicable to any Permitted Free Writing Prospectus, including in respect of timely filing with the Commission, legending and record keeping. Each Underwriter, severally and not jointly, represents and agrees that it is not subject to any pending proceeding under Section 8A of the Act with respect to the offering (and will promptly notify the Company if any such proceeding against it is initiated during the period a prospectus is required by the Act to be delivered (whether physically or through compliance with Rule 172 under the Act or any similar rule) in connection with any sale of Securities).</w:t>
      </w:r>
    </w:p>
    <w:p>
      <w:pPr>
        <w:spacing w:after="0" w:line="229" w:lineRule="exact"/>
        <w:rPr>
          <w:sz w:val="20"/>
          <w:szCs w:val="20"/>
          <w:color w:val="auto"/>
        </w:rPr>
      </w:pPr>
    </w:p>
    <w:p>
      <w:pPr>
        <w:ind w:left="1340" w:hanging="684"/>
        <w:spacing w:after="0"/>
        <w:tabs>
          <w:tab w:leader="none" w:pos="134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Agreements of the Selling Stockholders</w:t>
      </w:r>
      <w:r>
        <w:rPr>
          <w:rFonts w:ascii="Arial" w:cs="Arial" w:eastAsia="Arial" w:hAnsi="Arial"/>
          <w:sz w:val="17"/>
          <w:szCs w:val="17"/>
          <w:color w:val="auto"/>
        </w:rPr>
        <w:t>. Each Selling Stockholder agrees with the Company and the several Underwriters as follows:</w:t>
      </w:r>
    </w:p>
    <w:p>
      <w:pPr>
        <w:spacing w:after="0" w:line="290" w:lineRule="exact"/>
        <w:rPr>
          <w:rFonts w:ascii="Arial" w:cs="Arial" w:eastAsia="Arial" w:hAnsi="Arial"/>
          <w:sz w:val="17"/>
          <w:szCs w:val="17"/>
          <w:color w:val="auto"/>
        </w:rPr>
      </w:pPr>
    </w:p>
    <w:p>
      <w:pPr>
        <w:ind w:left="660" w:right="100" w:firstLine="645"/>
        <w:spacing w:after="0" w:line="257" w:lineRule="auto"/>
        <w:tabs>
          <w:tab w:leader="none" w:pos="20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Such Selling Stockholder will advise you promptly, and if requested by you, will confirm such advice in writing, during the period when a prospectus relating to the Underwritten Securities is required by the Securities Act to be delivered (whether physically or through compliance with Rule 172 under the Securities Act or any similar rule), of any change in the Selling Stockholders Information in the Registration Statement, any preliminary prospectus, any free writing prospectus, the Prospectus or any amendment or supplement thereto relating to such Selling Stockholder.</w:t>
      </w:r>
    </w:p>
    <w:p>
      <w:pPr>
        <w:spacing w:after="0" w:line="242" w:lineRule="exact"/>
        <w:rPr>
          <w:rFonts w:ascii="Arial" w:cs="Arial" w:eastAsia="Arial" w:hAnsi="Arial"/>
          <w:sz w:val="18"/>
          <w:szCs w:val="18"/>
          <w:color w:val="auto"/>
        </w:rPr>
      </w:pPr>
    </w:p>
    <w:p>
      <w:pPr>
        <w:ind w:left="660" w:right="200" w:firstLine="645"/>
        <w:spacing w:after="0" w:line="264" w:lineRule="auto"/>
        <w:tabs>
          <w:tab w:leader="none" w:pos="2058"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deliver to the Underwriters prior to the Closing Date a properly completed and executed United States Treasury Department Form W-9, together with all required attachments, if any, of such Selling Stockholder or, in the case of a Management Selling Stockholder, of the Custodian.</w:t>
      </w:r>
    </w:p>
    <w:p>
      <w:pPr>
        <w:spacing w:after="0" w:line="235" w:lineRule="exact"/>
        <w:rPr>
          <w:sz w:val="20"/>
          <w:szCs w:val="20"/>
          <w:color w:val="auto"/>
        </w:rPr>
      </w:pPr>
    </w:p>
    <w:p>
      <w:pPr>
        <w:ind w:firstLine="594"/>
        <w:spacing w:after="0" w:line="277" w:lineRule="auto"/>
        <w:rPr>
          <w:sz w:val="20"/>
          <w:szCs w:val="20"/>
          <w:color w:val="auto"/>
        </w:rPr>
      </w:pPr>
      <w:r>
        <w:rPr>
          <w:rFonts w:ascii="Arial" w:cs="Arial" w:eastAsia="Arial" w:hAnsi="Arial"/>
          <w:sz w:val="18"/>
          <w:szCs w:val="18"/>
          <w:color w:val="auto"/>
        </w:rPr>
        <w:t>The Underwriters, may, in their sole discretion, waive in writing the performance by the Company or any Selling Stockholder of any one or more of the foregoing covenants or extend the time for their performance.</w:t>
      </w:r>
    </w:p>
    <w:p>
      <w:pPr>
        <w:spacing w:after="0" w:line="224" w:lineRule="exact"/>
        <w:rPr>
          <w:sz w:val="20"/>
          <w:szCs w:val="20"/>
          <w:color w:val="auto"/>
        </w:rPr>
      </w:pPr>
    </w:p>
    <w:p>
      <w:pPr>
        <w:jc w:val="both"/>
        <w:ind w:right="100" w:firstLine="656"/>
        <w:spacing w:after="0" w:line="293" w:lineRule="auto"/>
        <w:tabs>
          <w:tab w:leader="none" w:pos="1323"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Conditions to the Obligations of the Underwriters</w:t>
      </w:r>
      <w:r>
        <w:rPr>
          <w:rFonts w:ascii="Arial" w:cs="Arial" w:eastAsia="Arial" w:hAnsi="Arial"/>
          <w:sz w:val="16"/>
          <w:szCs w:val="16"/>
          <w:color w:val="auto"/>
        </w:rPr>
        <w:t>. The obligations of the Underwriters to purchase the Underwritten Securities and the Option Securities, as the case may be, shall be subject to the accuracy in all material respects (except in the case of Sections 1(kk), (ll) and (mm) or to the extent already qualified by materiality, in which case such obligations shall be subject to the accuracy in all respects) of the representations and warranties of the Company and the Selling Stockholders contained herein as of the Execution Time, the Closing Date and any settlement date pursuant to Section 4 hereof, to the accuracy of the statements of the Company and the Selling Stockholders made in any certificates pursuant to the provisions hereof, to the performance by the Company and the Selling Stockholders in all material respects of their respective obligations hereunder and to the following additional conditions: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4" w:name="page25"/>
    <w:bookmarkEnd w:id="24"/>
    <w:p>
      <w:pPr>
        <w:ind w:left="-20" w:right="40" w:firstLine="656"/>
        <w:spacing w:after="0" w:line="279" w:lineRule="auto"/>
        <w:tabs>
          <w:tab w:leader="none" w:pos="1368"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Prospectus, and any supplement thereto, have been filed in the manner and within the time period required by Rule 424(b); any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225" w:lineRule="exact"/>
        <w:rPr>
          <w:rFonts w:ascii="Arial" w:cs="Arial" w:eastAsia="Arial" w:hAnsi="Arial"/>
          <w:sz w:val="17"/>
          <w:szCs w:val="17"/>
          <w:color w:val="auto"/>
        </w:rPr>
      </w:pPr>
    </w:p>
    <w:p>
      <w:pPr>
        <w:ind w:left="-20" w:right="260" w:firstLine="656"/>
        <w:spacing w:after="0" w:line="286" w:lineRule="auto"/>
        <w:tabs>
          <w:tab w:leader="none" w:pos="1378"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The Company and the KKR Selling Stockholder shall have requested and caused Simpson Thacher &amp; Bartlett LLP, counsel for the Company and the KKR Selling Stockholder, to furnish to the Representatives an opinion letter and a negative assurance letter, each dated the Closing Date and in form and substance reasonably satisfactory to the Representatives, as set forth in Exhibit B hereto.</w:t>
      </w:r>
    </w:p>
    <w:p>
      <w:pPr>
        <w:spacing w:after="0" w:line="192" w:lineRule="exact"/>
        <w:rPr>
          <w:rFonts w:ascii="Arial" w:cs="Arial" w:eastAsia="Arial" w:hAnsi="Arial"/>
          <w:sz w:val="17"/>
          <w:szCs w:val="17"/>
          <w:color w:val="auto"/>
        </w:rPr>
      </w:pPr>
    </w:p>
    <w:p>
      <w:pPr>
        <w:ind w:left="560" w:right="200" w:firstLine="725"/>
        <w:spacing w:after="0" w:line="342" w:lineRule="auto"/>
        <w:tabs>
          <w:tab w:leader="none" w:pos="1599"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Company shall have requested and caused the general counsel of the Company to furnish to the Representatives an opinion letter dated the Closing Date and otherwise in form and substance reasonably satisfactory to the Representatives, as set forth in Exhibit C hereto.</w:t>
      </w:r>
    </w:p>
    <w:p>
      <w:pPr>
        <w:spacing w:after="0" w:line="150" w:lineRule="exact"/>
        <w:rPr>
          <w:rFonts w:ascii="Arial" w:cs="Arial" w:eastAsia="Arial" w:hAnsi="Arial"/>
          <w:sz w:val="16"/>
          <w:szCs w:val="16"/>
          <w:color w:val="auto"/>
        </w:rPr>
      </w:pPr>
    </w:p>
    <w:p>
      <w:pPr>
        <w:ind w:left="560" w:right="480" w:firstLine="725"/>
        <w:spacing w:after="0" w:line="264" w:lineRule="auto"/>
        <w:tabs>
          <w:tab w:leader="none" w:pos="1604"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Berkshire Selling Stockholders shall have requested and caused Ropes &amp; Gray LLP, counsel for the Berkshire Selling Stockholders, to furnish to the Representatives an opinion letter dated the Closing Date and in form and substance reasonably satisfactory to the Representatives, as set forth in Exhibit D hereto.</w:t>
      </w:r>
    </w:p>
    <w:p>
      <w:pPr>
        <w:spacing w:after="0" w:line="235" w:lineRule="exact"/>
        <w:rPr>
          <w:rFonts w:ascii="Arial" w:cs="Arial" w:eastAsia="Arial" w:hAnsi="Arial"/>
          <w:sz w:val="18"/>
          <w:szCs w:val="18"/>
          <w:color w:val="auto"/>
        </w:rPr>
      </w:pPr>
    </w:p>
    <w:p>
      <w:pPr>
        <w:jc w:val="both"/>
        <w:ind w:left="-20" w:right="40" w:firstLine="656"/>
        <w:spacing w:after="0" w:line="259" w:lineRule="auto"/>
        <w:tabs>
          <w:tab w:leader="none" w:pos="136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Representatives shall have received from Latham &amp; Watkins LLP, counsel for the Underwriters, an opinion letter and negative assurance letter, each dated the Closing Date and addressed to the Representatives, with respect to such matters as the Representatives may reasonably require, and the Company shall have furnished to such counsel such documents as they reasonably request for the purpose of enabling them to pass upon such matters.</w:t>
      </w:r>
    </w:p>
    <w:p>
      <w:pPr>
        <w:spacing w:after="0" w:line="240" w:lineRule="exact"/>
        <w:rPr>
          <w:rFonts w:ascii="Arial" w:cs="Arial" w:eastAsia="Arial" w:hAnsi="Arial"/>
          <w:sz w:val="18"/>
          <w:szCs w:val="18"/>
          <w:color w:val="auto"/>
        </w:rPr>
      </w:pPr>
    </w:p>
    <w:p>
      <w:pPr>
        <w:ind w:left="-20" w:right="100" w:firstLine="656"/>
        <w:spacing w:after="0" w:line="302" w:lineRule="auto"/>
        <w:tabs>
          <w:tab w:leader="none" w:pos="137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 shall have furnished to the Underwriters a certificate of the Company, signed by (x) the chairman, chief executive officer, president or vice president and (y) the chief financial officer, treasurer or principal financial or accounting officer of the Company, dated the Closing Date, to the effect that the signers of such certificate have carefully examined the Registration Statement, the Disclosure Package, the Prospectus and any amendment or supplement thereto, as well as each electronic road show used in connection with the offering of the Securities, and this Agreement and that:</w:t>
      </w:r>
    </w:p>
    <w:p>
      <w:pPr>
        <w:spacing w:after="0" w:line="208" w:lineRule="exact"/>
        <w:rPr>
          <w:sz w:val="20"/>
          <w:szCs w:val="20"/>
          <w:color w:val="auto"/>
        </w:rPr>
      </w:pPr>
    </w:p>
    <w:p>
      <w:pPr>
        <w:ind w:left="640" w:firstLine="645"/>
        <w:spacing w:after="0" w:line="279" w:lineRule="auto"/>
        <w:tabs>
          <w:tab w:leader="none" w:pos="2038"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in this Agreement are true and correct in all material respects (except in the case of Sections 1(kk), (ll) and (mm) or to the extent already qualified by materiality, in which case such representations and warranties are true and correct in all respects) at the Execution Time and on the Closing Date, and the Company has complied in all material respects with all the agreements and satisfied all the conditions on its part to be performed or satisfied hereunder at or prior to the Closing Date;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25" w:name="page26"/>
    <w:bookmarkEnd w:id="25"/>
    <w:p>
      <w:pPr>
        <w:jc w:val="both"/>
        <w:ind w:left="640" w:firstLine="645"/>
        <w:spacing w:after="0" w:line="259" w:lineRule="auto"/>
        <w:tabs>
          <w:tab w:leader="none" w:pos="2038" w:val="left"/>
        </w:tabs>
        <w:numPr>
          <w:ilvl w:val="1"/>
          <w:numId w:val="35"/>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incorporated by reference in the Disclosure Package and the Prospectus (exclusive of any supplement thereto), there has been no material adverse change in the condition (financial or otherwise), business or results of operations of the Company and its subsidiaries, taken as a whole, except as set forth in or contemplated in the Disclosure Package and the Prospectus (exclusive of any supplement thereto); and</w:t>
      </w:r>
    </w:p>
    <w:p>
      <w:pPr>
        <w:spacing w:after="0" w:line="240" w:lineRule="exact"/>
        <w:rPr>
          <w:rFonts w:ascii="Arial" w:cs="Arial" w:eastAsia="Arial" w:hAnsi="Arial"/>
          <w:sz w:val="18"/>
          <w:szCs w:val="18"/>
          <w:color w:val="auto"/>
        </w:rPr>
      </w:pPr>
    </w:p>
    <w:p>
      <w:pPr>
        <w:ind w:left="640" w:right="60" w:firstLine="645"/>
        <w:spacing w:after="0" w:line="277" w:lineRule="auto"/>
        <w:tabs>
          <w:tab w:leader="none" w:pos="2038"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Company’s knowledge, threatened.</w:t>
      </w:r>
    </w:p>
    <w:p>
      <w:pPr>
        <w:spacing w:after="0" w:line="224" w:lineRule="exact"/>
        <w:rPr>
          <w:rFonts w:ascii="Arial" w:cs="Arial" w:eastAsia="Arial" w:hAnsi="Arial"/>
          <w:sz w:val="18"/>
          <w:szCs w:val="18"/>
          <w:color w:val="auto"/>
        </w:rPr>
      </w:pPr>
    </w:p>
    <w:p>
      <w:pPr>
        <w:ind w:left="-20" w:right="260" w:firstLine="656"/>
        <w:spacing w:after="0" w:line="273" w:lineRule="auto"/>
        <w:tabs>
          <w:tab w:leader="none" w:pos="1368" w:val="left"/>
        </w:tabs>
        <w:numPr>
          <w:ilvl w:val="0"/>
          <w:numId w:val="36"/>
        </w:numPr>
        <w:rPr>
          <w:rFonts w:ascii="Arial" w:cs="Arial" w:eastAsia="Arial" w:hAnsi="Arial"/>
          <w:sz w:val="17"/>
          <w:szCs w:val="17"/>
          <w:color w:val="auto"/>
        </w:rPr>
      </w:pPr>
      <w:r>
        <w:rPr>
          <w:rFonts w:ascii="Arial" w:cs="Arial" w:eastAsia="Arial" w:hAnsi="Arial"/>
          <w:sz w:val="17"/>
          <w:szCs w:val="17"/>
          <w:color w:val="auto"/>
        </w:rPr>
        <w:t>At the Execution Time and at the Closing Date, the Company shall have requested and caused Deloitte &amp; Touche LLP to furnish to the Underwriters a “comfort” letter, dated as of the Execution Time, and a bring-down “comfort letter,” dated as of the Closing Date, respectively, in form and substance reasonably satisfactory to the Representatives, confirming that they are independent registered public accountants within the meaning of the Exchange Act and within the meaning of the rules of the Public Company Accounting Oversight Board and confirming certain matters with respect to the audited and unaudited financial statements and other financial and accounting information of the Company contained, or incorporated by reference, in the Disclosure Package and the Prospectus, including any supplement thereto at the date of the applicable letter.</w:t>
      </w:r>
    </w:p>
    <w:p>
      <w:pPr>
        <w:spacing w:after="0" w:line="232" w:lineRule="exact"/>
        <w:rPr>
          <w:rFonts w:ascii="Arial" w:cs="Arial" w:eastAsia="Arial" w:hAnsi="Arial"/>
          <w:sz w:val="17"/>
          <w:szCs w:val="17"/>
          <w:color w:val="auto"/>
        </w:rPr>
      </w:pPr>
    </w:p>
    <w:p>
      <w:pPr>
        <w:ind w:left="-20" w:right="120" w:firstLine="656"/>
        <w:spacing w:after="0" w:line="279" w:lineRule="auto"/>
        <w:tabs>
          <w:tab w:leader="none" w:pos="1348"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 the Closing Date, the Underwriters shall receive a written certificate executed by (i) in the case of the KKR Selling Stockholder, the general partner of the KKR Selling Stockholder, (ii) in the case of the Berkshire Selling Stockholders, the general partner of Berkshire Fund VI, Limited Partnership and an officer of each of Berkshire Investors LLC and Berkshire Investors III LLC and (iii) in the case of the Management Selling Stockholders, an Attorney-in-Fact of each Management Selling Stockholder, dated as of such date, to the effect that:</w:t>
      </w:r>
    </w:p>
    <w:p>
      <w:pPr>
        <w:spacing w:after="0" w:line="225" w:lineRule="exact"/>
        <w:rPr>
          <w:rFonts w:ascii="Arial" w:cs="Arial" w:eastAsia="Arial" w:hAnsi="Arial"/>
          <w:sz w:val="17"/>
          <w:szCs w:val="17"/>
          <w:color w:val="auto"/>
        </w:rPr>
      </w:pPr>
    </w:p>
    <w:p>
      <w:pPr>
        <w:ind w:left="640" w:right="20" w:firstLine="645"/>
        <w:spacing w:after="0" w:line="286" w:lineRule="auto"/>
        <w:tabs>
          <w:tab w:leader="none" w:pos="2038"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representations and warranties of the applicable Selling Stockholder set forth in this Agreement are true and correct in all material respects (except to the extent already qualified by materiality, in which case such representations and warranties shall be subject to accuracy in all respects) with the same force and effect as though expressly made by such Selling Stockholder on and as of such date; and</w:t>
      </w:r>
    </w:p>
    <w:p>
      <w:pPr>
        <w:spacing w:after="0" w:line="219" w:lineRule="exact"/>
        <w:rPr>
          <w:rFonts w:ascii="Arial" w:cs="Arial" w:eastAsia="Arial" w:hAnsi="Arial"/>
          <w:sz w:val="17"/>
          <w:szCs w:val="17"/>
          <w:color w:val="auto"/>
        </w:rPr>
      </w:pPr>
    </w:p>
    <w:p>
      <w:pPr>
        <w:ind w:left="640" w:right="20" w:firstLine="645"/>
        <w:spacing w:after="0" w:line="277" w:lineRule="auto"/>
        <w:tabs>
          <w:tab w:leader="none" w:pos="2038"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applicable Selling Stockholder has complied in all material respects with all the agreements and satisfied all the conditions on its part to be performed or satisfied at or prior to such date.</w:t>
      </w:r>
    </w:p>
    <w:p>
      <w:pPr>
        <w:spacing w:after="0" w:line="224" w:lineRule="exact"/>
        <w:rPr>
          <w:rFonts w:ascii="Arial" w:cs="Arial" w:eastAsia="Arial" w:hAnsi="Arial"/>
          <w:sz w:val="18"/>
          <w:szCs w:val="18"/>
          <w:color w:val="auto"/>
        </w:rPr>
      </w:pPr>
    </w:p>
    <w:p>
      <w:pPr>
        <w:jc w:val="both"/>
        <w:ind w:left="-20" w:right="260" w:firstLine="656"/>
        <w:spacing w:after="0" w:line="264" w:lineRule="auto"/>
        <w:tabs>
          <w:tab w:leader="none" w:pos="1378"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or before the Closing Date, the Management Selling Stockholders shall have furnished for review by the Underwriters copies of the Power of Attorney, Stock Power and Custody Agreement, as applicable, and such further information, certificates and documents as the Underwriters may reasonably request.</w:t>
      </w:r>
    </w:p>
    <w:p>
      <w:pPr>
        <w:spacing w:after="0" w:line="235" w:lineRule="exact"/>
        <w:rPr>
          <w:rFonts w:ascii="Arial" w:cs="Arial" w:eastAsia="Arial" w:hAnsi="Arial"/>
          <w:sz w:val="18"/>
          <w:szCs w:val="18"/>
          <w:color w:val="auto"/>
        </w:rPr>
      </w:pPr>
    </w:p>
    <w:p>
      <w:pPr>
        <w:ind w:left="-20" w:right="160" w:firstLine="656"/>
        <w:spacing w:after="0" w:line="293" w:lineRule="auto"/>
        <w:tabs>
          <w:tab w:leader="none" w:pos="1378" w:val="left"/>
        </w:tabs>
        <w:numPr>
          <w:ilvl w:val="0"/>
          <w:numId w:val="36"/>
        </w:numPr>
        <w:rPr>
          <w:rFonts w:ascii="Arial" w:cs="Arial" w:eastAsia="Arial" w:hAnsi="Arial"/>
          <w:sz w:val="16"/>
          <w:szCs w:val="16"/>
          <w:color w:val="auto"/>
        </w:rPr>
      </w:pPr>
      <w:r>
        <w:rPr>
          <w:rFonts w:ascii="Arial" w:cs="Arial" w:eastAsia="Arial" w:hAnsi="Arial"/>
          <w:sz w:val="16"/>
          <w:szCs w:val="16"/>
          <w:color w:val="auto"/>
        </w:rPr>
        <w:t>Subsequent to the Execution Time or, if earlier, the dates as of which information is given in the Disclosure Package and the Prospectus (exclusive of any amendment or supplement thereto), there shall not have been any change or development involving a prospective change, in the condition (financial or otherwise), business or results of operations of the Company and its subsidiaries, taken as a whole, except as set forth in or contemplated in the Disclosure Package and the Prospectus (exclusive of any supplement thereto), the effect of which is, or would reasonably be expected to become, in the judgment of the Representatives, so material and adverse as to make it impractical or inadvisable to proceed with the offering, sale or delivery of the Securities on the terms and in the manner contemplated in the Disclosure Package and the Prospectus (exclusive of any amendment or supplement thereto).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95" w:right="259" w:bottom="1440" w:gutter="0" w:footer="0" w:header="0"/>
        </w:sectPr>
      </w:pPr>
    </w:p>
    <w:bookmarkStart w:id="26" w:name="page27"/>
    <w:bookmarkEnd w:id="26"/>
    <w:p>
      <w:pPr>
        <w:ind w:left="1360" w:hanging="704"/>
        <w:spacing w:after="0"/>
        <w:tabs>
          <w:tab w:leader="none" w:pos="1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79" w:lineRule="exact"/>
        <w:rPr>
          <w:rFonts w:ascii="Arial" w:cs="Arial" w:eastAsia="Arial" w:hAnsi="Arial"/>
          <w:sz w:val="18"/>
          <w:szCs w:val="18"/>
          <w:color w:val="auto"/>
        </w:rPr>
      </w:pPr>
    </w:p>
    <w:p>
      <w:pPr>
        <w:ind w:right="20" w:firstLine="656"/>
        <w:spacing w:after="0" w:line="277" w:lineRule="auto"/>
        <w:tabs>
          <w:tab w:leader="none" w:pos="1358"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the Closing Date, the Securities shall have been approved for listing and admitted and authorized for trading on the NASDAQ Global Select Market (the “Exchange”).</w:t>
      </w:r>
    </w:p>
    <w:p>
      <w:pPr>
        <w:spacing w:after="0" w:line="224" w:lineRule="exact"/>
        <w:rPr>
          <w:rFonts w:ascii="Arial" w:cs="Arial" w:eastAsia="Arial" w:hAnsi="Arial"/>
          <w:sz w:val="18"/>
          <w:szCs w:val="18"/>
          <w:color w:val="auto"/>
        </w:rPr>
      </w:pPr>
    </w:p>
    <w:p>
      <w:pPr>
        <w:ind w:right="20" w:firstLine="656"/>
        <w:spacing w:after="0" w:line="264" w:lineRule="auto"/>
        <w:tabs>
          <w:tab w:leader="none" w:pos="139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or prior to the Execution Time, the Selling Stockholders shall have furnished to the Representatives, and the Company shall have caused to be furnished to the Representatives from each executive officer and director of the Company listed on Exhibit A-1 hereto, a letter addressed to the Representatives substantially in the form of Exhibit A hereto.</w:t>
      </w:r>
    </w:p>
    <w:p>
      <w:pPr>
        <w:spacing w:after="0" w:line="235" w:lineRule="exact"/>
        <w:rPr>
          <w:rFonts w:ascii="Arial" w:cs="Arial" w:eastAsia="Arial" w:hAnsi="Arial"/>
          <w:sz w:val="18"/>
          <w:szCs w:val="18"/>
          <w:color w:val="auto"/>
        </w:rPr>
      </w:pPr>
    </w:p>
    <w:p>
      <w:pPr>
        <w:ind w:right="200" w:firstLine="656"/>
        <w:spacing w:after="0" w:line="277" w:lineRule="auto"/>
        <w:tabs>
          <w:tab w:leader="none" w:pos="1358"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Prior to the Closing Date, the Company shall have taken all action reasonably required to be taken by it to have the Securities declared eligible for clearance and settlement through DTC.</w:t>
      </w:r>
    </w:p>
    <w:p>
      <w:pPr>
        <w:spacing w:after="0" w:line="224" w:lineRule="exact"/>
        <w:rPr>
          <w:rFonts w:ascii="Arial" w:cs="Arial" w:eastAsia="Arial" w:hAnsi="Arial"/>
          <w:sz w:val="18"/>
          <w:szCs w:val="18"/>
          <w:color w:val="auto"/>
        </w:rPr>
      </w:pPr>
    </w:p>
    <w:p>
      <w:pPr>
        <w:ind w:firstLine="656"/>
        <w:spacing w:after="0" w:line="277" w:lineRule="auto"/>
        <w:tabs>
          <w:tab w:leader="none" w:pos="14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Prior to the Closing Date, the Company shall have furnished to the Representatives such further information, certificates and documents as the Representatives may reasonably request.</w:t>
      </w:r>
    </w:p>
    <w:p>
      <w:pPr>
        <w:spacing w:after="0" w:line="197" w:lineRule="exact"/>
        <w:rPr>
          <w:sz w:val="20"/>
          <w:szCs w:val="20"/>
          <w:color w:val="auto"/>
        </w:rPr>
      </w:pPr>
    </w:p>
    <w:p>
      <w:pPr>
        <w:ind w:right="60" w:firstLine="1297"/>
        <w:spacing w:after="0" w:line="342" w:lineRule="auto"/>
        <w:rPr>
          <w:sz w:val="20"/>
          <w:szCs w:val="20"/>
          <w:color w:val="auto"/>
        </w:rPr>
      </w:pPr>
      <w:r>
        <w:rPr>
          <w:rFonts w:ascii="Arial" w:cs="Arial" w:eastAsia="Arial" w:hAnsi="Arial"/>
          <w:sz w:val="16"/>
          <w:szCs w:val="16"/>
          <w:color w:val="auto"/>
        </w:rPr>
        <w:t>All opinions, letters, evidence and certificates mentioned above or elsewhere in this Agreement shall be deemed to be in compliance with the provisions hereof only if they are in form and substance reasonably satisfactory to the Representatives and counsel for the Underwriters.</w:t>
      </w:r>
    </w:p>
    <w:p>
      <w:pPr>
        <w:spacing w:after="0" w:line="15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documents required to be delivered by this Section 8 will be available for inspection at the office of Simpson Thacher &amp; Bartlett LLP, at 425 Lexington Avenue, New York, New York 10017, on the Business Day prior to the Closing Date.</w:t>
      </w:r>
    </w:p>
    <w:p>
      <w:pPr>
        <w:spacing w:after="0" w:line="224" w:lineRule="exact"/>
        <w:rPr>
          <w:sz w:val="20"/>
          <w:szCs w:val="20"/>
          <w:color w:val="auto"/>
        </w:rPr>
      </w:pPr>
    </w:p>
    <w:p>
      <w:pPr>
        <w:ind w:firstLine="656"/>
        <w:spacing w:after="0" w:line="293" w:lineRule="auto"/>
        <w:tabs>
          <w:tab w:leader="none" w:pos="1323"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Reimbursement of Underwriters’ Expenses</w:t>
      </w:r>
      <w:r>
        <w:rPr>
          <w:rFonts w:ascii="Arial" w:cs="Arial" w:eastAsia="Arial" w:hAnsi="Arial"/>
          <w:sz w:val="16"/>
          <w:szCs w:val="16"/>
          <w:color w:val="auto"/>
        </w:rPr>
        <w:t>. If the sale of the Securities provided for herein is not consummated because any condition to the obligations of the Underwriters set forth in Section 8 hereof is not satisfied, because of any termination pursuant to Section 12 hereof or because of any refusal, inability or failure on the part of the Company or any Selling Stockholder to perform any agreement herein or to comply with any provision hereof other than by reason of a default by any of the Underwriters, including as described in Section 11 hereof, the Company will reimburse the Underwriters severally through the Representatives on behalf of the Underwriters on demand for all reasonable expenses (including reasonable fees and disbursements of Latham &amp; Watkins LLP) that shall have been incurred by them in connection with the proposed purchase and sale of the Securities.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95" w:right="399" w:bottom="1440" w:gutter="0" w:footer="0" w:header="0"/>
        </w:sectPr>
      </w:pPr>
    </w:p>
    <w:bookmarkStart w:id="27" w:name="page28"/>
    <w:bookmarkEnd w:id="27"/>
    <w:p>
      <w:pPr>
        <w:ind w:left="1400" w:hanging="764"/>
        <w:spacing w:after="0"/>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79" w:lineRule="exact"/>
        <w:rPr>
          <w:sz w:val="20"/>
          <w:szCs w:val="20"/>
          <w:color w:val="auto"/>
        </w:rPr>
      </w:pPr>
    </w:p>
    <w:p>
      <w:pPr>
        <w:ind w:left="-20" w:firstLine="656"/>
        <w:spacing w:after="0" w:line="267" w:lineRule="auto"/>
        <w:tabs>
          <w:tab w:leader="none" w:pos="1368"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The Company agrees to indemnify and hold harmless each Underwriter, the directors, officers, selling agents and Affiliates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U.S.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or in any Preliminary Prospectus, or the Prospectus, or any Issuer Free Writing Prospectus or any bona fide electronic road show as defined in Rule 433(h) under the Act (a “road show”) or in any amendment thereof or supplement thereto or arise out of or are based upon the omission or alleged omission to state therein a material fact required to be stated therein or necessary to make the statements therein, in the case of any Preliminary Prospectus, the Prospectus, any Free Writing Prospectus or roadshow or in any amendment thereof or supplement thereto, in the light of the circumstances under which they were made, not misleading, and agrees (subject to the limitations set forth in the provisos to this sentence) to reimburse each such indemnified party, as incurred, for any legal or other expenses reasonably incurred by it in connection with investigating or defending any such loss, claim, damage, liability or action;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it being understood and agreed that the only such information furnished by any Underwriter consists of the information described as such in Section 10(c) below. The obligations of the Company under this indemnity agreement will be in addition to any liability that the Company may otherwise have. The Company shall not be liable under this Section 10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the Company, which consent shall not be unreasonably withheld.</w:t>
      </w:r>
    </w:p>
    <w:p>
      <w:pPr>
        <w:spacing w:after="0" w:line="242" w:lineRule="exact"/>
        <w:rPr>
          <w:rFonts w:ascii="Arial" w:cs="Arial" w:eastAsia="Arial" w:hAnsi="Arial"/>
          <w:sz w:val="17"/>
          <w:szCs w:val="17"/>
          <w:color w:val="auto"/>
        </w:rPr>
      </w:pPr>
    </w:p>
    <w:p>
      <w:pPr>
        <w:ind w:left="-20" w:right="140" w:firstLine="656"/>
        <w:spacing w:after="0" w:line="288" w:lineRule="auto"/>
        <w:tabs>
          <w:tab w:leader="none" w:pos="1378"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Each of the Selling Stockholders, severally, and not jointly, agrees to indemnify and hold harmless each Underwriter, the directors, officers, selling agents and Affiliates of each Underwriter and each person who controls any Underwriter within the meaning of either the Act or the Exchange Act against any and all losses, claims, damages or liabilities, joint or several, to which they or any of them may become subject under the Act, the Exchange Act, other U.S. federal or state statutory law or regulation, at common law or otherwise, insofar as such losses, claims, damages or liabilities arise to the extent and in the manner set forth in Section 10(a)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Selling Stockholder shall be liable only to the extent that such untrue statement or alleged untrue statement or omission or alleged omission has been made in the Registration Statement, or in any Preliminary Prospectus, or the Prospectus, or any Issuer Free Writing Prospectus or any roadshow or in any amendment thereof or supplement thereto in reliance upon and in conformity with the Selling Stockholders Information provided by such Selling Stockholder;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liability under this subsection of each Selling Stockholder shall be limited to an amount equal to the aggregate gross proceeds after underwriting commissions and discounts, but before expenses, to such Selling Stockholder from the sale of Underwritten Securities sold by such Selling Stockholder hereunder (the “Selling Stockholder Net Proceeds”).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95" w:right="259" w:bottom="1440" w:gutter="0" w:footer="0" w:header="0"/>
        </w:sectPr>
      </w:pPr>
    </w:p>
    <w:bookmarkStart w:id="28" w:name="page29"/>
    <w:bookmarkEnd w:id="28"/>
    <w:p>
      <w:pPr>
        <w:ind w:left="-20" w:right="60" w:firstLine="656"/>
        <w:spacing w:after="0" w:line="270" w:lineRule="auto"/>
        <w:tabs>
          <w:tab w:leader="none" w:pos="1368" w:val="left"/>
        </w:tabs>
        <w:numPr>
          <w:ilvl w:val="0"/>
          <w:numId w:val="41"/>
        </w:numPr>
        <w:rPr>
          <w:rFonts w:ascii="Arial" w:cs="Arial" w:eastAsia="Arial" w:hAnsi="Arial"/>
          <w:sz w:val="17"/>
          <w:szCs w:val="17"/>
          <w:color w:val="auto"/>
        </w:rPr>
      </w:pPr>
      <w:r>
        <w:rPr>
          <w:rFonts w:ascii="Arial" w:cs="Arial" w:eastAsia="Arial" w:hAnsi="Arial"/>
          <w:sz w:val="17"/>
          <w:szCs w:val="17"/>
          <w:color w:val="auto"/>
        </w:rPr>
        <w:t>Each Underwriter severally, and not jointly, agrees to indemnify and hold harmless (i) the Company, (ii) each person, if any, who controls (within the meaning of either the Act or the Exchange Act) the Company or any Selling Stockholder, (iii) each of the directors of the Company who signs the Registration Statement, (iv) each of the officers of the Company who signs the Registration Statement, and (v) each of the Selling Stockholders, to the same extent as the foregoing indemnity from the Company and Selling Stockholders to each Underwriter, but only with reference to written information relating to such Underwriter furnished to the Company and/or Selling Stockholders by or on behalf of such Underwriter through the Representatives specifically for inclusion in the documents referred to in the foregoing indemnity. This indemnity agreement will be in addition to any liability that any Underwriters may otherwise have. The Company acknowledges that the statements in the Preliminary Prospectus and the Prospectus set forth in the sixth paragraph, the fourteenth paragraph, the fifteenth paragraph, the sixteenth paragraph, and the seventeenth paragraph under the heading “Underwriting (Conflicts of Interest)”, constitute the only information furnished in writing by or on behalf of the several Underwriters for inclusion in the Registration Statement, Preliminary Prospectus, the Prospectus or any Issuer Free Writing Prospectus or any road show.</w:t>
      </w:r>
    </w:p>
    <w:p>
      <w:pPr>
        <w:spacing w:after="0" w:line="231" w:lineRule="exact"/>
        <w:rPr>
          <w:rFonts w:ascii="Arial" w:cs="Arial" w:eastAsia="Arial" w:hAnsi="Arial"/>
          <w:sz w:val="17"/>
          <w:szCs w:val="17"/>
          <w:color w:val="auto"/>
        </w:rPr>
      </w:pPr>
    </w:p>
    <w:p>
      <w:pPr>
        <w:ind w:left="-20" w:firstLine="656"/>
        <w:spacing w:after="0" w:line="283" w:lineRule="auto"/>
        <w:tabs>
          <w:tab w:leader="none" w:pos="1378"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10 of notice of the commencement of any action, such indemnified party will, if a claim in respect thereof is to be made against the indemnifying party under this Section 10, notify the indemnifying party in writing of the commencement thereof; but the failure to notify the indemnifying party (i) will not relieve it from liability under paragraph (a), (b) or (c) above unless and to the extent it did not otherwise learn of such action and such failure results in the forfeiture by the indemnifying party of substantial rights or defenses and (ii) will not, in any event, relieve the indemnifying party from any obligations to any indemnified party other than the indemnification obligation provided in paragraph (a), (b) or (c) above, except as provided in paragraph (e) below.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counsel shall be reasonably satisfactory to the indemnified party. Notwithstanding the indemnifying party’s election to appoint counsel (including local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(based on the advice of counsel to the indemnified person); (ii) such action includes both the indemnified party and the indemnifying party and the indemnified party shall have reasonably concluded (based on the advice of counsel to the indemnified person) that there may be legal defenses available to it and/or other indemnified parties that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It is understood and agreed that the indemnifying person shall not, in connection with any proceeding or related proceeding in the same jurisdiction, be liable for the reasonable fees and expenses of more than one separate firm (in addition to any local counsel) for all indemnified persons. Any such separate firm for any Underwriters, its Affiliates, directors, selling agents and officers and any control persons of such Underwriters shall be designated in writing by Merrill Lynch, Pierce, Fenner &amp; Smith Incorporated, Citigroup Global Markets Inc. and Goldman Sachs &amp; Co. LLC, and any such separate firm for the indemnified parties referred to in Section 10(c) above shall be designated in writing by the Company. In the event that any Underwriter, its Affiliates, directors, selling agents and officers or any control persons of such Underwriter are indemnified persons collectively entitled, in connection with a proceeding in a single jurisdiction, to the payment of fees and expenses of a single separate firm under this Section 10(d), and any such Underwriter, its Affiliates, directors, selling agents and officers or any control persons of such Underwriter cannot agree to a mutually acceptable separate firm to act as counsel thereto, then such separate firm for all such indemnified persons shall be designated in writing by Merrill Lynch, Pierce, Fenner &amp; Smith Incorporated, Citigroup Global Markets Inc. and Goldman Sachs &amp; Co. LLC.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action suit or proceeding) unless such settlement, compromise or consent includes an unconditional release of each indemnified party from all liability arising out of such claim, action, suit or proceeding and does not include any statement as to, or any admission of, fault, culpability or failure to act by or on behalf of any indemnified party.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95" w:right="259" w:bottom="1440" w:gutter="0" w:footer="0" w:header="0"/>
        </w:sectPr>
      </w:pPr>
    </w:p>
    <w:bookmarkStart w:id="29" w:name="page30"/>
    <w:bookmarkEnd w:id="29"/>
    <w:p>
      <w:pPr>
        <w:ind w:left="-40" w:firstLine="656"/>
        <w:spacing w:after="0" w:line="283" w:lineRule="auto"/>
        <w:tabs>
          <w:tab w:leader="none" w:pos="1348"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(b), (c) or (d) of this Section 10 is unavailable to or insufficient to hold harmless an indemnified party for any reason (other than by virtue of the failure of an indemnified party to notify the indemnifying party of its right to indemnification pursuant to subsection (a), (b), (c) or (d) above, where such failure materially prejudices the indemnifying party (through the forfeiture of substantial rights or defenses)), the Company and/or the Selling Stockholders, as applicable, and the Underwriters severally agree to contribute to the aggregate losses, claims, damages and liabilities (including legal or other expenses reasonably incurred in connection with investigating or defending any loss, claim, damage, liability or action) (collectively “Losses”) to which the Company and/or the Selling Stockholders, as applicable, and one or more of the Underwriters may be subject in such proportion as is appropriate to reflect the relative benefits received by the Company and/or the Selling Stockholders, as applicable, on the one hand and by the Underwriters on the other from the offering of the Securities. If the allocation provided by the immediately preceding sentence is unavailable for any reason or not permitted by applicable law, the Company and/or the Selling Stockholders, as applicable, and the Underwriters severally shall contribute in such proportion as is appropriate to reflect not only such relative benefits but also the relative fault of the Company and/or the Selling Stockholders, as applicable, on the one hand and of the Underwriters on the other in connection with the statements or omissions that resulted in such Losses, as well as any other relevant equitable considerations. Benefits received by the Company and/or the Selling Stockholders, as applicable, shall be deemed to be equal to the total net proceeds from the offering (before deducting expenses) received by it, and benefits received by the Underwriters shall be deemed to be equal to the total underwriting discounts and commissions received by them,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and/or the Selling Stockholders, as applicable, on the one hand or the Underwriters on the other, the intent of the parties and their relative knowledge, access to information and opportunity to correct or prevent such untrue statement or omission and any other equitable considerations appropriate in the circumstances. The Company, the Selling Stockholders and the Underwriters agree that it would not be just and equitable if the amount of such contribution were determined by pro rata allocation or any other method of allocation that does not take account of the equitable considerations referred to above. Notwithstanding the provisions of this paragraph (e), in no event shall any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Notwithstanding the provisions of this paragraph (e), each Selling Stockholder’s obligations to contribute any amount under this paragraph (e) is limited in the manner and to the extent set forth in paragraph 10(b) and in no event shall the aggregate liability of such Selling Stockholder under paragraph 10(b) and this paragraph (e) exceed the limit set forth in paragraph 10(b). No person guilty of fraudulent misrepresentation (within the meaning of Section 11(f) of the Act) shall be entitled to contribution from any person who was not guilty of such fraudulent misrepresentation. The Underwriters’ obligations to contribute pursuant to this Section 10 are several in proportion to their respective purchase obligations hereunder and not joint. For purposes of this Section 10, each person, if any, who controls an Underwriter within the meaning of either the Act or the Exchange Act and each director, officer, employee, Affiliate and agent of an Underwriter shall have the same rights to contribution as such Underwriter,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395" w:right="279" w:bottom="1440" w:gutter="0" w:footer="0" w:header="0"/>
        </w:sectPr>
      </w:pPr>
    </w:p>
    <w:bookmarkStart w:id="30" w:name="page31"/>
    <w:bookmarkEnd w:id="30"/>
    <w:p>
      <w:pPr>
        <w:ind w:firstLine="656"/>
        <w:spacing w:after="0" w:line="285" w:lineRule="auto"/>
        <w:tabs>
          <w:tab w:leader="none" w:pos="1407"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Default by an Underwriter</w:t>
      </w:r>
      <w:r>
        <w:rPr>
          <w:rFonts w:ascii="Arial" w:cs="Arial" w:eastAsia="Arial" w:hAnsi="Arial"/>
          <w:sz w:val="16"/>
          <w:szCs w:val="16"/>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as the case may be, shall be obligated severally to take up and pay for (in the respective proportions that the amount of the Securities set forth opposite their names in Schedule I(A) hereto bears to the aggregate amount of the Securities set forth opposite the names of all the remaining Underwriters, as applicable) the Securities that the defaulting Underwriter or Underwriters agreed but failed to purchase;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that the aggregate amount of the Securities that the defaulting Underwriter or Underwriters agreed but failed to purchase shall exceed 10% of the aggregate amount of the Securities set forth in Schedule I(A) hereto, the Company and the Selling Stockholders shall be entitled to a period of 36 hours within which to procure another party or parties reasonably satisfactory to the non-defaulting Underwriters, as the case may be, to purchase no less than the amount of such unpurchased Securities that exceeds 10% of the amount thereof upon such terms herein set forth. If, however, the Company and the Selling Stockholders shall not have completed such arrangements within 72 hours after such default and the amount of unpurchased Securities exceeds 10% of the amount of such Securities to be purchased on such date, then this Agreement will terminate without liability to any non-defaulting Underwriter or the Company and the Selling Stockholders. In the event of a default by any Underwriter as set forth in this Section 11, the Closing Date shall be postponed for such period, not exceeding five Business Days, to effect any changes that in the opinion of counsel for the Company and the Selling Stockholders or counsel for the Representatives are necessary in the Registration Statement, Prospectus or in any other documents or arrangements may be effected. Nothing contained in this Agreement shall relieve any defaulting Underwriter of its liability, if any, to the Company and the Selling Stockholders or any nondefaulting Underwriter for damages occasioned by its default hereunder.</w:t>
      </w:r>
    </w:p>
    <w:p>
      <w:pPr>
        <w:spacing w:after="0" w:line="231" w:lineRule="exact"/>
        <w:rPr>
          <w:rFonts w:ascii="Arial" w:cs="Arial" w:eastAsia="Arial" w:hAnsi="Arial"/>
          <w:sz w:val="16"/>
          <w:szCs w:val="16"/>
          <w:color w:val="auto"/>
        </w:rPr>
      </w:pPr>
    </w:p>
    <w:p>
      <w:pPr>
        <w:ind w:firstLine="656"/>
        <w:spacing w:after="0" w:line="269" w:lineRule="auto"/>
        <w:tabs>
          <w:tab w:leader="none" w:pos="1413"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be subject to termination in the absolute discretion of the Representatives, by notice given to the Company and the Selling Stockholders prior to delivery of and payment for the Securities, if at any time prior to such time (i) there shall have occurred, since the time of execution of this Agreement or since the respective dates as of which information is given in the Disclosure Package or the Prospectus, any material adverse change or development in the condition (financial or otherwise), business or results of operations of the Company and its subsidiaries, taken as a whole; (ii) trading in the Company’s Common Stock shall have been suspended by the Commission or the Exchange or trading in any securities generally on the New York Stock Exchange or NASDAQ Stock Market shall have been suspended or materially limited or minimum prices shall have been established on either exchange; (iii) a banking moratorium shall have been declared either by U.S. federal or New York State authorities; (iv) there shall have occurred a material disruption in commercial banking or securities settlement or clearance services or (v) there shall have occurred any outbreak or escalation of hostilities, declaration by the United States of a national emergency or war or other calamity or crisis the effect of which on financial markets is such as to make it, in the judgment of the Representatives, impractical or inadvisable to proceed with the offering, sale or delivery of the Securities as contemplated in the Disclosure Package and the Prospectus (exclusive of any supplement thereto).</w:t>
      </w:r>
    </w:p>
    <w:p>
      <w:pPr>
        <w:spacing w:after="0" w:line="236" w:lineRule="exact"/>
        <w:rPr>
          <w:rFonts w:ascii="Arial" w:cs="Arial" w:eastAsia="Arial" w:hAnsi="Arial"/>
          <w:sz w:val="17"/>
          <w:szCs w:val="17"/>
          <w:color w:val="auto"/>
        </w:rPr>
      </w:pPr>
    </w:p>
    <w:p>
      <w:pPr>
        <w:ind w:right="60" w:firstLine="656"/>
        <w:spacing w:after="0" w:line="257" w:lineRule="auto"/>
        <w:tabs>
          <w:tab w:leader="none" w:pos="141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or its officers, the Selling Stockholders and of the Underwriters set forth in or made pursuant to this Agreement will remain in full force and effect, regardless of any investigation made by or on behalf of any Underwriter, the Company, the Selling Stockholders or any of the indemnified persons referred to in Section 10 hereof, and, anything herein to the contrary notwithstanding, will survive delivery of and payment for the Securities. The provisions of Sections 9 and 10 hereof shall survive the termination or cancellation of this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1" w:name="page32"/>
    <w:bookmarkEnd w:id="31"/>
    <w:p>
      <w:pPr>
        <w:ind w:left="-20" w:firstLine="656"/>
        <w:spacing w:after="0" w:line="270" w:lineRule="auto"/>
        <w:tabs>
          <w:tab w:leader="none" w:pos="1393"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will be in writing and effective only on receipt, and, if sent to the Representatives, will be mailed, delivered or telefaxed to Merrill Lynch, Pierce, Fenner &amp; Smith Incorporated at One Bryant Park, New York, New York 10036, attention of Syndicate Department (facsimile: (646) 855-3073), with a copy to ECM Legal (facsimile: (212) 230-8730); Citigroup Global Markets Inc. (facsimile: (646) 291-1369) and confirmed to the General Counsel, Citigroup Global Markets Inc., at 388 Greenwich Street, New York, New York 10013, Attention: General Counsel; Goldman Sachs &amp; Co. LLC at 200 West Street, New York, New York 10282, Attention: Registration Department; and Jefferies LLC, at 520 Madison Avenue, New York, New York 10022, Attention: Global Head of Syndicate; if sent to the Company or the Management Selling Stockholders, will be mailed or delivered to National Vision Holdings, Inc. at 2435 Commerce Avenue, Bldg. 2200, Duluth, Georgia 30096, Attention: General Counsel (fax no.: (770) 822-2029), with a copy to Joseph H. Kaufman, Simpson Thacher &amp; Bartlett LLP, at 425 Lexington Avenue, New York, New York (fax no. (212) 455-2502); if to the KKR Selling Stockholder: KKR Vision Aggregator L.P., c/o Kohlberg Kravis Roberts &amp; Co. L.P., 9 West 57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Suite 4200, New York, New York 10019; or if to the Berkshire Selling Stockholders: c/o Berkshire Partners, LLC, 200 Clarendon Street, 35th Floor, Boston, Massachusetts 02116. The Company shall be entitled to act and rely upon any request, consent, notice or agreement given or made on behalf of the Underwriters by the Representatives.</w:t>
      </w:r>
    </w:p>
    <w:p>
      <w:pPr>
        <w:spacing w:after="0" w:line="240" w:lineRule="exact"/>
        <w:rPr>
          <w:rFonts w:ascii="Arial" w:cs="Arial" w:eastAsia="Arial" w:hAnsi="Arial"/>
          <w:sz w:val="16"/>
          <w:szCs w:val="16"/>
          <w:color w:val="auto"/>
        </w:rPr>
      </w:pPr>
    </w:p>
    <w:p>
      <w:pPr>
        <w:ind w:left="-20" w:right="340" w:firstLine="656"/>
        <w:spacing w:after="0" w:line="286" w:lineRule="auto"/>
        <w:tabs>
          <w:tab w:leader="none" w:pos="1393"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This Agreement will inure to the benefit of and be binding upon the parties hereto and their respective successors and the indemnified persons referred to in Section 10 hereof and their respective successors and no other person will have any right or obligation hereunder. No purchaser of Securities from any Underwriter shall be deemed to be a successor merely by reason of such purchase.</w:t>
      </w:r>
    </w:p>
    <w:p>
      <w:pPr>
        <w:spacing w:after="0" w:line="219" w:lineRule="exact"/>
        <w:rPr>
          <w:rFonts w:ascii="Arial" w:cs="Arial" w:eastAsia="Arial" w:hAnsi="Arial"/>
          <w:sz w:val="17"/>
          <w:szCs w:val="17"/>
          <w:color w:val="auto"/>
        </w:rPr>
      </w:pPr>
    </w:p>
    <w:p>
      <w:pPr>
        <w:ind w:left="-20" w:right="240" w:firstLine="656"/>
        <w:spacing w:after="0" w:line="277" w:lineRule="auto"/>
        <w:tabs>
          <w:tab w:leader="none" w:pos="1393"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224" w:lineRule="exact"/>
        <w:rPr>
          <w:rFonts w:ascii="Arial" w:cs="Arial" w:eastAsia="Arial" w:hAnsi="Arial"/>
          <w:sz w:val="18"/>
          <w:szCs w:val="18"/>
          <w:color w:val="auto"/>
        </w:rPr>
      </w:pPr>
    </w:p>
    <w:p>
      <w:pPr>
        <w:ind w:left="-20" w:right="60" w:firstLine="656"/>
        <w:spacing w:after="0" w:line="259" w:lineRule="auto"/>
        <w:tabs>
          <w:tab w:leader="none" w:pos="1393"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240" w:lineRule="exact"/>
        <w:rPr>
          <w:rFonts w:ascii="Arial" w:cs="Arial" w:eastAsia="Arial" w:hAnsi="Arial"/>
          <w:sz w:val="18"/>
          <w:szCs w:val="18"/>
          <w:color w:val="auto"/>
        </w:rPr>
      </w:pPr>
    </w:p>
    <w:p>
      <w:pPr>
        <w:ind w:left="-20" w:right="60" w:firstLine="656"/>
        <w:spacing w:after="0" w:line="270" w:lineRule="auto"/>
        <w:tabs>
          <w:tab w:leader="none" w:pos="1393"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The Company and the Selling Stockholders hereby acknowledge that (a) the purchase and sale of the Securities pursuant to this Agreement is an arm’s-length commercial transaction between the Company and the Selling Stockholders, on the one hand, and the Underwriters and any affiliate through which it may be acting, on the other, (b) the Underwriters are acting as principal and not as an agent or fiduciary of the Company or the Selling Stockholders and (c) the Company’s engagement of the Underwriters in connection with the offering and the process leading up to the offering is as independent contractors and not in any other capacity. Furthermore, the Company and the Selling Stockholders agree that they are solely responsible for making their own judgments in connection with the offering (irrespective of whether any of the Underwriters has advised or is currently advising the Company or the Selling Stockholders on related or other matters). The Company and the Selling Stockholders agree that they will not claim that the Underwriters have rendered advisory services of any nature or respect, or owe an agency, fiduciary or similar duty to the Company or the Selling Stockholders, in connection with such transaction or the process leading thereto.</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32" w:name="page33"/>
    <w:bookmarkEnd w:id="32"/>
    <w:p>
      <w:pPr>
        <w:ind w:right="480" w:firstLine="656"/>
        <w:spacing w:after="0" w:line="277" w:lineRule="auto"/>
        <w:tabs>
          <w:tab w:leader="none" w:pos="141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among the Company, the Selling Stockholders and the Underwriters, or any of them, with respect to the subject matter hereof.</w:t>
      </w:r>
    </w:p>
    <w:p>
      <w:pPr>
        <w:spacing w:after="0" w:line="224" w:lineRule="exact"/>
        <w:rPr>
          <w:rFonts w:ascii="Arial" w:cs="Arial" w:eastAsia="Arial" w:hAnsi="Arial"/>
          <w:sz w:val="18"/>
          <w:szCs w:val="18"/>
          <w:color w:val="auto"/>
        </w:rPr>
      </w:pPr>
    </w:p>
    <w:p>
      <w:pPr>
        <w:ind w:right="100" w:firstLine="656"/>
        <w:spacing w:after="0" w:line="259" w:lineRule="auto"/>
        <w:tabs>
          <w:tab w:leader="none" w:pos="141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COMPANY, EACH OF THE SELLING STOCKHOLDERS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240" w:lineRule="exact"/>
        <w:rPr>
          <w:rFonts w:ascii="Arial" w:cs="Arial" w:eastAsia="Arial" w:hAnsi="Arial"/>
          <w:sz w:val="18"/>
          <w:szCs w:val="18"/>
          <w:color w:val="auto"/>
        </w:rPr>
      </w:pPr>
    </w:p>
    <w:p>
      <w:pPr>
        <w:ind w:right="220" w:firstLine="656"/>
        <w:spacing w:after="0" w:line="308" w:lineRule="auto"/>
        <w:tabs>
          <w:tab w:leader="none" w:pos="1413"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signed in one or more counterparts (which may be delivered in original form, facsimile or “pdf” file thereof), each of which when so executed shall constitute an original and all of which together shall constitute one and the same agreement.</w:t>
      </w:r>
    </w:p>
    <w:p>
      <w:pPr>
        <w:spacing w:after="0" w:line="200" w:lineRule="exact"/>
        <w:rPr>
          <w:rFonts w:ascii="Arial" w:cs="Arial" w:eastAsia="Arial" w:hAnsi="Arial"/>
          <w:sz w:val="17"/>
          <w:szCs w:val="17"/>
          <w:color w:val="auto"/>
        </w:rPr>
      </w:pPr>
    </w:p>
    <w:p>
      <w:pPr>
        <w:ind w:left="1420" w:hanging="764"/>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79" w:lineRule="exact"/>
        <w:rPr>
          <w:rFonts w:ascii="Arial" w:cs="Arial" w:eastAsia="Arial" w:hAnsi="Arial"/>
          <w:sz w:val="18"/>
          <w:szCs w:val="18"/>
          <w:color w:val="auto"/>
        </w:rPr>
      </w:pPr>
    </w:p>
    <w:p>
      <w:pPr>
        <w:ind w:left="1420" w:hanging="764"/>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“Act” shall mean the Securities Act of 1933, as amended, and the rules and regulations of the Commission promulgated thereunder.</w:t>
      </w: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“Affiliate” shall have the meaning specified in Rule 501(b) of Regulation 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“Agreement” shall mean this underwriting agreement.</w:t>
      </w:r>
    </w:p>
    <w:p>
      <w:pPr>
        <w:spacing w:after="0" w:line="25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commercial banking institutions or trust companies are authorized or required by law to close in New York City.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252" w:lineRule="exact"/>
        <w:rPr>
          <w:sz w:val="20"/>
          <w:szCs w:val="20"/>
          <w:color w:val="auto"/>
        </w:rPr>
      </w:pPr>
    </w:p>
    <w:p>
      <w:pPr>
        <w:jc w:val="both"/>
        <w:ind w:right="20" w:firstLine="1297"/>
        <w:spacing w:after="0" w:line="259" w:lineRule="auto"/>
        <w:rPr>
          <w:sz w:val="20"/>
          <w:szCs w:val="20"/>
          <w:color w:val="auto"/>
        </w:rPr>
      </w:pPr>
      <w:r>
        <w:rPr>
          <w:rFonts w:ascii="Arial" w:cs="Arial" w:eastAsia="Arial" w:hAnsi="Arial"/>
          <w:sz w:val="18"/>
          <w:szCs w:val="18"/>
          <w:color w:val="auto"/>
        </w:rPr>
        <w:t>“Disclosure Package” shall mean (i) the Preliminary Prospectus that is generally distributed to investors and used to offer the Securities, (ii) the Issuer Free Writing Prospectuses, if any, and any other information (including any documents incorporated by reference in the Preliminary Prospectus), in each case, identified in Schedule II hereto, and (iii) any other Free Writing Prospectus that the parties hereto shall hereafter expressly agree in writing to treat as part of the Disclosure Package.</w:t>
      </w:r>
    </w:p>
    <w:p>
      <w:pPr>
        <w:spacing w:after="0" w:line="214"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“Effective Date” shall mean each date and time that the Registration Statement, any post-effective amendment or amendments thereto and any Rule 462(b) Registration Statement became or becomes effective.</w:t>
      </w:r>
    </w:p>
    <w:p>
      <w:pPr>
        <w:spacing w:after="0" w:line="197" w:lineRule="exact"/>
        <w:rPr>
          <w:sz w:val="20"/>
          <w:szCs w:val="20"/>
          <w:color w:val="auto"/>
        </w:rPr>
      </w:pPr>
    </w:p>
    <w:p>
      <w:pPr>
        <w:ind w:right="920" w:firstLine="1297"/>
        <w:spacing w:after="0" w:line="277"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33" w:name="page34"/>
    <w:bookmarkEnd w:id="33"/>
    <w:p>
      <w:pPr>
        <w:ind w:left="1300"/>
        <w:spacing w:after="0"/>
        <w:rPr>
          <w:sz w:val="20"/>
          <w:szCs w:val="20"/>
          <w:color w:val="auto"/>
        </w:rPr>
      </w:pPr>
      <w:r>
        <w:rPr>
          <w:rFonts w:ascii="Arial" w:cs="Arial" w:eastAsia="Arial" w:hAnsi="Arial"/>
          <w:sz w:val="18"/>
          <w:szCs w:val="18"/>
          <w:color w:val="auto"/>
        </w:rPr>
        <w:t>“Execution Time” shall mean 5:15 p.m. on March 14, 2018.</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“Free Writing Prospectus” shall mean a free writing prospectus, as defined in Rule 405.</w:t>
      </w:r>
    </w:p>
    <w:p>
      <w:pPr>
        <w:spacing w:after="0" w:line="25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“Investment Company Act” shall mean the Investment Company Act of 1940, as amended, and the rules and regulations of the Commission promulgated thereunder.</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“Issuer Free Writing Prospectus” shall mean an issuer free writing prospectus, as defined in Rule 433.</w:t>
      </w:r>
    </w:p>
    <w:p>
      <w:pPr>
        <w:spacing w:after="0" w:line="252" w:lineRule="exact"/>
        <w:rPr>
          <w:sz w:val="20"/>
          <w:szCs w:val="20"/>
          <w:color w:val="auto"/>
        </w:rPr>
      </w:pPr>
    </w:p>
    <w:p>
      <w:pPr>
        <w:ind w:right="20" w:firstLine="1297"/>
        <w:spacing w:after="0" w:line="342" w:lineRule="auto"/>
        <w:rPr>
          <w:sz w:val="20"/>
          <w:szCs w:val="20"/>
          <w:color w:val="auto"/>
        </w:rPr>
      </w:pPr>
      <w:r>
        <w:rPr>
          <w:rFonts w:ascii="Arial" w:cs="Arial" w:eastAsia="Arial" w:hAnsi="Arial"/>
          <w:sz w:val="16"/>
          <w:szCs w:val="16"/>
          <w:color w:val="auto"/>
        </w:rPr>
        <w:t>“Preliminary Prospectus” shall mean any preliminary prospectus referred to in paragraph 1(a) above, including any documents incorporated by reference therein, and any preliminary prospectus included in the Registration Statement at the Effective Date that omits Rule 430A Information.</w:t>
      </w:r>
    </w:p>
    <w:p>
      <w:pPr>
        <w:spacing w:after="0" w:line="151"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“Prospectus” shall mean the prospectus (including any documents incorporated by reference therein) relating to the Securities that is first filed pursuant to Rule 424(b) after the Execution Time.</w:t>
      </w:r>
    </w:p>
    <w:p>
      <w:pPr>
        <w:spacing w:after="0" w:line="197"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“Registration Statement” shall mean the registration statement (including any documents incorporated by reference therein) referred to in paragraph 1(a) above, including exhibits and financial statements and any prospectus supplement relating to the Securities that is filed with the Commission pursuant to Rule 424(b) and deemed part of such registration statement pursuant to Rule 430A, as amended at the Execution Time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“Rule 158”, “Rule 163”, “Rule 164”, “Rule 172”, “Rule 405”, “Rule 415”, “Rule 424”, “Rule 430A” and “Rule 433” refer to such rules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under the Act.</w:t>
      </w:r>
    </w:p>
    <w:p>
      <w:pPr>
        <w:spacing w:after="0" w:line="238"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“Rule 430A Information” shall mean information with respect to the Securities and the offering thereof permitted to be omitted from the Registration Statement when it becomes effective pursuant to Rule 430A.</w:t>
      </w:r>
    </w:p>
    <w:p>
      <w:pPr>
        <w:spacing w:after="0" w:line="19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224" w:lineRule="exact"/>
        <w:rPr>
          <w:sz w:val="20"/>
          <w:szCs w:val="20"/>
          <w:color w:val="auto"/>
        </w:rPr>
      </w:pPr>
    </w:p>
    <w:p>
      <w:pPr>
        <w:ind w:right="40" w:firstLine="656"/>
        <w:spacing w:after="0" w:line="255" w:lineRule="auto"/>
        <w:tabs>
          <w:tab w:leader="none" w:pos="141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Allocation of Selling Stockholder Shares</w:t>
      </w:r>
      <w:r>
        <w:rPr>
          <w:rFonts w:ascii="Arial" w:cs="Arial" w:eastAsia="Arial" w:hAnsi="Arial"/>
          <w:sz w:val="18"/>
          <w:szCs w:val="18"/>
          <w:color w:val="auto"/>
        </w:rPr>
        <w:t>. Without limiting the applicability of Section 3 hereof or any other provision of this Agreement, with respect to any Underwriter who is affiliated with any person or entity engaged to act as an investment adviser on behalf of an advisory client who has a direct or indirect interest in the Securities, the Securities being sold to such Underwriter shall not include any Securities attributable to such client (with any such Securities instead being allocated and sold to the other Underwriters) and, accordingly, the fees or other amounts received by such Underwriter in connection with the transactions contemplated hereby shall not include any fees or other amounts attributable to such client (and, if there is any unsold allotment in the offering at the Closing Date, such unsold allotment in respect of Securities attributable to such client shall be allocated solely to Underwriters not affiliated with such client).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4" w:name="page35"/>
    <w:bookmarkEnd w:id="34"/>
    <w:p>
      <w:pPr>
        <w:ind w:firstLine="1297"/>
        <w:spacing w:after="0" w:line="342" w:lineRule="auto"/>
        <w:rPr>
          <w:sz w:val="20"/>
          <w:szCs w:val="20"/>
          <w:color w:val="auto"/>
        </w:rPr>
      </w:pPr>
      <w:r>
        <w:rPr>
          <w:rFonts w:ascii="Arial" w:cs="Arial" w:eastAsia="Arial" w:hAnsi="Arial"/>
          <w:sz w:val="16"/>
          <w:szCs w:val="16"/>
          <w:color w:val="auto"/>
        </w:rPr>
        <w:t>If the foregoing is in accordance with your understanding of our agreement, please sign and return to us the enclosed duplicate hereof, whereupon this letter and your acceptance shall represent a binding agreement among the Company, the Selling Stockholders and the several Underwriters.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sectPr>
      </w:pPr>
    </w:p>
    <w:bookmarkStart w:id="35" w:name="page36"/>
    <w:bookmarkEnd w:id="35"/>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National Vision Holdings, Inc.</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Mitchell Goodman</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Mitchell Goodman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200" w:lineRule="exact"/>
        <w:rPr>
          <w:sz w:val="20"/>
          <w:szCs w:val="20"/>
          <w:color w:val="auto"/>
        </w:rPr>
      </w:pPr>
    </w:p>
    <w:p>
      <w:pPr>
        <w:spacing w:after="0" w:line="27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118110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36" w:name="page37"/>
    <w:bookmarkEnd w:id="36"/>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On behalf of the Management Selling Stockholders:</w:t>
      </w:r>
    </w:p>
    <w:p>
      <w:pPr>
        <w:spacing w:after="0" w:line="248" w:lineRule="exact"/>
        <w:rPr>
          <w:sz w:val="20"/>
          <w:szCs w:val="20"/>
          <w:color w:val="auto"/>
        </w:rPr>
      </w:pPr>
    </w:p>
    <w:p>
      <w:pPr>
        <w:ind w:left="4520"/>
        <w:spacing w:after="0"/>
        <w:tabs>
          <w:tab w:leader="none" w:pos="5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Mitchell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14605</wp:posOffset>
            </wp:positionV>
            <wp:extent cx="31813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As Attorney-in-Fact</w:t>
      </w:r>
    </w:p>
    <w:p>
      <w:pPr>
        <w:spacing w:after="0" w:line="23" w:lineRule="exact"/>
        <w:rPr>
          <w:sz w:val="20"/>
          <w:szCs w:val="20"/>
          <w:color w:val="auto"/>
        </w:rPr>
      </w:pPr>
    </w:p>
    <w:p>
      <w:pPr>
        <w:ind w:left="4520"/>
        <w:spacing w:after="0"/>
        <w:tabs>
          <w:tab w:leader="none" w:pos="5180" w:val="left"/>
        </w:tabs>
        <w:rPr>
          <w:sz w:val="20"/>
          <w:szCs w:val="20"/>
          <w:color w:val="auto"/>
        </w:rPr>
      </w:pPr>
      <w:r>
        <w:rPr>
          <w:rFonts w:ascii="Arial" w:cs="Arial" w:eastAsia="Arial" w:hAnsi="Arial"/>
          <w:sz w:val="18"/>
          <w:szCs w:val="18"/>
          <w:color w:val="auto"/>
        </w:rPr>
        <w:t>Name:</w:t>
        <w:tab/>
        <w:t>Mitchell Goodman</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w:t>
      </w:r>
      <w:r>
        <w:rPr>
          <w:rFonts w:ascii="Arial" w:cs="Arial" w:eastAsia="Arial" w:hAnsi="Arial"/>
          <w:sz w:val="16"/>
          <w:szCs w:val="16"/>
          <w:i w:val="1"/>
          <w:iCs w:val="1"/>
          <w:color w:val="auto"/>
        </w:rPr>
        <w:t>Signature Page to Underwriting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140970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37" w:name="page38"/>
    <w:bookmarkEnd w:id="37"/>
    <w:p>
      <w:pPr>
        <w:ind w:left="45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KKR VISION AGGREGATOR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KKR Vision Aggregator GP LLC,</w:t>
            </w:r>
          </w:p>
        </w:tc>
      </w:tr>
      <w:tr>
        <w:trPr>
          <w:trHeight w:val="230"/>
        </w:trPr>
        <w:tc>
          <w:tcPr>
            <w:tcW w:w="6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Nate Taylor</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Nate Taylor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7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118110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38" w:name="page39"/>
    <w:bookmarkEnd w:id="38"/>
    <w:p>
      <w:pPr>
        <w:ind w:left="45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jc w:val="right"/>
        <w:ind w:right="1640"/>
        <w:spacing w:after="0"/>
        <w:rPr>
          <w:sz w:val="20"/>
          <w:szCs w:val="20"/>
          <w:color w:val="auto"/>
        </w:rPr>
      </w:pPr>
      <w:r>
        <w:rPr>
          <w:rFonts w:ascii="Arial" w:cs="Arial" w:eastAsia="Arial" w:hAnsi="Arial"/>
          <w:sz w:val="18"/>
          <w:szCs w:val="18"/>
          <w:b w:val="1"/>
          <w:bCs w:val="1"/>
          <w:color w:val="auto"/>
        </w:rPr>
        <w:t>BERKSHIRE FUND VI, LIMITED PARTNERSHIP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Sixth Berkshire Associates LLC, its general partner</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 Randolph Peeler</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D. Randolph Peeler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BERKSHIRE INVESTORS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 Randolph Peeler</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D. Randolph Peeler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BERKSHIRE INVESTORS III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 Randolph Peeler</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D. Randolph Peeler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7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118110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6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The foregoing Agreement is hereby confirmed and accepted as of the date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Merrill Lynch, Pierce, Fenner &amp; Smith</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Incorporated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Gregg Nabhan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137223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Gregg Nabhan</w:t>
      </w:r>
    </w:p>
    <w:p>
      <w:pPr>
        <w:spacing w:after="0" w:line="23" w:lineRule="exact"/>
        <w:rPr>
          <w:sz w:val="20"/>
          <w:szCs w:val="20"/>
          <w:color w:val="auto"/>
        </w:rPr>
      </w:pPr>
    </w:p>
    <w:p>
      <w:pPr>
        <w:jc w:val="center"/>
        <w:ind w:right="7759"/>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Steven Pearlman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137223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Steven Pearlman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David 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137223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David Bauer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Jefferies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Michael A. 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137223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Michael A. Bauer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the other several Underwriters named in Schedule I(A) to the foregoing Agreement.</w:t>
      </w:r>
    </w:p>
    <w:p>
      <w:pPr>
        <w:spacing w:after="0" w:line="200" w:lineRule="exact"/>
        <w:rPr>
          <w:sz w:val="20"/>
          <w:szCs w:val="20"/>
          <w:color w:val="auto"/>
        </w:rPr>
      </w:pPr>
    </w:p>
    <w:p>
      <w:pPr>
        <w:spacing w:after="0" w:line="264"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to Underwriting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854"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480" w:type="dxa"/>
            <w:vAlign w:val="bottom"/>
            <w:gridSpan w:val="6"/>
          </w:tcPr>
          <w:p>
            <w:pPr>
              <w:ind w:left="1120"/>
              <w:spacing w:after="0"/>
              <w:rPr>
                <w:sz w:val="20"/>
                <w:szCs w:val="20"/>
                <w:color w:val="auto"/>
              </w:rPr>
            </w:pPr>
            <w:r>
              <w:rPr>
                <w:rFonts w:ascii="Arial" w:cs="Arial" w:eastAsia="Arial" w:hAnsi="Arial"/>
                <w:sz w:val="18"/>
                <w:szCs w:val="18"/>
                <w:color w:val="auto"/>
              </w:rPr>
              <w:t>SCHEDULE I(A)</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4"/>
          </w:tcPr>
          <w:p>
            <w:pPr>
              <w:jc w:val="center"/>
              <w:ind w:right="100"/>
              <w:spacing w:after="0"/>
              <w:rPr>
                <w:sz w:val="20"/>
                <w:szCs w:val="20"/>
                <w:color w:val="auto"/>
              </w:rPr>
            </w:pPr>
            <w:r>
              <w:rPr>
                <w:rFonts w:ascii="Arial" w:cs="Arial" w:eastAsia="Arial" w:hAnsi="Arial"/>
                <w:sz w:val="18"/>
                <w:szCs w:val="18"/>
                <w:color w:val="auto"/>
                <w:w w:val="92"/>
              </w:rPr>
              <w:t>Number of Underwritten Securities</w:t>
            </w:r>
          </w:p>
        </w:tc>
        <w:tc>
          <w:tcPr>
            <w:tcW w:w="0" w:type="dxa"/>
            <w:vAlign w:val="bottom"/>
          </w:tcPr>
          <w:p>
            <w:pPr>
              <w:spacing w:after="0"/>
              <w:rPr>
                <w:sz w:val="1"/>
                <w:szCs w:val="1"/>
                <w:color w:val="auto"/>
              </w:rPr>
            </w:pPr>
          </w:p>
        </w:tc>
      </w:tr>
      <w:tr>
        <w:trPr>
          <w:trHeight w:val="190"/>
        </w:trPr>
        <w:tc>
          <w:tcPr>
            <w:tcW w:w="3940" w:type="dxa"/>
            <w:vAlign w:val="bottom"/>
            <w:gridSpan w:val="3"/>
          </w:tcPr>
          <w:p>
            <w:pPr>
              <w:spacing w:after="0" w:line="190" w:lineRule="exact"/>
              <w:rPr>
                <w:sz w:val="20"/>
                <w:szCs w:val="20"/>
                <w:color w:val="auto"/>
              </w:rPr>
            </w:pPr>
            <w:r>
              <w:rPr>
                <w:rFonts w:ascii="Arial" w:cs="Arial" w:eastAsia="Arial" w:hAnsi="Arial"/>
                <w:sz w:val="18"/>
                <w:szCs w:val="18"/>
                <w:color w:val="auto"/>
              </w:rPr>
              <w:t>Underwriters</w:t>
            </w:r>
          </w:p>
        </w:tc>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4"/>
          </w:tcPr>
          <w:p>
            <w:pPr>
              <w:jc w:val="center"/>
              <w:ind w:right="100"/>
              <w:spacing w:after="0" w:line="190" w:lineRule="exact"/>
              <w:rPr>
                <w:sz w:val="20"/>
                <w:szCs w:val="20"/>
                <w:color w:val="auto"/>
              </w:rPr>
            </w:pPr>
            <w:r>
              <w:rPr>
                <w:rFonts w:ascii="Arial" w:cs="Arial" w:eastAsia="Arial" w:hAnsi="Arial"/>
                <w:sz w:val="18"/>
                <w:szCs w:val="18"/>
                <w:color w:val="auto"/>
                <w:w w:val="86"/>
              </w:rPr>
              <w:t>to be Purchased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4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Incorporated</w:t>
            </w:r>
          </w:p>
        </w:tc>
        <w:tc>
          <w:tcPr>
            <w:tcW w:w="4720" w:type="dxa"/>
            <w:vAlign w:val="bottom"/>
            <w:shd w:val="clear" w:color="auto" w:fill="CCEEFF"/>
          </w:tcPr>
          <w:p>
            <w:pPr>
              <w:spacing w:after="0"/>
              <w:rPr>
                <w:sz w:val="21"/>
                <w:szCs w:val="21"/>
                <w:color w:val="auto"/>
              </w:rPr>
            </w:pPr>
          </w:p>
        </w:tc>
        <w:tc>
          <w:tcPr>
            <w:tcW w:w="27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2,040,000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7480" w:type="dxa"/>
            <w:vAlign w:val="bottom"/>
            <w:gridSpan w:val="6"/>
          </w:tcPr>
          <w:p>
            <w:pPr>
              <w:jc w:val="right"/>
              <w:ind w:right="100"/>
              <w:spacing w:after="0"/>
              <w:rPr>
                <w:sz w:val="20"/>
                <w:szCs w:val="20"/>
                <w:color w:val="auto"/>
              </w:rPr>
            </w:pPr>
            <w:r>
              <w:rPr>
                <w:rFonts w:ascii="Arial" w:cs="Arial" w:eastAsia="Arial" w:hAnsi="Arial"/>
                <w:sz w:val="18"/>
                <w:szCs w:val="18"/>
                <w:color w:val="auto"/>
              </w:rPr>
              <w:t>2,040,000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74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2,040,000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KKR Capital Markets LLC</w:t>
            </w:r>
          </w:p>
        </w:tc>
        <w:tc>
          <w:tcPr>
            <w:tcW w:w="7480" w:type="dxa"/>
            <w:vAlign w:val="bottom"/>
            <w:gridSpan w:val="6"/>
          </w:tcPr>
          <w:p>
            <w:pPr>
              <w:jc w:val="right"/>
              <w:ind w:right="100"/>
              <w:spacing w:after="0"/>
              <w:rPr>
                <w:sz w:val="20"/>
                <w:szCs w:val="20"/>
                <w:color w:val="auto"/>
              </w:rPr>
            </w:pPr>
            <w:r>
              <w:rPr>
                <w:rFonts w:ascii="Arial" w:cs="Arial" w:eastAsia="Arial" w:hAnsi="Arial"/>
                <w:sz w:val="18"/>
                <w:szCs w:val="18"/>
                <w:color w:val="auto"/>
              </w:rPr>
              <w:t>2,040,000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74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720,000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7480" w:type="dxa"/>
            <w:vAlign w:val="bottom"/>
            <w:gridSpan w:val="6"/>
          </w:tcPr>
          <w:p>
            <w:pPr>
              <w:jc w:val="right"/>
              <w:ind w:right="100"/>
              <w:spacing w:after="0"/>
              <w:rPr>
                <w:sz w:val="20"/>
                <w:szCs w:val="20"/>
                <w:color w:val="auto"/>
              </w:rPr>
            </w:pPr>
            <w:r>
              <w:rPr>
                <w:rFonts w:ascii="Arial" w:cs="Arial" w:eastAsia="Arial" w:hAnsi="Arial"/>
                <w:sz w:val="18"/>
                <w:szCs w:val="18"/>
                <w:color w:val="auto"/>
              </w:rPr>
              <w:t>720,000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74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720,000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7480" w:type="dxa"/>
            <w:vAlign w:val="bottom"/>
            <w:gridSpan w:val="6"/>
          </w:tcPr>
          <w:p>
            <w:pPr>
              <w:jc w:val="right"/>
              <w:ind w:right="100"/>
              <w:spacing w:after="0"/>
              <w:rPr>
                <w:sz w:val="20"/>
                <w:szCs w:val="20"/>
                <w:color w:val="auto"/>
              </w:rPr>
            </w:pPr>
            <w:r>
              <w:rPr>
                <w:rFonts w:ascii="Arial" w:cs="Arial" w:eastAsia="Arial" w:hAnsi="Arial"/>
                <w:sz w:val="18"/>
                <w:szCs w:val="18"/>
                <w:color w:val="auto"/>
              </w:rPr>
              <w:t>720,000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Guggenheim Securities, LLC</w:t>
            </w:r>
          </w:p>
        </w:tc>
        <w:tc>
          <w:tcPr>
            <w:tcW w:w="74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360,000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7480" w:type="dxa"/>
            <w:vAlign w:val="bottom"/>
            <w:gridSpan w:val="6"/>
          </w:tcPr>
          <w:p>
            <w:pPr>
              <w:jc w:val="right"/>
              <w:ind w:right="100"/>
              <w:spacing w:after="0"/>
              <w:rPr>
                <w:sz w:val="20"/>
                <w:szCs w:val="20"/>
                <w:color w:val="auto"/>
              </w:rPr>
            </w:pPr>
            <w:r>
              <w:rPr>
                <w:rFonts w:ascii="Arial" w:cs="Arial" w:eastAsia="Arial" w:hAnsi="Arial"/>
                <w:sz w:val="18"/>
                <w:szCs w:val="18"/>
                <w:color w:val="auto"/>
              </w:rPr>
              <w:t>360,000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Macquarie Capital (USA) Inc.</w:t>
            </w:r>
          </w:p>
        </w:tc>
        <w:tc>
          <w:tcPr>
            <w:tcW w:w="74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240,000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48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12,000,000</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440" w:type="dxa"/>
            <w:vAlign w:val="bottom"/>
          </w:tcPr>
          <w:p>
            <w:pPr>
              <w:jc w:val="right"/>
              <w:ind w:right="4970"/>
              <w:spacing w:after="0"/>
              <w:rPr>
                <w:sz w:val="20"/>
                <w:szCs w:val="20"/>
                <w:color w:val="auto"/>
              </w:rPr>
            </w:pPr>
            <w:r>
              <w:rPr>
                <w:rFonts w:ascii="Arial" w:cs="Arial" w:eastAsia="Arial" w:hAnsi="Arial"/>
                <w:sz w:val="18"/>
                <w:szCs w:val="18"/>
                <w:color w:val="auto"/>
              </w:rPr>
              <w:t>SCHEDULE I(B)</w:t>
            </w:r>
          </w:p>
        </w:tc>
        <w:tc>
          <w:tcPr>
            <w:tcW w:w="0" w:type="dxa"/>
            <w:vAlign w:val="bottom"/>
          </w:tcPr>
          <w:p>
            <w:pPr>
              <w:spacing w:after="0"/>
              <w:rPr>
                <w:sz w:val="1"/>
                <w:szCs w:val="1"/>
                <w:color w:val="auto"/>
              </w:rPr>
            </w:pPr>
          </w:p>
        </w:tc>
      </w:tr>
      <w:tr>
        <w:trPr>
          <w:trHeight w:val="419"/>
        </w:trPr>
        <w:tc>
          <w:tcPr>
            <w:tcW w:w="3980" w:type="dxa"/>
            <w:vAlign w:val="bottom"/>
            <w:gridSpan w:val="3"/>
          </w:tcPr>
          <w:p>
            <w:pPr>
              <w:spacing w:after="0"/>
              <w:rPr>
                <w:sz w:val="20"/>
                <w:szCs w:val="20"/>
                <w:color w:val="auto"/>
              </w:rPr>
            </w:pPr>
            <w:r>
              <w:rPr>
                <w:rFonts w:ascii="Arial" w:cs="Arial" w:eastAsia="Arial" w:hAnsi="Arial"/>
                <w:sz w:val="18"/>
                <w:szCs w:val="18"/>
                <w:color w:val="auto"/>
              </w:rPr>
              <w:t>Selling Stockholders</w:t>
            </w:r>
          </w:p>
        </w:tc>
        <w:tc>
          <w:tcPr>
            <w:tcW w:w="7440" w:type="dxa"/>
            <w:vAlign w:val="bottom"/>
          </w:tcPr>
          <w:p>
            <w:pPr>
              <w:jc w:val="right"/>
              <w:ind w:right="10"/>
              <w:spacing w:after="0"/>
              <w:rPr>
                <w:sz w:val="20"/>
                <w:szCs w:val="20"/>
                <w:color w:val="auto"/>
              </w:rPr>
            </w:pPr>
            <w:r>
              <w:rPr>
                <w:rFonts w:ascii="Arial" w:cs="Arial" w:eastAsia="Arial" w:hAnsi="Arial"/>
                <w:sz w:val="18"/>
                <w:szCs w:val="18"/>
                <w:color w:val="auto"/>
              </w:rPr>
              <w:t>Number of Shares to be Sold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KKR Vision Aggregator L.P.</w:t>
            </w:r>
          </w:p>
        </w:tc>
        <w:tc>
          <w:tcPr>
            <w:tcW w:w="7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9,632,145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Berkshire Fund VI, Limited Partnership</w:t>
            </w:r>
          </w:p>
        </w:tc>
        <w:tc>
          <w:tcPr>
            <w:tcW w:w="7440" w:type="dxa"/>
            <w:vAlign w:val="bottom"/>
          </w:tcPr>
          <w:p>
            <w:pPr>
              <w:jc w:val="right"/>
              <w:ind w:right="10"/>
              <w:spacing w:after="0"/>
              <w:rPr>
                <w:sz w:val="20"/>
                <w:szCs w:val="20"/>
                <w:color w:val="auto"/>
              </w:rPr>
            </w:pPr>
            <w:r>
              <w:rPr>
                <w:rFonts w:ascii="Arial" w:cs="Arial" w:eastAsia="Arial" w:hAnsi="Arial"/>
                <w:sz w:val="18"/>
                <w:szCs w:val="18"/>
                <w:color w:val="auto"/>
              </w:rPr>
              <w:t>2,213,077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Berkshire Investors LLC</w:t>
            </w:r>
          </w:p>
        </w:tc>
        <w:tc>
          <w:tcPr>
            <w:tcW w:w="7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Berkshire Investors III LLC</w:t>
            </w:r>
          </w:p>
        </w:tc>
        <w:tc>
          <w:tcPr>
            <w:tcW w:w="7440" w:type="dxa"/>
            <w:vAlign w:val="bottom"/>
          </w:tcPr>
          <w:p>
            <w:pPr>
              <w:jc w:val="right"/>
              <w:ind w:right="10"/>
              <w:spacing w:after="0"/>
              <w:rPr>
                <w:sz w:val="20"/>
                <w:szCs w:val="20"/>
                <w:color w:val="auto"/>
              </w:rPr>
            </w:pPr>
            <w:r>
              <w:rPr>
                <w:rFonts w:ascii="Arial" w:cs="Arial" w:eastAsia="Arial" w:hAnsi="Arial"/>
                <w:sz w:val="18"/>
                <w:szCs w:val="18"/>
                <w:color w:val="auto"/>
              </w:rPr>
              <w:t>11,712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Busbee</w:t>
            </w:r>
          </w:p>
        </w:tc>
        <w:tc>
          <w:tcPr>
            <w:tcW w:w="7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Charlie Foell</w:t>
            </w:r>
          </w:p>
        </w:tc>
        <w:tc>
          <w:tcPr>
            <w:tcW w:w="7440" w:type="dxa"/>
            <w:vAlign w:val="bottom"/>
          </w:tcPr>
          <w:p>
            <w:pPr>
              <w:jc w:val="right"/>
              <w:ind w:right="10"/>
              <w:spacing w:after="0"/>
              <w:rPr>
                <w:sz w:val="20"/>
                <w:szCs w:val="20"/>
                <w:color w:val="auto"/>
              </w:rPr>
            </w:pPr>
            <w:r>
              <w:rPr>
                <w:rFonts w:ascii="Arial" w:cs="Arial" w:eastAsia="Arial" w:hAnsi="Arial"/>
                <w:sz w:val="18"/>
                <w:szCs w:val="18"/>
                <w:color w:val="auto"/>
              </w:rPr>
              <w:t>14,152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Goodman</w:t>
            </w:r>
          </w:p>
        </w:tc>
        <w:tc>
          <w:tcPr>
            <w:tcW w:w="7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John Vaught</w:t>
            </w:r>
          </w:p>
        </w:tc>
        <w:tc>
          <w:tcPr>
            <w:tcW w:w="7440" w:type="dxa"/>
            <w:vAlign w:val="bottom"/>
          </w:tcPr>
          <w:p>
            <w:pPr>
              <w:jc w:val="right"/>
              <w:ind w:right="10"/>
              <w:spacing w:after="0"/>
              <w:rPr>
                <w:sz w:val="20"/>
                <w:szCs w:val="20"/>
                <w:color w:val="auto"/>
              </w:rPr>
            </w:pPr>
            <w:r>
              <w:rPr>
                <w:rFonts w:ascii="Arial" w:cs="Arial" w:eastAsia="Arial" w:hAnsi="Arial"/>
                <w:sz w:val="18"/>
                <w:szCs w:val="18"/>
                <w:color w:val="auto"/>
              </w:rPr>
              <w:t>14,887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7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7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54" w:right="239" w:bottom="1440" w:gutter="0" w:footer="0" w:header="0"/>
        </w:sectPr>
      </w:pPr>
    </w:p>
    <w:bookmarkStart w:id="42" w:name="page43"/>
    <w:bookmarkEnd w:id="42"/>
    <w:p>
      <w:pPr>
        <w:ind w:left="5160"/>
        <w:spacing w:after="0"/>
        <w:rPr>
          <w:sz w:val="20"/>
          <w:szCs w:val="20"/>
          <w:color w:val="auto"/>
        </w:rPr>
      </w:pPr>
      <w:r>
        <w:rPr>
          <w:rFonts w:ascii="Arial" w:cs="Arial" w:eastAsia="Arial" w:hAnsi="Arial"/>
          <w:sz w:val="18"/>
          <w:szCs w:val="18"/>
          <w:color w:val="auto"/>
        </w:rPr>
        <w:t>SCHEDULE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Schedule of Free Writing Prospectuses included in the Disclosure Package</w:t>
      </w:r>
    </w:p>
    <w:p>
      <w:pPr>
        <w:spacing w:after="0" w:line="252" w:lineRule="exact"/>
        <w:rPr>
          <w:sz w:val="20"/>
          <w:szCs w:val="20"/>
          <w:color w:val="auto"/>
        </w:rPr>
      </w:pPr>
    </w:p>
    <w:p>
      <w:pPr>
        <w:ind w:left="980" w:hanging="486"/>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Additional Documents Incorporated by Reference</w:t>
      </w:r>
    </w:p>
    <w:p>
      <w:pPr>
        <w:spacing w:after="0" w:line="252" w:lineRule="exact"/>
        <w:rPr>
          <w:sz w:val="20"/>
          <w:szCs w:val="20"/>
          <w:color w:val="auto"/>
        </w:rPr>
      </w:pPr>
    </w:p>
    <w:p>
      <w:pPr>
        <w:ind w:right="1199" w:firstLine="494"/>
        <w:spacing w:after="0" w:line="532" w:lineRule="auto"/>
        <w:tabs>
          <w:tab w:leader="none" w:pos="97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December 30, 2017 filed March 8, 2018 Pricing information provided orally by Underwriters</w:t>
      </w:r>
    </w:p>
    <w:p>
      <w:pPr>
        <w:ind w:left="980" w:hanging="486"/>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Number of Underwritten Securities: 12,000,000 shares of Common Stock</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Number of Option Securities: 1,800,000 shares of Common Stock</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Price: $33.00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43" w:name="page44"/>
    <w:bookmarkEnd w:id="43"/>
    <w:p>
      <w:pPr>
        <w:jc w:val="center"/>
        <w:ind w:right="-1220"/>
        <w:spacing w:after="0"/>
        <w:rPr>
          <w:sz w:val="20"/>
          <w:szCs w:val="20"/>
          <w:color w:val="auto"/>
        </w:rPr>
      </w:pPr>
      <w:r>
        <w:rPr>
          <w:rFonts w:ascii="Arial" w:cs="Arial" w:eastAsia="Arial" w:hAnsi="Arial"/>
          <w:sz w:val="18"/>
          <w:szCs w:val="18"/>
          <w:color w:val="auto"/>
        </w:rPr>
        <w:t>SCHEDULE III</w:t>
      </w:r>
    </w:p>
    <w:p>
      <w:pPr>
        <w:spacing w:after="0" w:line="252" w:lineRule="exact"/>
        <w:rPr>
          <w:sz w:val="20"/>
          <w:szCs w:val="20"/>
          <w:color w:val="auto"/>
        </w:rPr>
      </w:pPr>
    </w:p>
    <w:p>
      <w:pPr>
        <w:jc w:val="right"/>
        <w:ind w:right="3039"/>
        <w:spacing w:after="0"/>
        <w:rPr>
          <w:sz w:val="20"/>
          <w:szCs w:val="20"/>
          <w:color w:val="auto"/>
        </w:rPr>
      </w:pPr>
      <w:r>
        <w:rPr>
          <w:rFonts w:ascii="Arial" w:cs="Arial" w:eastAsia="Arial" w:hAnsi="Arial"/>
          <w:sz w:val="18"/>
          <w:szCs w:val="18"/>
          <w:color w:val="auto"/>
        </w:rPr>
        <w:t>Significant Subsidiaries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Nautilus Acquisition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44" w:name="page45"/>
    <w:bookmarkEnd w:id="44"/>
    <w:p>
      <w:pPr>
        <w:spacing w:after="0"/>
        <w:tabs>
          <w:tab w:leader="none" w:pos="10500" w:val="left"/>
        </w:tabs>
        <w:rPr>
          <w:sz w:val="20"/>
          <w:szCs w:val="20"/>
          <w:color w:val="auto"/>
        </w:rPr>
      </w:pPr>
      <w:r>
        <w:rPr>
          <w:rFonts w:ascii="Arial" w:cs="Arial" w:eastAsia="Arial" w:hAnsi="Arial"/>
          <w:sz w:val="18"/>
          <w:szCs w:val="18"/>
          <w:b w:val="1"/>
          <w:bCs w:val="1"/>
          <w:color w:val="auto"/>
        </w:rPr>
        <w:t>Form of Lock-Up Agreement</w:t>
      </w:r>
      <w:r>
        <w:rPr>
          <w:sz w:val="20"/>
          <w:szCs w:val="20"/>
          <w:color w:val="auto"/>
        </w:rPr>
        <w:tab/>
      </w:r>
      <w:r>
        <w:rPr>
          <w:rFonts w:ascii="Arial" w:cs="Arial" w:eastAsia="Arial" w:hAnsi="Arial"/>
          <w:sz w:val="18"/>
          <w:szCs w:val="18"/>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officer, director or major shareholder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Common Stock</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 ],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Merrill Lynch, Pierce, Fenner &amp; Smith</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This letter is being delivered to you in connection with the proposed Underwriting Agreement (the “Underwriting Agreement”), among National Vision Holdings, Inc., a Delaware corporation (the “Company”), the selling stockholders named on Schedule I(B) thereto (collectively, the “Selling Stockholders”) and each of you as representatives of a group of Underwriters named therein, relating to an underwritten public offering of common stock, $0.01 par value (the “Common Stock”), of the Company (the “Offering”).</w:t>
      </w:r>
    </w:p>
    <w:p>
      <w:pPr>
        <w:spacing w:after="0" w:line="214" w:lineRule="exact"/>
        <w:rPr>
          <w:sz w:val="20"/>
          <w:szCs w:val="20"/>
          <w:color w:val="auto"/>
        </w:rPr>
      </w:pPr>
    </w:p>
    <w:p>
      <w:pPr>
        <w:ind w:right="20" w:firstLine="1297"/>
        <w:spacing w:after="0" w:line="288" w:lineRule="auto"/>
        <w:rPr>
          <w:sz w:val="20"/>
          <w:szCs w:val="20"/>
          <w:color w:val="auto"/>
        </w:rPr>
      </w:pPr>
      <w:r>
        <w:rPr>
          <w:rFonts w:ascii="Arial" w:cs="Arial" w:eastAsia="Arial" w:hAnsi="Arial"/>
          <w:sz w:val="16"/>
          <w:szCs w:val="16"/>
          <w:color w:val="auto"/>
        </w:rPr>
        <w:t>In order to induce you and the other Underwriters to enter into the Underwriting Agreement, the undersigned will not, without the prior written consent of any two of Merrill Lynch, Pierce, Fenner &amp; Smith Incorporated, Citigroup Global Markets Inc. and Goldman Sachs &amp; Co. LLC offer, sell, contract to sell, or otherwise dispose of, (or enter into any transaction which is designed to, or might reasonably be expected to, result in the disposition (whether by actual disposition or effective economic disposition due to cash settlement or otherwise) by the undersigned or any controlled affiliate of the undersigned or any person in privity with the undersigned or any controlled affiliate of the undersigned), directly or indirectly, including the public filing (or participation in the public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(the “Exchange Act”), and the rules and regulations of the Securities and Exchange Commission promulgated thereunder with respect to, any shares of capital stock of the Company (“Shares”) or any securities convertible into, or exercisable or exchangeable for such capital stock (“Related Securities”), or publicly announce an intention to effect any such transaction, for a period from the date hereof until 90 days after the date of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5" w:name="page46"/>
    <w:bookmarkEnd w:id="45"/>
    <w:p>
      <w:pPr>
        <w:ind w:left="644"/>
        <w:spacing w:after="0"/>
        <w:rPr>
          <w:sz w:val="20"/>
          <w:szCs w:val="20"/>
          <w:color w:val="auto"/>
        </w:rPr>
      </w:pPr>
      <w:r>
        <w:rPr>
          <w:rFonts w:ascii="Arial" w:cs="Arial" w:eastAsia="Arial" w:hAnsi="Arial"/>
          <w:sz w:val="18"/>
          <w:szCs w:val="18"/>
          <w:color w:val="auto"/>
        </w:rPr>
        <w:t>The foregoing restrictions shall not apply:</w:t>
      </w:r>
    </w:p>
    <w:p>
      <w:pPr>
        <w:spacing w:after="0" w:line="252" w:lineRule="exact"/>
        <w:rPr>
          <w:sz w:val="20"/>
          <w:szCs w:val="20"/>
          <w:color w:val="auto"/>
        </w:rPr>
      </w:pPr>
    </w:p>
    <w:p>
      <w:pPr>
        <w:ind w:left="644" w:hanging="644"/>
        <w:spacing w:after="0"/>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sale of the undersigned’s Shares pursuant to the Underwriting Agreement, as applicable;</w:t>
      </w:r>
    </w:p>
    <w:p>
      <w:pPr>
        <w:spacing w:after="0" w:line="252" w:lineRule="exact"/>
        <w:rPr>
          <w:rFonts w:ascii="Arial" w:cs="Arial" w:eastAsia="Arial" w:hAnsi="Arial"/>
          <w:sz w:val="18"/>
          <w:szCs w:val="18"/>
          <w:color w:val="auto"/>
        </w:rPr>
      </w:pPr>
    </w:p>
    <w:p>
      <w:pPr>
        <w:ind w:left="644" w:right="60" w:hanging="644"/>
        <w:spacing w:after="0" w:line="277"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transfer of Shares or Related Securities by gift, or by will or intestate succession to a family member or to a trust, partnership, limited liability company or other entity for the direct or indirect benefit of the undersigned and/or a family member;</w:t>
      </w:r>
    </w:p>
    <w:p>
      <w:pPr>
        <w:spacing w:after="0" w:line="197" w:lineRule="exact"/>
        <w:rPr>
          <w:rFonts w:ascii="Arial" w:cs="Arial" w:eastAsia="Arial" w:hAnsi="Arial"/>
          <w:sz w:val="18"/>
          <w:szCs w:val="18"/>
          <w:color w:val="auto"/>
        </w:rPr>
      </w:pPr>
    </w:p>
    <w:p>
      <w:pPr>
        <w:ind w:left="644" w:right="80" w:hanging="644"/>
        <w:spacing w:after="0" w:line="302" w:lineRule="auto"/>
        <w:tabs>
          <w:tab w:leader="none" w:pos="644"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 undersigned is a corporation, partnership, limited liability company, trust or other business entity, to (1) transfers of Shares or Related Securities to another corporation, partnership, limited liability company, trust or other business entity that is a direct or indirect affiliate (as defined under Rule 12b-2 of the Exchange Act) of the undersigned or (2) distributions of Shares or Related Securities to limited partners, limited liability company members or stockholders of the undersigned or holders of similar equity interests in the undersigned;</w:t>
      </w:r>
    </w:p>
    <w:p>
      <w:pPr>
        <w:spacing w:after="0" w:line="181" w:lineRule="exact"/>
        <w:rPr>
          <w:rFonts w:ascii="Arial" w:cs="Arial" w:eastAsia="Arial" w:hAnsi="Arial"/>
          <w:sz w:val="16"/>
          <w:szCs w:val="16"/>
          <w:color w:val="auto"/>
        </w:rPr>
      </w:pPr>
    </w:p>
    <w:p>
      <w:pPr>
        <w:ind w:left="644" w:hanging="644"/>
        <w:spacing w:after="0"/>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undersigned is a trust, to transfers to the beneficiary of such trust;</w:t>
      </w:r>
    </w:p>
    <w:p>
      <w:pPr>
        <w:spacing w:after="0" w:line="252" w:lineRule="exact"/>
        <w:rPr>
          <w:rFonts w:ascii="Arial" w:cs="Arial" w:eastAsia="Arial" w:hAnsi="Arial"/>
          <w:sz w:val="18"/>
          <w:szCs w:val="18"/>
          <w:color w:val="auto"/>
        </w:rPr>
      </w:pPr>
    </w:p>
    <w:p>
      <w:pPr>
        <w:ind w:left="644" w:hanging="644"/>
        <w:spacing w:after="0"/>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transfers to any investment fund or other entity controlled or managed by the undersigned;</w:t>
      </w:r>
    </w:p>
    <w:p>
      <w:pPr>
        <w:spacing w:after="0" w:line="252"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transfers to a nominee or custodian of a person or entity to whom a disposition or transfer would be permissible under clauses (ii) through (v);</w:t>
      </w:r>
    </w:p>
    <w:p>
      <w:pPr>
        <w:spacing w:after="0" w:line="197" w:lineRule="exact"/>
        <w:rPr>
          <w:rFonts w:ascii="Arial" w:cs="Arial" w:eastAsia="Arial" w:hAnsi="Arial"/>
          <w:sz w:val="18"/>
          <w:szCs w:val="18"/>
          <w:color w:val="auto"/>
        </w:rPr>
      </w:pPr>
    </w:p>
    <w:p>
      <w:pPr>
        <w:ind w:left="644" w:right="160" w:hanging="644"/>
        <w:spacing w:after="0" w:line="269" w:lineRule="auto"/>
        <w:tabs>
          <w:tab w:leader="none" w:pos="644"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to transfers to the Company (1) pursuant to the exercise, in each case on a “cashless” or “net exercise” basis, of any option to purchase Shares granted by the Company pursuant to any employee benefit plans or arrangements (including to non-employee directors under the 2014 Stock Incentive Plan and the 2017 Omnibus Incentive Plan) described in or filed as an exhibit to the registration statement with respect to the Offering, where any Shares received by the undersigned upon any such exercise will be subject to the terms of this lock-up agreement, or (2) for the purpose of satisfying any withholding taxes (including estimated taxes) due as a result of the exercise of any option to purchase Shares or the vesting of any restricted stock awards granted by the Company pursuant to employee benefit plans or arrangements described in or filed as an exhibit to the registration statement with respect to the Offering, in each case on a “cashless” or “net exercise” basis, where any Shares received by the undersigned upon any such exercise or vesting will be subject to the terms of this lock-up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filing under Section 16(a) of the Exchange Act in connection with such transfer shall indicate, to the extent permitted by such Section and the related rules and regulations, the reason for such disposition and that such transfer of Shares was solely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254000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368" w:right="239" w:bottom="1440" w:gutter="0" w:footer="0" w:header="0"/>
        </w:sectPr>
      </w:pPr>
    </w:p>
    <w:bookmarkStart w:id="46" w:name="page47"/>
    <w:bookmarkEnd w:id="46"/>
    <w:p>
      <w:pPr>
        <w:ind w:left="644" w:right="160" w:hanging="644"/>
        <w:spacing w:after="0" w:line="273" w:lineRule="auto"/>
        <w:tabs>
          <w:tab w:leader="none" w:pos="644"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to transfers pursuant to an order of a court or regulatory agency (for purposes of this Letter Agreement, a “court or regulatory agency” means any domestic or foreign, federal, state or local government, including any political subdivision thereof, any governmental or quasi-governmental authority, department, agency or official, any court or administrative body, and any national securities exchange or similar self-regulatory body or organization, in each case of competent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filing under Section 16(a) of the Exchange Act in connection with such transfer shall indicate, to the extent permitted by such Section and the related rules and regulations, that such transfer is pursuant to an order of a court or regulatory agency;</w:t>
      </w:r>
    </w:p>
    <w:p>
      <w:pPr>
        <w:spacing w:after="0" w:line="205" w:lineRule="exact"/>
        <w:rPr>
          <w:rFonts w:ascii="Arial" w:cs="Arial" w:eastAsia="Arial" w:hAnsi="Arial"/>
          <w:sz w:val="17"/>
          <w:szCs w:val="17"/>
          <w:color w:val="auto"/>
        </w:rPr>
      </w:pPr>
    </w:p>
    <w:p>
      <w:pPr>
        <w:ind w:left="644" w:right="20" w:hanging="644"/>
        <w:spacing w:after="0" w:line="259" w:lineRule="auto"/>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to transfers of Shares or Related Securities to the Company pursuant to the call or put provisions of existing employment agreements and equity grant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filing under Section 16(a) of the Exchange Act in connection with such transfer shall indicate, to the extent permitted by such Section and the related rules and regulations, the reason for such disposition and that such transfer of Shares or Related Securities was solely to the Company;</w:t>
      </w:r>
    </w:p>
    <w:p>
      <w:pPr>
        <w:spacing w:after="0" w:line="213" w:lineRule="exact"/>
        <w:rPr>
          <w:rFonts w:ascii="Arial" w:cs="Arial" w:eastAsia="Arial" w:hAnsi="Arial"/>
          <w:sz w:val="18"/>
          <w:szCs w:val="18"/>
          <w:color w:val="auto"/>
        </w:rPr>
      </w:pPr>
    </w:p>
    <w:p>
      <w:pPr>
        <w:ind w:left="644" w:right="40" w:hanging="644"/>
        <w:spacing w:after="0" w:line="277" w:lineRule="auto"/>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transfers from an executive officer or his or her estate to the Company upon death, disability or termination of employment, in each case, of such executive officer;</w:t>
      </w:r>
    </w:p>
    <w:p>
      <w:pPr>
        <w:spacing w:after="0" w:line="197" w:lineRule="exact"/>
        <w:rPr>
          <w:rFonts w:ascii="Arial" w:cs="Arial" w:eastAsia="Arial" w:hAnsi="Arial"/>
          <w:sz w:val="18"/>
          <w:szCs w:val="18"/>
          <w:color w:val="auto"/>
        </w:rPr>
      </w:pPr>
    </w:p>
    <w:p>
      <w:pPr>
        <w:ind w:left="644" w:hanging="644"/>
        <w:spacing w:after="0"/>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transfers of Shares acquired in the Offering or in open-market transactions after the completion of the Offering;</w:t>
      </w:r>
    </w:p>
    <w:p>
      <w:pPr>
        <w:spacing w:after="0" w:line="252" w:lineRule="exact"/>
        <w:rPr>
          <w:rFonts w:ascii="Arial" w:cs="Arial" w:eastAsia="Arial" w:hAnsi="Arial"/>
          <w:sz w:val="18"/>
          <w:szCs w:val="18"/>
          <w:color w:val="auto"/>
        </w:rPr>
      </w:pPr>
    </w:p>
    <w:p>
      <w:pPr>
        <w:ind w:left="644" w:hanging="644"/>
        <w:spacing w:after="0" w:line="271" w:lineRule="auto"/>
        <w:tabs>
          <w:tab w:leader="none" w:pos="644" w:val="left"/>
        </w:tabs>
        <w:numPr>
          <w:ilvl w:val="0"/>
          <w:numId w:val="50"/>
        </w:numPr>
        <w:rPr>
          <w:rFonts w:ascii="Arial" w:cs="Arial" w:eastAsia="Arial" w:hAnsi="Arial"/>
          <w:sz w:val="17"/>
          <w:szCs w:val="17"/>
          <w:color w:val="auto"/>
        </w:rPr>
      </w:pPr>
      <w:r>
        <w:rPr>
          <w:rFonts w:ascii="Arial" w:cs="Arial" w:eastAsia="Arial" w:hAnsi="Arial"/>
          <w:sz w:val="17"/>
          <w:szCs w:val="17"/>
          <w:color w:val="auto"/>
        </w:rPr>
        <w:t>to transfers in response to a bona fide third party tender offer, merger, consolidation or other similar transaction made to or with all holders of Securities involving a “change of control” (as defined below) of the Company occurring after the consummation of the Offering, that has been approved by the board of directors of the Company, provided that in the event that the tender offer, merger, consolidation or other such transaction is not completed, the undersigned’s Shares shall remain subject to the terms of this agreement. For purposes of this clause (xi), “change of control” means the consummation of any bona fide third party tender offer, merger, consolidation or other similar transaction the result of which is that any “person” (as defined in Section 13(d)(3) of the Exchange Act), or group of persons, other than the Company, becomes the beneficial owner (as defined in Rules 13d-3 and 13d-5 of the Exchange Act) of at least 51% of total voting power of the voting stock of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251460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4"/>
          </w:cols>
          <w:pgMar w:left="896" w:top="125" w:right="259" w:bottom="1440" w:gutter="0" w:footer="0" w:header="0"/>
        </w:sectPr>
      </w:pPr>
    </w:p>
    <w:bookmarkStart w:id="47" w:name="page48"/>
    <w:bookmarkEnd w:id="47"/>
    <w:p>
      <w:pPr>
        <w:ind w:left="1300" w:right="40" w:hanging="644"/>
        <w:spacing w:after="0" w:line="312" w:lineRule="auto"/>
        <w:tabs>
          <w:tab w:leader="none" w:pos="13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entry into a written plan meeting the requirements of Rule 10b5-l under the Exchange Act for the transfer of Shares or Related Securities that does not in any case provide for the transfer of Shares or Related Securities during the lock-up period; or to the transfer of Shares or Related Securities pursuant to a written plan in effect on the date hereof meeting the requirements of Rule 10b5-1 under the Exchange Act.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w:t>
      </w:r>
    </w:p>
    <w:p>
      <w:pPr>
        <w:spacing w:after="0" w:line="252" w:lineRule="exact"/>
        <w:rPr>
          <w:sz w:val="20"/>
          <w:szCs w:val="20"/>
          <w:color w:val="auto"/>
        </w:rPr>
      </w:pPr>
    </w:p>
    <w:p>
      <w:pPr>
        <w:ind w:left="1620" w:right="100" w:hanging="315"/>
        <w:spacing w:after="0" w:line="272" w:lineRule="auto"/>
        <w:tabs>
          <w:tab w:leader="none" w:pos="1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the case of any transfer or distribution pursuant to clauses (ii) through (vi) above, it shall be a condition to such transfer that each transferee executes and delivers to Merrill Lynch, Pierce, Fenner &amp; Smith Incorporated, Citigroup Global Markets Inc. and Goldman Sachs &amp; Co. LLC an agreement in form and substance satisfactory to Merrill Lynch, Pierce, Fenner &amp; Smith Incorporated, Citigroup Global Markets Inc. and Goldman Sachs &amp; Co. LLC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w:t>
      </w:r>
    </w:p>
    <w:p>
      <w:pPr>
        <w:spacing w:after="0" w:line="204" w:lineRule="exact"/>
        <w:rPr>
          <w:rFonts w:ascii="Arial" w:cs="Arial" w:eastAsia="Arial" w:hAnsi="Arial"/>
          <w:sz w:val="17"/>
          <w:szCs w:val="17"/>
          <w:color w:val="auto"/>
        </w:rPr>
      </w:pPr>
    </w:p>
    <w:p>
      <w:pPr>
        <w:ind w:left="1620" w:hanging="315"/>
        <w:spacing w:after="0" w:line="259" w:lineRule="auto"/>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(ii) through (vi), (xi), (xii) and (xiii) above, prior to the expiration of the lock-up period no filing by any party (donor, donee, transferor or transferee) under the Exchange Act (other than those required pursuant to Section 13), or other public announcement reporting a reduction in beneficial ownership of Shares shall be required or shall be made voluntarily in connection with such transfer or distribution.</w:t>
      </w:r>
    </w:p>
    <w:p>
      <w:pPr>
        <w:spacing w:after="0" w:line="214"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For the avoidance of doubt, if the undersigned is a director or officer of the Company nothing in this lock-up agreement shall prevent such director or officer from discharging his or her fiduciary obligations owed to the Company during the lock-up period.</w:t>
      </w:r>
    </w:p>
    <w:p>
      <w:pPr>
        <w:spacing w:after="0" w:line="197"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If for any reason the Underwriting Agreement shall be terminated prior to the Closing Date (as defined in the Underwriting Agreement), the agreement set forth above shall likewise be terminated.</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very truly,</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[Signature of officer, director or stockholder]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[Name and address of officer, director or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8" w:name="page49"/>
    <w:bookmarkEnd w:id="48"/>
    <w:p>
      <w:pPr>
        <w:spacing w:after="0"/>
        <w:tabs>
          <w:tab w:leader="none" w:pos="10360" w:val="left"/>
        </w:tabs>
        <w:rPr>
          <w:sz w:val="20"/>
          <w:szCs w:val="20"/>
          <w:color w:val="auto"/>
        </w:rPr>
      </w:pPr>
      <w:r>
        <w:rPr>
          <w:rFonts w:ascii="Arial" w:cs="Arial" w:eastAsia="Arial" w:hAnsi="Arial"/>
          <w:sz w:val="18"/>
          <w:szCs w:val="18"/>
          <w:b w:val="1"/>
          <w:bCs w:val="1"/>
          <w:color w:val="auto"/>
        </w:rPr>
        <w:t>List of Lock-Up Parties</w:t>
      </w:r>
      <w:r>
        <w:rPr>
          <w:sz w:val="20"/>
          <w:szCs w:val="20"/>
          <w:color w:val="auto"/>
        </w:rPr>
        <w:tab/>
      </w:r>
      <w:r>
        <w:rPr>
          <w:rFonts w:ascii="Arial" w:cs="Arial" w:eastAsia="Arial" w:hAnsi="Arial"/>
          <w:sz w:val="18"/>
          <w:szCs w:val="18"/>
          <w:color w:val="auto"/>
        </w:rPr>
        <w:t>EXHIBIT A-1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 Reade Fahs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Leonard Reade Fahs 2015 GST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Felix Gernburd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Virginia Hepner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 Randolph Peeler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Nathaniel H. Taylor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M. Tehle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Patrick R.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Mitchell Goodman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Vaught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 Busbee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 Beasley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Foell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 McAllister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9" w:name="page50"/>
    <w:bookmarkEnd w:id="49"/>
    <w:p>
      <w:pPr>
        <w:spacing w:after="0"/>
        <w:tabs>
          <w:tab w:leader="none" w:pos="10340" w:val="left"/>
        </w:tabs>
        <w:rPr>
          <w:sz w:val="20"/>
          <w:szCs w:val="20"/>
          <w:color w:val="auto"/>
        </w:rPr>
      </w:pPr>
      <w:r>
        <w:rPr>
          <w:rFonts w:ascii="Arial" w:cs="Arial" w:eastAsia="Arial" w:hAnsi="Arial"/>
          <w:sz w:val="18"/>
          <w:szCs w:val="18"/>
          <w:b w:val="1"/>
          <w:bCs w:val="1"/>
          <w:color w:val="auto"/>
        </w:rPr>
        <w:t>Form of Waiver of Lock-Up</w:t>
      </w:r>
      <w:r>
        <w:rPr>
          <w:sz w:val="20"/>
          <w:szCs w:val="20"/>
          <w:color w:val="auto"/>
        </w:rPr>
        <w:tab/>
      </w:r>
      <w:r>
        <w:rPr>
          <w:rFonts w:ascii="Arial" w:cs="Arial" w:eastAsia="Arial" w:hAnsi="Arial"/>
          <w:sz w:val="18"/>
          <w:szCs w:val="18"/>
          <w:b w:val="1"/>
          <w:bCs w:val="1"/>
          <w:color w:val="auto"/>
        </w:rPr>
        <w:t>ADDENDUM</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Common Stock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252" w:lineRule="exact"/>
        <w:rPr>
          <w:sz w:val="20"/>
          <w:szCs w:val="20"/>
          <w:color w:val="auto"/>
        </w:rPr>
      </w:pPr>
    </w:p>
    <w:p>
      <w:pPr>
        <w:jc w:val="both"/>
        <w:ind w:right="320" w:firstLine="1297"/>
        <w:spacing w:after="0" w:line="312" w:lineRule="auto"/>
        <w:rPr>
          <w:sz w:val="20"/>
          <w:szCs w:val="20"/>
          <w:color w:val="auto"/>
        </w:rPr>
      </w:pPr>
      <w:r>
        <w:rPr>
          <w:rFonts w:ascii="Arial" w:cs="Arial" w:eastAsia="Arial" w:hAnsi="Arial"/>
          <w:sz w:val="16"/>
          <w:szCs w:val="16"/>
          <w:color w:val="auto"/>
        </w:rPr>
        <w:t>This letter is being delivered to you in connection with the offering by National Vision Holdings, Inc. (the “Company”) of [●] shares of common stock, $0.01 par value (the “Common Stock”), of the Company and the lock-up letter dated [●], 2018 (the “Lock-up Letter”), executed by you in connection with such offering, and your request for a [waiver] [release] dated [●], 20[●], with respect to [●] shares of Common Stock (the “Shares”).</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hereby agree to [waive] [release] the transfer restrictions set forth in the Lock-up Letter, but only with respect to the Shares, effective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20[●].</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0" w:name="page51"/>
    <w:bookmarkEnd w:id="50"/>
    <w:p>
      <w:pPr>
        <w:spacing w:after="0"/>
        <w:tabs>
          <w:tab w:leader="none" w:pos="10520" w:val="left"/>
        </w:tabs>
        <w:rPr>
          <w:sz w:val="20"/>
          <w:szCs w:val="20"/>
          <w:color w:val="auto"/>
        </w:rPr>
      </w:pPr>
      <w:r>
        <w:rPr>
          <w:rFonts w:ascii="Arial" w:cs="Arial" w:eastAsia="Arial" w:hAnsi="Arial"/>
          <w:sz w:val="18"/>
          <w:szCs w:val="18"/>
          <w:b w:val="1"/>
          <w:bCs w:val="1"/>
          <w:color w:val="auto"/>
        </w:rPr>
        <w:t>Form of STB Opinion and Negative Assurance Letter</w:t>
      </w:r>
      <w:r>
        <w:rPr>
          <w:sz w:val="20"/>
          <w:szCs w:val="20"/>
          <w:color w:val="auto"/>
        </w:rPr>
        <w:tab/>
      </w:r>
      <w:r>
        <w:rPr>
          <w:rFonts w:ascii="Arial" w:cs="Arial" w:eastAsia="Arial" w:hAnsi="Arial"/>
          <w:sz w:val="18"/>
          <w:szCs w:val="18"/>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1" w:name="page52"/>
    <w:bookmarkEnd w:id="51"/>
    <w:p>
      <w:pPr>
        <w:spacing w:after="0"/>
        <w:tabs>
          <w:tab w:leader="none" w:pos="10520" w:val="left"/>
        </w:tabs>
        <w:rPr>
          <w:sz w:val="20"/>
          <w:szCs w:val="20"/>
          <w:color w:val="auto"/>
        </w:rPr>
      </w:pPr>
      <w:r>
        <w:rPr>
          <w:rFonts w:ascii="Arial" w:cs="Arial" w:eastAsia="Arial" w:hAnsi="Arial"/>
          <w:sz w:val="18"/>
          <w:szCs w:val="18"/>
          <w:b w:val="1"/>
          <w:bCs w:val="1"/>
          <w:color w:val="auto"/>
        </w:rPr>
        <w:t>Form of General Counsel Opinion</w:t>
      </w:r>
      <w:r>
        <w:rPr>
          <w:sz w:val="20"/>
          <w:szCs w:val="20"/>
          <w:color w:val="auto"/>
        </w:rPr>
        <w:tab/>
      </w:r>
      <w:r>
        <w:rPr>
          <w:rFonts w:ascii="Arial" w:cs="Arial" w:eastAsia="Arial" w:hAnsi="Arial"/>
          <w:sz w:val="17"/>
          <w:szCs w:val="17"/>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spacing w:after="0"/>
        <w:tabs>
          <w:tab w:leader="none" w:pos="10500" w:val="left"/>
        </w:tabs>
        <w:rPr>
          <w:sz w:val="20"/>
          <w:szCs w:val="20"/>
          <w:color w:val="auto"/>
        </w:rPr>
      </w:pPr>
      <w:r>
        <w:rPr>
          <w:rFonts w:ascii="Arial" w:cs="Arial" w:eastAsia="Arial" w:hAnsi="Arial"/>
          <w:sz w:val="18"/>
          <w:szCs w:val="18"/>
          <w:b w:val="1"/>
          <w:bCs w:val="1"/>
          <w:color w:val="auto"/>
        </w:rPr>
        <w:t>Form of Opinion for Berkshire Selling Stockholders</w:t>
      </w:r>
      <w:r>
        <w:rPr>
          <w:sz w:val="20"/>
          <w:szCs w:val="20"/>
          <w:color w:val="auto"/>
        </w:rPr>
        <w:tab/>
      </w:r>
      <w:r>
        <w:rPr>
          <w:rFonts w:ascii="Arial" w:cs="Arial" w:eastAsia="Arial" w:hAnsi="Arial"/>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lowerLetter"/>
      <w:start w:val="4"/>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1)"/>
      <w:numFmt w:val="lowerLetter"/>
      <w:start w:val="1"/>
    </w:lvl>
  </w:abstractNum>
  <w:abstractNum w:abstractNumId="4">
    <w:nsid w:val="836C40E"/>
    <w:multiLevelType w:val="hybridMultilevel"/>
    <w:lvl w:ilvl="0">
      <w:lvlJc w:val="left"/>
      <w:lvlText w:val="(%1)"/>
      <w:numFmt w:val="lowerLetter"/>
      <w:start w:val="3"/>
    </w:lvl>
  </w:abstractNum>
  <w:abstractNum w:abstractNumId="5">
    <w:nsid w:val="2901D82"/>
    <w:multiLevelType w:val="hybridMultilevel"/>
    <w:lvl w:ilvl="0">
      <w:lvlJc w:val="left"/>
      <w:lvlText w:val="(%1)"/>
      <w:numFmt w:val="lowerLetter"/>
      <w:start w:val="9"/>
    </w:lvl>
  </w:abstractNum>
  <w:abstractNum w:abstractNumId="6">
    <w:nsid w:val="3A95F874"/>
    <w:multiLevelType w:val="hybridMultilevel"/>
    <w:lvl w:ilvl="0">
      <w:lvlJc w:val="left"/>
      <w:lvlText w:val="(%1)"/>
      <w:numFmt w:val="lowerLetter"/>
      <w:start w:val="14"/>
    </w:lvl>
  </w:abstractNum>
  <w:abstractNum w:abstractNumId="7">
    <w:nsid w:val="8138641"/>
    <w:multiLevelType w:val="hybridMultilevel"/>
    <w:lvl w:ilvl="0">
      <w:lvlJc w:val="left"/>
      <w:lvlText w:val="(%1)"/>
      <w:numFmt w:val="lowerLetter"/>
      <w:start w:val="18"/>
    </w:lvl>
  </w:abstractNum>
  <w:abstractNum w:abstractNumId="8">
    <w:nsid w:val="1E7FF521"/>
    <w:multiLevelType w:val="hybridMultilevel"/>
    <w:lvl w:ilvl="0">
      <w:lvlJc w:val="left"/>
      <w:lvlText w:val="(%1)"/>
      <w:numFmt w:val="lowerLetter"/>
      <w:start w:val="22"/>
    </w:lvl>
  </w:abstractNum>
  <w:abstractNum w:abstractNumId="9">
    <w:nsid w:val="7C3DBD3D"/>
    <w:multiLevelType w:val="hybridMultilevel"/>
    <w:lvl w:ilvl="0">
      <w:lvlJc w:val="left"/>
      <w:lvlText w:val="(%1)"/>
      <w:numFmt w:val="lowerLetter"/>
      <w:start w:val="27"/>
    </w:lvl>
  </w:abstractNum>
  <w:abstractNum w:abstractNumId="10">
    <w:nsid w:val="737B8DDC"/>
    <w:multiLevelType w:val="hybridMultilevel"/>
    <w:lvl w:ilvl="0">
      <w:lvlJc w:val="left"/>
      <w:lvlText w:val="(%1)"/>
      <w:numFmt w:val="lowerLetter"/>
      <w:start w:val="28"/>
    </w:lvl>
  </w:abstractNum>
  <w:abstractNum w:abstractNumId="11">
    <w:nsid w:val="6CEAF087"/>
    <w:multiLevelType w:val="hybridMultilevel"/>
    <w:lvl w:ilvl="0">
      <w:lvlJc w:val="left"/>
      <w:lvlText w:val="(%1)"/>
      <w:numFmt w:val="lowerLetter"/>
      <w:start w:val="33"/>
    </w:lvl>
  </w:abstractNum>
  <w:abstractNum w:abstractNumId="12">
    <w:nsid w:val="22221A70"/>
    <w:multiLevelType w:val="hybridMultilevel"/>
    <w:lvl w:ilvl="0">
      <w:lvlJc w:val="left"/>
      <w:lvlText w:val="(%1)"/>
      <w:numFmt w:val="lowerLetter"/>
      <w:start w:val="38"/>
    </w:lvl>
  </w:abstractNum>
  <w:abstractNum w:abstractNumId="13">
    <w:nsid w:val="4516DDE9"/>
    <w:multiLevelType w:val="hybridMultilevel"/>
    <w:lvl w:ilvl="0">
      <w:lvlJc w:val="left"/>
      <w:lvlText w:val="(%1)"/>
      <w:numFmt w:val="lowerLetter"/>
      <w:start w:val="40"/>
    </w:lvl>
  </w:abstractNum>
  <w:abstractNum w:abstractNumId="14">
    <w:nsid w:val="3006C83E"/>
    <w:multiLevelType w:val="hybridMultilevel"/>
    <w:lvl w:ilvl="0">
      <w:lvlJc w:val="left"/>
      <w:lvlText w:val="(%1)"/>
      <w:numFmt w:val="lowerLetter"/>
      <w:start w:val="41"/>
    </w:lvl>
  </w:abstractNum>
  <w:abstractNum w:abstractNumId="15">
    <w:nsid w:val="614FD4A1"/>
    <w:multiLevelType w:val="hybridMultilevel"/>
    <w:lvl w:ilvl="0">
      <w:lvlJc w:val="left"/>
      <w:lvlText w:val="%1."/>
      <w:numFmt w:val="decimal"/>
      <w:start w:val="2"/>
    </w:lvl>
  </w:abstractNum>
  <w:abstractNum w:abstractNumId="16">
    <w:nsid w:val="419AC241"/>
    <w:multiLevelType w:val="hybridMultilevel"/>
    <w:lvl w:ilvl="0">
      <w:lvlJc w:val="left"/>
      <w:lvlText w:val="(%1)"/>
      <w:numFmt w:val="lowerLetter"/>
      <w:start w:val="1"/>
    </w:lvl>
  </w:abstractNum>
  <w:abstractNum w:abstractNumId="17">
    <w:nsid w:val="5577F8E1"/>
    <w:multiLevelType w:val="hybridMultilevel"/>
    <w:lvl w:ilvl="0">
      <w:lvlJc w:val="left"/>
      <w:lvlText w:val="(%1)"/>
      <w:numFmt w:val="lowerLetter"/>
      <w:start w:val="3"/>
    </w:lvl>
  </w:abstractNum>
  <w:abstractNum w:abstractNumId="18">
    <w:nsid w:val="440BADFC"/>
    <w:multiLevelType w:val="hybridMultilevel"/>
    <w:lvl w:ilvl="0">
      <w:lvlJc w:val="left"/>
      <w:lvlText w:val="(%1)"/>
      <w:numFmt w:val="lowerLetter"/>
      <w:start w:val="5"/>
    </w:lvl>
  </w:abstractNum>
  <w:abstractNum w:abstractNumId="19">
    <w:nsid w:val="5072367"/>
    <w:multiLevelType w:val="hybridMultilevel"/>
    <w:lvl w:ilvl="0">
      <w:lvlJc w:val="left"/>
      <w:lvlText w:val="%1."/>
      <w:numFmt w:val="decimal"/>
      <w:start w:val="3"/>
    </w:lvl>
  </w:abstractNum>
  <w:abstractNum w:abstractNumId="20">
    <w:nsid w:val="3804823E"/>
    <w:multiLevelType w:val="hybridMultilevel"/>
    <w:lvl w:ilvl="0">
      <w:lvlJc w:val="left"/>
      <w:lvlText w:val="(%1)"/>
      <w:numFmt w:val="lowerLetter"/>
      <w:start w:val="2"/>
    </w:lvl>
  </w:abstractNum>
  <w:abstractNum w:abstractNumId="21">
    <w:nsid w:val="77465F01"/>
    <w:multiLevelType w:val="hybridMultilevel"/>
    <w:lvl w:ilvl="0">
      <w:lvlJc w:val="left"/>
      <w:lvlText w:val="%1."/>
      <w:numFmt w:val="decimal"/>
      <w:start w:val="4"/>
    </w:lvl>
  </w:abstractNum>
  <w:abstractNum w:abstractNumId="22">
    <w:nsid w:val="7724C67E"/>
    <w:multiLevelType w:val="hybridMultilevel"/>
    <w:lvl w:ilvl="0">
      <w:lvlJc w:val="left"/>
      <w:lvlText w:val="%1."/>
      <w:numFmt w:val="decimal"/>
      <w:start w:val="5"/>
    </w:lvl>
  </w:abstractNum>
  <w:abstractNum w:abstractNumId="23">
    <w:nsid w:val="5C482A97"/>
    <w:multiLevelType w:val="hybridMultilevel"/>
    <w:lvl w:ilvl="0">
      <w:lvlJc w:val="left"/>
      <w:lvlText w:val="(%1)"/>
      <w:numFmt w:val="lowerLetter"/>
      <w:start w:val="1"/>
    </w:lvl>
  </w:abstractNum>
  <w:abstractNum w:abstractNumId="24">
    <w:nsid w:val="2463B9EA"/>
    <w:multiLevelType w:val="hybridMultilevel"/>
    <w:lvl w:ilvl="0">
      <w:lvlJc w:val="left"/>
      <w:lvlText w:val="%1"/>
      <w:numFmt w:val="decimal"/>
      <w:start w:val="1"/>
    </w:lvl>
    <w:lvl w:ilvl="1">
      <w:lvlJc w:val="left"/>
      <w:lvlText w:val="(%2)"/>
      <w:numFmt w:val="lowerLetter"/>
      <w:start w:val="3"/>
    </w:lvl>
  </w:abstractNum>
  <w:abstractNum w:abstractNumId="25">
    <w:nsid w:val="5E884ADC"/>
    <w:multiLevelType w:val="hybridMultilevel"/>
    <w:lvl w:ilvl="0">
      <w:lvlJc w:val="left"/>
      <w:lvlText w:val="%1)"/>
      <w:numFmt w:val="decimal"/>
      <w:start w:val="172"/>
    </w:lvl>
    <w:lvl w:ilvl="1">
      <w:lvlJc w:val="left"/>
      <w:lvlText w:val="(%2)"/>
      <w:numFmt w:val="lowerLetter"/>
      <w:start w:val="4"/>
    </w:lvl>
  </w:abstractNum>
  <w:abstractNum w:abstractNumId="26">
    <w:nsid w:val="51EAD36B"/>
    <w:multiLevelType w:val="hybridMultilevel"/>
    <w:lvl w:ilvl="0">
      <w:lvlJc w:val="left"/>
      <w:lvlText w:val="%1)"/>
      <w:numFmt w:val="decimal"/>
      <w:start w:val="172"/>
    </w:lvl>
    <w:lvl w:ilvl="1">
      <w:lvlJc w:val="left"/>
      <w:lvlText w:val="(%2)"/>
      <w:numFmt w:val="lowerLetter"/>
      <w:start w:val="7"/>
    </w:lvl>
  </w:abstractNum>
  <w:abstractNum w:abstractNumId="27">
    <w:nsid w:val="2D517796"/>
    <w:multiLevelType w:val="hybridMultilevel"/>
    <w:lvl w:ilvl="0">
      <w:lvlJc w:val="left"/>
      <w:lvlText w:val="(%1)"/>
      <w:numFmt w:val="lowerLetter"/>
      <w:start w:val="8"/>
    </w:lvl>
  </w:abstractNum>
  <w:abstractNum w:abstractNumId="28">
    <w:nsid w:val="580BD78F"/>
    <w:multiLevelType w:val="hybridMultilevel"/>
    <w:lvl w:ilvl="0">
      <w:lvlJc w:val="left"/>
      <w:lvlText w:val="(%1)"/>
      <w:numFmt w:val="lowerLetter"/>
      <w:start w:val="11"/>
    </w:lvl>
  </w:abstractNum>
  <w:abstractNum w:abstractNumId="29">
    <w:nsid w:val="153EA438"/>
    <w:multiLevelType w:val="hybridMultilevel"/>
    <w:lvl w:ilvl="0">
      <w:lvlJc w:val="left"/>
      <w:lvlText w:val="(%1)"/>
      <w:numFmt w:val="lowerLetter"/>
      <w:start w:val="13"/>
    </w:lvl>
  </w:abstractNum>
  <w:abstractNum w:abstractNumId="30">
    <w:nsid w:val="3855585C"/>
    <w:multiLevelType w:val="hybridMultilevel"/>
    <w:lvl w:ilvl="0">
      <w:lvlJc w:val="left"/>
      <w:lvlText w:val="%1."/>
      <w:numFmt w:val="decimal"/>
      <w:start w:val="7"/>
    </w:lvl>
    <w:lvl w:ilvl="1">
      <w:lvlJc w:val="left"/>
      <w:lvlText w:val="(%2)"/>
      <w:numFmt w:val="lowerLetter"/>
      <w:start w:val="1"/>
    </w:lvl>
  </w:abstractNum>
  <w:abstractNum w:abstractNumId="31">
    <w:nsid w:val="70A64E2A"/>
    <w:multiLevelType w:val="hybridMultilevel"/>
    <w:lvl w:ilvl="0">
      <w:lvlJc w:val="left"/>
      <w:lvlText w:val="%1."/>
      <w:numFmt w:val="decimal"/>
      <w:start w:val="8"/>
    </w:lvl>
  </w:abstractNum>
  <w:abstractNum w:abstractNumId="32">
    <w:nsid w:val="6A2342EC"/>
    <w:multiLevelType w:val="hybridMultilevel"/>
    <w:lvl w:ilvl="0">
      <w:lvlJc w:val="left"/>
      <w:lvlText w:val="(%1)"/>
      <w:numFmt w:val="lowerLetter"/>
      <w:start w:val="1"/>
    </w:lvl>
    <w:lvl w:ilvl="1">
      <w:lvlJc w:val="left"/>
      <w:lvlText w:val="(%2)"/>
      <w:numFmt w:val="lowerRoman"/>
      <w:start w:val="2"/>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lowerLetter"/>
      <w:start w:val="1"/>
    </w:lvl>
    <w:lvl w:ilvl="1">
      <w:lvlJc w:val="left"/>
      <w:lvlText w:val="(%2)"/>
      <w:numFmt w:val="decimal"/>
      <w:start w:val="2"/>
    </w:lvl>
  </w:abstractNum>
  <w:abstractNum w:abstractNumId="35">
    <w:nsid w:val="725A06FB"/>
    <w:multiLevelType w:val="hybridMultilevel"/>
    <w:lvl w:ilvl="0">
      <w:lvlJc w:val="left"/>
      <w:lvlText w:val="(%1)"/>
      <w:numFmt w:val="lowerLetter"/>
      <w:start w:val="5"/>
    </w:lvl>
    <w:lvl w:ilvl="1">
      <w:lvlJc w:val="left"/>
      <w:lvlText w:val="(%2)"/>
      <w:numFmt w:val="decimal"/>
      <w:start w:val="1"/>
    </w:lvl>
  </w:abstractNum>
  <w:abstractNum w:abstractNumId="36">
    <w:nsid w:val="2CD89A32"/>
    <w:multiLevelType w:val="hybridMultilevel"/>
    <w:lvl w:ilvl="0">
      <w:lvlJc w:val="left"/>
      <w:lvlText w:val="(%1)"/>
      <w:numFmt w:val="lowerLetter"/>
      <w:start w:val="9"/>
    </w:lvl>
  </w:abstractNum>
  <w:abstractNum w:abstractNumId="37">
    <w:nsid w:val="57E4CCAF"/>
    <w:multiLevelType w:val="hybridMultilevel"/>
    <w:lvl w:ilvl="0">
      <w:lvlJc w:val="left"/>
      <w:lvlText w:val="%1."/>
      <w:numFmt w:val="decimal"/>
      <w:start w:val="9"/>
    </w:lvl>
  </w:abstractNum>
  <w:abstractNum w:abstractNumId="38">
    <w:nsid w:val="7A6D8D3C"/>
    <w:multiLevelType w:val="hybridMultilevel"/>
    <w:lvl w:ilvl="0">
      <w:lvlJc w:val="left"/>
      <w:lvlText w:val="%1."/>
      <w:numFmt w:val="decimal"/>
      <w:start w:val="10"/>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1)"/>
      <w:numFmt w:val="lowerLetter"/>
      <w:start w:val="3"/>
    </w:lvl>
  </w:abstractNum>
  <w:abstractNum w:abstractNumId="41">
    <w:nsid w:val="6DE91B18"/>
    <w:multiLevelType w:val="hybridMultilevel"/>
    <w:lvl w:ilvl="0">
      <w:lvlJc w:val="left"/>
      <w:lvlText w:val="(%1)"/>
      <w:numFmt w:val="lowerLetter"/>
      <w:start w:val="5"/>
    </w:lvl>
  </w:abstractNum>
  <w:abstractNum w:abstractNumId="42">
    <w:nsid w:val="38437FDB"/>
    <w:multiLevelType w:val="hybridMultilevel"/>
    <w:lvl w:ilvl="0">
      <w:lvlJc w:val="left"/>
      <w:lvlText w:val="%1."/>
      <w:numFmt w:val="decimal"/>
      <w:start w:val="11"/>
    </w:lvl>
  </w:abstractNum>
  <w:abstractNum w:abstractNumId="43">
    <w:nsid w:val="7644A45C"/>
    <w:multiLevelType w:val="hybridMultilevel"/>
    <w:lvl w:ilvl="0">
      <w:lvlJc w:val="left"/>
      <w:lvlText w:val="%1."/>
      <w:numFmt w:val="decimal"/>
      <w:start w:val="14"/>
    </w:lvl>
  </w:abstractNum>
  <w:abstractNum w:abstractNumId="44">
    <w:nsid w:val="32FFF902"/>
    <w:multiLevelType w:val="hybridMultilevel"/>
    <w:lvl w:ilvl="0">
      <w:lvlJc w:val="left"/>
      <w:lvlText w:val="%1."/>
      <w:numFmt w:val="decimal"/>
      <w:start w:val="19"/>
    </w:lvl>
  </w:abstractNum>
  <w:abstractNum w:abstractNumId="45">
    <w:nsid w:val="684A481A"/>
    <w:multiLevelType w:val="hybridMultilevel"/>
    <w:lvl w:ilvl="0">
      <w:lvlJc w:val="left"/>
      <w:lvlText w:val="%1."/>
      <w:numFmt w:val="decimal"/>
      <w:start w:val="24"/>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lowerRoman"/>
      <w:start w:val="1"/>
    </w:lvl>
  </w:abstractNum>
  <w:abstractNum w:abstractNumId="49">
    <w:nsid w:val="1BA026FA"/>
    <w:multiLevelType w:val="hybridMultilevel"/>
    <w:lvl w:ilvl="0">
      <w:lvlJc w:val="left"/>
      <w:lvlText w:val="(%1)"/>
      <w:numFmt w:val="lowerRoman"/>
      <w:start w:val="8"/>
    </w:lvl>
  </w:abstractNum>
  <w:abstractNum w:abstractNumId="50">
    <w:nsid w:val="79A1DEAA"/>
    <w:multiLevelType w:val="hybridMultilevel"/>
    <w:lvl w:ilvl="0">
      <w:lvlJc w:val="left"/>
      <w:lvlText w:val="(%1)"/>
      <w:numFmt w:val="lowerRoman"/>
      <w:start w:val="13"/>
    </w:lvl>
  </w:abstractNum>
  <w:abstractNum w:abstractNumId="51">
    <w:nsid w:val="75C6C33A"/>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2019-12-29T00:14:54Z</dcterms:created>
  <dcterms:modified xsi:type="dcterms:W3CDTF">2019-12-29T00:14:54Z</dcterms:modified>
</cp:coreProperties>
</file>