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ind w:left="7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27305</wp:posOffset>
            </wp:positionV>
            <wp:extent cx="6989445" cy="491617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9161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Zulla Caitlin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 w:right="440"/>
        <w:spacing w:after="0" w:line="365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C/O NATIONAL VISION HOLDINGS, INC. 2435 COMMERCE AVENUE, BLDG 2200</w:t>
      </w:r>
    </w:p>
    <w:p>
      <w:pPr>
        <w:spacing w:after="0" w:line="167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10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DULUTH</w:t>
            </w:r>
          </w:p>
        </w:tc>
        <w:tc>
          <w:tcPr>
            <w:tcW w:w="108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GA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30096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8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</w:tcPr>
          <w:p>
            <w:pPr>
              <w:spacing w:after="0" w:line="147" w:lineRule="exact"/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16"/>
                  <w:szCs w:val="16"/>
                  <w:color w:val="0000EE"/>
                </w:rPr>
                <w:t xml:space="preserve">National Vision Holdings, Inc. </w:t>
              </w:r>
            </w:hyperlink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EYE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]</w:t>
            </w:r>
          </w:p>
        </w:tc>
        <w:tc>
          <w:tcPr>
            <w:tcW w:w="18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6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68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08/01/2024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145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Rule 10b5-1(c) Transaction Indication</w:t>
      </w:r>
    </w:p>
    <w:p>
      <w:pPr>
        <w:spacing w:after="0" w:line="224" w:lineRule="exact"/>
        <w:rPr>
          <w:sz w:val="24"/>
          <w:szCs w:val="24"/>
          <w:color w:val="auto"/>
        </w:rPr>
      </w:pPr>
    </w:p>
    <w:p>
      <w:pPr>
        <w:ind w:left="340" w:right="420"/>
        <w:spacing w:after="0" w:line="26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that is intended to satisfy the affirmative defense conditions of Rule 10b5-1(c). See Instruction 10.</w:t>
      </w:r>
    </w:p>
    <w:p>
      <w:pPr>
        <w:spacing w:after="0" w:line="1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24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3140" w:type="dxa"/>
            <w:vAlign w:val="bottom"/>
            <w:gridSpan w:val="7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  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5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</w:tcPr>
          <w:p>
            <w:pPr>
              <w:ind w:left="1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  <w:gridSpan w:val="2"/>
            <w:vMerge w:val="restart"/>
          </w:tcPr>
          <w:p>
            <w:pPr>
              <w:jc w:val="right"/>
              <w:ind w:righ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Restricted Stock Units</w:t>
            </w: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08/01/2024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3"/>
              </w:rPr>
              <w:t>11,010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3"/>
                <w:vertAlign w:val="superscript"/>
              </w:rPr>
              <w:t>(1)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</w:t>
            </w: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11,010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9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  <w:gridSpan w:val="3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4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3"/>
          </w:tcPr>
          <w:p>
            <w:pPr>
              <w:ind w:left="4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60" w:type="dxa"/>
            <w:vAlign w:val="bottom"/>
          </w:tcPr>
          <w:p>
            <w:pPr>
              <w:ind w:left="4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1. Each restricted stock unit ("RSU") represents a contingent right to receive one share of National Vision Holdings, Inc. common stock. The RSUs vest in full on the first anniversary of the date of grant.</w:t>
      </w:r>
    </w:p>
    <w:p>
      <w:pPr>
        <w:spacing w:after="0" w:line="4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0" w:lineRule="exact"/>
        <w:rPr>
          <w:sz w:val="24"/>
          <w:szCs w:val="24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58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Jared Brandman, as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08/02/2024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1180" w:type="dxa"/>
            <w:vAlign w:val="bottom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Attorney-in-Fact</w:t>
            </w: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118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2031509" TargetMode="External"/><Relationship Id="rId13" Type="http://schemas.openxmlformats.org/officeDocument/2006/relationships/hyperlink" Target="http://www.sec.gov/cgi-bin/browse-edgar?action=getcompany&amp;CIK=000171015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2024-08-02T15:59:59Z</dcterms:created>
  <dcterms:modified xsi:type="dcterms:W3CDTF">2024-08-02T15:59:59Z</dcterms:modified>
</cp:coreProperties>
</file>