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November 6, 2024</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52"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4080" w:type="dxa"/>
            <w:vAlign w:val="bottom"/>
          </w:tcPr>
          <w:p>
            <w:pPr>
              <w:jc w:val="center"/>
              <w:ind w:right="14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7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408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720" w:type="dxa"/>
            <w:vAlign w:val="bottom"/>
          </w:tcPr>
          <w:p>
            <w:pPr>
              <w:jc w:val="center"/>
              <w:ind w:left="141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08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incorporation)</w:t>
            </w:r>
          </w:p>
        </w:tc>
        <w:tc>
          <w:tcPr>
            <w:tcW w:w="2720" w:type="dxa"/>
            <w:vAlign w:val="bottom"/>
          </w:tcPr>
          <w:p>
            <w:pPr>
              <w:jc w:val="center"/>
              <w:ind w:left="1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4080" w:type="dxa"/>
            <w:vAlign w:val="bottom"/>
          </w:tcPr>
          <w:p>
            <w:pPr>
              <w:jc w:val="center"/>
              <w:ind w:right="141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2720" w:type="dxa"/>
            <w:vAlign w:val="bottom"/>
          </w:tcPr>
          <w:p>
            <w:pPr>
              <w:spacing w:after="0"/>
              <w:rPr>
                <w:sz w:val="23"/>
                <w:szCs w:val="23"/>
                <w:color w:val="auto"/>
              </w:rPr>
            </w:pPr>
          </w:p>
        </w:tc>
      </w:tr>
      <w:tr>
        <w:trPr>
          <w:trHeight w:val="216"/>
        </w:trPr>
        <w:tc>
          <w:tcPr>
            <w:tcW w:w="408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27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4080" w:type="dxa"/>
            <w:vAlign w:val="bottom"/>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2720" w:type="dxa"/>
            <w:vAlign w:val="bottom"/>
          </w:tcPr>
          <w:p>
            <w:pPr>
              <w:jc w:val="center"/>
              <w:ind w:left="139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40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20" w:type="dxa"/>
            <w:vAlign w:val="bottom"/>
          </w:tcPr>
          <w:p>
            <w:pPr>
              <w:spacing w:after="0"/>
              <w:rPr>
                <w:sz w:val="18"/>
                <w:szCs w:val="18"/>
                <w:color w:val="auto"/>
              </w:rPr>
            </w:pPr>
          </w:p>
        </w:tc>
      </w:tr>
    </w:tbl>
    <w:p>
      <w:pPr>
        <w:spacing w:after="0" w:line="37" w:lineRule="exact"/>
        <w:rPr>
          <w:sz w:val="24"/>
          <w:szCs w:val="24"/>
          <w:color w:val="auto"/>
        </w:rPr>
      </w:pPr>
    </w:p>
    <w:p>
      <w:pPr>
        <w:jc w:val="center"/>
        <w:ind w:right="-1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1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64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06374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63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6, 2024,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financial results for the quarter ended September 28,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furnished herewith as Exhibit 99.1 and incorporated by reference herein.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Item 2.02 of Form 8-K and shall not be deemed to be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6, 2024, National Vision issued a press release related to the results of its comprehensive store fleet review.</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copy of the release is furnished herewith as Exhibit 99.2 and incorporated by reference herein. The information in this Current Report on Form 8-K under Item 2.02 and Item 7.01, including exhibits, is being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November 6, 2024, related to financial results for the quarter ended</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3"/>
          </w:tcPr>
          <w:p>
            <w:pPr>
              <w:ind w:left="520"/>
              <w:spacing w:after="0" w:line="205" w:lineRule="exact"/>
              <w:rPr>
                <w:sz w:val="20"/>
                <w:szCs w:val="20"/>
                <w:color w:val="auto"/>
              </w:rPr>
            </w:pPr>
            <w:r>
              <w:rPr>
                <w:rFonts w:ascii="Times New Roman" w:cs="Times New Roman" w:eastAsia="Times New Roman" w:hAnsi="Times New Roman"/>
                <w:sz w:val="18"/>
                <w:szCs w:val="18"/>
                <w:color w:val="auto"/>
              </w:rPr>
              <w:t>September 28, 2024.</w:t>
            </w:r>
          </w:p>
        </w:tc>
      </w:tr>
      <w:tr>
        <w:trPr>
          <w:trHeight w:val="194"/>
        </w:trPr>
        <w:tc>
          <w:tcPr>
            <w:tcW w:w="20" w:type="dxa"/>
            <w:vAlign w:val="bottom"/>
          </w:tcPr>
          <w:p>
            <w:pPr>
              <w:spacing w:after="0"/>
              <w:rPr>
                <w:sz w:val="16"/>
                <w:szCs w:val="16"/>
                <w:color w:val="auto"/>
              </w:rPr>
            </w:pPr>
          </w:p>
        </w:tc>
        <w:tc>
          <w:tcPr>
            <w:tcW w:w="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520" w:type="dxa"/>
            <w:vAlign w:val="bottom"/>
          </w:tcPr>
          <w:p>
            <w:pPr>
              <w:spacing w:after="0"/>
              <w:rPr>
                <w:sz w:val="16"/>
                <w:szCs w:val="16"/>
                <w:color w:val="auto"/>
              </w:rPr>
            </w:pPr>
          </w:p>
        </w:tc>
        <w:tc>
          <w:tcPr>
            <w:tcW w:w="9860" w:type="dxa"/>
            <w:vAlign w:val="bottom"/>
            <w:gridSpan w:val="3"/>
          </w:tcPr>
          <w:p>
            <w:pPr>
              <w:ind w:left="520"/>
              <w:spacing w:after="0" w:line="194" w:lineRule="exact"/>
              <w:rPr>
                <w:sz w:val="20"/>
                <w:szCs w:val="20"/>
                <w:color w:val="auto"/>
              </w:rPr>
            </w:pPr>
            <w:r>
              <w:rPr>
                <w:rFonts w:ascii="Times New Roman" w:cs="Times New Roman" w:eastAsia="Times New Roman" w:hAnsi="Times New Roman"/>
                <w:sz w:val="18"/>
                <w:szCs w:val="18"/>
                <w:color w:val="auto"/>
              </w:rPr>
              <w:t>National Vision Holdings, Inc. Press Release dated November 6, 2024, related to comprehensive store fleet review.</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2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960" w:type="dxa"/>
            <w:vAlign w:val="bottom"/>
          </w:tcPr>
          <w:p>
            <w:pPr>
              <w:spacing w:after="0"/>
              <w:rPr>
                <w:sz w:val="18"/>
                <w:szCs w:val="18"/>
                <w:color w:val="auto"/>
              </w:rPr>
            </w:pP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960" w:type="dxa"/>
            <w:vAlign w:val="bottom"/>
          </w:tcPr>
          <w:p>
            <w:pPr>
              <w:spacing w:after="0"/>
              <w:rPr>
                <w:sz w:val="20"/>
                <w:szCs w:val="20"/>
                <w:color w:val="auto"/>
              </w:rPr>
            </w:pP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110553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Third Quarter 2024 Financial Results</w:t>
      </w:r>
    </w:p>
    <w:p>
      <w:pPr>
        <w:spacing w:after="0" w:line="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i w:val="1"/>
          <w:iCs w:val="1"/>
          <w:color w:val="auto"/>
        </w:rPr>
        <w:t>Results Reflect Ongoing Strength in Managed Care with Growth in America’s Best as Transformation Initiatives Progress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highlights compared to Q3 2023:</w:t>
      </w:r>
    </w:p>
    <w:p>
      <w:pPr>
        <w:spacing w:after="0" w:line="3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from continuing operations of $451.5 million, an increase of 2.9%</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1.4% and Adjusted Comparable Store Sales Growth of 0.9%</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loss from continuing operations of $(8.4) million, Diluted EPS from continuing operations of $(0.11)</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from continuing operations of $14.3 million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from continuing operations of $0.12</w:t>
      </w:r>
    </w:p>
    <w:p>
      <w:pPr>
        <w:spacing w:after="0" w:line="29" w:lineRule="exact"/>
        <w:rPr>
          <w:rFonts w:ascii="Times New Roman" w:cs="Times New Roman" w:eastAsia="Times New Roman" w:hAnsi="Times New Roman"/>
          <w:sz w:val="18"/>
          <w:szCs w:val="18"/>
          <w:i w:val="1"/>
          <w:iCs w:val="1"/>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Reaffirms fiscal 2024 outlook for key metrics; updates capital expenditure expectations</w:t>
      </w: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6, 2024 </w:t>
      </w:r>
      <w:r>
        <w:rPr>
          <w:rFonts w:ascii="Times New Roman" w:cs="Times New Roman" w:eastAsia="Times New Roman" w:hAnsi="Times New Roman"/>
          <w:sz w:val="18"/>
          <w:szCs w:val="18"/>
          <w:color w:val="auto"/>
        </w:rPr>
        <w:t>--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third quarter ended September 28, 2024.</w:t>
      </w: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encouraged by the progress we are making against key elements of our transformation, including completing the review of our store fleet, implementing new traffic-driving initiatives, continuing to expand exam capacity and remote exam efficiency, and benefiting from new perspectives through our deepened executive bench,” said Reade Fahs, National Vision’s CEO. “During the quarter, we experienced top line trends consistent with prior quarters as America’s Best continued to drive our sales performance supported by strength in our managed care business. In addition, customers responded well to our new Wise Buys eyeglass promotion that helped to enhance our value offering and attract new customers. We continued to leverage our remote capabilities to expand exam capacity as well as provide doctors with convenient new ways to practice. While we continue to execute on our transformation, we are pleased to reiterate our guidance for the year and remain committed to positioning National Vision for long term success.”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During the first nine months of fiscal 2024, the Company ceased its Walmart and AC Lens operations and, accordingly, the condensed consolidated financial statements reflect the results of the Legacy segment and the substantial majority of AC Lens operations as discontinued operations for all periods presented. Unless otherwise noted, amounts and disclosures below relate to the Company’s continuing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Summary</w:t>
      </w:r>
    </w:p>
    <w:p>
      <w:pPr>
        <w:spacing w:after="0" w:line="108" w:lineRule="exact"/>
        <w:rPr>
          <w:sz w:val="20"/>
          <w:szCs w:val="20"/>
          <w:color w:val="auto"/>
        </w:rPr>
      </w:pPr>
    </w:p>
    <w:p>
      <w:pPr>
        <w:jc w:val="both"/>
        <w:ind w:left="260" w:hanging="252"/>
        <w:spacing w:after="0"/>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2.9% to $451.5 million compared to the third quarter of 2023 and was primarily driven by growth from new store sales and Adjusted Comparable Store Sales Growth and the effect of unearned revenue, partially offset by the effect of converted and closed stores and lower e-commerce revenue. Net revenue includes a positive 0.4% impact from the timing of unearned revenue in the current-year period compared with the prior-year period.</w:t>
      </w:r>
    </w:p>
    <w:p>
      <w:pPr>
        <w:spacing w:after="0" w:line="22" w:lineRule="exact"/>
        <w:rPr>
          <w:rFonts w:ascii="Times New Roman" w:cs="Times New Roman" w:eastAsia="Times New Roman" w:hAnsi="Times New Roman"/>
          <w:sz w:val="18"/>
          <w:szCs w:val="18"/>
          <w:color w:val="auto"/>
        </w:rPr>
      </w:pPr>
    </w:p>
    <w:p>
      <w:pPr>
        <w:ind w:left="260" w:hanging="252"/>
        <w:spacing w:after="0" w:line="258"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1.4% and Adjusted Comparable Store Sales Growth was 0.9%, both reflecting a higher average ticket and an increase in customer transactions.</w:t>
      </w:r>
    </w:p>
    <w:p>
      <w:pPr>
        <w:ind w:left="260" w:hanging="252"/>
        <w:spacing w:after="0" w:line="258"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18 new stores and closed two America’s Best and one Military store as a result of the host partner’s decision to cease its overall operations at the location, and ended the quarter with 1,231 stores. Overall, store count grew 4.9% from September 30, 2023 to September 28, 2024.</w:t>
      </w:r>
    </w:p>
    <w:p>
      <w:pPr>
        <w:ind w:left="260" w:hanging="252"/>
        <w:spacing w:after="0" w:line="26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3.3% to $189.9 million compared to the third quarter of 2023. As a percentage of net revenue, costs applicable to revenue increased 20 basis points to 42.1% compared with the third quarter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ind w:left="260"/>
        <w:spacing w:after="0" w:line="257" w:lineRule="auto"/>
        <w:rPr>
          <w:sz w:val="20"/>
          <w:szCs w:val="20"/>
          <w:color w:val="auto"/>
        </w:rPr>
      </w:pPr>
      <w:r>
        <w:rPr>
          <w:rFonts w:ascii="Times New Roman" w:cs="Times New Roman" w:eastAsia="Times New Roman" w:hAnsi="Times New Roman"/>
          <w:sz w:val="18"/>
          <w:szCs w:val="18"/>
          <w:color w:val="auto"/>
        </w:rPr>
        <w:t>2023 and were primarily driven by an increase in optometrist-related costs as well as other mix and margin effects. As a percentage of net revenue, these increased costs were partially offset by higher exam revenue.</w:t>
      </w:r>
    </w:p>
    <w:p>
      <w:pPr>
        <w:spacing w:after="0" w:line="2" w:lineRule="exact"/>
        <w:rPr>
          <w:sz w:val="20"/>
          <w:szCs w:val="20"/>
          <w:color w:val="auto"/>
        </w:rPr>
      </w:pPr>
    </w:p>
    <w:p>
      <w:pPr>
        <w:jc w:val="both"/>
        <w:ind w:left="260" w:hanging="252"/>
        <w:spacing w:after="0" w:line="238" w:lineRule="auto"/>
        <w:tabs>
          <w:tab w:leader="none" w:pos="2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Selling, general and administrative expenses (SG&amp;A) increased 2.8% to $234.0 million compared with the third quarter of 2023. Adjusted SG&amp;A increased 1.7% to 225.0 million compared with the third quarter of 2023. As a percentage of net revenue, SG&amp;A was 51.8%, comparable to the third quarter of 2023, driven by lower performance-based incentive compensation, offset by higher payroll expense and other operating expenses, including higher IT investments and occupancy expense. As a percentage of net revenue, Adjusted SG&amp;A decreased 60 basis points to 49.8% compared with the third quarter of 2023, driven by lower performance-based incentive compensation and other operating expenses, partially offset by higher payroll and occupancy expenses.</w:t>
      </w:r>
    </w:p>
    <w:p>
      <w:pPr>
        <w:spacing w:after="0" w:line="10" w:lineRule="exact"/>
        <w:rPr>
          <w:rFonts w:ascii="Times New Roman" w:cs="Times New Roman" w:eastAsia="Times New Roman" w:hAnsi="Times New Roman"/>
          <w:sz w:val="18"/>
          <w:szCs w:val="18"/>
          <w:i w:val="1"/>
          <w:iCs w:val="1"/>
          <w:color w:val="auto"/>
        </w:rPr>
      </w:pPr>
    </w:p>
    <w:p>
      <w:pPr>
        <w:ind w:left="260" w:hanging="252"/>
        <w:spacing w:after="0" w:line="264"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$22.7 million increased 1.0% from the prior-year period, primarily driven by investments in remote medicine technology and new store openings, partially offset by lower depreciation of labs and distribution center.</w:t>
      </w:r>
    </w:p>
    <w:p>
      <w:pPr>
        <w:spacing w:after="0" w:line="3"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Income (loss) from continuing operations, net of tax, decreased to $(8.4) million, compared to $(0.4) million in the third quarter of 2023. Income (loss) from continuing operations, net of tax, margin was (1.9)% compared to (0.1)% in the third quarter of 2023.</w:t>
      </w:r>
    </w:p>
    <w:p>
      <w:pPr>
        <w:spacing w:after="0" w:line="14" w:lineRule="exact"/>
        <w:rPr>
          <w:rFonts w:ascii="Times New Roman" w:cs="Times New Roman" w:eastAsia="Times New Roman" w:hAnsi="Times New Roman"/>
          <w:sz w:val="18"/>
          <w:szCs w:val="18"/>
          <w:i w:val="1"/>
          <w:iCs w:val="1"/>
          <w:color w:val="auto"/>
        </w:rPr>
      </w:pPr>
    </w:p>
    <w:p>
      <w:pPr>
        <w:jc w:val="both"/>
        <w:ind w:left="260" w:hanging="252"/>
        <w:spacing w:after="0" w:line="242" w:lineRule="auto"/>
        <w:tabs>
          <w:tab w:leader="none" w:pos="2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(loss) per share (EPS) from continuing operations decreased to $(0.11), compared to $(0.00) in the third quarter of 2023. Adjusted Diluted EPS was $0.12 compared with $0.11 in the third quarter of 2023. The net change in margin on unearned revenue benefited both Diluted EPS and Adjusted Diluted EPS by $0.01.</w:t>
      </w:r>
    </w:p>
    <w:p>
      <w:pPr>
        <w:spacing w:after="0" w:line="21" w:lineRule="exact"/>
        <w:rPr>
          <w:rFonts w:ascii="Times New Roman" w:cs="Times New Roman" w:eastAsia="Times New Roman" w:hAnsi="Times New Roman"/>
          <w:sz w:val="18"/>
          <w:szCs w:val="18"/>
          <w:i w:val="1"/>
          <w:iCs w:val="1"/>
          <w:color w:val="auto"/>
        </w:rPr>
      </w:pPr>
    </w:p>
    <w:p>
      <w:pPr>
        <w:jc w:val="both"/>
        <w:ind w:left="260" w:hanging="252"/>
        <w:spacing w:after="0" w:line="24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22.2% to $14.3 million compared with the third quarter of 2023. Adjusted Operating Margin was 3.2% for the third quarter of 2024 compared to 2.7% for the third quarter of 2023. The net change in margin on unearned revenue benefited income (loss) from continuing operations, net of tax, by $0.9 million and Adjusted Operating Income by $1.2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2024 Summary</w:t>
      </w:r>
    </w:p>
    <w:p>
      <w:pPr>
        <w:spacing w:after="0" w:line="40" w:lineRule="exact"/>
        <w:rPr>
          <w:sz w:val="20"/>
          <w:szCs w:val="20"/>
          <w:color w:val="auto"/>
        </w:rPr>
      </w:pPr>
    </w:p>
    <w:p>
      <w:pPr>
        <w:jc w:val="both"/>
        <w:ind w:left="260" w:hanging="252"/>
        <w:spacing w:after="0"/>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3.8% to $1,386.0 million compared to the prior-year period and was primarily driven by growth from new store sales, Adjusted Comparable Store Sales Growth and the effect of unearned revenue, partially offset by the effect of converted and closed stores and lower e-commerce revenue. Net revenue includes a positive 0.3% impact from the timing of unearned revenue in the current-year period compared with the prior-year period.</w:t>
      </w:r>
    </w:p>
    <w:p>
      <w:pPr>
        <w:spacing w:after="0" w:line="22" w:lineRule="exact"/>
        <w:rPr>
          <w:rFonts w:ascii="Times New Roman" w:cs="Times New Roman" w:eastAsia="Times New Roman" w:hAnsi="Times New Roman"/>
          <w:sz w:val="18"/>
          <w:szCs w:val="18"/>
          <w:color w:val="auto"/>
        </w:rPr>
      </w:pPr>
    </w:p>
    <w:p>
      <w:pPr>
        <w:ind w:left="260" w:hanging="252"/>
        <w:spacing w:after="0" w:line="258"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1.7% and Adjusted Comparable Store Sales Growth was 1.2%, primarily due to higher average ticket and an increase in customer transactions.</w:t>
      </w:r>
    </w:p>
    <w:p>
      <w:pPr>
        <w:jc w:val="both"/>
        <w:ind w:left="260" w:hanging="252"/>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49 new stores, closed four America’s Best stores, one Eyeglass World store, and one Military store as a result of the host partner’s decision to cease its overall operations and converted 20 Eyeglass World stores to America’s Best stores, and ended the period with 1,231 stores. Overall, store count grew 4.9% from September 30, 2023 to September 28, 2024.</w:t>
      </w:r>
    </w:p>
    <w:p>
      <w:pPr>
        <w:spacing w:after="0" w:line="41" w:lineRule="exact"/>
        <w:rPr>
          <w:rFonts w:ascii="Times New Roman" w:cs="Times New Roman" w:eastAsia="Times New Roman" w:hAnsi="Times New Roman"/>
          <w:sz w:val="18"/>
          <w:szCs w:val="18"/>
          <w:color w:val="auto"/>
        </w:rPr>
      </w:pPr>
    </w:p>
    <w:p>
      <w:pPr>
        <w:jc w:val="both"/>
        <w:ind w:left="260" w:hanging="252"/>
        <w:spacing w:after="0" w:line="230" w:lineRule="auto"/>
        <w:tabs>
          <w:tab w:leader="none" w:pos="2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Costs applicable to revenue increased 5.2% to $579.1 million compared to the prior-year period. As a percentage of net revenue, compared with the prior-year period, costs applicable to revenue increased 60 basis points to 41.8%, mainly due to an increase in optometrist-related costs, lower eyeglass mix and other mix and margin effects. As a percentage of revenue, these increased costs were partially offset by higher exam revenue.</w:t>
      </w:r>
    </w:p>
    <w:p>
      <w:pPr>
        <w:spacing w:after="0" w:line="76" w:lineRule="exact"/>
        <w:rPr>
          <w:rFonts w:ascii="Times New Roman" w:cs="Times New Roman" w:eastAsia="Times New Roman" w:hAnsi="Times New Roman"/>
          <w:sz w:val="22"/>
          <w:szCs w:val="22"/>
          <w:color w:val="auto"/>
        </w:rPr>
      </w:pPr>
    </w:p>
    <w:p>
      <w:pPr>
        <w:jc w:val="both"/>
        <w:ind w:left="260" w:hanging="252"/>
        <w:spacing w:after="0" w:line="258"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3.9% to $705.5 million compared with the same period in 2023. Adjusted SG&amp;A increased 2.1% to $677.3 million compared with the same period in 2023. As a percentage of net revenue, SG&amp;A was 50.9%, comparable to the same period of 2023, mainly due to litigation settlement, occupancy and legal and professional expenses, offset by decreases in performance-based incentive compensation. As a percentage of net revenue, Adjusted SG&amp;A decreased 80 basis points driven by a decrease in performance-based incentive compensation and other operating expenses, partially offset by higher occupancy expense.</w:t>
      </w:r>
    </w:p>
    <w:p>
      <w:pPr>
        <w:spacing w:after="0" w:line="7" w:lineRule="exact"/>
        <w:rPr>
          <w:rFonts w:ascii="Times New Roman" w:cs="Times New Roman" w:eastAsia="Times New Roman" w:hAnsi="Times New Roman"/>
          <w:sz w:val="18"/>
          <w:szCs w:val="18"/>
          <w:color w:val="auto"/>
        </w:rPr>
      </w:pPr>
    </w:p>
    <w:p>
      <w:pPr>
        <w:ind w:left="260" w:right="20" w:hanging="252"/>
        <w:spacing w:after="0" w:line="264"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of $68.6 million increased 3.1% from the prior-year period, primarily driven by new store openings and investments in remote medicine technology, partially offset by lower depreciation of labs and distribution center.</w:t>
      </w:r>
    </w:p>
    <w:p>
      <w:pPr>
        <w:spacing w:after="0" w:line="3"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Income from continuing operations, net of tax, decreased to $2.3 million compared to $18.3 million in the same period in 2023. Income from continuing operations, net of tax, margin decreased to 0.2% compared to 1.4% in the same period in 2023.</w:t>
      </w:r>
    </w:p>
    <w:p>
      <w:pPr>
        <w:spacing w:after="0" w:line="14" w:lineRule="exact"/>
        <w:rPr>
          <w:rFonts w:ascii="Times New Roman" w:cs="Times New Roman" w:eastAsia="Times New Roman" w:hAnsi="Times New Roman"/>
          <w:sz w:val="18"/>
          <w:szCs w:val="18"/>
          <w:i w:val="1"/>
          <w:iCs w:val="1"/>
          <w:color w:val="auto"/>
        </w:rPr>
      </w:pPr>
    </w:p>
    <w:p>
      <w:pPr>
        <w:ind w:left="260" w:hanging="252"/>
        <w:spacing w:after="0" w:line="258" w:lineRule="auto"/>
        <w:tabs>
          <w:tab w:leader="none" w:pos="2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EPS from continuing operations was $0.03 compared to $0.23 in the same period in 2023. Adjusted Diluted EPS increased to $0.56 compared to $0.51 in the same period in 2023. The net change in margin on unearned revenue benefited both Diluted EPS and Adjusted Diluted EPS by $0.03.</w:t>
      </w:r>
    </w:p>
    <w:p>
      <w:pPr>
        <w:jc w:val="both"/>
        <w:ind w:left="260" w:right="20" w:hanging="252"/>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9.9% to $62.3 million compared with the same period of 2023. Adjusted Operating Margin was 4.5% compared with 4.2% for the same period in 2023. The net change in margin on unearned revenue benefited income (loss) from continuing operations, net of tax, by $2.6 million and Adjusted Operating Income by $3.4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September 28, 2024</w:t>
      </w:r>
    </w:p>
    <w:p>
      <w:pPr>
        <w:spacing w:after="0" w:line="108" w:lineRule="exact"/>
        <w:rPr>
          <w:sz w:val="20"/>
          <w:szCs w:val="20"/>
          <w:color w:val="auto"/>
        </w:rPr>
      </w:pPr>
    </w:p>
    <w:p>
      <w:pPr>
        <w:ind w:left="260" w:hanging="252"/>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Vision’s cash balance was $81.2 million as of September 28, 2024. The Company had no borrowings under its $300.0 million first lien revolving credit facility, exclusive of letters of credit of $6.4 million.</w:t>
      </w:r>
    </w:p>
    <w:p>
      <w:pPr>
        <w:spacing w:after="0" w:line="68" w:lineRule="exact"/>
        <w:rPr>
          <w:rFonts w:ascii="Times New Roman" w:cs="Times New Roman" w:eastAsia="Times New Roman" w:hAnsi="Times New Roman"/>
          <w:sz w:val="18"/>
          <w:szCs w:val="18"/>
          <w:color w:val="auto"/>
        </w:rPr>
      </w:pPr>
    </w:p>
    <w:p>
      <w:pPr>
        <w:ind w:left="260" w:hanging="252"/>
        <w:spacing w:after="0" w:line="258"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$218 million of 2025 Notes for an aggregate cash purchase price of $215 million. Funded with $115 million of incremental term loans and $100 million of cash.</w:t>
      </w:r>
    </w:p>
    <w:p>
      <w:pPr>
        <w:ind w:left="260" w:hanging="252"/>
        <w:spacing w:after="0" w:line="266"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$353.8 million as of September 28, 2024, consisting of outstanding first lien term loans, 2.50% convertible senior notes due on May 15, 2025 (“2025 Notes”) and finance lease obligations, net of unamortized discounts.</w:t>
      </w: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nine months of 2024 were $103.4 million compared to $153.3 million for the same period in 2023.</w:t>
      </w:r>
    </w:p>
    <w:p>
      <w:pPr>
        <w:spacing w:after="0" w:line="90"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nine months of 2024 totaled $63.5 million compared to $82.0 million for the same period in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Provides Update on Portfolio Review and Fiscal 2025 New Store Opening Plan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Today, the Company issued a press release announcing the completion of its comprehensive store fleet review and actions to address identified stores. The Company also announced that it plans to open 30 to 35 new stores in Fiscal 2025 and invest capital in existing operations to enhance the overall store experience. The press release is available on the Company’s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Outlook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Vision’s fiscal 2024 outlook reflects current expected or estimated impacts related to macro-economic factors, including inflation, geopolitical instability and risks of recession, as well as constraints on exam capacity and the Company’s transformation initiatives; however, the ultimate impact of these factors on the Company’s financial outlook remains uncertain with dynamic market conditions and the outlook shown below assumes no material deterioration to the Company’s current business operations as a result of such factors or as a result of the termination of the Walmart partnership. Unless otherwise noted, the outlook below is on a continuing operations basis.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reaffirms the previously provided outlook for its key operating metrics, while updating its expectations for capital expenditures. The Company is providing the following outlook for the 52 weeks ending December 28, 2024:</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120" w:type="dxa"/>
            <w:vAlign w:val="bottom"/>
            <w:tcBorders>
              <w:top w:val="single" w:sz="8" w:color="BFBFBF"/>
              <w:left w:val="single" w:sz="8" w:color="BFBFBF"/>
              <w:bottom w:val="single" w:sz="8" w:color="BFBFBF"/>
              <w:right w:val="single" w:sz="8" w:color="BFBFBF"/>
            </w:tcBorders>
          </w:tcPr>
          <w:p>
            <w:pPr>
              <w:spacing w:after="0"/>
              <w:rPr>
                <w:sz w:val="22"/>
                <w:szCs w:val="22"/>
                <w:color w:val="auto"/>
              </w:rPr>
            </w:pPr>
          </w:p>
        </w:tc>
        <w:tc>
          <w:tcPr>
            <w:tcW w:w="6820" w:type="dxa"/>
            <w:vAlign w:val="bottom"/>
            <w:tcBorders>
              <w:top w:val="single" w:sz="8" w:color="BFBFBF"/>
              <w:bottom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Continuing Operations Fiscal 2024 Outlook</w:t>
            </w:r>
          </w:p>
        </w:tc>
      </w:tr>
      <w:tr>
        <w:trPr>
          <w:trHeight w:val="262"/>
        </w:trPr>
        <w:tc>
          <w:tcPr>
            <w:tcW w:w="4120" w:type="dxa"/>
            <w:vAlign w:val="bottom"/>
            <w:tcBorders>
              <w:left w:val="single" w:sz="8" w:color="BFBFBF"/>
              <w:bottom w:val="single" w:sz="8" w:color="DBDBDB"/>
              <w:right w:val="single" w:sz="8" w:color="BFBFBF"/>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New Stores</w:t>
            </w:r>
          </w:p>
        </w:tc>
        <w:tc>
          <w:tcPr>
            <w:tcW w:w="6820" w:type="dxa"/>
            <w:vAlign w:val="bottom"/>
            <w:tcBorders>
              <w:bottom w:val="single" w:sz="8" w:color="DBDBDB"/>
              <w:right w:val="single" w:sz="8" w:color="BFBFBF"/>
            </w:tcBorders>
            <w:gridSpan w:val="2"/>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65-70</w:t>
            </w:r>
          </w:p>
        </w:tc>
      </w:tr>
      <w:tr>
        <w:trPr>
          <w:trHeight w:val="250"/>
        </w:trPr>
        <w:tc>
          <w:tcPr>
            <w:tcW w:w="4120" w:type="dxa"/>
            <w:vAlign w:val="bottom"/>
            <w:tcBorders>
              <w:top w:val="single" w:sz="8" w:color="BFBFBF"/>
              <w:left w:val="single" w:sz="8" w:color="BFBFBF"/>
              <w:bottom w:val="single" w:sz="8" w:color="BFBFBF"/>
              <w:right w:val="single" w:sz="8" w:color="BFBFBF"/>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w:t>
            </w:r>
          </w:p>
        </w:tc>
        <w:tc>
          <w:tcPr>
            <w:tcW w:w="3420" w:type="dxa"/>
            <w:vAlign w:val="bottom"/>
            <w:tcBorders>
              <w:top w:val="single" w:sz="8" w:color="BFBFBF"/>
              <w:bottom w:val="single" w:sz="8" w:color="BFBFBF"/>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400" w:type="dxa"/>
            <w:vAlign w:val="bottom"/>
            <w:tcBorders>
              <w:top w:val="single" w:sz="8" w:color="BFBFBF"/>
              <w:bottom w:val="single" w:sz="8" w:color="BFBFBF"/>
              <w:right w:val="single" w:sz="8" w:color="BFBFBF"/>
            </w:tcBorders>
          </w:tcPr>
          <w:p>
            <w:pPr>
              <w:spacing w:after="0"/>
              <w:rPr>
                <w:sz w:val="20"/>
                <w:szCs w:val="20"/>
                <w:color w:val="auto"/>
              </w:rPr>
            </w:pPr>
            <w:r>
              <w:rPr>
                <w:rFonts w:ascii="Times New Roman" w:cs="Times New Roman" w:eastAsia="Times New Roman" w:hAnsi="Times New Roman"/>
                <w:sz w:val="18"/>
                <w:szCs w:val="18"/>
                <w:color w:val="auto"/>
              </w:rPr>
              <w:t>- 1.5%</w:t>
            </w:r>
          </w:p>
        </w:tc>
      </w:tr>
      <w:tr>
        <w:trPr>
          <w:trHeight w:val="295"/>
        </w:trPr>
        <w:tc>
          <w:tcPr>
            <w:tcW w:w="4120" w:type="dxa"/>
            <w:vAlign w:val="bottom"/>
            <w:tcBorders>
              <w:left w:val="single" w:sz="8" w:color="BFBFBF"/>
              <w:bottom w:val="single" w:sz="8" w:color="DBDBDB"/>
              <w:right w:val="single" w:sz="8" w:color="BFBFBF"/>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Net Revenue (billions)</w:t>
            </w:r>
          </w:p>
        </w:tc>
        <w:tc>
          <w:tcPr>
            <w:tcW w:w="3420" w:type="dxa"/>
            <w:vAlign w:val="bottom"/>
            <w:tcBorders>
              <w:bottom w:val="single" w:sz="8" w:color="DBDBDB"/>
              <w:right w:val="single" w:sz="8" w:color="DBDBDB"/>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c>
          <w:tcPr>
            <w:tcW w:w="3400" w:type="dxa"/>
            <w:vAlign w:val="bottom"/>
            <w:tcBorders>
              <w:bottom w:val="single" w:sz="8" w:color="DBDBDB"/>
              <w:right w:val="single" w:sz="8" w:color="BFBFBF"/>
            </w:tcBorders>
            <w:shd w:val="clear" w:color="auto" w:fill="DBDBDB"/>
          </w:tcPr>
          <w:p>
            <w:pPr>
              <w:spacing w:after="0"/>
              <w:rPr>
                <w:sz w:val="20"/>
                <w:szCs w:val="20"/>
                <w:color w:val="auto"/>
              </w:rPr>
            </w:pPr>
            <w:r>
              <w:rPr>
                <w:rFonts w:ascii="Times New Roman" w:cs="Times New Roman" w:eastAsia="Times New Roman" w:hAnsi="Times New Roman"/>
                <w:sz w:val="18"/>
                <w:szCs w:val="18"/>
                <w:color w:val="auto"/>
              </w:rPr>
              <w:t>- $1.840</w:t>
            </w:r>
          </w:p>
        </w:tc>
      </w:tr>
      <w:tr>
        <w:trPr>
          <w:trHeight w:val="228"/>
        </w:trPr>
        <w:tc>
          <w:tcPr>
            <w:tcW w:w="4120" w:type="dxa"/>
            <w:vAlign w:val="bottom"/>
            <w:tcBorders>
              <w:top w:val="single" w:sz="8" w:color="BFBFBF"/>
              <w:left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18"/>
                <w:szCs w:val="18"/>
                <w:color w:val="auto"/>
              </w:rPr>
              <w:t>Adjusted Operating Income (millions)</w:t>
            </w:r>
          </w:p>
        </w:tc>
        <w:tc>
          <w:tcPr>
            <w:tcW w:w="3420" w:type="dxa"/>
            <w:vAlign w:val="bottom"/>
            <w:tcBorders>
              <w:top w:val="single" w:sz="8" w:color="BFBFBF"/>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3400" w:type="dxa"/>
            <w:vAlign w:val="bottom"/>
            <w:tcBorders>
              <w:top w:val="single" w:sz="8" w:color="BFBFBF"/>
              <w:right w:val="single" w:sz="8" w:color="BFBFBF"/>
            </w:tcBorders>
          </w:tcPr>
          <w:p>
            <w:pPr>
              <w:spacing w:after="0"/>
              <w:rPr>
                <w:sz w:val="20"/>
                <w:szCs w:val="20"/>
                <w:color w:val="auto"/>
              </w:rPr>
            </w:pPr>
            <w:r>
              <w:rPr>
                <w:rFonts w:ascii="Times New Roman" w:cs="Times New Roman" w:eastAsia="Times New Roman" w:hAnsi="Times New Roman"/>
                <w:sz w:val="18"/>
                <w:szCs w:val="18"/>
                <w:color w:val="auto"/>
              </w:rPr>
              <w:t>- $62</w:t>
            </w:r>
          </w:p>
        </w:tc>
      </w:tr>
      <w:tr>
        <w:trPr>
          <w:trHeight w:val="22"/>
        </w:trPr>
        <w:tc>
          <w:tcPr>
            <w:tcW w:w="4120" w:type="dxa"/>
            <w:vAlign w:val="bottom"/>
            <w:tcBorders>
              <w:left w:val="single" w:sz="8" w:color="BFBFBF"/>
              <w:bottom w:val="single" w:sz="8" w:color="BFBFBF"/>
              <w:right w:val="single" w:sz="8" w:color="BFBFBF"/>
            </w:tcBorders>
          </w:tcPr>
          <w:p>
            <w:pPr>
              <w:spacing w:after="0" w:line="20" w:lineRule="exact"/>
              <w:rPr>
                <w:sz w:val="1"/>
                <w:szCs w:val="1"/>
                <w:color w:val="auto"/>
              </w:rPr>
            </w:pPr>
          </w:p>
        </w:tc>
        <w:tc>
          <w:tcPr>
            <w:tcW w:w="3420" w:type="dxa"/>
            <w:vAlign w:val="bottom"/>
            <w:tcBorders>
              <w:bottom w:val="single" w:sz="8" w:color="BFBFBF"/>
            </w:tcBorders>
          </w:tcPr>
          <w:p>
            <w:pPr>
              <w:spacing w:after="0" w:line="20" w:lineRule="exact"/>
              <w:rPr>
                <w:sz w:val="1"/>
                <w:szCs w:val="1"/>
                <w:color w:val="auto"/>
              </w:rPr>
            </w:pPr>
          </w:p>
        </w:tc>
        <w:tc>
          <w:tcPr>
            <w:tcW w:w="3400" w:type="dxa"/>
            <w:vAlign w:val="bottom"/>
            <w:tcBorders>
              <w:bottom w:val="single" w:sz="8" w:color="BFBFBF"/>
              <w:right w:val="single" w:sz="8" w:color="BFBFBF"/>
            </w:tcBorders>
          </w:tcPr>
          <w:p>
            <w:pPr>
              <w:spacing w:after="0" w:line="20" w:lineRule="exact"/>
              <w:rPr>
                <w:sz w:val="1"/>
                <w:szCs w:val="1"/>
                <w:color w:val="auto"/>
              </w:rPr>
            </w:pPr>
          </w:p>
        </w:tc>
      </w:tr>
      <w:tr>
        <w:trPr>
          <w:trHeight w:val="250"/>
        </w:trPr>
        <w:tc>
          <w:tcPr>
            <w:tcW w:w="4120" w:type="dxa"/>
            <w:vAlign w:val="bottom"/>
            <w:tcBorders>
              <w:left w:val="single" w:sz="8" w:color="BFBFBF"/>
              <w:bottom w:val="single" w:sz="8" w:color="BFBFBF"/>
              <w:right w:val="single" w:sz="8" w:color="BFBFBF"/>
            </w:tcBorders>
            <w:shd w:val="clear" w:color="auto" w:fill="DBDBDB"/>
          </w:tcPr>
          <w:p>
            <w:pPr>
              <w:ind w:left="40"/>
              <w:spacing w:after="0" w:line="250"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2</w:t>
            </w:r>
          </w:p>
        </w:tc>
        <w:tc>
          <w:tcPr>
            <w:tcW w:w="3420" w:type="dxa"/>
            <w:vAlign w:val="bottom"/>
            <w:tcBorders>
              <w:bottom w:val="single" w:sz="8" w:color="BFBFBF"/>
              <w:right w:val="single" w:sz="8" w:color="DBDBDB"/>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3400" w:type="dxa"/>
            <w:vAlign w:val="bottom"/>
            <w:tcBorders>
              <w:bottom w:val="single" w:sz="8" w:color="BFBFBF"/>
              <w:right w:val="single" w:sz="8" w:color="BFBFBF"/>
            </w:tcBorders>
            <w:shd w:val="clear" w:color="auto" w:fill="DBDBDB"/>
          </w:tcPr>
          <w:p>
            <w:pPr>
              <w:spacing w:after="0"/>
              <w:rPr>
                <w:sz w:val="20"/>
                <w:szCs w:val="20"/>
                <w:color w:val="auto"/>
              </w:rPr>
            </w:pPr>
            <w:r>
              <w:rPr>
                <w:rFonts w:ascii="Times New Roman" w:cs="Times New Roman" w:eastAsia="Times New Roman" w:hAnsi="Times New Roman"/>
                <w:sz w:val="18"/>
                <w:szCs w:val="18"/>
                <w:color w:val="auto"/>
              </w:rPr>
              <w:t>- $0.50</w:t>
            </w:r>
          </w:p>
        </w:tc>
      </w:tr>
      <w:tr>
        <w:trPr>
          <w:trHeight w:val="250"/>
        </w:trPr>
        <w:tc>
          <w:tcPr>
            <w:tcW w:w="412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(millions)</w:t>
            </w:r>
          </w:p>
        </w:tc>
        <w:tc>
          <w:tcPr>
            <w:tcW w:w="3420" w:type="dxa"/>
            <w:vAlign w:val="bottom"/>
            <w:tcBorders>
              <w:bottom w:val="single" w:sz="8" w:color="BFBFBF"/>
            </w:tcBorders>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3400" w:type="dxa"/>
            <w:vAlign w:val="bottom"/>
            <w:tcBorders>
              <w:bottom w:val="single" w:sz="8" w:color="BFBFBF"/>
              <w:right w:val="single" w:sz="8" w:color="BFBFBF"/>
            </w:tcBorders>
          </w:tcPr>
          <w:p>
            <w:pPr>
              <w:spacing w:after="0"/>
              <w:rPr>
                <w:sz w:val="20"/>
                <w:szCs w:val="20"/>
                <w:color w:val="auto"/>
              </w:rPr>
            </w:pPr>
            <w:r>
              <w:rPr>
                <w:rFonts w:ascii="Times New Roman" w:cs="Times New Roman" w:eastAsia="Times New Roman" w:hAnsi="Times New Roman"/>
                <w:sz w:val="18"/>
                <w:szCs w:val="18"/>
                <w:color w:val="auto"/>
              </w:rPr>
              <w:t>- $99</w:t>
            </w:r>
          </w:p>
        </w:tc>
      </w:tr>
      <w:tr>
        <w:trPr>
          <w:trHeight w:val="250"/>
        </w:trPr>
        <w:tc>
          <w:tcPr>
            <w:tcW w:w="4120" w:type="dxa"/>
            <w:vAlign w:val="bottom"/>
            <w:tcBorders>
              <w:left w:val="single" w:sz="8" w:color="BFBFBF"/>
              <w:bottom w:val="single" w:sz="8" w:color="BFBFBF"/>
              <w:right w:val="single" w:sz="8" w:color="BFBFBF"/>
            </w:tcBorders>
            <w:shd w:val="clear" w:color="auto" w:fill="DBDBDB"/>
          </w:tcPr>
          <w:p>
            <w:pPr>
              <w:ind w:left="40"/>
              <w:spacing w:after="0" w:line="25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(millions)</w:t>
            </w:r>
          </w:p>
        </w:tc>
        <w:tc>
          <w:tcPr>
            <w:tcW w:w="3420" w:type="dxa"/>
            <w:vAlign w:val="bottom"/>
            <w:tcBorders>
              <w:bottom w:val="single" w:sz="8" w:color="BFBFBF"/>
              <w:right w:val="single" w:sz="8" w:color="DBDBDB"/>
            </w:tcBorders>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400" w:type="dxa"/>
            <w:vAlign w:val="bottom"/>
            <w:tcBorders>
              <w:bottom w:val="single" w:sz="8" w:color="BFBFBF"/>
              <w:right w:val="single" w:sz="8" w:color="BFBFBF"/>
            </w:tcBorders>
            <w:shd w:val="clear" w:color="auto" w:fill="DBDBDB"/>
          </w:tcPr>
          <w:p>
            <w:pPr>
              <w:spacing w:after="0"/>
              <w:rPr>
                <w:sz w:val="20"/>
                <w:szCs w:val="20"/>
                <w:color w:val="auto"/>
              </w:rPr>
            </w:pPr>
            <w:r>
              <w:rPr>
                <w:rFonts w:ascii="Times New Roman" w:cs="Times New Roman" w:eastAsia="Times New Roman" w:hAnsi="Times New Roman"/>
                <w:sz w:val="18"/>
                <w:szCs w:val="18"/>
                <w:color w:val="auto"/>
              </w:rPr>
              <w:t>- $9</w:t>
            </w:r>
          </w:p>
        </w:tc>
      </w:tr>
      <w:tr>
        <w:trPr>
          <w:trHeight w:val="250"/>
        </w:trPr>
        <w:tc>
          <w:tcPr>
            <w:tcW w:w="412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5</w:t>
            </w:r>
          </w:p>
        </w:tc>
        <w:tc>
          <w:tcPr>
            <w:tcW w:w="6820" w:type="dxa"/>
            <w:vAlign w:val="bottom"/>
            <w:tcBorders>
              <w:bottom w:val="single" w:sz="8" w:color="BFBFBF"/>
              <w:right w:val="single" w:sz="8" w:color="BFBFB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26% to 28%</w:t>
            </w:r>
          </w:p>
        </w:tc>
      </w:tr>
      <w:tr>
        <w:trPr>
          <w:trHeight w:val="187"/>
        </w:trPr>
        <w:tc>
          <w:tcPr>
            <w:tcW w:w="4120" w:type="dxa"/>
            <w:vAlign w:val="bottom"/>
          </w:tcPr>
          <w:p>
            <w:pPr>
              <w:spacing w:after="0"/>
              <w:rPr>
                <w:sz w:val="16"/>
                <w:szCs w:val="16"/>
                <w:color w:val="auto"/>
              </w:rPr>
            </w:pPr>
          </w:p>
        </w:tc>
        <w:tc>
          <w:tcPr>
            <w:tcW w:w="34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Prior Capital Expenditures Outlook (as of</w:t>
            </w:r>
          </w:p>
        </w:tc>
        <w:tc>
          <w:tcPr>
            <w:tcW w:w="3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Current Capital Expenditures Outlook</w:t>
            </w:r>
          </w:p>
        </w:tc>
      </w:tr>
      <w:tr>
        <w:trPr>
          <w:trHeight w:val="238"/>
        </w:trPr>
        <w:tc>
          <w:tcPr>
            <w:tcW w:w="412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August 7, 2024)</w:t>
            </w:r>
          </w:p>
        </w:tc>
        <w:tc>
          <w:tcPr>
            <w:tcW w:w="3400" w:type="dxa"/>
            <w:vAlign w:val="bottom"/>
          </w:tcPr>
          <w:p>
            <w:pPr>
              <w:spacing w:after="0"/>
              <w:rPr>
                <w:sz w:val="20"/>
                <w:szCs w:val="20"/>
                <w:color w:val="auto"/>
              </w:rPr>
            </w:pPr>
          </w:p>
        </w:tc>
      </w:tr>
      <w:tr>
        <w:trPr>
          <w:trHeight w:val="27"/>
        </w:trPr>
        <w:tc>
          <w:tcPr>
            <w:tcW w:w="4120" w:type="dxa"/>
            <w:vAlign w:val="bottom"/>
            <w:tcBorders>
              <w:bottom w:val="single" w:sz="8" w:color="BFBFBF"/>
            </w:tcBorders>
          </w:tcPr>
          <w:p>
            <w:pPr>
              <w:spacing w:after="0"/>
              <w:rPr>
                <w:sz w:val="2"/>
                <w:szCs w:val="2"/>
                <w:color w:val="auto"/>
              </w:rPr>
            </w:pPr>
          </w:p>
        </w:tc>
        <w:tc>
          <w:tcPr>
            <w:tcW w:w="3420" w:type="dxa"/>
            <w:vAlign w:val="bottom"/>
            <w:tcBorders>
              <w:bottom w:val="single" w:sz="8" w:color="BFBFBF"/>
            </w:tcBorders>
          </w:tcPr>
          <w:p>
            <w:pPr>
              <w:spacing w:after="0"/>
              <w:rPr>
                <w:sz w:val="2"/>
                <w:szCs w:val="2"/>
                <w:color w:val="auto"/>
              </w:rPr>
            </w:pPr>
          </w:p>
        </w:tc>
        <w:tc>
          <w:tcPr>
            <w:tcW w:w="3400" w:type="dxa"/>
            <w:vAlign w:val="bottom"/>
            <w:tcBorders>
              <w:bottom w:val="single" w:sz="8" w:color="BFBFBF"/>
            </w:tcBorders>
          </w:tcPr>
          <w:p>
            <w:pPr>
              <w:spacing w:after="0"/>
              <w:rPr>
                <w:sz w:val="2"/>
                <w:szCs w:val="2"/>
                <w:color w:val="auto"/>
              </w:rPr>
            </w:pPr>
          </w:p>
        </w:tc>
      </w:tr>
      <w:tr>
        <w:trPr>
          <w:trHeight w:val="230"/>
        </w:trPr>
        <w:tc>
          <w:tcPr>
            <w:tcW w:w="4120" w:type="dxa"/>
            <w:vAlign w:val="bottom"/>
            <w:tcBorders>
              <w:left w:val="single" w:sz="8" w:color="BFBFBF"/>
              <w:bottom w:val="single" w:sz="8" w:color="DBDBDB"/>
              <w:right w:val="single" w:sz="8" w:color="BFBFBF"/>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Capital Expenditures (millions)</w:t>
            </w:r>
          </w:p>
        </w:tc>
        <w:tc>
          <w:tcPr>
            <w:tcW w:w="3420" w:type="dxa"/>
            <w:vAlign w:val="bottom"/>
            <w:tcBorders>
              <w:bottom w:val="single" w:sz="8" w:color="DBDBDB"/>
              <w:right w:val="single" w:sz="8" w:color="BFBFBF"/>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$110 - $115</w:t>
            </w:r>
          </w:p>
        </w:tc>
        <w:tc>
          <w:tcPr>
            <w:tcW w:w="3400" w:type="dxa"/>
            <w:vAlign w:val="bottom"/>
            <w:tcBorders>
              <w:bottom w:val="single" w:sz="8" w:color="DBDBDB"/>
              <w:right w:val="single" w:sz="8" w:color="BFBFBF"/>
            </w:tcBorders>
            <w:shd w:val="clear" w:color="auto" w:fill="DBDBDB"/>
          </w:tcPr>
          <w:p>
            <w:pPr>
              <w:jc w:val="right"/>
              <w:ind w:right="1190"/>
              <w:spacing w:after="0"/>
              <w:rPr>
                <w:sz w:val="20"/>
                <w:szCs w:val="20"/>
                <w:color w:val="auto"/>
              </w:rPr>
            </w:pPr>
            <w:r>
              <w:rPr>
                <w:rFonts w:ascii="Times New Roman" w:cs="Times New Roman" w:eastAsia="Times New Roman" w:hAnsi="Times New Roman"/>
                <w:sz w:val="18"/>
                <w:szCs w:val="18"/>
                <w:color w:val="auto"/>
              </w:rPr>
              <w:t>$100 - $105</w:t>
            </w:r>
          </w:p>
        </w:tc>
      </w:tr>
      <w:tr>
        <w:trPr>
          <w:trHeight w:val="20"/>
        </w:trPr>
        <w:tc>
          <w:tcPr>
            <w:tcW w:w="4120" w:type="dxa"/>
            <w:vAlign w:val="bottom"/>
            <w:tcBorders>
              <w:left w:val="single" w:sz="8" w:color="BFBFBF"/>
              <w:right w:val="single" w:sz="8" w:color="BFBFBF"/>
            </w:tcBorders>
            <w:shd w:val="clear" w:color="auto" w:fill="BFBFBF"/>
          </w:tcPr>
          <w:p>
            <w:pPr>
              <w:spacing w:after="0" w:line="20" w:lineRule="exact"/>
              <w:rPr>
                <w:sz w:val="1"/>
                <w:szCs w:val="1"/>
                <w:color w:val="auto"/>
              </w:rPr>
            </w:pPr>
          </w:p>
        </w:tc>
        <w:tc>
          <w:tcPr>
            <w:tcW w:w="3420" w:type="dxa"/>
            <w:vAlign w:val="bottom"/>
            <w:tcBorders>
              <w:right w:val="single" w:sz="8" w:color="BFBFBF"/>
            </w:tcBorders>
            <w:shd w:val="clear" w:color="auto" w:fill="BFBFBF"/>
          </w:tcPr>
          <w:p>
            <w:pPr>
              <w:spacing w:after="0" w:line="20" w:lineRule="exact"/>
              <w:rPr>
                <w:sz w:val="1"/>
                <w:szCs w:val="1"/>
                <w:color w:val="auto"/>
              </w:rPr>
            </w:pPr>
          </w:p>
        </w:tc>
        <w:tc>
          <w:tcPr>
            <w:tcW w:w="3400" w:type="dxa"/>
            <w:vAlign w:val="bottom"/>
            <w:tcBorders>
              <w:right w:val="single" w:sz="8" w:color="BFBFBF"/>
            </w:tcBorders>
            <w:shd w:val="clear" w:color="auto" w:fill="BFBFBF"/>
          </w:tcPr>
          <w:p>
            <w:pPr>
              <w:spacing w:after="0" w:line="20" w:lineRule="exact"/>
              <w:rPr>
                <w:sz w:val="1"/>
                <w:szCs w:val="1"/>
                <w:color w:val="auto"/>
              </w:rPr>
            </w:pPr>
          </w:p>
        </w:tc>
      </w:tr>
    </w:tbl>
    <w:p>
      <w:pPr>
        <w:spacing w:after="0" w:line="16" w:lineRule="exact"/>
        <w:rPr>
          <w:sz w:val="20"/>
          <w:szCs w:val="20"/>
          <w:color w:val="auto"/>
        </w:rPr>
      </w:pPr>
    </w:p>
    <w:p>
      <w:pPr>
        <w:ind w:left="160" w:hanging="71"/>
        <w:spacing w:after="0"/>
        <w:tabs>
          <w:tab w:leader="none" w:pos="160" w:val="left"/>
        </w:tabs>
        <w:numPr>
          <w:ilvl w:val="0"/>
          <w:numId w:val="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Refer to the Reconciliation of Adjusted Comparable Stores Sales Growth to Total Comparable Store Sales Growth.</w:t>
      </w:r>
    </w:p>
    <w:p>
      <w:pPr>
        <w:ind w:left="80" w:firstLine="9"/>
        <w:spacing w:after="0" w:line="209" w:lineRule="auto"/>
        <w:tabs>
          <w:tab w:leader="none" w:pos="181" w:val="left"/>
        </w:tabs>
        <w:numPr>
          <w:ilvl w:val="0"/>
          <w:numId w:val="9"/>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Assumes approximately 79 million shares, and does not include 2.7 million shares attributable to the 2025 Notes as the Company anticipates them to be anti-dilutive to earnings per share for fiscal year 2024.</w:t>
      </w:r>
    </w:p>
    <w:p>
      <w:pPr>
        <w:ind w:left="80"/>
        <w:spacing w:after="0"/>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3</w:t>
      </w:r>
      <w:r>
        <w:rPr>
          <w:rFonts w:ascii="Times New Roman" w:cs="Times New Roman" w:eastAsia="Times New Roman" w:hAnsi="Times New Roman"/>
          <w:sz w:val="16"/>
          <w:szCs w:val="16"/>
          <w:i w:val="1"/>
          <w:iCs w:val="1"/>
          <w:color w:val="auto"/>
        </w:rPr>
        <w:t xml:space="preserve"> Includes amortization of acquisition intangibles of approximately $1.3 million for continuing operations, which is excluded in the definition of Adjusted Operating Income.</w:t>
      </w:r>
    </w:p>
    <w:p>
      <w:pPr>
        <w:spacing w:after="0" w:line="150" w:lineRule="exact"/>
        <w:rPr>
          <w:rFonts w:ascii="Times New Roman" w:cs="Times New Roman" w:eastAsia="Times New Roman" w:hAnsi="Times New Roman"/>
          <w:sz w:val="21"/>
          <w:szCs w:val="21"/>
          <w:i w:val="1"/>
          <w:iCs w:val="1"/>
          <w:color w:val="auto"/>
          <w:vertAlign w:val="superscript"/>
        </w:rPr>
      </w:pPr>
    </w:p>
    <w:p>
      <w:pPr>
        <w:ind w:left="80" w:right="1900"/>
        <w:spacing w:after="0" w:line="229" w:lineRule="auto"/>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21"/>
          <w:szCs w:val="21"/>
          <w:i w:val="1"/>
          <w:iCs w:val="1"/>
          <w:color w:val="auto"/>
          <w:vertAlign w:val="superscript"/>
        </w:rPr>
        <w:t>4</w:t>
      </w:r>
      <w:r>
        <w:rPr>
          <w:rFonts w:ascii="Times New Roman" w:cs="Times New Roman" w:eastAsia="Times New Roman" w:hAnsi="Times New Roman"/>
          <w:sz w:val="16"/>
          <w:szCs w:val="16"/>
          <w:i w:val="1"/>
          <w:iCs w:val="1"/>
          <w:color w:val="auto"/>
        </w:rPr>
        <w:t xml:space="preserve"> Before the impact of gains or losses on change in fair value of derivatives and charges related to debt discounts and deferred financing costs. </w:t>
      </w:r>
      <w:r>
        <w:rPr>
          <w:rFonts w:ascii="Times New Roman" w:cs="Times New Roman" w:eastAsia="Times New Roman" w:hAnsi="Times New Roman"/>
          <w:sz w:val="21"/>
          <w:szCs w:val="21"/>
          <w:i w:val="1"/>
          <w:iCs w:val="1"/>
          <w:color w:val="auto"/>
          <w:vertAlign w:val="superscript"/>
        </w:rPr>
        <w:t>5</w:t>
      </w:r>
      <w:r>
        <w:rPr>
          <w:rFonts w:ascii="Times New Roman" w:cs="Times New Roman" w:eastAsia="Times New Roman" w:hAnsi="Times New Roman"/>
          <w:sz w:val="16"/>
          <w:szCs w:val="16"/>
          <w:i w:val="1"/>
          <w:iCs w:val="1"/>
          <w:color w:val="auto"/>
        </w:rPr>
        <w:t xml:space="preserve"> Excluding the impact of vesting of restricted stock units and stock option exercises.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2024 outlook information provided above includes Adjusted Operating Income and Adjusted Diluted EPS guidance, which are non-GAAP financial measures management uses in measuring performance. The Company is not able to reconcile these forward-looking non-GAAP measures to comparable GAAP measures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fiscal 2024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2024 outlook. The Company uses these forward-looking measures internally to assess and benchmark its results and strategic plans. See “Forward-Looking Statements” below.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the third quarter 2024 financial results and fiscal-year 2024 guidance today, November 6, 2024, at 8:30 a.m. Eastern Time. To pre-register for the conference call and obtain a dial-in number and passcode please refer to the “Investors” section of the Company’s website at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rPr>
        <w:t xml:space="preserve">. A live audio webcast of the conference call will be available on the “Investors” section of the Company’s website at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rPr>
        <w:t>, where presentation materials will be posted prior to the conference call. A replay of the audio webcast will also be archived on the “Investors” section of the Company’s website.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Contacts &amp; Eyeglasses,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2024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not guarantees and are subject to various risks and uncertainties, which may cause actual results to differ materially from those implied in forward-looking statements. Such factors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(including as a result of store conversions)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9"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ability to successfully implement transformation initiatives (including store fleet optimization);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environmental, social and governance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 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from continuing operations as net income (loss), minus income (loss) from discontinued operations, net of tax, plus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(income), net, income tax provision (benefit), and depreciation and amortization.</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from continuing operations as net income (loss), minus income (loss)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discontinued operations, net of tax,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Enterprise Resource Planning (“ERP”) and Customer Relationship Management ("CRM") implementation expenses and certain other expenses.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from continuing operations as Adjusted Operating Income from continuing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percentage of total net revenue.</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from continuing operations as net income (loss), minus income (loss) from discontinued operations,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tax, plus interest expense (income), net, income tax provision (benefit)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and certain other expenses.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from continuing operations as Adjusted EBITDA from continuing operations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total net revenue.</w:t>
      </w:r>
    </w:p>
    <w:p>
      <w:pPr>
        <w:spacing w:after="0" w:line="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from continuing operations as diluted earnings (loss) per share, minus diluted earnings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discontinued operations,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2025 Notes when not required under U.S. GAAP to be added back for diluted earnings (loss) per share, derivative fair value adjustments, ERP and CRM implementation expenses, certain other expenses, and related tax effects.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from continuing operations as SG&amp;A from continuing operations adjusted to exclude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litigation settlement, secondary offering expenses, management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realignment expenses, long-term incentive plan expense, ERP and CRM implementation expenses, and certain other expenses.</w:t>
      </w:r>
    </w:p>
    <w:p>
      <w:pPr>
        <w:spacing w:after="0" w:line="11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from continuing operations as Adjusted SG&amp;A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operations as a percentage of total net revenue.</w:t>
      </w:r>
    </w:p>
    <w:p>
      <w:pPr>
        <w:spacing w:after="0" w:line="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to Method of Tax Provision Calculation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Prior to the second quarter of 2024, the Company’s quarterly provision (benefit) for income taxes was calculated using the annualized effective tax rate method (“AETR method”), which applies an estimated annual effective tax rate to pre-tax income or loss. For the three and nine months ended September 28, 2024, the Company determined that the AETR method would not provide a reliable estimate for its tax provision (benefit) due to the fact that small changes in the Company’s estimated pre-tax income or loss would result in significant changes in the estimated AETR. Accordingly, for these periods, the Company instead elected to calculate its provision (benefit) for income taxes using a discrete effective tax rate (“ETR”) method.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tc>
        <w:tc>
          <w:tcPr>
            <w:tcW w:w="20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71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28, 2024</w:t>
            </w:r>
          </w:p>
        </w:tc>
        <w:tc>
          <w:tcPr>
            <w:tcW w:w="200" w:type="dxa"/>
            <w:vAlign w:val="bottom"/>
          </w:tcPr>
          <w:p>
            <w:pPr>
              <w:spacing w:after="0"/>
              <w:rPr>
                <w:sz w:val="21"/>
                <w:szCs w:val="21"/>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30, 2023</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149,896</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86,854</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119,908</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717,544</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use assets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406,275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1,775,841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67,556</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62,867</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71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397,700</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450,771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376,814</w:t>
            </w:r>
          </w:p>
        </w:tc>
        <w:tc>
          <w:tcPr>
            <w:tcW w:w="0" w:type="dxa"/>
            <w:vAlign w:val="bottom"/>
          </w:tcPr>
          <w:p>
            <w:pPr>
              <w:spacing w:after="0"/>
              <w:rPr>
                <w:sz w:val="1"/>
                <w:szCs w:val="1"/>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945,393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85,334 and 84,831 shares issued as of</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28, 2024 and December 30, 2023, respectively; 78,691 and 78,311 shares outstanding</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September 28, 2024 and December 30, 2023, respectively</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788,967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254,616</w:t>
            </w: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6,643 and 6,520 shares as of September 28, 2024 and December 30, 2023,</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(214,594)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829,418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2,172,511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20"/>
                <w:szCs w:val="20"/>
                <w:color w:val="auto"/>
              </w:rPr>
            </w:pPr>
          </w:p>
        </w:tc>
        <w:tc>
          <w:tcPr>
            <w:tcW w:w="18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(Loss) Per Share</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28,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354,566</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1,113,206</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1,086,899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272,836</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248,519</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1,386,042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1,335,418</w:t>
            </w: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330,809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248,246</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226,992</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579,055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550,278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705,472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679,115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66,521</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270,407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251,444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791,775</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748,232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36,908</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56"/>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78,328</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78,646</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color w:val="auto"/>
        </w:rPr>
        <w:t>Note: Diluted EPS related to the 2025 Notes is calculated using the if-converted method. The 2025 Notes were anti-dilutive for all periods disclosed above and excluded from the computation of the weighted average shares for Diluted EPS. Some totals in the table above may not foot due to rounding differences.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Nine Months Ended</w:t>
            </w:r>
          </w:p>
        </w:tc>
        <w:tc>
          <w:tcPr>
            <w:tcW w:w="760" w:type="dxa"/>
            <w:vAlign w:val="bottom"/>
            <w:tcBorders>
              <w:bottom w:val="single" w:sz="8" w:color="auto"/>
            </w:tcBorders>
          </w:tcPr>
          <w:p>
            <w:pPr>
              <w:spacing w:after="0"/>
              <w:rPr>
                <w:sz w:val="20"/>
                <w:szCs w:val="20"/>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2024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10"/>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74,149</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cloud computing implementation costs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82,114</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(gains) on change in fair value of derivatives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adjustments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 of use assets and lease liabilities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and unearned revenue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153,272</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(81,965)</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(62,368)</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(82,579)</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(27,662)</w:t>
            </w: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82,675</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267,152</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information:</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2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accrued at the end of the period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 (Unaudited)</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from Continuing Operations to Net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28,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(68,199)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8,198</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extinguishment of debt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Operating Income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11,700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62,261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56,634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 margin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Operating Margin from continuing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EBITDA from Continuing Operations and Adjusted EBITDA from Continuing Operations to Net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20" w:type="dxa"/>
            <w:vAlign w:val="bottom"/>
            <w:vMerge w:val="continue"/>
          </w:tcPr>
          <w:p>
            <w:pPr>
              <w:spacing w:after="0"/>
              <w:rPr>
                <w:sz w:val="21"/>
                <w:szCs w:val="21"/>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28, 2024</w:t>
            </w: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(73,798)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(73,432)</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(68,199)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18,285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11,560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10,425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8,198</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22,690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22,476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68,603</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66,521</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EBITDA from continuing operations</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84,674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103,429</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11,779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extinguishment of debt </w:t>
            </w:r>
            <w:r>
              <w:rPr>
                <w:rFonts w:ascii="Times New Roman" w:cs="Times New Roman" w:eastAsia="Times New Roman" w:hAnsi="Times New Roman"/>
                <w:sz w:val="23"/>
                <w:szCs w:val="23"/>
                <w:color w:val="auto"/>
                <w:vertAlign w:val="superscript"/>
              </w:rPr>
              <w:t>(b)</w:t>
            </w:r>
          </w:p>
        </w:tc>
        <w:tc>
          <w:tcPr>
            <w:tcW w:w="44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17,701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4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129,720</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122,011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net of tax margin</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Margin from continuing operations</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from Continuing Operations to Diluted EPS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20"/>
                <w:szCs w:val="20"/>
                <w:color w:val="auto"/>
              </w:rPr>
            </w:pPr>
          </w:p>
        </w:tc>
        <w:tc>
          <w:tcPr>
            <w:tcW w:w="1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Nine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 except per share amounts</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28,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extinguishment of debt </w:t>
            </w:r>
            <w:r>
              <w:rPr>
                <w:rFonts w:ascii="Times New Roman" w:cs="Times New Roman" w:eastAsia="Times New Roman" w:hAnsi="Times New Roman"/>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fair value adjustments </w:t>
            </w:r>
            <w:r>
              <w:rPr>
                <w:rFonts w:ascii="Times New Roman" w:cs="Times New Roman" w:eastAsia="Times New Roman" w:hAnsi="Times New Roman"/>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effects </w:t>
            </w:r>
            <w:r>
              <w:rPr>
                <w:rFonts w:ascii="Times New Roman" w:cs="Times New Roman" w:eastAsia="Times New Roman" w:hAnsi="Times New Roman"/>
                <w:sz w:val="23"/>
                <w:szCs w:val="23"/>
                <w:color w:val="auto"/>
                <w:vertAlign w:val="superscript"/>
              </w:rPr>
              <w:t>(i)</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Adjusted Diluted EPS from continuing operations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78,646</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Note: Some of the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2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3"/>
        </w:trPr>
        <w:tc>
          <w:tcPr>
            <w:tcW w:w="83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SG&amp;A from Continuing Operations to SG&amp;A from Continuing Operations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7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1"/>
                <w:szCs w:val="21"/>
                <w:color w:val="auto"/>
              </w:rPr>
            </w:pP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28, 2024</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SG&amp;A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233,991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227,515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705,472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679,115</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14,320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ERP and CRM implementation expenses </w:t>
            </w:r>
            <w:r>
              <w:rPr>
                <w:rFonts w:ascii="Times New Roman" w:cs="Times New Roman" w:eastAsia="Times New Roman" w:hAnsi="Times New Roman"/>
                <w:sz w:val="23"/>
                <w:szCs w:val="23"/>
                <w:color w:val="auto"/>
                <w:vertAlign w:val="superscript"/>
              </w:rPr>
              <w:t>(g)</w:t>
            </w:r>
          </w:p>
        </w:tc>
        <w:tc>
          <w:tcPr>
            <w:tcW w:w="1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SG&amp;A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225,040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221,195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677,325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663,228</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SG&amp;A from continuing operations Percent of Net Revenue</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51.8 %</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51.8 %</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50.9 %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r>
      <w:tr>
        <w:trPr>
          <w:trHeight w:val="176"/>
        </w:trPr>
        <w:tc>
          <w:tcPr>
            <w:tcW w:w="5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Adjusted SG&amp;A from continuing operations Percent of Net</w:t>
            </w:r>
          </w:p>
        </w:tc>
        <w:tc>
          <w:tcPr>
            <w:tcW w:w="1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49.8 %</w:t>
            </w:r>
          </w:p>
        </w:tc>
        <w:tc>
          <w:tcPr>
            <w:tcW w:w="1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50.4 %</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48.9 %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r>
    </w:tbl>
    <w:p>
      <w:pPr>
        <w:ind w:left="40"/>
        <w:spacing w:after="0"/>
        <w:rPr>
          <w:sz w:val="20"/>
          <w:szCs w:val="20"/>
          <w:color w:val="auto"/>
        </w:rPr>
      </w:pPr>
      <w:r>
        <w:rPr>
          <w:rFonts w:ascii="Times New Roman" w:cs="Times New Roman" w:eastAsia="Times New Roman" w:hAnsi="Times New Roman"/>
          <w:sz w:val="18"/>
          <w:szCs w:val="18"/>
          <w:i w:val="1"/>
          <w:iCs w:val="1"/>
          <w:color w:val="auto"/>
        </w:rPr>
        <w:t>Note: Percentages reflect line item as a percentage of total net revenue.</w:t>
      </w:r>
    </w:p>
    <w:p>
      <w:pPr>
        <w:spacing w:after="0" w:line="200" w:lineRule="exact"/>
        <w:rPr>
          <w:sz w:val="20"/>
          <w:szCs w:val="20"/>
          <w:color w:val="auto"/>
        </w:rPr>
      </w:pPr>
    </w:p>
    <w:p>
      <w:pPr>
        <w:spacing w:after="0" w:line="389" w:lineRule="exact"/>
        <w:rPr>
          <w:sz w:val="20"/>
          <w:szCs w:val="20"/>
          <w:color w:val="auto"/>
        </w:rPr>
      </w:pPr>
    </w:p>
    <w:p>
      <w:pPr>
        <w:ind w:left="640" w:right="620" w:hanging="328"/>
        <w:spacing w:after="0" w:line="258"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Non-cash charges related to stock-based compensation programs, which vary from period to period depending on the timing of awards and performance vesting conditions.</w:t>
      </w:r>
    </w:p>
    <w:p>
      <w:pPr>
        <w:ind w:left="640" w:right="640" w:hanging="328"/>
        <w:spacing w:after="0" w:line="255" w:lineRule="auto"/>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September 28, 2024, reflects the gain on extinguishment related to the repurchase of $217.7 million of the 2025 Notes on August 12, 2024.</w:t>
      </w:r>
    </w:p>
    <w:p>
      <w:pPr>
        <w:jc w:val="both"/>
        <w:ind w:left="640" w:right="640" w:hanging="328"/>
        <w:spacing w:after="0" w:line="258"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write-off related to non-cash impairment charges of long-lived assets, primarily impairment of Fred Meyer contracts and relationships intangible asset of $10.5 million for the three and nine months ended September 28, 2024, and impairment of property, equipment and lease-related assets on closed or underperforming stores and certain store closure decisions made as part of the Company’s store optimization review in the current period.</w:t>
      </w:r>
    </w:p>
    <w:p>
      <w:pPr>
        <w:spacing w:after="0" w:line="179" w:lineRule="exact"/>
        <w:rPr>
          <w:rFonts w:ascii="Times New Roman" w:cs="Times New Roman" w:eastAsia="Times New Roman" w:hAnsi="Times New Roman"/>
          <w:sz w:val="16"/>
          <w:szCs w:val="16"/>
          <w:color w:val="auto"/>
        </w:rPr>
      </w:pPr>
    </w:p>
    <w:p>
      <w:pPr>
        <w:ind w:left="640" w:hanging="32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associated with settlement of certain litigation.</w:t>
      </w:r>
    </w:p>
    <w:p>
      <w:pPr>
        <w:spacing w:after="0" w:line="15" w:lineRule="exact"/>
        <w:rPr>
          <w:rFonts w:ascii="Times New Roman" w:cs="Times New Roman" w:eastAsia="Times New Roman" w:hAnsi="Times New Roman"/>
          <w:sz w:val="16"/>
          <w:szCs w:val="16"/>
          <w:color w:val="auto"/>
        </w:rPr>
      </w:pPr>
    </w:p>
    <w:p>
      <w:pPr>
        <w:ind w:left="640" w:right="640" w:hanging="328"/>
        <w:spacing w:after="0" w:line="255"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of deferred financing costs and other non-cash charges related to our debt. We adjust for amortization of deferred financing costs related to the 2025 Notes only when adjustment for these costs is not required in the calculation of diluted earnings per share under U.S. GAAP.</w:t>
      </w:r>
    </w:p>
    <w:p>
      <w:pPr>
        <w:jc w:val="both"/>
        <w:ind w:left="640" w:right="640" w:hanging="328"/>
        <w:spacing w:after="0" w:line="252" w:lineRule="auto"/>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adjustments for the derivative fair value (gains) and losses have the effect of adjusting the (gain) or loss for changes in the fair value of derivative instruments and amortization of AOCL for derivatives not designated as accounting hedges. This results in reflecting derivative (gains) and losses within Adjusted Diluted EPS during the period the derivative is settled.</w:t>
      </w:r>
    </w:p>
    <w:p>
      <w:pPr>
        <w:ind w:left="640" w:hanging="32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the Company’s ERP and CRM implementation.</w:t>
      </w:r>
    </w:p>
    <w:p>
      <w:pPr>
        <w:spacing w:after="0" w:line="8" w:lineRule="exact"/>
        <w:rPr>
          <w:rFonts w:ascii="Times New Roman" w:cs="Times New Roman" w:eastAsia="Times New Roman" w:hAnsi="Times New Roman"/>
          <w:sz w:val="16"/>
          <w:szCs w:val="16"/>
          <w:color w:val="auto"/>
        </w:rPr>
      </w:pPr>
    </w:p>
    <w:p>
      <w:pPr>
        <w:jc w:val="both"/>
        <w:ind w:left="640" w:right="620" w:hanging="328"/>
        <w:spacing w:after="0" w:line="253" w:lineRule="auto"/>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adjustments include amounts that management believes are not representative of our operating performance (amounts in brackets represent reductions in Adjusted Operating Income, Adjusted Diluted EPS, Adjusted EBITDA and Adjusted SG&amp;A), which are primarily related to costs associated with the digitization of paper-based records of $1.5 million and $5.7 million for the three and nine months ended September 28, 2024, respectively, costs associated with the store fleet review of $1.1 million for the three and nine months ended September 28, 2024, and other expenses and adjustments. Other adjustments for both Adjusted Operating Income and Adjusted Diluted EPS include amortization of the increase in carrying values of finite-lived intangible assets resulting from the application of purchase accounting following the acquisition of the Company by affiliates of KKR &amp; Co. Inc. Adjusted Diluted EPS is also adjusted to include debt issuance costs. Other adjustments for Adjusted SG&amp;A exclude gains and losses on other investments and optometrist-related store optimization costs.</w:t>
      </w:r>
    </w:p>
    <w:p>
      <w:pPr>
        <w:ind w:left="640" w:right="640" w:hanging="328"/>
        <w:spacing w:after="0" w:line="270"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income tax effect of the total adjustments at our combined statutory federal and state income tax rates, including tax expense (benefit) from stock-based compensation.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40" w:top="1413" w:right="359" w:bottom="1440" w:gutter="0" w:footer="0" w:header="0"/>
        </w:sectPr>
      </w:pPr>
    </w:p>
    <w:bookmarkStart w:id="16" w:name="page17"/>
    <w:bookmarkEnd w:id="16"/>
    <w:p>
      <w:pPr>
        <w:ind w:left="20" w:right="820"/>
        <w:spacing w:after="0" w:line="239" w:lineRule="auto"/>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from Continuing Operations to Total Comparable Store Sales Growth from Continuing Operations</w:t>
      </w:r>
    </w:p>
    <w:tbl>
      <w:tblPr>
        <w:tblLayout w:type="fixed"/>
        <w:tblInd w:w="0" w:type="dxa"/>
        <w:tblCellMar>
          <w:top w:w="0" w:type="dxa"/>
          <w:left w:w="0" w:type="dxa"/>
          <w:bottom w:w="0" w:type="dxa"/>
          <w:right w:w="0" w:type="dxa"/>
        </w:tblCellMar>
      </w:tblPr>
      <w:tr>
        <w:trPr>
          <w:trHeight w:val="245"/>
        </w:trPr>
        <w:tc>
          <w:tcPr>
            <w:tcW w:w="346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0" w:type="dxa"/>
            <w:vAlign w:val="bottom"/>
            <w:tcBorders>
              <w:bottom w:val="single" w:sz="8" w:color="auto"/>
            </w:tcBorders>
            <w:gridSpan w:val="5"/>
          </w:tcPr>
          <w:p>
            <w:pPr>
              <w:jc w:val="right"/>
              <w:ind w:right="110"/>
              <w:spacing w:after="0" w:line="244" w:lineRule="exact"/>
              <w:rPr>
                <w:sz w:val="20"/>
                <w:szCs w:val="20"/>
                <w:color w:val="auto"/>
              </w:rPr>
            </w:pPr>
            <w:r>
              <w:rPr>
                <w:rFonts w:ascii="Times New Roman" w:cs="Times New Roman" w:eastAsia="Times New Roman" w:hAnsi="Times New Roman"/>
                <w:sz w:val="18"/>
                <w:szCs w:val="18"/>
                <w:color w:val="auto"/>
              </w:rPr>
              <w:t xml:space="preserve">Comparable store sales growth from continuing operations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4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Three Months</w:t>
            </w:r>
          </w:p>
        </w:tc>
        <w:tc>
          <w:tcPr>
            <w:tcW w:w="150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Three Months</w:t>
            </w:r>
          </w:p>
        </w:tc>
        <w:tc>
          <w:tcPr>
            <w:tcW w:w="1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Nine Months Ended</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4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Ended September</w:t>
            </w:r>
          </w:p>
        </w:tc>
        <w:tc>
          <w:tcPr>
            <w:tcW w:w="1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Ended September</w:t>
            </w:r>
          </w:p>
        </w:tc>
        <w:tc>
          <w:tcPr>
            <w:tcW w:w="174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xml:space="preserve">2024 Outlook </w:t>
            </w:r>
            <w:r>
              <w:rPr>
                <w:rFonts w:ascii="Times New Roman" w:cs="Times New Roman" w:eastAsia="Times New Roman" w:hAnsi="Times New Roman"/>
                <w:sz w:val="23"/>
                <w:szCs w:val="23"/>
                <w:color w:val="auto"/>
                <w:w w:val="95"/>
                <w:vertAlign w:val="superscript"/>
              </w:rPr>
              <w:t>(b)</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28, 2024</w:t>
            </w:r>
          </w:p>
        </w:tc>
        <w:tc>
          <w:tcPr>
            <w:tcW w:w="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30, 2023</w:t>
            </w:r>
          </w:p>
        </w:tc>
        <w:tc>
          <w:tcPr>
            <w:tcW w:w="80" w:type="dxa"/>
            <w:vAlign w:val="bottom"/>
          </w:tcPr>
          <w:p>
            <w:pPr>
              <w:spacing w:after="0"/>
              <w:rPr>
                <w:sz w:val="21"/>
                <w:szCs w:val="21"/>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28,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 Best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Eyeglass World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Military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Fred Meyer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comparable store sales growth from</w:t>
            </w: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- 2.0%</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for effects of: </w:t>
            </w:r>
            <w:r>
              <w:rPr>
                <w:rFonts w:ascii="Times New Roman" w:cs="Times New Roman" w:eastAsia="Times New Roman" w:hAnsi="Times New Roman"/>
                <w:sz w:val="23"/>
                <w:szCs w:val="23"/>
                <w:color w:val="auto"/>
                <w:vertAlign w:val="superscript"/>
              </w:rPr>
              <w:t>(b)</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&amp; deferred revenue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Comparable Store Sales Growth</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0.5% - 1.5%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420" w:right="160" w:hanging="250"/>
        <w:spacing w:after="0" w:line="271" w:lineRule="auto"/>
        <w:tabs>
          <w:tab w:leader="none" w:pos="37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from continuing operations is calculated based on consolidated net revenue from continuing operations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12. “Segment Reporting” in our unaudited condensed consolidated financial statements included in Part I. Item 1. in our Quarterly Report on Form 10-Q for the period ended September 28, 2024.</w:t>
      </w:r>
    </w:p>
    <w:p>
      <w:pPr>
        <w:spacing w:after="0" w:line="63" w:lineRule="exact"/>
        <w:rPr>
          <w:rFonts w:ascii="Times New Roman" w:cs="Times New Roman" w:eastAsia="Times New Roman" w:hAnsi="Times New Roman"/>
          <w:sz w:val="14"/>
          <w:szCs w:val="14"/>
          <w:color w:val="auto"/>
        </w:rPr>
      </w:pPr>
    </w:p>
    <w:p>
      <w:pPr>
        <w:jc w:val="both"/>
        <w:ind w:left="420" w:right="160" w:hanging="250"/>
        <w:spacing w:after="0" w:line="279" w:lineRule="auto"/>
        <w:tabs>
          <w:tab w:leader="none" w:pos="38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Comparable Store Sales Growth from continuing operations includes the effect of deferred and unearned revenue as if such revenues were earned at the point of sale, resulting in the changes from total comparable store sales growth from continuing operations based on consolidated net revenue from continuing operations; with respect to the Company’s 2024 Outlook, Adjusted Comparable Store Sales Growth includes an estimated 0.5% decrease for the effect of deferred and unearned revenue as if such revenues were earned at the point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investor.relations@nationalvision.com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22"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899795" cy="694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979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Completes Comprehensive Review of Store Fleet</w:t>
      </w:r>
    </w:p>
    <w:p>
      <w:pPr>
        <w:spacing w:after="0" w:line="4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Actions to improve overall health of the core business</w:t>
      </w:r>
    </w:p>
    <w:p>
      <w:pPr>
        <w:spacing w:after="0" w:line="5" w:lineRule="exact"/>
        <w:rPr>
          <w:rFonts w:ascii="Times New Roman" w:cs="Times New Roman" w:eastAsia="Times New Roman" w:hAnsi="Times New Roman"/>
          <w:sz w:val="22"/>
          <w:szCs w:val="22"/>
          <w:b w:val="1"/>
          <w:bCs w:val="1"/>
          <w:color w:val="auto"/>
        </w:rPr>
      </w:pPr>
    </w:p>
    <w:p>
      <w:pPr>
        <w:ind w:left="660" w:right="100" w:hanging="328"/>
        <w:spacing w:after="0" w:line="214" w:lineRule="auto"/>
        <w:tabs>
          <w:tab w:leader="none" w:pos="65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Addressing underperforming stores expected to deliver ~$4 million in annualized Adjusted EBITDA</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 xml:space="preserve"> improvement by end of fiscal 2026</w:t>
      </w:r>
    </w:p>
    <w:p>
      <w:pPr>
        <w:spacing w:after="0" w:line="2"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Moderates 2025 new store openings to invest in enhanced customer experience</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6, 2024 </w:t>
      </w:r>
      <w:r>
        <w:rPr>
          <w:rFonts w:ascii="Times New Roman" w:cs="Times New Roman" w:eastAsia="Times New Roman" w:hAnsi="Times New Roman"/>
          <w:sz w:val="18"/>
          <w:szCs w:val="18"/>
          <w:color w:val="auto"/>
        </w:rPr>
        <w:t>-- National Vision Holdings, Inc. (NASDAQ: EYE) (“National Vision” or the “Company”) today announced the results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comprehensive store fleet review. In August 2024, the Company announced it had identified an initial list of less than 5% of its total fleet that were not meeting its profitability thresholds and said it was considering potential actions for those underperforming stores. The Company plans to take action on 43 stores, including closing 39 stores by the end of fiscal 2026 and converting four Eyeglass World stores to America’s Best by the end of fiscal 2024.</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that closing these stores will improve the overall health of the core business. Further, the Company announced that in fiscal year 2025 it will temporarily moderate new store openings to 30-35 new stores, after which time the Company expects to return to its more recent store opening cadence as its initiatives begin to take hold. The combination of these actions is expected to provide the Company increased flexibility to invest in existing operations and deploy capital to initiatives that will drive increased revenue and improved profitability.</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whitespace opportunity for continued growth. As detailed earlier this year, the total whitespace opportunity is believed to be at least 2,500 stores, more than double the existing store count across its brands.</w:t>
      </w:r>
    </w:p>
    <w:p>
      <w:pPr>
        <w:jc w:val="both"/>
        <w:spacing w:after="0" w:line="269" w:lineRule="auto"/>
        <w:rPr>
          <w:sz w:val="20"/>
          <w:szCs w:val="20"/>
          <w:color w:val="auto"/>
        </w:rPr>
      </w:pPr>
      <w:r>
        <w:rPr>
          <w:rFonts w:ascii="Times New Roman" w:cs="Times New Roman" w:eastAsia="Times New Roman" w:hAnsi="Times New Roman"/>
          <w:sz w:val="18"/>
          <w:szCs w:val="18"/>
          <w:color w:val="auto"/>
        </w:rPr>
        <w:t>“Active, continuous management of our portfolio has always been a priority and is necessary to maintain a healthy business. We have taken a hard look at our current store fleet to assess our operations and ensure that our real estate investments meet higher standards in this environment,” said Reade Fahs, National Vision’s CEO. “Following this review, we have identified areas across the business that we can address to improve operational execution and drive comparable store sales improvement. We believe the actions we are taking will better position the company to optimize growth and profitability for the long-term.</w:t>
      </w:r>
    </w:p>
    <w:p>
      <w:pPr>
        <w:spacing w:after="0" w:line="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“We are working closely with impacted stores to ensure that this is a seamless transition for our patients and customers who rely on us. We intend to retain associates and affiliated optometrists in affected stores wherever possible by facilitating transfers to new roles or other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8"/>
        <w:spacing w:after="0" w:line="245" w:lineRule="auto"/>
        <w:tabs>
          <w:tab w:leader="none" w:pos="93"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i w:val="1"/>
          <w:iCs w:val="1"/>
          <w:color w:val="auto"/>
        </w:rPr>
        <w:t>Adjusted EBITDA is a non-GAAP financial measure, and the Company is not able to reconcile this measure to net income, the corresponding measure under generally accepted accounting principles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 See “Non-GAAP Financial Measures” below and the Company’s press release regarding financial results for the third quarter of 2024 for further information about the Company’s use of Adjusted EBITDA.</w:t>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Actions Following Store Fleet Review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detailed in the table below, the Company plans to close 39 stores by the end of Fiscal 2026.</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2560" w:type="dxa"/>
            <w:vAlign w:val="bottom"/>
            <w:tcBorders>
              <w:top w:val="single" w:sz="8" w:color="auto"/>
              <w:left w:val="single" w:sz="8" w:color="auto"/>
              <w:right w:val="single" w:sz="8" w:color="auto"/>
            </w:tcBorders>
          </w:tcPr>
          <w:p>
            <w:pPr>
              <w:spacing w:after="0"/>
              <w:rPr>
                <w:sz w:val="24"/>
                <w:szCs w:val="24"/>
                <w:color w:val="auto"/>
              </w:rPr>
            </w:pP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Store Closures</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Store Closures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Store Closures</w:t>
            </w: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Planned</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Planned</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Planned</w:t>
            </w:r>
          </w:p>
        </w:tc>
      </w:tr>
      <w:tr>
        <w:trPr>
          <w:trHeight w:val="351"/>
        </w:trPr>
        <w:tc>
          <w:tcPr>
            <w:tcW w:w="256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Fiscal 2024</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Fiscal 2025</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Fiscal 2026</w:t>
            </w:r>
          </w:p>
        </w:tc>
      </w:tr>
      <w:tr>
        <w:trPr>
          <w:trHeight w:val="41"/>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r>
        <w:trPr>
          <w:trHeight w:val="344"/>
        </w:trPr>
        <w:tc>
          <w:tcPr>
            <w:tcW w:w="2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America’s Best</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41"/>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r>
        <w:trPr>
          <w:trHeight w:val="344"/>
        </w:trPr>
        <w:tc>
          <w:tcPr>
            <w:tcW w:w="2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Eyeglass World</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1"/>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r>
        <w:trPr>
          <w:trHeight w:val="344"/>
        </w:trPr>
        <w:tc>
          <w:tcPr>
            <w:tcW w:w="2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Fred Meyer</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r>
        <w:trPr>
          <w:trHeight w:val="41"/>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r>
        <w:trPr>
          <w:trHeight w:val="344"/>
        </w:trPr>
        <w:tc>
          <w:tcPr>
            <w:tcW w:w="25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41"/>
        </w:trPr>
        <w:tc>
          <w:tcPr>
            <w:tcW w:w="25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will convert four Eyeglass World stores to America’s Best stores during fiscal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Going forward, the Company will continue to closely monitor store performance and store profitability as part of its ongoing real estate portfolio strategy to maximize returns.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disciplined growth with a focus on maximizing returns,” said Melissa Rasmussen, National Vision’s CFO. “As such, we are temporarily moderating new store growth next year and plan to open between 30-35 new stores. Importantly, this moderation enables us to allocate capital in fiscal 2025 to increase investments in enhancing the overall patient and customer experience. Additionally, by opening fewer stores in fiscal 2025, we intend to focus on the best locations for new stores that meet our strategic objectives of improving profitability and enhancing our overall competitive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Impact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the store closures described above to deliver approximately $4 million of annualized Adjusted EBITDA improvement by the end of fiscal 2026, of which approximately $2 to $3 million is expected by the end of fiscal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closures are expected to negatively impact revenue by $11 to $13 million in fiscal 2025 and $2 to $3 million in fiscal 2026.</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approximately $1 million of one-time, non-recurring exit charges during the third quarter of 2024 related to lease terminations, severance, and other charges associated with the fiscal 2024 and fiscal 2025 closures.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recorded noncash impairment charges of approximately $14 million in the third quarter of 2024. Approximately $11 million was related to the Fred Meyer intangible asset and the remaining $3 million was for tangible long-lived assets primarily related to the portfolio review.</w:t>
      </w:r>
    </w:p>
    <w:p>
      <w:pPr>
        <w:spacing w:after="0" w:line="54" w:lineRule="exact"/>
        <w:rPr>
          <w:sz w:val="20"/>
          <w:szCs w:val="20"/>
          <w:color w:val="auto"/>
        </w:rPr>
      </w:pPr>
    </w:p>
    <w:p>
      <w:pPr>
        <w:ind w:right="1640"/>
        <w:spacing w:after="0" w:line="391" w:lineRule="auto"/>
        <w:rPr>
          <w:sz w:val="20"/>
          <w:szCs w:val="20"/>
          <w:color w:val="auto"/>
        </w:rPr>
      </w:pPr>
      <w:r>
        <w:rPr>
          <w:rFonts w:ascii="Times New Roman" w:cs="Times New Roman" w:eastAsia="Times New Roman" w:hAnsi="Times New Roman"/>
          <w:sz w:val="18"/>
          <w:szCs w:val="18"/>
          <w:color w:val="auto"/>
        </w:rPr>
        <w:t xml:space="preserve">Separately, today the Company is releasing its third quarter 2024 earnings results, which will be available on the Company’s website.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w:t>
      </w:r>
    </w:p>
    <w:p>
      <w:pPr>
        <w:sectPr>
          <w:pgSz w:w="11900" w:h="16838" w:orient="portrait"/>
          <w:cols w:equalWidth="0" w:num="1">
            <w:col w:w="11240"/>
          </w:cols>
          <w:pgMar w:left="320" w:top="927" w:right="339" w:bottom="1440" w:gutter="0" w:footer="0" w:header="0"/>
        </w:sectPr>
      </w:pPr>
    </w:p>
    <w:bookmarkStart w:id="19" w:name="page20"/>
    <w:bookmarkEnd w:id="19"/>
    <w:p>
      <w:pPr>
        <w:jc w:val="both"/>
        <w:spacing w:after="0" w:line="313" w:lineRule="auto"/>
        <w:rPr>
          <w:sz w:val="20"/>
          <w:szCs w:val="20"/>
          <w:color w:val="auto"/>
        </w:rPr>
      </w:pPr>
      <w:r>
        <w:rPr>
          <w:rFonts w:ascii="Times New Roman" w:cs="Times New Roman" w:eastAsia="Times New Roman" w:hAnsi="Times New Roman"/>
          <w:sz w:val="18"/>
          <w:szCs w:val="18"/>
          <w:color w:val="auto"/>
        </w:rPr>
        <w:t>undertake no obligation to publicly update or review any forward-looking statement, whether as a result of new information, future developments or otherwise, except as required by law.</w:t>
      </w:r>
    </w:p>
    <w:p>
      <w:pPr>
        <w:spacing w:after="0" w:line="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Forward-looking statements are not guarantees and are subject to various risks and uncertainties, which may cause actual results to differ materially from those implied in forward-looking statements. Such factors include, but are not limited to, the termination of our partnership with Walmart, including the transition period and other wind down activities, will have an impact on our business, revenues, profitability and cash flows, which impact could be material; market volatility, an overall decline in the health of the economy and other factors impacting consumer spending, including inflation, uncertainty in financial markets, recessionary conditions, escalated interest rates, the timing and issuance of tax refunds, governmental instability, war and natural disasters, may affect consumer purchases, which could reduce demand for our products and materially harm our sales, profitability and financial condition; failure to recruit and retain vision care professionals for in-store roles or to provide remote care offerings could adversely affect our business, financial condition and results of operations; the optical retail industry is highly competitive, and if we do not compete successfully, our business may be adversely impacted; if we fail to open and operate new stores (including as a result of store conversions) in a timely and cost-effective manner or fail to successfully enter new markets, our financial performance could be materially and adversely affected; if the performance of our Host brands declines or we are unable to maintain or extend our operating relationships with our Host partners, our business, profitability and cash flows may be adversely affected and we may be required to incur impairment charges; we are a low-cost provider and our business model relies on the low-cost of inputs and factors such as wage rate increases, inflation, cost increases, increases in the price of raw materials and energy prices could have a material adverse effect on our business, financial condition and results of operations; we require significant capital to fund our expanding business, including updating our Enterprise Resource Planning (“ERP”) and Customer Relationship Management (“CRM”), and other technological, systems and capabilities; our ability to successfully implement transformation initiatives (including store fleet optimization); our growth strategy could strain our existing resources and cause the performance of our existing stores to suffer; our success depends upon our marketing, advertising and promotional efforts and if we are unable to implement them successfully or efficiently, or if our competitors are more effective than we are, we may experience a material adverse effect on our business, financial condition and results of operations; we are subject to risks associated with leasing substantial amounts of space, including future increases in occupancy costs; certain technological advances, greater availability of, or increased consumer preferences for, vision correction alternatives to prescription eyeglasses or contact lenses, or future drug development for the correction of vision-related problems may reduce the demand for our products and adversely impact our business and profitability; if we fail to retain our existing senior management team or attract qualified new personnel such failure could have a material adverse effect on our business, financial condition and results of operations; our profitability and cash flows may be negatively affected if we are not successful in managing our inventory balances and inventory shrinkage; our operating results and inventory levels fluctuate on a seasonal basis; our e-commerce and omni-channel business faces distinct risks, and our failure to successfully manage those risks could have a negative impact on our profitability; we depend on our distribution centers and/or optical laboratories; we may incur losses arising from our investments in technological innovators in the optical retail industry, including artificial intelligence, which would negatively affect our financial results; environmental, social and governance (“ESG”) issues, including those related to climate change, could have a material adverse effect on our business, financial condition and results of operations; changing climate and weather patterns leading to severe weather and disasters may cause significant business interruptions and expenditures; future operational success depends on our ability to develop, maintain and extend relationships with managed vision care companies, vision insurance providers and other third-party payors; we face risks associated with vendors from whom our products are sourced and are dependent on a limited number of suppliers; we rely heavily on our information technology systems, as well as those of our vendors, for our business to effectively operate and to safeguard confidential information; any significant failure, inadequacy, interruption or security breach could adversely affect our business, financial condition and operations; we rely on third-party coverage and reimbursement, including government programs, for an increasing portion of our revenues, the future reduction of which could adversely affect our results of operations; we are subject to extensive state, local and federal vision care and healthcare laws and regulations and failure to adhere to such laws and regulations would adversely affect our business; we are subject to managed vision care laws and regulations; we are subject to rapidly changing and increasingly stringent laws, regulations, contractual obligations, and industry standards relating to privacy, data security and data protection which could subject us to liabilities that adversely affect our business, operations and financial performance; we could be adversely affected by product liability, product recall or personal injury issues; failure to comply with laws, regulations and enforcement activities or changes in statutory, regulatory, accounting and other legal requirements could</w:t>
      </w:r>
    </w:p>
    <w:p>
      <w:pPr>
        <w:sectPr>
          <w:pgSz w:w="11900" w:h="16838" w:orient="portrait"/>
          <w:cols w:equalWidth="0" w:num="1">
            <w:col w:w="11240"/>
          </w:cols>
          <w:pgMar w:left="320" w:top="1039" w:right="339" w:bottom="1440" w:gutter="0" w:footer="0" w:header="0"/>
        </w:sectPr>
      </w:pPr>
    </w:p>
    <w:bookmarkStart w:id="20" w:name="page21"/>
    <w:bookmarkEnd w:id="20"/>
    <w:p>
      <w:pPr>
        <w:jc w:val="both"/>
        <w:spacing w:after="0" w:line="292" w:lineRule="auto"/>
        <w:rPr>
          <w:sz w:val="20"/>
          <w:szCs w:val="20"/>
          <w:color w:val="auto"/>
        </w:rPr>
      </w:pPr>
      <w:r>
        <w:rPr>
          <w:rFonts w:ascii="Times New Roman" w:cs="Times New Roman" w:eastAsia="Times New Roman" w:hAnsi="Times New Roman"/>
          <w:sz w:val="18"/>
          <w:szCs w:val="18"/>
          <w:color w:val="auto"/>
        </w:rPr>
        <w:t>potentially impact our operating and financial results; adverse judgments or settlements resulting from legal proceedings relating to our business operations could materially adversely affect our business, financial condition and results of operations; we may not be able to adequately protect our intellectual property, which could harm the value of our brand and adversely affect our business; we have a significant amount of indebtedness which could adversely affect our business and financial position, including limiting our business flexibility and preventing us from meeting our debt obligations; a change in interest rates may adversely affect our business; our credit agreement contains restrictions that limit our flexibility in operating our business; conversion of the 2025 Notes could dilute the ownership interest of existing stockholders or may otherwise depress the price of our common stock;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National Vision uses certain non-GAAP financial measures, including Adjusted EBITDA, which are designed to supplement, and not substitute, financial information presented in accordance with generally accepted accounting principles in the United States of America (“GAAP”) because management believes such measures are useful to investors. Additional information about these measures and a reconciliation to the nearest GAAP financial measures is detailed in National Vision’s press release regarding financial results for the third quarter of 2024, which is available at www.nationalvision.com/investors.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13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America’s Best,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investor.relations@nationalvision.com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Tamara Gonzalez</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Churchill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media@nationalvision.com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Racheal Peters</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bullet"/>
      <w:start w:val="1"/>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2024-11-06T05:15:59Z</dcterms:created>
  <dcterms:modified xsi:type="dcterms:W3CDTF">2024-11-06T05:15:59Z</dcterms:modified>
</cp:coreProperties>
</file>