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205105</wp:posOffset>
            </wp:positionH>
            <wp:positionV relativeFrom="page">
              <wp:posOffset>637540</wp:posOffset>
            </wp:positionV>
            <wp:extent cx="701548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548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678180</wp:posOffset>
            </wp:positionV>
            <wp:extent cx="7015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548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5"/>
          <w:szCs w:val="15"/>
          <w:b w:val="1"/>
          <w:bCs w:val="1"/>
          <w:color w:val="auto"/>
        </w:rPr>
        <w:t>Washington, D.C. 20549</w:t>
      </w:r>
    </w:p>
    <w:p>
      <w:pPr>
        <w:spacing w:after="0" w:line="11" w:lineRule="exact"/>
        <w:rPr>
          <w:sz w:val="24"/>
          <w:szCs w:val="24"/>
          <w:color w:val="auto"/>
        </w:rPr>
      </w:pPr>
    </w:p>
    <w:p>
      <w:pPr>
        <w:ind w:left="3800"/>
        <w:spacing w:after="0"/>
        <w:rPr>
          <w:sz w:val="20"/>
          <w:szCs w:val="20"/>
          <w:color w:val="auto"/>
        </w:rPr>
      </w:pPr>
      <w:r>
        <w:rPr>
          <w:rFonts w:ascii="Arial" w:cs="Arial" w:eastAsia="Arial" w:hAnsi="Arial"/>
          <w:sz w:val="10"/>
          <w:szCs w:val="10"/>
          <w:b w:val="1"/>
          <w:bCs w:val="1"/>
          <w:color w:val="auto"/>
        </w:rPr>
        <w:t>_______________________________________________________________________</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102" w:lineRule="exact"/>
        <w:rPr>
          <w:sz w:val="24"/>
          <w:szCs w:val="24"/>
          <w:color w:val="auto"/>
        </w:rPr>
      </w:pPr>
    </w:p>
    <w:p>
      <w:pPr>
        <w:ind w:left="3800"/>
        <w:spacing w:after="0"/>
        <w:rPr>
          <w:sz w:val="20"/>
          <w:szCs w:val="20"/>
          <w:color w:val="auto"/>
        </w:rPr>
      </w:pPr>
      <w:r>
        <w:rPr>
          <w:rFonts w:ascii="Arial" w:cs="Arial" w:eastAsia="Arial" w:hAnsi="Arial"/>
          <w:sz w:val="10"/>
          <w:szCs w:val="10"/>
          <w:b w:val="1"/>
          <w:bCs w:val="1"/>
          <w:color w:val="auto"/>
        </w:rPr>
        <w:t>_______________________________________________________________________</w:t>
      </w: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CURRENT REPORT</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Date of Report (Date of earliest event reported):</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June 20, 2023 (June 13, 2023)</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0"/>
          <w:szCs w:val="10"/>
          <w:b w:val="1"/>
          <w:bCs w:val="1"/>
          <w:color w:val="auto"/>
        </w:rPr>
        <w:t>_______________________________________________________________________</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National Vision Holdings,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(Exact name of registrant as specified in its charter)</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0"/>
          <w:szCs w:val="10"/>
          <w:b w:val="1"/>
          <w:bCs w:val="1"/>
          <w:color w:val="auto"/>
        </w:rPr>
        <w:t>_______________________________________________________________________</w:t>
      </w: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001-38257</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w:t>
      </w:r>
    </w:p>
    <w:p>
      <w:pPr>
        <w:spacing w:after="0" w:line="119" w:lineRule="exact"/>
        <w:rPr>
          <w:sz w:val="24"/>
          <w:szCs w:val="24"/>
          <w:color w:val="auto"/>
        </w:rPr>
      </w:pPr>
    </w:p>
    <w:tbl>
      <w:tblPr>
        <w:tblLayout w:type="fixed"/>
        <w:tblInd w:w="2120" w:type="dxa"/>
        <w:tblCellMar>
          <w:top w:w="0" w:type="dxa"/>
          <w:left w:w="0" w:type="dxa"/>
          <w:bottom w:w="0" w:type="dxa"/>
          <w:right w:w="0" w:type="dxa"/>
        </w:tblCellMar>
      </w:tblPr>
      <w:tr>
        <w:trPr>
          <w:trHeight w:val="202"/>
        </w:trPr>
        <w:tc>
          <w:tcPr>
            <w:tcW w:w="3860" w:type="dxa"/>
            <w:vAlign w:val="bottom"/>
          </w:tcPr>
          <w:p>
            <w:pPr>
              <w:jc w:val="center"/>
              <w:ind w:right="1323"/>
              <w:spacing w:after="0"/>
              <w:rPr>
                <w:sz w:val="20"/>
                <w:szCs w:val="20"/>
                <w:color w:val="auto"/>
              </w:rPr>
            </w:pPr>
            <w:r>
              <w:rPr>
                <w:rFonts w:ascii="Arial" w:cs="Arial" w:eastAsia="Arial" w:hAnsi="Arial"/>
                <w:sz w:val="15"/>
                <w:szCs w:val="15"/>
                <w:b w:val="1"/>
                <w:bCs w:val="1"/>
                <w:color w:val="auto"/>
                <w:w w:val="94"/>
              </w:rPr>
              <w:t>Delaware</w:t>
            </w:r>
          </w:p>
        </w:tc>
        <w:tc>
          <w:tcPr>
            <w:tcW w:w="2560" w:type="dxa"/>
            <w:vAlign w:val="bottom"/>
          </w:tcPr>
          <w:p>
            <w:pPr>
              <w:jc w:val="right"/>
              <w:ind w:right="123"/>
              <w:spacing w:after="0"/>
              <w:rPr>
                <w:sz w:val="20"/>
                <w:szCs w:val="20"/>
                <w:color w:val="auto"/>
              </w:rPr>
            </w:pPr>
            <w:r>
              <w:rPr>
                <w:rFonts w:ascii="Arial" w:cs="Arial" w:eastAsia="Arial" w:hAnsi="Arial"/>
                <w:sz w:val="15"/>
                <w:szCs w:val="15"/>
                <w:b w:val="1"/>
                <w:bCs w:val="1"/>
                <w:color w:val="auto"/>
              </w:rPr>
              <w:t>46-4841717</w:t>
            </w:r>
          </w:p>
        </w:tc>
      </w:tr>
      <w:tr>
        <w:trPr>
          <w:trHeight w:val="204"/>
        </w:trPr>
        <w:tc>
          <w:tcPr>
            <w:tcW w:w="3860" w:type="dxa"/>
            <w:vAlign w:val="bottom"/>
          </w:tcPr>
          <w:p>
            <w:pPr>
              <w:jc w:val="center"/>
              <w:ind w:right="1323"/>
              <w:spacing w:after="0"/>
              <w:rPr>
                <w:sz w:val="20"/>
                <w:szCs w:val="20"/>
                <w:color w:val="auto"/>
              </w:rPr>
            </w:pPr>
            <w:r>
              <w:rPr>
                <w:rFonts w:ascii="Arial" w:cs="Arial" w:eastAsia="Arial" w:hAnsi="Arial"/>
                <w:sz w:val="15"/>
                <w:szCs w:val="15"/>
                <w:color w:val="auto"/>
                <w:w w:val="94"/>
              </w:rPr>
              <w:t>(State or other jurisdiction of</w:t>
            </w:r>
          </w:p>
        </w:tc>
        <w:tc>
          <w:tcPr>
            <w:tcW w:w="2560" w:type="dxa"/>
            <w:vAlign w:val="bottom"/>
          </w:tcPr>
          <w:p>
            <w:pPr>
              <w:jc w:val="center"/>
              <w:ind w:left="1323"/>
              <w:spacing w:after="0"/>
              <w:rPr>
                <w:sz w:val="20"/>
                <w:szCs w:val="20"/>
                <w:color w:val="auto"/>
              </w:rPr>
            </w:pPr>
            <w:r>
              <w:rPr>
                <w:rFonts w:ascii="Arial" w:cs="Arial" w:eastAsia="Arial" w:hAnsi="Arial"/>
                <w:sz w:val="15"/>
                <w:szCs w:val="15"/>
                <w:color w:val="auto"/>
                <w:w w:val="98"/>
              </w:rPr>
              <w:t>(IRS Employer</w:t>
            </w:r>
          </w:p>
        </w:tc>
      </w:tr>
      <w:tr>
        <w:trPr>
          <w:trHeight w:val="196"/>
        </w:trPr>
        <w:tc>
          <w:tcPr>
            <w:tcW w:w="3860" w:type="dxa"/>
            <w:vAlign w:val="bottom"/>
          </w:tcPr>
          <w:p>
            <w:pPr>
              <w:jc w:val="center"/>
              <w:ind w:right="1323"/>
              <w:spacing w:after="0"/>
              <w:rPr>
                <w:sz w:val="20"/>
                <w:szCs w:val="20"/>
                <w:color w:val="auto"/>
              </w:rPr>
            </w:pPr>
            <w:r>
              <w:rPr>
                <w:rFonts w:ascii="Arial" w:cs="Arial" w:eastAsia="Arial" w:hAnsi="Arial"/>
                <w:sz w:val="15"/>
                <w:szCs w:val="15"/>
                <w:color w:val="auto"/>
                <w:w w:val="98"/>
              </w:rPr>
              <w:t>incorporation)</w:t>
            </w:r>
          </w:p>
        </w:tc>
        <w:tc>
          <w:tcPr>
            <w:tcW w:w="2560" w:type="dxa"/>
            <w:vAlign w:val="bottom"/>
          </w:tcPr>
          <w:p>
            <w:pPr>
              <w:jc w:val="center"/>
              <w:ind w:left="1323"/>
              <w:spacing w:after="0"/>
              <w:rPr>
                <w:sz w:val="20"/>
                <w:szCs w:val="20"/>
                <w:color w:val="auto"/>
              </w:rPr>
            </w:pPr>
            <w:r>
              <w:rPr>
                <w:rFonts w:ascii="Arial" w:cs="Arial" w:eastAsia="Arial" w:hAnsi="Arial"/>
                <w:sz w:val="15"/>
                <w:szCs w:val="15"/>
                <w:color w:val="auto"/>
                <w:w w:val="99"/>
              </w:rPr>
              <w:t>Identification No.)</w:t>
            </w:r>
          </w:p>
        </w:tc>
      </w:tr>
      <w:tr>
        <w:trPr>
          <w:trHeight w:val="348"/>
        </w:trPr>
        <w:tc>
          <w:tcPr>
            <w:tcW w:w="3860" w:type="dxa"/>
            <w:vAlign w:val="bottom"/>
          </w:tcPr>
          <w:p>
            <w:pPr>
              <w:jc w:val="center"/>
              <w:ind w:right="1323"/>
              <w:spacing w:after="0"/>
              <w:rPr>
                <w:sz w:val="20"/>
                <w:szCs w:val="20"/>
                <w:color w:val="auto"/>
              </w:rPr>
            </w:pPr>
            <w:r>
              <w:rPr>
                <w:rFonts w:ascii="Arial" w:cs="Arial" w:eastAsia="Arial" w:hAnsi="Arial"/>
                <w:sz w:val="15"/>
                <w:szCs w:val="15"/>
                <w:b w:val="1"/>
                <w:bCs w:val="1"/>
                <w:color w:val="auto"/>
                <w:w w:val="91"/>
              </w:rPr>
              <w:t>2435 Commerce Ave.</w:t>
            </w:r>
          </w:p>
        </w:tc>
        <w:tc>
          <w:tcPr>
            <w:tcW w:w="2560" w:type="dxa"/>
            <w:vAlign w:val="bottom"/>
          </w:tcPr>
          <w:p>
            <w:pPr>
              <w:spacing w:after="0"/>
              <w:rPr>
                <w:sz w:val="24"/>
                <w:szCs w:val="24"/>
                <w:color w:val="auto"/>
              </w:rPr>
            </w:pPr>
          </w:p>
        </w:tc>
      </w:tr>
      <w:tr>
        <w:trPr>
          <w:trHeight w:val="206"/>
        </w:trPr>
        <w:tc>
          <w:tcPr>
            <w:tcW w:w="3860" w:type="dxa"/>
            <w:vAlign w:val="bottom"/>
          </w:tcPr>
          <w:p>
            <w:pPr>
              <w:jc w:val="center"/>
              <w:ind w:right="1323"/>
              <w:spacing w:after="0"/>
              <w:rPr>
                <w:sz w:val="20"/>
                <w:szCs w:val="20"/>
                <w:color w:val="auto"/>
              </w:rPr>
            </w:pPr>
            <w:r>
              <w:rPr>
                <w:rFonts w:ascii="Arial" w:cs="Arial" w:eastAsia="Arial" w:hAnsi="Arial"/>
                <w:sz w:val="15"/>
                <w:szCs w:val="15"/>
                <w:b w:val="1"/>
                <w:bCs w:val="1"/>
                <w:color w:val="auto"/>
                <w:w w:val="92"/>
              </w:rPr>
              <w:t>Building 2200</w:t>
            </w:r>
          </w:p>
        </w:tc>
        <w:tc>
          <w:tcPr>
            <w:tcW w:w="2560" w:type="dxa"/>
            <w:vAlign w:val="bottom"/>
          </w:tcPr>
          <w:p>
            <w:pPr>
              <w:jc w:val="right"/>
              <w:ind w:right="303"/>
              <w:spacing w:after="0"/>
              <w:rPr>
                <w:sz w:val="20"/>
                <w:szCs w:val="20"/>
                <w:color w:val="auto"/>
              </w:rPr>
            </w:pPr>
            <w:r>
              <w:rPr>
                <w:rFonts w:ascii="Arial" w:cs="Arial" w:eastAsia="Arial" w:hAnsi="Arial"/>
                <w:sz w:val="15"/>
                <w:szCs w:val="15"/>
                <w:b w:val="1"/>
                <w:bCs w:val="1"/>
                <w:color w:val="auto"/>
              </w:rPr>
              <w:t>30096</w:t>
            </w:r>
          </w:p>
        </w:tc>
      </w:tr>
      <w:tr>
        <w:trPr>
          <w:trHeight w:val="206"/>
        </w:trPr>
        <w:tc>
          <w:tcPr>
            <w:tcW w:w="3860" w:type="dxa"/>
            <w:vAlign w:val="bottom"/>
          </w:tcPr>
          <w:p>
            <w:pPr>
              <w:ind w:left="720"/>
              <w:spacing w:after="0"/>
              <w:rPr>
                <w:sz w:val="20"/>
                <w:szCs w:val="20"/>
                <w:color w:val="auto"/>
              </w:rPr>
            </w:pPr>
            <w:r>
              <w:rPr>
                <w:rFonts w:ascii="Arial" w:cs="Arial" w:eastAsia="Arial" w:hAnsi="Arial"/>
                <w:sz w:val="15"/>
                <w:szCs w:val="15"/>
                <w:b w:val="1"/>
                <w:bCs w:val="1"/>
                <w:color w:val="auto"/>
              </w:rPr>
              <w:t>Duluth, Georgia</w:t>
            </w:r>
          </w:p>
        </w:tc>
        <w:tc>
          <w:tcPr>
            <w:tcW w:w="2560" w:type="dxa"/>
            <w:vAlign w:val="bottom"/>
          </w:tcPr>
          <w:p>
            <w:pPr>
              <w:jc w:val="center"/>
              <w:ind w:left="1323"/>
              <w:spacing w:after="0"/>
              <w:rPr>
                <w:sz w:val="20"/>
                <w:szCs w:val="20"/>
                <w:color w:val="auto"/>
              </w:rPr>
            </w:pPr>
            <w:r>
              <w:rPr>
                <w:rFonts w:ascii="Arial" w:cs="Arial" w:eastAsia="Arial" w:hAnsi="Arial"/>
                <w:sz w:val="15"/>
                <w:szCs w:val="15"/>
                <w:color w:val="auto"/>
                <w:w w:val="95"/>
              </w:rPr>
              <w:t>(Zip Code)</w:t>
            </w:r>
          </w:p>
        </w:tc>
      </w:tr>
      <w:tr>
        <w:trPr>
          <w:trHeight w:val="206"/>
        </w:trPr>
        <w:tc>
          <w:tcPr>
            <w:tcW w:w="3860" w:type="dxa"/>
            <w:vAlign w:val="bottom"/>
          </w:tcPr>
          <w:p>
            <w:pPr>
              <w:jc w:val="center"/>
              <w:ind w:right="1323"/>
              <w:spacing w:after="0"/>
              <w:rPr>
                <w:sz w:val="20"/>
                <w:szCs w:val="20"/>
                <w:color w:val="auto"/>
              </w:rPr>
            </w:pPr>
            <w:r>
              <w:rPr>
                <w:rFonts w:ascii="Arial" w:cs="Arial" w:eastAsia="Arial" w:hAnsi="Arial"/>
                <w:sz w:val="15"/>
                <w:szCs w:val="15"/>
                <w:color w:val="auto"/>
                <w:w w:val="95"/>
              </w:rPr>
              <w:t>(Address of principal executive offices)</w:t>
            </w:r>
          </w:p>
        </w:tc>
        <w:tc>
          <w:tcPr>
            <w:tcW w:w="2560" w:type="dxa"/>
            <w:vAlign w:val="bottom"/>
          </w:tcPr>
          <w:p>
            <w:pPr>
              <w:spacing w:after="0"/>
              <w:rPr>
                <w:sz w:val="17"/>
                <w:szCs w:val="17"/>
                <w:color w:val="auto"/>
              </w:rPr>
            </w:pPr>
          </w:p>
        </w:tc>
      </w:tr>
    </w:tbl>
    <w:p>
      <w:pPr>
        <w:spacing w:after="0" w:line="69" w:lineRule="exact"/>
        <w:rPr>
          <w:sz w:val="24"/>
          <w:szCs w:val="24"/>
          <w:color w:val="auto"/>
        </w:rPr>
      </w:pPr>
    </w:p>
    <w:p>
      <w:pPr>
        <w:jc w:val="center"/>
        <w:ind w:right="-39"/>
        <w:spacing w:after="0" w:line="173" w:lineRule="exact"/>
        <w:rPr>
          <w:sz w:val="20"/>
          <w:szCs w:val="20"/>
          <w:color w:val="auto"/>
        </w:rPr>
      </w:pPr>
      <w:r>
        <w:rPr>
          <w:rFonts w:ascii="Arial" w:cs="Arial" w:eastAsia="Arial" w:hAnsi="Arial"/>
          <w:sz w:val="15"/>
          <w:szCs w:val="15"/>
          <w:b w:val="1"/>
          <w:bCs w:val="1"/>
          <w:color w:val="auto"/>
        </w:rPr>
        <w:t>(770) 822</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3600</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(Registrant’s telephone number, including area code)</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N/A</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06" w:lineRule="exact"/>
        <w:rPr>
          <w:sz w:val="24"/>
          <w:szCs w:val="24"/>
          <w:color w:val="auto"/>
        </w:rPr>
      </w:pPr>
    </w:p>
    <w:p>
      <w:pPr>
        <w:ind w:left="3800"/>
        <w:spacing w:after="0"/>
        <w:rPr>
          <w:sz w:val="20"/>
          <w:szCs w:val="20"/>
          <w:color w:val="auto"/>
        </w:rPr>
      </w:pPr>
      <w:r>
        <w:rPr>
          <w:rFonts w:ascii="Arial" w:cs="Arial" w:eastAsia="Arial" w:hAnsi="Arial"/>
          <w:sz w:val="10"/>
          <w:szCs w:val="10"/>
          <w:b w:val="1"/>
          <w:bCs w:val="1"/>
          <w:color w:val="auto"/>
        </w:rPr>
        <w:t>_______________________________________________________________________</w:t>
      </w:r>
    </w:p>
    <w:p>
      <w:pPr>
        <w:spacing w:after="0" w:line="105" w:lineRule="exact"/>
        <w:rPr>
          <w:sz w:val="24"/>
          <w:szCs w:val="24"/>
          <w:color w:val="auto"/>
        </w:rPr>
      </w:pPr>
    </w:p>
    <w:p>
      <w:pPr>
        <w:ind w:right="380"/>
        <w:spacing w:after="0" w:line="27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5"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62" w:lineRule="exact"/>
        <w:rPr>
          <w:rFonts w:ascii="MS PGothic" w:cs="MS PGothic" w:eastAsia="MS PGothic" w:hAnsi="MS PGothic"/>
          <w:sz w:val="17"/>
          <w:szCs w:val="17"/>
          <w:color w:val="auto"/>
        </w:rPr>
      </w:pPr>
    </w:p>
    <w:p>
      <w:pPr>
        <w:ind w:left="300" w:hanging="297"/>
        <w:spacing w:after="0"/>
        <w:tabs>
          <w:tab w:leader="none" w:pos="30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Soliciting material pursuant to Rule 14a-12 under the Exchange Act (17 CFR 240.14a-12)</w:t>
      </w:r>
    </w:p>
    <w:p>
      <w:pPr>
        <w:spacing w:after="0" w:line="62" w:lineRule="exact"/>
        <w:rPr>
          <w:rFonts w:ascii="MS PGothic" w:cs="MS PGothic" w:eastAsia="MS PGothic" w:hAnsi="MS PGothic"/>
          <w:sz w:val="15"/>
          <w:szCs w:val="15"/>
          <w:color w:val="auto"/>
        </w:rPr>
      </w:pPr>
    </w:p>
    <w:p>
      <w:pPr>
        <w:ind w:left="300" w:hanging="297"/>
        <w:spacing w:after="0"/>
        <w:tabs>
          <w:tab w:leader="none" w:pos="30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Pre-commencement communications pursuant to Rule 14d-2(b) under the Exchange Act (17 CFR 240.14d-2(b))</w:t>
      </w:r>
    </w:p>
    <w:p>
      <w:pPr>
        <w:spacing w:after="0" w:line="62" w:lineRule="exact"/>
        <w:rPr>
          <w:rFonts w:ascii="MS PGothic" w:cs="MS PGothic" w:eastAsia="MS PGothic" w:hAnsi="MS PGothic"/>
          <w:sz w:val="15"/>
          <w:szCs w:val="15"/>
          <w:color w:val="auto"/>
        </w:rPr>
      </w:pPr>
    </w:p>
    <w:p>
      <w:pPr>
        <w:ind w:left="300" w:hanging="297"/>
        <w:spacing w:after="0"/>
        <w:tabs>
          <w:tab w:leader="none" w:pos="30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20"/>
                <w:szCs w:val="20"/>
                <w:color w:val="auto"/>
              </w:rPr>
            </w:pPr>
            <w:r>
              <w:rPr>
                <w:rFonts w:ascii="Arial" w:cs="Arial" w:eastAsia="Arial" w:hAnsi="Arial"/>
                <w:sz w:val="17"/>
                <w:szCs w:val="17"/>
                <w:color w:val="auto"/>
                <w:w w:val="96"/>
              </w:rPr>
              <w:t>Securities registered pursuant to Section 12(b) of the Act</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55"/>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Trading Symbol(s)</w:t>
            </w:r>
          </w:p>
        </w:tc>
        <w:tc>
          <w:tcPr>
            <w:tcW w:w="100" w:type="dxa"/>
            <w:vAlign w:val="bottom"/>
          </w:tcPr>
          <w:p>
            <w:pPr>
              <w:spacing w:after="0"/>
              <w:rPr>
                <w:sz w:val="24"/>
                <w:szCs w:val="24"/>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18"/>
        </w:trPr>
        <w:tc>
          <w:tcPr>
            <w:tcW w:w="4140" w:type="dxa"/>
            <w:vAlign w:val="bottom"/>
          </w:tcPr>
          <w:p>
            <w:pPr>
              <w:jc w:val="center"/>
              <w:spacing w:after="0"/>
              <w:rPr>
                <w:sz w:val="20"/>
                <w:szCs w:val="20"/>
                <w:color w:val="auto"/>
              </w:rPr>
            </w:pPr>
            <w:r>
              <w:rPr>
                <w:rFonts w:ascii="Arial" w:cs="Arial" w:eastAsia="Arial" w:hAnsi="Arial"/>
                <w:sz w:val="17"/>
                <w:szCs w:val="17"/>
                <w:color w:val="auto"/>
                <w:w w:val="90"/>
              </w:rPr>
              <w:t>Common stock, par value $0.01 per share</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7"/>
                <w:szCs w:val="17"/>
                <w:color w:val="auto"/>
                <w:w w:val="93"/>
              </w:rPr>
              <w:t>EYE</w:t>
            </w:r>
          </w:p>
        </w:tc>
        <w:tc>
          <w:tcPr>
            <w:tcW w:w="1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7"/>
                <w:szCs w:val="17"/>
                <w:color w:val="auto"/>
                <w:w w:val="85"/>
              </w:rPr>
              <w:t>Nasdaq</w:t>
            </w:r>
          </w:p>
        </w:tc>
      </w:tr>
    </w:tbl>
    <w:p>
      <w:pPr>
        <w:spacing w:after="0" w:line="183" w:lineRule="exact"/>
        <w:rPr>
          <w:sz w:val="24"/>
          <w:szCs w:val="24"/>
          <w:color w:val="auto"/>
        </w:rPr>
      </w:pPr>
    </w:p>
    <w:p>
      <w:pPr>
        <w:ind w:right="180"/>
        <w:spacing w:after="0" w:line="27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ind w:left="6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8"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30" w:lineRule="exact"/>
        <w:rPr>
          <w:sz w:val="24"/>
          <w:szCs w:val="24"/>
          <w:color w:val="auto"/>
        </w:rPr>
      </w:pPr>
    </w:p>
    <w:p>
      <w:pPr>
        <w:spacing w:after="0" w:line="196" w:lineRule="exact"/>
        <w:tabs>
          <w:tab w:leader="none" w:pos="7120" w:val="left"/>
        </w:tabs>
        <w:rPr>
          <w:sz w:val="20"/>
          <w:szCs w:val="20"/>
          <w:color w:val="auto"/>
        </w:rPr>
      </w:pPr>
      <w:r>
        <w:rPr>
          <w:rFonts w:ascii="Arial" w:cs="Arial" w:eastAsia="Arial" w:hAnsi="Arial"/>
          <w:sz w:val="17"/>
          <w:szCs w:val="17"/>
          <w:color w:val="auto"/>
        </w:rPr>
        <w:t>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709295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7015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54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701548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5480" cy="2476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15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Reference is made to (i) that certain Second Joinder and Restatement Agreement, dated as of June 13, 2023 (the “</w:t>
      </w:r>
      <w:r>
        <w:rPr>
          <w:rFonts w:ascii="Arial" w:cs="Arial" w:eastAsia="Arial" w:hAnsi="Arial"/>
          <w:sz w:val="16"/>
          <w:szCs w:val="16"/>
          <w:u w:val="single" w:color="auto"/>
          <w:color w:val="auto"/>
        </w:rPr>
        <w:t>Second Restatement Agreement</w:t>
      </w:r>
      <w:r>
        <w:rPr>
          <w:rFonts w:ascii="Arial" w:cs="Arial" w:eastAsia="Arial" w:hAnsi="Arial"/>
          <w:sz w:val="16"/>
          <w:szCs w:val="16"/>
          <w:color w:val="auto"/>
        </w:rPr>
        <w:t>”), by and among the New Lenders party thereto, the Letter of Credit Issuers party thereto, Nautilus Acquisition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a Delaware corporation and a wholly-owned subsidiary of National Vision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National Vision, Inc. (“</w:t>
      </w:r>
      <w:r>
        <w:rPr>
          <w:rFonts w:ascii="Arial" w:cs="Arial" w:eastAsia="Arial" w:hAnsi="Arial"/>
          <w:sz w:val="16"/>
          <w:szCs w:val="16"/>
          <w:u w:val="single" w:color="auto"/>
          <w:color w:val="auto"/>
        </w:rPr>
        <w:t>NVI</w:t>
      </w:r>
      <w:r>
        <w:rPr>
          <w:rFonts w:ascii="Arial" w:cs="Arial" w:eastAsia="Arial" w:hAnsi="Arial"/>
          <w:sz w:val="16"/>
          <w:szCs w:val="16"/>
          <w:color w:val="auto"/>
        </w:rPr>
        <w:t>”), a Georgia corporation and a wholly-owned subsidiary of the Company and the borrower under the Credit Agreement (as defined below), the subsidiaries of NVI party thereto, as guarantors, Bank of America, N.A. in its capacity as administrative agent and as collateral agent and (ii) the Second Amended and Restated Credit Agreement, dated as of June 13, 2023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attached as Exhibit A thereto. Capitalized terms used but not defined herein shall have the meanings assigned to such terms in the Credit Agreement and Second Restatement Agreement, as applicable, except for the reference to Adjusted Diluted Earnings Per Share (EPS), which is defined in the Company's Annual Report on Form 10-K filed with the Securities and Exchange Commission on March 1, 2023.</w:t>
      </w:r>
    </w:p>
    <w:p>
      <w:pPr>
        <w:spacing w:after="0" w:line="19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June 13, 2023 (the “</w:t>
      </w:r>
      <w:r>
        <w:rPr>
          <w:rFonts w:ascii="Arial" w:cs="Arial" w:eastAsia="Arial" w:hAnsi="Arial"/>
          <w:sz w:val="17"/>
          <w:szCs w:val="17"/>
          <w:u w:val="single" w:color="auto"/>
          <w:color w:val="auto"/>
        </w:rPr>
        <w:t>Second Restatement Effective Date</w:t>
      </w:r>
      <w:r>
        <w:rPr>
          <w:rFonts w:ascii="Arial" w:cs="Arial" w:eastAsia="Arial" w:hAnsi="Arial"/>
          <w:sz w:val="17"/>
          <w:szCs w:val="17"/>
          <w:color w:val="auto"/>
        </w:rPr>
        <w:t>”), the Second Restatement Agreement amended and restated the Joinder and Amendment and Restatement Agreement, dated as of July 18, 2019 (as amended, restated, amended and restated, supplemented or otherwise modified prior to the Second Restatement Agreement, the “</w:t>
      </w:r>
      <w:r>
        <w:rPr>
          <w:rFonts w:ascii="Arial" w:cs="Arial" w:eastAsia="Arial" w:hAnsi="Arial"/>
          <w:sz w:val="17"/>
          <w:szCs w:val="17"/>
          <w:u w:val="single" w:color="auto"/>
          <w:color w:val="auto"/>
        </w:rPr>
        <w:t>Original Credit Agreement</w:t>
      </w:r>
      <w:r>
        <w:rPr>
          <w:rFonts w:ascii="Arial" w:cs="Arial" w:eastAsia="Arial" w:hAnsi="Arial"/>
          <w:sz w:val="17"/>
          <w:szCs w:val="17"/>
          <w:color w:val="auto"/>
        </w:rPr>
        <w:t>”) to, among other things, (i) establish new first lien term loans in an aggregate principal amount of $150,000,000 (“</w:t>
      </w:r>
      <w:r>
        <w:rPr>
          <w:rFonts w:ascii="Arial" w:cs="Arial" w:eastAsia="Arial" w:hAnsi="Arial"/>
          <w:sz w:val="17"/>
          <w:szCs w:val="17"/>
          <w:u w:val="single" w:color="auto"/>
          <w:color w:val="auto"/>
        </w:rPr>
        <w:t>Term A Loans</w:t>
      </w:r>
      <w:r>
        <w:rPr>
          <w:rFonts w:ascii="Arial" w:cs="Arial" w:eastAsia="Arial" w:hAnsi="Arial"/>
          <w:sz w:val="17"/>
          <w:szCs w:val="17"/>
          <w:color w:val="auto"/>
        </w:rPr>
        <w:t>”) to repay all principal, interest, fees and other amounts outstanding (other than contingent obligations) under the Original Credit Agreement immediately prior to the Second Restatement Effective Date, (ii) establish new revolving credit loans in an aggregate principal amount of $300,000,000 (the “</w:t>
      </w:r>
      <w:r>
        <w:rPr>
          <w:rFonts w:ascii="Arial" w:cs="Arial" w:eastAsia="Arial" w:hAnsi="Arial"/>
          <w:sz w:val="17"/>
          <w:szCs w:val="17"/>
          <w:u w:val="single" w:color="auto"/>
          <w:color w:val="auto"/>
        </w:rPr>
        <w:t>Revolving Loans</w:t>
      </w:r>
      <w:r>
        <w:rPr>
          <w:rFonts w:ascii="Arial" w:cs="Arial" w:eastAsia="Arial" w:hAnsi="Arial"/>
          <w:sz w:val="17"/>
          <w:szCs w:val="17"/>
          <w:color w:val="auto"/>
        </w:rPr>
        <w:t>”), (iii) provide for a SOFR-based rate, with a credit spread adjustment of 10 basis points for all Interest Periods and a SOFR floor of 0.00% per annum, and (iv) as set forth below, modify the Applicable Margins used to calculate the rate of interest payable with respect to the Term A Loans and Revolving Loans (collectively, the “</w:t>
      </w:r>
      <w:r>
        <w:rPr>
          <w:rFonts w:ascii="Arial" w:cs="Arial" w:eastAsia="Arial" w:hAnsi="Arial"/>
          <w:sz w:val="17"/>
          <w:szCs w:val="17"/>
          <w:u w:val="single" w:color="auto"/>
          <w:color w:val="auto"/>
        </w:rPr>
        <w:t>Loans</w:t>
      </w:r>
      <w:r>
        <w:rPr>
          <w:rFonts w:ascii="Arial" w:cs="Arial" w:eastAsia="Arial" w:hAnsi="Arial"/>
          <w:sz w:val="17"/>
          <w:szCs w:val="17"/>
          <w:color w:val="auto"/>
        </w:rPr>
        <w:t>”).</w:t>
      </w:r>
    </w:p>
    <w:p>
      <w:pPr>
        <w:spacing w:after="0" w:line="20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Credit Agreement, as amended by the Second Restatement Agreement, provides that the Loans mature on the fifth anniversary of the Second Restatement Effective Date, subject to a springing maturity date, which is 91 days before the maturity date of the Company’s 2.50% convertible senior notes due 2025 if Minimum Liquidity is less than the sum of the redemption value of such convertible notes on that date plus $25,000,000 (the “</w:t>
      </w:r>
      <w:r>
        <w:rPr>
          <w:rFonts w:ascii="Arial" w:cs="Arial" w:eastAsia="Arial" w:hAnsi="Arial"/>
          <w:sz w:val="17"/>
          <w:szCs w:val="17"/>
          <w:u w:val="single" w:color="auto"/>
          <w:color w:val="auto"/>
        </w:rPr>
        <w:t>Maturity Date</w:t>
      </w:r>
      <w:r>
        <w:rPr>
          <w:rFonts w:ascii="Arial" w:cs="Arial" w:eastAsia="Arial" w:hAnsi="Arial"/>
          <w:sz w:val="17"/>
          <w:szCs w:val="17"/>
          <w:color w:val="auto"/>
        </w:rPr>
        <w:t>”). Commencing on the last day of the first full fiscal quarter ended after the Second Restatement Effective Date, the Term A Loans will amortize in equal quarterly installments at a rate of 5.00% per annum. The $114,375,000.00 balance (assuming the springing maturity date does not occur) will be payable on the Maturity Date.</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new Applicable Margins are initially (i) 1.75% for the Loans that are Term SOFR loans and (ii) 0.75% for the Loans that are ABR loans. Following the delivery of the financial statements for the period ending on September 30, 2023, the Applicable Margins for the Loans will instead be based on NVI’s total leverage ratio as provided in the following schedule:</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Consolidated Total Debt to Consolidated EBITDA</w:t>
            </w:r>
          </w:p>
        </w:tc>
        <w:tc>
          <w:tcPr>
            <w:tcW w:w="3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ABR Loans</w:t>
            </w:r>
          </w:p>
        </w:tc>
        <w:tc>
          <w:tcPr>
            <w:tcW w:w="3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Term SOFR Loans</w:t>
            </w:r>
          </w:p>
        </w:tc>
        <w:tc>
          <w:tcPr>
            <w:tcW w:w="0" w:type="dxa"/>
            <w:vAlign w:val="bottom"/>
          </w:tcPr>
          <w:p>
            <w:pPr>
              <w:spacing w:after="0"/>
              <w:rPr>
                <w:sz w:val="1"/>
                <w:szCs w:val="1"/>
                <w:color w:val="auto"/>
              </w:rPr>
            </w:pPr>
          </w:p>
        </w:tc>
      </w:tr>
      <w:tr>
        <w:trPr>
          <w:trHeight w:val="120"/>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Ratio</w:t>
            </w:r>
          </w:p>
        </w:tc>
        <w:tc>
          <w:tcPr>
            <w:tcW w:w="374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8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tcPr>
          <w:p>
            <w:pPr>
              <w:spacing w:after="0"/>
              <w:rPr>
                <w:sz w:val="8"/>
                <w:szCs w:val="8"/>
                <w:color w:val="auto"/>
              </w:rPr>
            </w:pPr>
          </w:p>
        </w:tc>
        <w:tc>
          <w:tcPr>
            <w:tcW w:w="3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&gt; 2.50:1.00</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1.25%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2.25%</w:t>
            </w:r>
          </w:p>
        </w:tc>
        <w:tc>
          <w:tcPr>
            <w:tcW w:w="0" w:type="dxa"/>
            <w:vAlign w:val="bottom"/>
          </w:tcPr>
          <w:p>
            <w:pPr>
              <w:spacing w:after="0"/>
              <w:rPr>
                <w:sz w:val="1"/>
                <w:szCs w:val="1"/>
                <w:color w:val="auto"/>
              </w:rPr>
            </w:pPr>
          </w:p>
        </w:tc>
      </w:tr>
      <w:tr>
        <w:trPr>
          <w:trHeight w:val="218"/>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 2.50:1.00 but &gt;1.75:1.00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 1.75:1:00 but &gt;0.75:1.00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0.75%</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1.75%</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 0.75:1:00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0.50%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1.50%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Second Restatement Agreement contains customary affirmative covenants, negative covenants, and events of default substantially comparable to the Original Credit Agreement.</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By entering into the Credit Agreement, the Company has extended its access to $300 million in liquidity through the Revolving Loans for an additional five years through June 13, 2028. In addition, the Company currently expects no material impact on its Adjusted Diluted EPS in fiscal 2023 as a result of the Credit Agreement.</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 copy of the Second Restatement Agreement, including the Credit Agreement attached as Exhibit A thereto, is filed herewith as Exhibit 10.1 and incorporated herein by reference. The above description of the Second Restatement Agreement and Credit Agreement is qualified in its entirety by reference to such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2.03 Creation of a Direct Financial Obligation or an Obligation under an Off-Balance Sheet Arrangement of a Registrant.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under Item 1.01 of this Current Report on Form 8-K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5.07 Submission of Matters to a Vote of Security Holders.</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14, 2023, the Company held its 2023 annual meeting of stockholders (the “</w:t>
      </w:r>
      <w:r>
        <w:rPr>
          <w:rFonts w:ascii="Arial" w:cs="Arial" w:eastAsia="Arial" w:hAnsi="Arial"/>
          <w:sz w:val="17"/>
          <w:szCs w:val="17"/>
          <w:u w:val="single" w:color="auto"/>
          <w:color w:val="auto"/>
        </w:rPr>
        <w:t>Annual Meeting</w:t>
      </w:r>
      <w:r>
        <w:rPr>
          <w:rFonts w:ascii="Arial" w:cs="Arial" w:eastAsia="Arial" w:hAnsi="Arial"/>
          <w:sz w:val="17"/>
          <w:szCs w:val="17"/>
          <w:color w:val="auto"/>
        </w:rPr>
        <w:t>”). The matters submitted to stockholders at the Annual Meeting and the voting results are as follows: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1: Election of Directors</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Stockholders elected six director nominees to hold office for terms expiring at the 2024 annual meeting of stockholders and until his or her successor is duly elected and qualified.</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0" w:type="dxa"/>
            <w:vAlign w:val="bottom"/>
            <w:tcBorders>
              <w:top w:val="single" w:sz="8" w:color="auto"/>
              <w:left w:val="single" w:sz="8" w:color="auto"/>
            </w:tcBorders>
          </w:tcPr>
          <w:p>
            <w:pPr>
              <w:spacing w:after="0"/>
              <w:rPr>
                <w:sz w:val="17"/>
                <w:szCs w:val="17"/>
                <w:color w:val="auto"/>
              </w:rPr>
            </w:pPr>
          </w:p>
        </w:tc>
        <w:tc>
          <w:tcPr>
            <w:tcW w:w="26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Nominee</w:t>
            </w:r>
          </w:p>
        </w:tc>
        <w:tc>
          <w:tcPr>
            <w:tcW w:w="1280" w:type="dxa"/>
            <w:vAlign w:val="bottom"/>
            <w:tcBorders>
              <w:top w:val="single" w:sz="8" w:color="auto"/>
            </w:tcBorders>
          </w:tcPr>
          <w:p>
            <w:pPr>
              <w:spacing w:after="0"/>
              <w:rPr>
                <w:sz w:val="17"/>
                <w:szCs w:val="17"/>
                <w:color w:val="auto"/>
              </w:rPr>
            </w:pPr>
          </w:p>
        </w:tc>
        <w:tc>
          <w:tcPr>
            <w:tcW w:w="1580" w:type="dxa"/>
            <w:vAlign w:val="bottom"/>
            <w:tcBorders>
              <w:top w:val="single" w:sz="8" w:color="auto"/>
              <w:right w:val="single" w:sz="8" w:color="auto"/>
            </w:tcBorders>
            <w:gridSpan w:val="2"/>
          </w:tcPr>
          <w:p>
            <w:pPr>
              <w:jc w:val="center"/>
              <w:ind w:right="1300"/>
              <w:spacing w:after="0"/>
              <w:rPr>
                <w:sz w:val="20"/>
                <w:szCs w:val="20"/>
                <w:color w:val="auto"/>
              </w:rPr>
            </w:pPr>
            <w:r>
              <w:rPr>
                <w:rFonts w:ascii="Arial" w:cs="Arial" w:eastAsia="Arial" w:hAnsi="Arial"/>
                <w:sz w:val="17"/>
                <w:szCs w:val="17"/>
                <w:b w:val="1"/>
                <w:bCs w:val="1"/>
                <w:color w:val="auto"/>
              </w:rPr>
              <w:t>For</w:t>
            </w:r>
          </w:p>
        </w:tc>
        <w:tc>
          <w:tcPr>
            <w:tcW w:w="28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4"/>
              </w:rPr>
              <w:t>Withheld</w:t>
            </w:r>
          </w:p>
        </w:tc>
        <w:tc>
          <w:tcPr>
            <w:tcW w:w="780" w:type="dxa"/>
            <w:vAlign w:val="bottom"/>
            <w:tcBorders>
              <w:top w:val="single" w:sz="8" w:color="auto"/>
            </w:tcBorders>
          </w:tcPr>
          <w:p>
            <w:pPr>
              <w:spacing w:after="0"/>
              <w:rPr>
                <w:sz w:val="17"/>
                <w:szCs w:val="17"/>
                <w:color w:val="auto"/>
              </w:rPr>
            </w:pPr>
          </w:p>
        </w:tc>
        <w:tc>
          <w:tcPr>
            <w:tcW w:w="2100" w:type="dxa"/>
            <w:vAlign w:val="bottom"/>
            <w:tcBorders>
              <w:top w:val="single" w:sz="8" w:color="auto"/>
              <w:right w:val="single" w:sz="8" w:color="auto"/>
            </w:tcBorders>
            <w:gridSpan w:val="2"/>
          </w:tcPr>
          <w:p>
            <w:pPr>
              <w:jc w:val="center"/>
              <w:ind w:right="800"/>
              <w:spacing w:after="0"/>
              <w:rPr>
                <w:sz w:val="20"/>
                <w:szCs w:val="20"/>
                <w:color w:val="auto"/>
              </w:rPr>
            </w:pPr>
            <w:r>
              <w:rPr>
                <w:rFonts w:ascii="Arial" w:cs="Arial" w:eastAsia="Arial" w:hAnsi="Arial"/>
                <w:sz w:val="17"/>
                <w:szCs w:val="17"/>
                <w:b w:val="1"/>
                <w:bCs w:val="1"/>
                <w:color w:val="auto"/>
                <w:w w:val="89"/>
              </w:rPr>
              <w:t>Broker Non-Votes</w:t>
            </w:r>
          </w:p>
        </w:tc>
      </w:tr>
      <w:tr>
        <w:trPr>
          <w:trHeight w:val="44"/>
        </w:trPr>
        <w:tc>
          <w:tcPr>
            <w:tcW w:w="40" w:type="dxa"/>
            <w:vAlign w:val="bottom"/>
            <w:tcBorders>
              <w:left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Virginia A. Hepner</w:t>
            </w:r>
          </w:p>
        </w:tc>
        <w:tc>
          <w:tcPr>
            <w:tcW w:w="28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71,654,553</w:t>
            </w:r>
          </w:p>
        </w:tc>
        <w:tc>
          <w:tcPr>
            <w:tcW w:w="176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w w:val="87"/>
              </w:rPr>
              <w:t>684,411</w:t>
            </w:r>
          </w:p>
        </w:tc>
        <w:tc>
          <w:tcPr>
            <w:tcW w:w="10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7"/>
                <w:szCs w:val="17"/>
                <w:color w:val="auto"/>
                <w:w w:val="92"/>
              </w:rPr>
              <w:t>1,646,488</w:t>
            </w:r>
          </w:p>
        </w:tc>
        <w:tc>
          <w:tcPr>
            <w:tcW w:w="800" w:type="dxa"/>
            <w:vAlign w:val="bottom"/>
            <w:tcBorders>
              <w:bottom w:val="single" w:sz="8" w:color="auto"/>
              <w:right w:val="single" w:sz="8" w:color="auto"/>
            </w:tcBorders>
          </w:tcPr>
          <w:p>
            <w:pPr>
              <w:spacing w:after="0"/>
              <w:rPr>
                <w:sz w:val="20"/>
                <w:szCs w:val="20"/>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Thomas V. Taylor, Jr.</w:t>
            </w:r>
          </w:p>
        </w:tc>
        <w:tc>
          <w:tcPr>
            <w:tcW w:w="28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71,903,779</w:t>
            </w:r>
          </w:p>
        </w:tc>
        <w:tc>
          <w:tcPr>
            <w:tcW w:w="176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w w:val="91"/>
              </w:rPr>
              <w:t>435,185</w:t>
            </w:r>
          </w:p>
        </w:tc>
        <w:tc>
          <w:tcPr>
            <w:tcW w:w="10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7"/>
                <w:szCs w:val="17"/>
                <w:color w:val="auto"/>
                <w:w w:val="92"/>
              </w:rPr>
              <w:t>1,646,488</w:t>
            </w:r>
          </w:p>
        </w:tc>
        <w:tc>
          <w:tcPr>
            <w:tcW w:w="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David M. Tehle</w:t>
            </w:r>
          </w:p>
        </w:tc>
        <w:tc>
          <w:tcPr>
            <w:tcW w:w="28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71,938,305</w:t>
            </w:r>
          </w:p>
        </w:tc>
        <w:tc>
          <w:tcPr>
            <w:tcW w:w="1760" w:type="dxa"/>
            <w:vAlign w:val="bottom"/>
            <w:gridSpan w:val="2"/>
          </w:tcPr>
          <w:p>
            <w:pPr>
              <w:jc w:val="center"/>
              <w:ind w:left="994"/>
              <w:spacing w:after="0"/>
              <w:rPr>
                <w:sz w:val="20"/>
                <w:szCs w:val="20"/>
                <w:color w:val="auto"/>
              </w:rPr>
            </w:pPr>
            <w:r>
              <w:rPr>
                <w:rFonts w:ascii="Arial" w:cs="Arial" w:eastAsia="Arial" w:hAnsi="Arial"/>
                <w:sz w:val="17"/>
                <w:szCs w:val="17"/>
                <w:color w:val="auto"/>
                <w:w w:val="91"/>
              </w:rPr>
              <w:t>400,659</w:t>
            </w:r>
          </w:p>
        </w:tc>
        <w:tc>
          <w:tcPr>
            <w:tcW w:w="1080" w:type="dxa"/>
            <w:vAlign w:val="bottom"/>
            <w:tcBorders>
              <w:right w:val="single" w:sz="8" w:color="auto"/>
            </w:tcBorders>
          </w:tcPr>
          <w:p>
            <w:pPr>
              <w:spacing w:after="0"/>
              <w:rPr>
                <w:sz w:val="19"/>
                <w:szCs w:val="19"/>
                <w:color w:val="auto"/>
              </w:rPr>
            </w:pPr>
          </w:p>
        </w:tc>
        <w:tc>
          <w:tcPr>
            <w:tcW w:w="2080" w:type="dxa"/>
            <w:vAlign w:val="bottom"/>
            <w:gridSpan w:val="2"/>
          </w:tcPr>
          <w:p>
            <w:pPr>
              <w:jc w:val="center"/>
              <w:ind w:left="694"/>
              <w:spacing w:after="0"/>
              <w:rPr>
                <w:sz w:val="20"/>
                <w:szCs w:val="20"/>
                <w:color w:val="auto"/>
              </w:rPr>
            </w:pPr>
            <w:r>
              <w:rPr>
                <w:rFonts w:ascii="Arial" w:cs="Arial" w:eastAsia="Arial" w:hAnsi="Arial"/>
                <w:sz w:val="17"/>
                <w:szCs w:val="17"/>
                <w:color w:val="auto"/>
                <w:w w:val="92"/>
              </w:rPr>
              <w:t>1,646,488</w:t>
            </w:r>
          </w:p>
        </w:tc>
        <w:tc>
          <w:tcPr>
            <w:tcW w:w="800" w:type="dxa"/>
            <w:vAlign w:val="bottom"/>
            <w:tcBorders>
              <w:right w:val="single" w:sz="8" w:color="auto"/>
            </w:tcBorders>
          </w:tcPr>
          <w:p>
            <w:pPr>
              <w:spacing w:after="0"/>
              <w:rPr>
                <w:sz w:val="19"/>
                <w:szCs w:val="19"/>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1"/>
        </w:trPr>
        <w:tc>
          <w:tcPr>
            <w:tcW w:w="4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D. Randolph Peeler</w:t>
            </w:r>
          </w:p>
        </w:tc>
        <w:tc>
          <w:tcPr>
            <w:tcW w:w="28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71,854,540</w:t>
            </w:r>
          </w:p>
        </w:tc>
        <w:tc>
          <w:tcPr>
            <w:tcW w:w="176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w w:val="91"/>
              </w:rPr>
              <w:t>484,424</w:t>
            </w:r>
          </w:p>
        </w:tc>
        <w:tc>
          <w:tcPr>
            <w:tcW w:w="10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7"/>
                <w:szCs w:val="17"/>
                <w:color w:val="auto"/>
                <w:w w:val="92"/>
              </w:rPr>
              <w:t>1,646,488</w:t>
            </w:r>
          </w:p>
        </w:tc>
        <w:tc>
          <w:tcPr>
            <w:tcW w:w="800" w:type="dxa"/>
            <w:vAlign w:val="bottom"/>
            <w:tcBorders>
              <w:bottom w:val="single" w:sz="8" w:color="auto"/>
              <w:right w:val="single" w:sz="8" w:color="auto"/>
            </w:tcBorders>
          </w:tcPr>
          <w:p>
            <w:pPr>
              <w:spacing w:after="0"/>
              <w:rPr>
                <w:sz w:val="20"/>
                <w:szCs w:val="20"/>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Heather Cianfrocco</w:t>
            </w:r>
          </w:p>
        </w:tc>
        <w:tc>
          <w:tcPr>
            <w:tcW w:w="28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71,903,903</w:t>
            </w:r>
          </w:p>
        </w:tc>
        <w:tc>
          <w:tcPr>
            <w:tcW w:w="176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w w:val="91"/>
              </w:rPr>
              <w:t>435,061</w:t>
            </w:r>
          </w:p>
        </w:tc>
        <w:tc>
          <w:tcPr>
            <w:tcW w:w="10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7"/>
                <w:szCs w:val="17"/>
                <w:color w:val="auto"/>
                <w:w w:val="92"/>
              </w:rPr>
              <w:t>1,646,488</w:t>
            </w:r>
          </w:p>
        </w:tc>
        <w:tc>
          <w:tcPr>
            <w:tcW w:w="800" w:type="dxa"/>
            <w:vAlign w:val="bottom"/>
            <w:tcBorders>
              <w:bottom w:val="single" w:sz="8" w:color="auto"/>
              <w:right w:val="single" w:sz="8" w:color="auto"/>
            </w:tcBorders>
          </w:tcPr>
          <w:p>
            <w:pPr>
              <w:spacing w:after="0"/>
              <w:rPr>
                <w:sz w:val="20"/>
                <w:szCs w:val="20"/>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Jose Armario</w:t>
            </w:r>
          </w:p>
        </w:tc>
        <w:tc>
          <w:tcPr>
            <w:tcW w:w="28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71,919,334</w:t>
            </w:r>
          </w:p>
        </w:tc>
        <w:tc>
          <w:tcPr>
            <w:tcW w:w="1760" w:type="dxa"/>
            <w:vAlign w:val="bottom"/>
            <w:gridSpan w:val="2"/>
          </w:tcPr>
          <w:p>
            <w:pPr>
              <w:jc w:val="center"/>
              <w:ind w:left="994"/>
              <w:spacing w:after="0"/>
              <w:rPr>
                <w:sz w:val="20"/>
                <w:szCs w:val="20"/>
                <w:color w:val="auto"/>
              </w:rPr>
            </w:pPr>
            <w:r>
              <w:rPr>
                <w:rFonts w:ascii="Arial" w:cs="Arial" w:eastAsia="Arial" w:hAnsi="Arial"/>
                <w:sz w:val="17"/>
                <w:szCs w:val="17"/>
                <w:color w:val="auto"/>
                <w:w w:val="91"/>
              </w:rPr>
              <w:t>419,630</w:t>
            </w:r>
          </w:p>
        </w:tc>
        <w:tc>
          <w:tcPr>
            <w:tcW w:w="1080" w:type="dxa"/>
            <w:vAlign w:val="bottom"/>
            <w:tcBorders>
              <w:right w:val="single" w:sz="8" w:color="auto"/>
            </w:tcBorders>
          </w:tcPr>
          <w:p>
            <w:pPr>
              <w:spacing w:after="0"/>
              <w:rPr>
                <w:sz w:val="20"/>
                <w:szCs w:val="20"/>
                <w:color w:val="auto"/>
              </w:rPr>
            </w:pPr>
          </w:p>
        </w:tc>
        <w:tc>
          <w:tcPr>
            <w:tcW w:w="2080" w:type="dxa"/>
            <w:vAlign w:val="bottom"/>
            <w:gridSpan w:val="2"/>
          </w:tcPr>
          <w:p>
            <w:pPr>
              <w:jc w:val="center"/>
              <w:ind w:left="694"/>
              <w:spacing w:after="0"/>
              <w:rPr>
                <w:sz w:val="20"/>
                <w:szCs w:val="20"/>
                <w:color w:val="auto"/>
              </w:rPr>
            </w:pPr>
            <w:r>
              <w:rPr>
                <w:rFonts w:ascii="Arial" w:cs="Arial" w:eastAsia="Arial" w:hAnsi="Arial"/>
                <w:sz w:val="17"/>
                <w:szCs w:val="17"/>
                <w:color w:val="auto"/>
                <w:w w:val="92"/>
              </w:rPr>
              <w:t>1,646,488</w:t>
            </w:r>
          </w:p>
        </w:tc>
        <w:tc>
          <w:tcPr>
            <w:tcW w:w="80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2: Advisory Vote on Executive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Stockholders approved, on a non-binding advisory basis, the compensation paid to the Company’s named executive officers.</w:t>
      </w:r>
    </w:p>
    <w:p>
      <w:pPr>
        <w:spacing w:after="0" w:line="176" w:lineRule="exact"/>
        <w:rPr>
          <w:sz w:val="20"/>
          <w:szCs w:val="20"/>
          <w:color w:val="auto"/>
        </w:rPr>
      </w:pPr>
    </w:p>
    <w:tbl>
      <w:tblPr>
        <w:tblLayout w:type="fixed"/>
        <w:tblInd w:w="480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280" w:type="dxa"/>
            <w:vAlign w:val="bottom"/>
          </w:tcPr>
          <w:p>
            <w:pPr>
              <w:jc w:val="center"/>
              <w:spacing w:after="0"/>
              <w:rPr>
                <w:sz w:val="20"/>
                <w:szCs w:val="20"/>
                <w:color w:val="auto"/>
              </w:rPr>
            </w:pPr>
            <w:r>
              <w:rPr>
                <w:rFonts w:ascii="Arial" w:cs="Arial" w:eastAsia="Arial" w:hAnsi="Arial"/>
                <w:sz w:val="17"/>
                <w:szCs w:val="17"/>
                <w:b w:val="1"/>
                <w:bCs w:val="1"/>
                <w:color w:val="auto"/>
              </w:rPr>
              <w:t>For</w:t>
            </w:r>
          </w:p>
        </w:tc>
        <w:tc>
          <w:tcPr>
            <w:tcW w:w="600" w:type="dxa"/>
            <w:vAlign w:val="bottom"/>
          </w:tcPr>
          <w:p>
            <w:pPr>
              <w:spacing w:after="0"/>
              <w:rPr>
                <w:sz w:val="16"/>
                <w:szCs w:val="16"/>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89"/>
              </w:rPr>
              <w:t>Against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89"/>
              </w:rPr>
              <w:t>Abstained</w:t>
            </w:r>
          </w:p>
        </w:tc>
        <w:tc>
          <w:tcPr>
            <w:tcW w:w="2240" w:type="dxa"/>
            <w:vAlign w:val="bottom"/>
            <w:gridSpan w:val="2"/>
          </w:tcPr>
          <w:p>
            <w:pPr>
              <w:jc w:val="center"/>
              <w:ind w:left="834"/>
              <w:spacing w:after="0"/>
              <w:rPr>
                <w:sz w:val="20"/>
                <w:szCs w:val="20"/>
                <w:color w:val="auto"/>
              </w:rPr>
            </w:pPr>
            <w:r>
              <w:rPr>
                <w:rFonts w:ascii="Arial" w:cs="Arial" w:eastAsia="Arial" w:hAnsi="Arial"/>
                <w:sz w:val="17"/>
                <w:szCs w:val="17"/>
                <w:b w:val="1"/>
                <w:bCs w:val="1"/>
                <w:color w:val="auto"/>
                <w:w w:val="91"/>
              </w:rPr>
              <w:t>Broker Non-Votes</w:t>
            </w:r>
          </w:p>
        </w:tc>
      </w:tr>
      <w:tr>
        <w:trPr>
          <w:trHeight w:val="20"/>
        </w:trPr>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5"/>
        </w:trPr>
        <w:tc>
          <w:tcPr>
            <w:tcW w:w="1120" w:type="dxa"/>
            <w:vAlign w:val="bottom"/>
            <w:gridSpan w:val="3"/>
          </w:tcPr>
          <w:p>
            <w:pPr>
              <w:jc w:val="right"/>
              <w:ind w:right="360"/>
              <w:spacing w:after="0"/>
              <w:rPr>
                <w:sz w:val="20"/>
                <w:szCs w:val="20"/>
                <w:color w:val="auto"/>
              </w:rPr>
            </w:pPr>
            <w:r>
              <w:rPr>
                <w:rFonts w:ascii="Arial" w:cs="Arial" w:eastAsia="Arial" w:hAnsi="Arial"/>
                <w:sz w:val="17"/>
                <w:szCs w:val="17"/>
                <w:color w:val="auto"/>
                <w:w w:val="86"/>
              </w:rPr>
              <w:t>69,994,188</w:t>
            </w:r>
          </w:p>
        </w:tc>
        <w:tc>
          <w:tcPr>
            <w:tcW w:w="1780" w:type="dxa"/>
            <w:vAlign w:val="bottom"/>
            <w:gridSpan w:val="3"/>
          </w:tcPr>
          <w:p>
            <w:pPr>
              <w:jc w:val="right"/>
              <w:ind w:right="720"/>
              <w:spacing w:after="0"/>
              <w:rPr>
                <w:sz w:val="20"/>
                <w:szCs w:val="20"/>
                <w:color w:val="auto"/>
              </w:rPr>
            </w:pPr>
            <w:r>
              <w:rPr>
                <w:rFonts w:ascii="Arial" w:cs="Arial" w:eastAsia="Arial" w:hAnsi="Arial"/>
                <w:sz w:val="17"/>
                <w:szCs w:val="17"/>
                <w:color w:val="auto"/>
              </w:rPr>
              <w:t>2,319,563</w:t>
            </w:r>
          </w:p>
        </w:tc>
        <w:tc>
          <w:tcPr>
            <w:tcW w:w="740" w:type="dxa"/>
            <w:vAlign w:val="bottom"/>
          </w:tcPr>
          <w:p>
            <w:pPr>
              <w:jc w:val="right"/>
              <w:ind w:right="54"/>
              <w:spacing w:after="0"/>
              <w:rPr>
                <w:sz w:val="20"/>
                <w:szCs w:val="20"/>
                <w:color w:val="auto"/>
              </w:rPr>
            </w:pPr>
            <w:r>
              <w:rPr>
                <w:rFonts w:ascii="Arial" w:cs="Arial" w:eastAsia="Arial" w:hAnsi="Arial"/>
                <w:sz w:val="17"/>
                <w:szCs w:val="17"/>
                <w:color w:val="auto"/>
              </w:rPr>
              <w:t>25,213</w:t>
            </w:r>
          </w:p>
        </w:tc>
        <w:tc>
          <w:tcPr>
            <w:tcW w:w="2240" w:type="dxa"/>
            <w:vAlign w:val="bottom"/>
            <w:gridSpan w:val="2"/>
          </w:tcPr>
          <w:p>
            <w:pPr>
              <w:jc w:val="right"/>
              <w:ind w:right="320"/>
              <w:spacing w:after="0"/>
              <w:rPr>
                <w:sz w:val="20"/>
                <w:szCs w:val="20"/>
                <w:color w:val="auto"/>
              </w:rPr>
            </w:pPr>
            <w:r>
              <w:rPr>
                <w:rFonts w:ascii="Arial" w:cs="Arial" w:eastAsia="Arial" w:hAnsi="Arial"/>
                <w:sz w:val="17"/>
                <w:szCs w:val="17"/>
                <w:color w:val="auto"/>
              </w:rPr>
              <w:t>1,646,488</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3: Ratification of the Appointment of the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Stockholders ratified the appointment of Deloitte &amp; Touche LLP as our independent registered public accounting firm for fiscal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80" w:type="dxa"/>
            <w:vAlign w:val="bottom"/>
          </w:tcPr>
          <w:p>
            <w:pPr>
              <w:jc w:val="center"/>
              <w:spacing w:after="0"/>
              <w:rPr>
                <w:sz w:val="20"/>
                <w:szCs w:val="20"/>
                <w:color w:val="auto"/>
              </w:rPr>
            </w:pPr>
            <w:r>
              <w:rPr>
                <w:rFonts w:ascii="Arial" w:cs="Arial" w:eastAsia="Arial" w:hAnsi="Arial"/>
                <w:sz w:val="17"/>
                <w:szCs w:val="17"/>
                <w:b w:val="1"/>
                <w:bCs w:val="1"/>
                <w:color w:val="auto"/>
              </w:rPr>
              <w:t>For</w:t>
            </w:r>
          </w:p>
        </w:tc>
        <w:tc>
          <w:tcPr>
            <w:tcW w:w="600" w:type="dxa"/>
            <w:vAlign w:val="bottom"/>
          </w:tcPr>
          <w:p>
            <w:pPr>
              <w:spacing w:after="0"/>
              <w:rPr>
                <w:sz w:val="16"/>
                <w:szCs w:val="16"/>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89"/>
              </w:rPr>
              <w:t>Against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89"/>
              </w:rPr>
              <w:t>Abstained</w:t>
            </w:r>
          </w:p>
        </w:tc>
        <w:tc>
          <w:tcPr>
            <w:tcW w:w="2800" w:type="dxa"/>
            <w:vAlign w:val="bottom"/>
            <w:gridSpan w:val="3"/>
          </w:tcPr>
          <w:p>
            <w:pPr>
              <w:jc w:val="center"/>
              <w:ind w:left="274"/>
              <w:spacing w:after="0"/>
              <w:rPr>
                <w:sz w:val="20"/>
                <w:szCs w:val="20"/>
                <w:color w:val="auto"/>
              </w:rPr>
            </w:pPr>
            <w:r>
              <w:rPr>
                <w:rFonts w:ascii="Arial" w:cs="Arial" w:eastAsia="Arial" w:hAnsi="Arial"/>
                <w:sz w:val="17"/>
                <w:szCs w:val="17"/>
                <w:b w:val="1"/>
                <w:bCs w:val="1"/>
                <w:color w:val="auto"/>
                <w:w w:val="91"/>
              </w:rPr>
              <w:t>Broker Non-Votes</w:t>
            </w:r>
          </w:p>
        </w:tc>
      </w:tr>
      <w:tr>
        <w:trPr>
          <w:trHeight w:val="20"/>
        </w:trPr>
        <w:tc>
          <w:tcPr>
            <w:tcW w:w="5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8"/>
        </w:trPr>
        <w:tc>
          <w:tcPr>
            <w:tcW w:w="5920" w:type="dxa"/>
            <w:vAlign w:val="bottom"/>
            <w:gridSpan w:val="3"/>
          </w:tcPr>
          <w:p>
            <w:pPr>
              <w:jc w:val="right"/>
              <w:ind w:right="360"/>
              <w:spacing w:after="0"/>
              <w:rPr>
                <w:sz w:val="20"/>
                <w:szCs w:val="20"/>
                <w:color w:val="auto"/>
              </w:rPr>
            </w:pPr>
            <w:r>
              <w:rPr>
                <w:rFonts w:ascii="Arial" w:cs="Arial" w:eastAsia="Arial" w:hAnsi="Arial"/>
                <w:sz w:val="17"/>
                <w:szCs w:val="17"/>
                <w:color w:val="auto"/>
              </w:rPr>
              <w:t>71,136,807</w:t>
            </w:r>
          </w:p>
        </w:tc>
        <w:tc>
          <w:tcPr>
            <w:tcW w:w="1780" w:type="dxa"/>
            <w:vAlign w:val="bottom"/>
            <w:gridSpan w:val="3"/>
          </w:tcPr>
          <w:p>
            <w:pPr>
              <w:jc w:val="right"/>
              <w:ind w:right="720"/>
              <w:spacing w:after="0"/>
              <w:rPr>
                <w:sz w:val="20"/>
                <w:szCs w:val="20"/>
                <w:color w:val="auto"/>
              </w:rPr>
            </w:pPr>
            <w:r>
              <w:rPr>
                <w:rFonts w:ascii="Arial" w:cs="Arial" w:eastAsia="Arial" w:hAnsi="Arial"/>
                <w:sz w:val="17"/>
                <w:szCs w:val="17"/>
                <w:color w:val="auto"/>
              </w:rPr>
              <w:t>2,838,672</w:t>
            </w:r>
          </w:p>
        </w:tc>
        <w:tc>
          <w:tcPr>
            <w:tcW w:w="740" w:type="dxa"/>
            <w:vAlign w:val="bottom"/>
          </w:tcPr>
          <w:p>
            <w:pPr>
              <w:jc w:val="right"/>
              <w:ind w:right="94"/>
              <w:spacing w:after="0"/>
              <w:rPr>
                <w:sz w:val="20"/>
                <w:szCs w:val="20"/>
                <w:color w:val="auto"/>
              </w:rPr>
            </w:pPr>
            <w:r>
              <w:rPr>
                <w:rFonts w:ascii="Arial" w:cs="Arial" w:eastAsia="Arial" w:hAnsi="Arial"/>
                <w:sz w:val="17"/>
                <w:szCs w:val="17"/>
                <w:color w:val="auto"/>
              </w:rPr>
              <w:t>9,973</w:t>
            </w:r>
          </w:p>
        </w:tc>
        <w:tc>
          <w:tcPr>
            <w:tcW w:w="224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560" w:type="dxa"/>
            <w:vAlign w:val="bottom"/>
          </w:tcPr>
          <w:p>
            <w:pPr>
              <w:spacing w:after="0"/>
              <w:rPr>
                <w:sz w:val="24"/>
                <w:szCs w:val="24"/>
                <w:color w:val="auto"/>
              </w:rPr>
            </w:pPr>
          </w:p>
        </w:tc>
      </w:tr>
      <w:tr>
        <w:trPr>
          <w:trHeight w:val="1400"/>
        </w:trPr>
        <w:tc>
          <w:tcPr>
            <w:tcW w:w="5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6" w:lineRule="exact"/>
        <w:rPr>
          <w:sz w:val="20"/>
          <w:szCs w:val="20"/>
          <w:color w:val="auto"/>
        </w:rPr>
      </w:pPr>
    </w:p>
    <w:p>
      <w:pPr>
        <w:ind w:left="240" w:hanging="237"/>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auto"/>
                <w:w w:val="94"/>
              </w:rPr>
              <w:t>Exhibit No.</w:t>
            </w:r>
          </w:p>
        </w:tc>
        <w:tc>
          <w:tcPr>
            <w:tcW w:w="76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Arial" w:cs="Arial" w:eastAsia="Arial" w:hAnsi="Arial"/>
                <w:sz w:val="17"/>
                <w:szCs w:val="17"/>
                <w:color w:val="auto"/>
              </w:rPr>
              <w:t>Description</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tcBorders>
              <w:bottom w:val="single" w:sz="8" w:color="0E32E1"/>
            </w:tcBorders>
          </w:tcPr>
          <w:p>
            <w:pPr>
              <w:spacing w:after="0"/>
              <w:rPr>
                <w:sz w:val="20"/>
                <w:szCs w:val="20"/>
                <w:color w:val="auto"/>
              </w:rPr>
            </w:pPr>
            <w:r>
              <w:rPr>
                <w:rFonts w:ascii="Arial" w:cs="Arial" w:eastAsia="Arial" w:hAnsi="Arial"/>
                <w:sz w:val="17"/>
                <w:szCs w:val="17"/>
                <w:color w:val="0E32E1"/>
                <w:w w:val="84"/>
              </w:rPr>
              <w:t>10.</w:t>
            </w:r>
            <w:r>
              <w:rPr>
                <w:rFonts w:ascii="Arial" w:cs="Arial" w:eastAsia="Arial" w:hAnsi="Arial"/>
                <w:sz w:val="17"/>
                <w:szCs w:val="17"/>
                <w:u w:val="single" w:color="auto"/>
                <w:color w:val="0E32E1"/>
                <w:w w:val="84"/>
              </w:rPr>
              <w:t>1</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7"/>
                <w:szCs w:val="17"/>
                <w:color w:val="auto"/>
                <w:w w:val="91"/>
              </w:rPr>
              <w:t>Second Joinder and Restatement Agreement, dated as of June 13, 2023, including as Exhibit A thereto, the Second Amended and Restated</w:t>
            </w:r>
          </w:p>
        </w:tc>
      </w:t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60" w:type="dxa"/>
            <w:vAlign w:val="bottom"/>
            <w:gridSpan w:val="2"/>
          </w:tcPr>
          <w:p>
            <w:pPr>
              <w:spacing w:after="0" w:line="187" w:lineRule="exact"/>
              <w:rPr>
                <w:sz w:val="20"/>
                <w:szCs w:val="20"/>
                <w:color w:val="auto"/>
              </w:rPr>
            </w:pPr>
            <w:r>
              <w:rPr>
                <w:rFonts w:ascii="Arial" w:cs="Arial" w:eastAsia="Arial" w:hAnsi="Arial"/>
                <w:sz w:val="17"/>
                <w:szCs w:val="17"/>
                <w:color w:val="auto"/>
                <w:w w:val="93"/>
              </w:rPr>
              <w:t>Credit Agreement, by and among Nautilus Acquisition Holdings, Inc., National Vision, Inc., certain subsidiaries of National Vision, Inc., as</w:t>
            </w:r>
          </w:p>
        </w:tc>
      </w:tr>
      <w:tr>
        <w:trPr>
          <w:trHeight w:val="217"/>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7"/>
                <w:szCs w:val="17"/>
                <w:color w:val="auto"/>
                <w:w w:val="96"/>
              </w:rPr>
              <w:t>guarantors, Bank of America, N.A., as Administrative Agent and the Collateral Agent, and the lenders from time to time party thereto.</w:t>
            </w:r>
          </w:p>
        </w:tc>
      </w:tr>
      <w:tr>
        <w:trPr>
          <w:trHeight w:val="245"/>
        </w:trPr>
        <w:tc>
          <w:tcPr>
            <w:tcW w:w="320" w:type="dxa"/>
            <w:vAlign w:val="bottom"/>
            <w:gridSpan w:val="2"/>
          </w:tcPr>
          <w:p>
            <w:pPr>
              <w:ind w:left="20"/>
              <w:spacing w:after="0"/>
              <w:rPr>
                <w:sz w:val="20"/>
                <w:szCs w:val="20"/>
                <w:color w:val="auto"/>
              </w:rPr>
            </w:pPr>
            <w:r>
              <w:rPr>
                <w:rFonts w:ascii="Arial" w:cs="Arial" w:eastAsia="Arial" w:hAnsi="Arial"/>
                <w:sz w:val="17"/>
                <w:szCs w:val="17"/>
                <w:color w:val="auto"/>
                <w:w w:val="98"/>
              </w:rPr>
              <w:t>104</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tc>
      </w:tr>
      <w:tr>
        <w:trPr>
          <w:trHeight w:val="94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7"/>
                <w:szCs w:val="17"/>
                <w:color w:val="auto"/>
              </w:rPr>
              <w:t>National Vision Holdings, Inc.</w:t>
            </w:r>
          </w:p>
        </w:tc>
      </w:tr>
      <w:tr>
        <w:trPr>
          <w:trHeight w:val="374"/>
        </w:trPr>
        <w:tc>
          <w:tcPr>
            <w:tcW w:w="2780" w:type="dxa"/>
            <w:vAlign w:val="bottom"/>
          </w:tcPr>
          <w:p>
            <w:pPr>
              <w:spacing w:after="0"/>
              <w:rPr>
                <w:sz w:val="20"/>
                <w:szCs w:val="20"/>
                <w:color w:val="auto"/>
              </w:rPr>
            </w:pPr>
            <w:r>
              <w:rPr>
                <w:rFonts w:ascii="Arial" w:cs="Arial" w:eastAsia="Arial" w:hAnsi="Arial"/>
                <w:sz w:val="17"/>
                <w:szCs w:val="17"/>
                <w:color w:val="auto"/>
              </w:rPr>
              <w:t>Date: June 20, 2023</w:t>
            </w:r>
          </w:p>
        </w:tc>
        <w:tc>
          <w:tcPr>
            <w:tcW w:w="2800" w:type="dxa"/>
            <w:vAlign w:val="bottom"/>
          </w:tcPr>
          <w:p>
            <w:pPr>
              <w:ind w:left="1420"/>
              <w:spacing w:after="0"/>
              <w:rPr>
                <w:sz w:val="20"/>
                <w:szCs w:val="20"/>
                <w:color w:val="auto"/>
              </w:rPr>
            </w:pPr>
            <w:r>
              <w:rPr>
                <w:rFonts w:ascii="Arial" w:cs="Arial" w:eastAsia="Arial" w:hAnsi="Arial"/>
                <w:sz w:val="17"/>
                <w:szCs w:val="17"/>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Jared Brandman</w:t>
            </w:r>
          </w:p>
        </w:tc>
      </w:tr>
      <w:tr>
        <w:trPr>
          <w:trHeight w:val="212"/>
        </w:trPr>
        <w:tc>
          <w:tcPr>
            <w:tcW w:w="2780" w:type="dxa"/>
            <w:vAlign w:val="bottom"/>
          </w:tcPr>
          <w:p>
            <w:pPr>
              <w:spacing w:after="0"/>
              <w:rPr>
                <w:sz w:val="18"/>
                <w:szCs w:val="18"/>
                <w:color w:val="auto"/>
              </w:rPr>
            </w:pPr>
          </w:p>
        </w:tc>
        <w:tc>
          <w:tcPr>
            <w:tcW w:w="2800" w:type="dxa"/>
            <w:vAlign w:val="bottom"/>
          </w:tcPr>
          <w:p>
            <w:pPr>
              <w:ind w:left="1420"/>
              <w:spacing w:after="0"/>
              <w:rPr>
                <w:sz w:val="20"/>
                <w:szCs w:val="20"/>
                <w:color w:val="auto"/>
              </w:rPr>
            </w:pPr>
            <w:r>
              <w:rPr>
                <w:rFonts w:ascii="Arial" w:cs="Arial" w:eastAsia="Arial" w:hAnsi="Arial"/>
                <w:sz w:val="17"/>
                <w:szCs w:val="17"/>
                <w:color w:val="auto"/>
              </w:rPr>
              <w:t>Name:</w:t>
            </w:r>
          </w:p>
        </w:tc>
        <w:tc>
          <w:tcPr>
            <w:tcW w:w="5260" w:type="dxa"/>
            <w:vAlign w:val="bottom"/>
          </w:tcPr>
          <w:p>
            <w:pPr>
              <w:ind w:left="20"/>
              <w:spacing w:after="0"/>
              <w:rPr>
                <w:sz w:val="20"/>
                <w:szCs w:val="20"/>
                <w:color w:val="auto"/>
              </w:rPr>
            </w:pPr>
            <w:r>
              <w:rPr>
                <w:rFonts w:ascii="Arial" w:cs="Arial" w:eastAsia="Arial" w:hAnsi="Arial"/>
                <w:sz w:val="17"/>
                <w:szCs w:val="17"/>
                <w:color w:val="auto"/>
              </w:rPr>
              <w:t>Jared Brandman</w:t>
            </w:r>
          </w:p>
        </w:tc>
      </w:tr>
      <w:tr>
        <w:trPr>
          <w:trHeight w:val="232"/>
        </w:trPr>
        <w:tc>
          <w:tcPr>
            <w:tcW w:w="2780" w:type="dxa"/>
            <w:vAlign w:val="bottom"/>
          </w:tcPr>
          <w:p>
            <w:pPr>
              <w:spacing w:after="0"/>
              <w:rPr>
                <w:sz w:val="20"/>
                <w:szCs w:val="20"/>
                <w:color w:val="auto"/>
              </w:rPr>
            </w:pPr>
          </w:p>
        </w:tc>
        <w:tc>
          <w:tcPr>
            <w:tcW w:w="2800" w:type="dxa"/>
            <w:vAlign w:val="bottom"/>
          </w:tcPr>
          <w:p>
            <w:pPr>
              <w:ind w:left="1420"/>
              <w:spacing w:after="0"/>
              <w:rPr>
                <w:sz w:val="20"/>
                <w:szCs w:val="20"/>
                <w:color w:val="auto"/>
              </w:rPr>
            </w:pPr>
            <w:r>
              <w:rPr>
                <w:rFonts w:ascii="Arial" w:cs="Arial" w:eastAsia="Arial" w:hAnsi="Arial"/>
                <w:sz w:val="17"/>
                <w:szCs w:val="17"/>
                <w:color w:val="auto"/>
              </w:rPr>
              <w:t>Title:</w:t>
            </w:r>
          </w:p>
        </w:tc>
        <w:tc>
          <w:tcPr>
            <w:tcW w:w="5260" w:type="dxa"/>
            <w:vAlign w:val="bottom"/>
          </w:tcPr>
          <w:p>
            <w:pPr>
              <w:ind w:left="20"/>
              <w:spacing w:after="0"/>
              <w:rPr>
                <w:sz w:val="20"/>
                <w:szCs w:val="20"/>
                <w:color w:val="auto"/>
              </w:rPr>
            </w:pPr>
            <w:r>
              <w:rPr>
                <w:rFonts w:ascii="Arial" w:cs="Arial" w:eastAsia="Arial" w:hAnsi="Arial"/>
                <w:sz w:val="17"/>
                <w:szCs w:val="17"/>
                <w:color w:val="auto"/>
              </w:rPr>
              <w:t>Senior Vice President, General Counsel and Secretary</w:t>
            </w:r>
          </w:p>
        </w:tc>
      </w:tr>
    </w:tbl>
    <w:p>
      <w:pPr>
        <w:sectPr>
          <w:pgSz w:w="11900" w:h="16838" w:orient="portrait"/>
          <w:cols w:equalWidth="0" w:num="1">
            <w:col w:w="11240"/>
          </w:cols>
          <w:pgMar w:left="320" w:top="85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9"/>
          <w:szCs w:val="19"/>
          <w:b w:val="1"/>
          <w:bCs w:val="1"/>
          <w:color w:val="auto"/>
        </w:rPr>
        <w:t>Exhibit 10.1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JOINDER AND RESTATEMENT AGREEMENT</w:t>
      </w:r>
    </w:p>
    <w:p>
      <w:pPr>
        <w:spacing w:after="0" w:line="227" w:lineRule="exact"/>
        <w:rPr>
          <w:sz w:val="20"/>
          <w:szCs w:val="20"/>
          <w:color w:val="auto"/>
        </w:rPr>
      </w:pPr>
    </w:p>
    <w:p>
      <w:pPr>
        <w:ind w:right="80" w:firstLine="619"/>
        <w:spacing w:after="0" w:line="241" w:lineRule="auto"/>
        <w:rPr>
          <w:sz w:val="20"/>
          <w:szCs w:val="20"/>
          <w:color w:val="auto"/>
        </w:rPr>
      </w:pPr>
      <w:r>
        <w:rPr>
          <w:rFonts w:ascii="Arial" w:cs="Arial" w:eastAsia="Arial" w:hAnsi="Arial"/>
          <w:sz w:val="19"/>
          <w:szCs w:val="19"/>
          <w:color w:val="auto"/>
        </w:rPr>
        <w:t>This SECOND JOINDER AND RESTATEMENT AGREEMENT, dated as of June 13, 2023 (this “</w:t>
      </w:r>
      <w:r>
        <w:rPr>
          <w:rFonts w:ascii="Arial" w:cs="Arial" w:eastAsia="Arial" w:hAnsi="Arial"/>
          <w:sz w:val="19"/>
          <w:szCs w:val="19"/>
          <w:b w:val="1"/>
          <w:bCs w:val="1"/>
          <w:color w:val="auto"/>
        </w:rPr>
        <w:t>Second Restatement Agreement</w:t>
      </w:r>
      <w:r>
        <w:rPr>
          <w:rFonts w:ascii="Arial" w:cs="Arial" w:eastAsia="Arial" w:hAnsi="Arial"/>
          <w:sz w:val="19"/>
          <w:szCs w:val="19"/>
          <w:color w:val="auto"/>
        </w:rPr>
        <w:t>”), by and among the New Lenders (as defined below) party hereto, the Letter of Credit Issuers party hereto, Nautilus Acquisition Holdings, Inc., a Delaware corporation (“</w:t>
      </w:r>
      <w:r>
        <w:rPr>
          <w:rFonts w:ascii="Arial" w:cs="Arial" w:eastAsia="Arial" w:hAnsi="Arial"/>
          <w:sz w:val="19"/>
          <w:szCs w:val="19"/>
          <w:b w:val="1"/>
          <w:bCs w:val="1"/>
          <w:color w:val="auto"/>
        </w:rPr>
        <w:t>Holdings</w:t>
      </w:r>
      <w:r>
        <w:rPr>
          <w:rFonts w:ascii="Arial" w:cs="Arial" w:eastAsia="Arial" w:hAnsi="Arial"/>
          <w:sz w:val="19"/>
          <w:szCs w:val="19"/>
          <w:color w:val="auto"/>
        </w:rPr>
        <w:t xml:space="preserve">”), National Vision, Inc., a Georgia corporation (the “ </w:t>
      </w:r>
      <w:r>
        <w:rPr>
          <w:rFonts w:ascii="Arial" w:cs="Arial" w:eastAsia="Arial" w:hAnsi="Arial"/>
          <w:sz w:val="19"/>
          <w:szCs w:val="19"/>
          <w:b w:val="1"/>
          <w:bCs w:val="1"/>
          <w:color w:val="auto"/>
        </w:rPr>
        <w:t>Borrower</w:t>
      </w:r>
      <w:r>
        <w:rPr>
          <w:rFonts w:ascii="Arial" w:cs="Arial" w:eastAsia="Arial" w:hAnsi="Arial"/>
          <w:sz w:val="19"/>
          <w:szCs w:val="19"/>
          <w:color w:val="auto"/>
        </w:rPr>
        <w:t>”), the subsidiaries of the Borrower party hereto, as guarantors (together with Holdings, the “</w:t>
      </w:r>
      <w:r>
        <w:rPr>
          <w:rFonts w:ascii="Arial" w:cs="Arial" w:eastAsia="Arial" w:hAnsi="Arial"/>
          <w:sz w:val="19"/>
          <w:szCs w:val="19"/>
          <w:b w:val="1"/>
          <w:bCs w:val="1"/>
          <w:color w:val="auto"/>
        </w:rPr>
        <w:t>Guarantors</w:t>
      </w:r>
      <w:r>
        <w:rPr>
          <w:rFonts w:ascii="Arial" w:cs="Arial" w:eastAsia="Arial" w:hAnsi="Arial"/>
          <w:sz w:val="19"/>
          <w:szCs w:val="19"/>
          <w:color w:val="auto"/>
        </w:rPr>
        <w:t>”), and Bank of America, N.A. (“</w:t>
      </w:r>
      <w:r>
        <w:rPr>
          <w:rFonts w:ascii="Arial" w:cs="Arial" w:eastAsia="Arial" w:hAnsi="Arial"/>
          <w:sz w:val="19"/>
          <w:szCs w:val="19"/>
          <w:b w:val="1"/>
          <w:bCs w:val="1"/>
          <w:color w:val="auto"/>
        </w:rPr>
        <w:t>Bank of America</w:t>
      </w:r>
      <w:r>
        <w:rPr>
          <w:rFonts w:ascii="Arial" w:cs="Arial" w:eastAsia="Arial" w:hAnsi="Arial"/>
          <w:sz w:val="19"/>
          <w:szCs w:val="19"/>
          <w:color w:val="auto"/>
        </w:rPr>
        <w:t>”) in its capacity as administrative agent and collateral agent (the “</w:t>
      </w:r>
      <w:r>
        <w:rPr>
          <w:rFonts w:ascii="Arial" w:cs="Arial" w:eastAsia="Arial" w:hAnsi="Arial"/>
          <w:sz w:val="19"/>
          <w:szCs w:val="19"/>
          <w:b w:val="1"/>
          <w:bCs w:val="1"/>
          <w:color w:val="auto"/>
        </w:rPr>
        <w:t>Administrative Agent</w:t>
      </w:r>
      <w:r>
        <w:rPr>
          <w:rFonts w:ascii="Arial" w:cs="Arial" w:eastAsia="Arial" w:hAnsi="Arial"/>
          <w:sz w:val="19"/>
          <w:szCs w:val="19"/>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r>
        <w:rPr>
          <w:rFonts w:ascii="Arial" w:cs="Arial" w:eastAsia="Arial" w:hAnsi="Arial"/>
          <w:sz w:val="19"/>
          <w:szCs w:val="19"/>
          <w:color w:val="auto"/>
        </w:rPr>
        <w:t>:</w:t>
      </w:r>
    </w:p>
    <w:p>
      <w:pPr>
        <w:spacing w:after="0" w:line="200" w:lineRule="exact"/>
        <w:rPr>
          <w:sz w:val="20"/>
          <w:szCs w:val="20"/>
          <w:color w:val="auto"/>
        </w:rPr>
      </w:pPr>
    </w:p>
    <w:p>
      <w:pPr>
        <w:ind w:right="200" w:firstLine="619"/>
        <w:spacing w:after="0" w:line="274" w:lineRule="auto"/>
        <w:rPr>
          <w:sz w:val="20"/>
          <w:szCs w:val="20"/>
          <w:color w:val="auto"/>
        </w:rPr>
      </w:pPr>
      <w:r>
        <w:rPr>
          <w:rFonts w:ascii="Arial" w:cs="Arial" w:eastAsia="Arial" w:hAnsi="Arial"/>
          <w:sz w:val="17"/>
          <w:szCs w:val="17"/>
          <w:color w:val="auto"/>
        </w:rPr>
        <w:t>WHEREAS, reference is hereby made to that certain Amended and Restated Credit Agreement dated as of July 18, 2019 (as amended, restated, amended and restated, supplemented or otherwise modified prior to the date hereof, the “</w:t>
      </w:r>
      <w:r>
        <w:rPr>
          <w:rFonts w:ascii="Arial" w:cs="Arial" w:eastAsia="Arial" w:hAnsi="Arial"/>
          <w:sz w:val="17"/>
          <w:szCs w:val="17"/>
          <w:b w:val="1"/>
          <w:bCs w:val="1"/>
          <w:color w:val="auto"/>
        </w:rPr>
        <w:t>Credit Agreement</w:t>
      </w:r>
      <w:r>
        <w:rPr>
          <w:rFonts w:ascii="Arial" w:cs="Arial" w:eastAsia="Arial" w:hAnsi="Arial"/>
          <w:sz w:val="17"/>
          <w:szCs w:val="17"/>
          <w:color w:val="auto"/>
        </w:rPr>
        <w:t>” and, as further amended by this Second Restatement Agreement, the “</w:t>
      </w:r>
      <w:r>
        <w:rPr>
          <w:rFonts w:ascii="Arial" w:cs="Arial" w:eastAsia="Arial" w:hAnsi="Arial"/>
          <w:sz w:val="17"/>
          <w:szCs w:val="17"/>
          <w:b w:val="1"/>
          <w:bCs w:val="1"/>
          <w:color w:val="auto"/>
        </w:rPr>
        <w:t>Second Amended and Restated Credit Agreement</w:t>
      </w:r>
      <w:r>
        <w:rPr>
          <w:rFonts w:ascii="Arial" w:cs="Arial" w:eastAsia="Arial" w:hAnsi="Arial"/>
          <w:sz w:val="17"/>
          <w:szCs w:val="17"/>
          <w:color w:val="auto"/>
        </w:rPr>
        <w:t>”) among Holdings, the Borrower, the lending institutions from time to time parties thereto and Bank of America, in its capacity as administrative agent and collateral agent (capitalized terms used but not defined herein having the meaning provided in the Second Amended and Restated Credit Agreement);</w:t>
      </w:r>
    </w:p>
    <w:p>
      <w:pPr>
        <w:spacing w:after="0" w:line="160" w:lineRule="exact"/>
        <w:rPr>
          <w:sz w:val="20"/>
          <w:szCs w:val="20"/>
          <w:color w:val="auto"/>
        </w:rPr>
      </w:pPr>
    </w:p>
    <w:p>
      <w:pPr>
        <w:ind w:right="20" w:firstLine="619"/>
        <w:spacing w:after="0" w:line="239" w:lineRule="auto"/>
        <w:rPr>
          <w:sz w:val="20"/>
          <w:szCs w:val="20"/>
          <w:color w:val="auto"/>
        </w:rPr>
      </w:pPr>
      <w:r>
        <w:rPr>
          <w:rFonts w:ascii="Arial" w:cs="Arial" w:eastAsia="Arial" w:hAnsi="Arial"/>
          <w:sz w:val="19"/>
          <w:szCs w:val="19"/>
          <w:color w:val="auto"/>
        </w:rPr>
        <w:t>WHEREAS, subject to the terms and conditions of the Credit Agreement, the Borrower may establish New Term Loan Commitments and New Revolving Credit Commitments by, among other things, entering into one or more Joinder Agreements with New Term Loan Lenders and New Revolving Loan Lenders, as applicable;</w:t>
      </w:r>
    </w:p>
    <w:p>
      <w:pPr>
        <w:spacing w:after="0" w:line="185" w:lineRule="exact"/>
        <w:rPr>
          <w:sz w:val="20"/>
          <w:szCs w:val="20"/>
          <w:color w:val="auto"/>
        </w:rPr>
      </w:pPr>
    </w:p>
    <w:p>
      <w:pPr>
        <w:ind w:right="40" w:firstLine="619"/>
        <w:spacing w:after="0" w:line="256" w:lineRule="auto"/>
        <w:rPr>
          <w:sz w:val="20"/>
          <w:szCs w:val="20"/>
          <w:color w:val="auto"/>
        </w:rPr>
      </w:pPr>
      <w:r>
        <w:rPr>
          <w:rFonts w:ascii="Arial" w:cs="Arial" w:eastAsia="Arial" w:hAnsi="Arial"/>
          <w:sz w:val="18"/>
          <w:szCs w:val="18"/>
          <w:color w:val="auto"/>
        </w:rPr>
        <w:t>WHEREAS, the Borrower has requested that the Credit Agreement be amended and restated pursuant to Section 2.14 of the Credit Agreement to, among other things, (i) establish commitments for the Term A Loans in an aggregate principal amount of $150,000,000 (the “</w:t>
      </w:r>
      <w:r>
        <w:rPr>
          <w:rFonts w:ascii="Arial" w:cs="Arial" w:eastAsia="Arial" w:hAnsi="Arial"/>
          <w:sz w:val="18"/>
          <w:szCs w:val="18"/>
          <w:b w:val="1"/>
          <w:bCs w:val="1"/>
          <w:color w:val="auto"/>
        </w:rPr>
        <w:t>Term A</w:t>
      </w:r>
      <w:r>
        <w:rPr>
          <w:rFonts w:ascii="Arial" w:cs="Arial" w:eastAsia="Arial" w:hAnsi="Arial"/>
          <w:sz w:val="18"/>
          <w:szCs w:val="18"/>
          <w:color w:val="auto"/>
        </w:rPr>
        <w:t xml:space="preserve"> </w:t>
      </w:r>
      <w:r>
        <w:rPr>
          <w:rFonts w:ascii="Arial" w:cs="Arial" w:eastAsia="Arial" w:hAnsi="Arial"/>
          <w:sz w:val="18"/>
          <w:szCs w:val="18"/>
          <w:b w:val="1"/>
          <w:bCs w:val="1"/>
          <w:color w:val="auto"/>
        </w:rPr>
        <w:t>Loan Facility</w:t>
      </w:r>
      <w:r>
        <w:rPr>
          <w:rFonts w:ascii="Arial" w:cs="Arial" w:eastAsia="Arial" w:hAnsi="Arial"/>
          <w:sz w:val="18"/>
          <w:szCs w:val="18"/>
          <w:color w:val="auto"/>
        </w:rPr>
        <w:t>” and such commitments, the “</w:t>
      </w:r>
      <w:r>
        <w:rPr>
          <w:rFonts w:ascii="Arial" w:cs="Arial" w:eastAsia="Arial" w:hAnsi="Arial"/>
          <w:sz w:val="18"/>
          <w:szCs w:val="18"/>
          <w:b w:val="1"/>
          <w:bCs w:val="1"/>
          <w:color w:val="auto"/>
        </w:rPr>
        <w:t>Term A Loan Commitments</w:t>
      </w:r>
      <w:r>
        <w:rPr>
          <w:rFonts w:ascii="Arial" w:cs="Arial" w:eastAsia="Arial" w:hAnsi="Arial"/>
          <w:sz w:val="18"/>
          <w:szCs w:val="18"/>
          <w:color w:val="auto"/>
        </w:rPr>
        <w:t>”) and (ii) establish a new Revolving Credit Facility in an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up to $300,000,000 (the “</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and such commitments, the “</w:t>
      </w:r>
      <w:r>
        <w:rPr>
          <w:rFonts w:ascii="Arial" w:cs="Arial" w:eastAsia="Arial" w:hAnsi="Arial"/>
          <w:sz w:val="18"/>
          <w:szCs w:val="18"/>
          <w:b w:val="1"/>
          <w:bCs w:val="1"/>
          <w:color w:val="auto"/>
        </w:rPr>
        <w:t>Revolving Credit Commitments</w:t>
      </w:r>
      <w:r>
        <w:rPr>
          <w:rFonts w:ascii="Arial" w:cs="Arial" w:eastAsia="Arial" w:hAnsi="Arial"/>
          <w:sz w:val="18"/>
          <w:szCs w:val="18"/>
          <w:color w:val="auto"/>
        </w:rPr>
        <w:t>”); the term “</w:t>
      </w:r>
      <w:r>
        <w:rPr>
          <w:rFonts w:ascii="Arial" w:cs="Arial" w:eastAsia="Arial" w:hAnsi="Arial"/>
          <w:sz w:val="18"/>
          <w:szCs w:val="18"/>
          <w:b w:val="1"/>
          <w:bCs w:val="1"/>
          <w:color w:val="auto"/>
        </w:rPr>
        <w:t>New Facilities</w:t>
      </w:r>
      <w:r>
        <w:rPr>
          <w:rFonts w:ascii="Arial" w:cs="Arial" w:eastAsia="Arial" w:hAnsi="Arial"/>
          <w:sz w:val="18"/>
          <w:szCs w:val="18"/>
          <w:color w:val="auto"/>
        </w:rPr>
        <w:t>” means the Term A Facility and the Revolving Credit Facility;</w:t>
      </w:r>
    </w:p>
    <w:p>
      <w:pPr>
        <w:spacing w:after="0" w:line="159" w:lineRule="exact"/>
        <w:rPr>
          <w:sz w:val="20"/>
          <w:szCs w:val="20"/>
          <w:color w:val="auto"/>
        </w:rPr>
      </w:pPr>
    </w:p>
    <w:p>
      <w:pPr>
        <w:ind w:right="240" w:firstLine="619"/>
        <w:spacing w:after="0" w:line="239" w:lineRule="auto"/>
        <w:rPr>
          <w:sz w:val="20"/>
          <w:szCs w:val="20"/>
          <w:color w:val="auto"/>
        </w:rPr>
      </w:pPr>
      <w:r>
        <w:rPr>
          <w:rFonts w:ascii="Arial" w:cs="Arial" w:eastAsia="Arial" w:hAnsi="Arial"/>
          <w:sz w:val="19"/>
          <w:szCs w:val="19"/>
          <w:color w:val="auto"/>
        </w:rPr>
        <w:t>WHEREAS, the proceeds of the New Facilities will be used (i) to repay all principal, interest fees and other amounts outstanding (other than contingent obligations for which no claim has been asserted) under the Amended and Restated Credit Agreement immediately prior to the Second Restatement Effective Date, and to permanently terminate all Commitments (as defined in the Credit Agreement)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Commitments</w:t>
      </w:r>
      <w:r>
        <w:rPr>
          <w:rFonts w:ascii="Arial" w:cs="Arial" w:eastAsia="Arial" w:hAnsi="Arial"/>
          <w:sz w:val="19"/>
          <w:szCs w:val="19"/>
          <w:color w:val="auto"/>
        </w:rPr>
        <w:t>”) in connection therewith, (ii) to pay fees and expenses incurred in connection with the transactions contemplated hereby and (iii)</w:t>
      </w:r>
      <w:r>
        <w:rPr>
          <w:rFonts w:ascii="Arial" w:cs="Arial" w:eastAsia="Arial" w:hAnsi="Arial"/>
          <w:sz w:val="19"/>
          <w:szCs w:val="19"/>
          <w:b w:val="1"/>
          <w:bCs w:val="1"/>
          <w:color w:val="auto"/>
        </w:rPr>
        <w:t xml:space="preserve"> </w:t>
      </w:r>
      <w:r>
        <w:rPr>
          <w:rFonts w:ascii="Arial" w:cs="Arial" w:eastAsia="Arial" w:hAnsi="Arial"/>
          <w:sz w:val="19"/>
          <w:szCs w:val="19"/>
          <w:color w:val="auto"/>
        </w:rPr>
        <w:t>for general corporate purposes (collectively, the “</w:t>
      </w:r>
      <w:r>
        <w:rPr>
          <w:rFonts w:ascii="Arial" w:cs="Arial" w:eastAsia="Arial" w:hAnsi="Arial"/>
          <w:sz w:val="19"/>
          <w:szCs w:val="19"/>
          <w:b w:val="1"/>
          <w:bCs w:val="1"/>
          <w:color w:val="auto"/>
        </w:rPr>
        <w:t>Transactions</w:t>
      </w:r>
      <w:r>
        <w:rPr>
          <w:rFonts w:ascii="Arial" w:cs="Arial" w:eastAsia="Arial" w:hAnsi="Arial"/>
          <w:sz w:val="19"/>
          <w:szCs w:val="19"/>
          <w:color w:val="auto"/>
        </w:rPr>
        <w:t>”);</w:t>
      </w:r>
    </w:p>
    <w:p>
      <w:pPr>
        <w:spacing w:after="0" w:line="170" w:lineRule="exact"/>
        <w:rPr>
          <w:sz w:val="20"/>
          <w:szCs w:val="20"/>
          <w:color w:val="auto"/>
        </w:rPr>
      </w:pPr>
    </w:p>
    <w:p>
      <w:pPr>
        <w:ind w:right="80" w:firstLine="619"/>
        <w:spacing w:after="0" w:line="248" w:lineRule="auto"/>
        <w:rPr>
          <w:sz w:val="20"/>
          <w:szCs w:val="20"/>
          <w:color w:val="auto"/>
        </w:rPr>
      </w:pPr>
      <w:r>
        <w:rPr>
          <w:rFonts w:ascii="Arial" w:cs="Arial" w:eastAsia="Arial" w:hAnsi="Arial"/>
          <w:sz w:val="19"/>
          <w:szCs w:val="19"/>
          <w:color w:val="auto"/>
        </w:rPr>
        <w:t xml:space="preserve">WHEREAS, each financial institution listed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of the Second Amended and Restated Credit Agreement (each a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has agreed to provide a Term A Loan Commitment and/or a Revolving Credit Commitment, in the amount(s) set forth opposite such New</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name on such; and</w:t>
      </w:r>
    </w:p>
    <w:p>
      <w:pPr>
        <w:spacing w:after="0" w:line="167" w:lineRule="exact"/>
        <w:rPr>
          <w:sz w:val="20"/>
          <w:szCs w:val="20"/>
          <w:color w:val="auto"/>
        </w:rPr>
      </w:pPr>
    </w:p>
    <w:p>
      <w:pPr>
        <w:ind w:firstLine="619"/>
        <w:spacing w:after="0" w:line="264" w:lineRule="auto"/>
        <w:rPr>
          <w:sz w:val="20"/>
          <w:szCs w:val="20"/>
          <w:color w:val="auto"/>
        </w:rPr>
      </w:pPr>
      <w:r>
        <w:rPr>
          <w:rFonts w:ascii="Arial" w:cs="Arial" w:eastAsia="Arial" w:hAnsi="Arial"/>
          <w:sz w:val="19"/>
          <w:szCs w:val="19"/>
          <w:color w:val="auto"/>
        </w:rPr>
        <w:t>NOW, THEREFORE, in consideration of the premises and agreements, provisions and covenants herein contained, the parties hereto hereby agree as follows:</w:t>
      </w:r>
    </w:p>
    <w:p>
      <w:pPr>
        <w:sectPr>
          <w:pgSz w:w="11900" w:h="16838" w:orient="portrait"/>
          <w:cols w:equalWidth="0" w:num="1">
            <w:col w:w="11240"/>
          </w:cols>
          <w:pgMar w:left="320" w:top="118" w:right="339" w:bottom="1440" w:gutter="0" w:footer="0" w:header="0"/>
        </w:sectPr>
      </w:pPr>
    </w:p>
    <w:bookmarkStart w:id="6" w:name="page7"/>
    <w:bookmarkEnd w:id="6"/>
    <w:p>
      <w:pPr>
        <w:spacing w:after="0" w:line="217" w:lineRule="exact"/>
        <w:rPr>
          <w:sz w:val="20"/>
          <w:szCs w:val="20"/>
          <w:color w:val="auto"/>
        </w:rPr>
      </w:pPr>
    </w:p>
    <w:p>
      <w:pPr>
        <w:ind w:firstLine="619"/>
        <w:spacing w:after="0" w:line="25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Second Amendment and Restatement of the Credit Agreement, Exhibits and Schedules; Establishment of New Loans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w:t>
      </w:r>
    </w:p>
    <w:p>
      <w:pPr>
        <w:spacing w:after="0" w:line="177" w:lineRule="exact"/>
        <w:rPr>
          <w:sz w:val="20"/>
          <w:szCs w:val="20"/>
          <w:color w:val="auto"/>
        </w:rPr>
      </w:pPr>
    </w:p>
    <w:p>
      <w:pPr>
        <w:ind w:right="120" w:firstLine="622"/>
        <w:spacing w:after="0" w:line="245" w:lineRule="auto"/>
        <w:tabs>
          <w:tab w:leader="none" w:pos="1238"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Credit Agreement is, effective as of the Second Restatement Effective Date, hereby amended and restated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Additionally, the schedules and exhibits to the Credit Agreement are hereby amended and restated in the form attached to the Second Amended and Restated Credit Agreement.</w:t>
      </w:r>
    </w:p>
    <w:p>
      <w:pPr>
        <w:spacing w:after="0" w:line="168" w:lineRule="exact"/>
        <w:rPr>
          <w:rFonts w:ascii="Arial" w:cs="Arial" w:eastAsia="Arial" w:hAnsi="Arial"/>
          <w:sz w:val="19"/>
          <w:szCs w:val="19"/>
          <w:color w:val="auto"/>
        </w:rPr>
      </w:pPr>
    </w:p>
    <w:p>
      <w:pPr>
        <w:jc w:val="both"/>
        <w:ind w:firstLine="622"/>
        <w:spacing w:after="0" w:line="359" w:lineRule="auto"/>
        <w:tabs>
          <w:tab w:leader="none" w:pos="123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effective as of the Second Restatement Effective Date, the Commitments under the Term A Loan Facility and the Revolving Credit Facility will be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of the Second Amended and Restated Credit Agreement.</w:t>
      </w:r>
    </w:p>
    <w:p>
      <w:pPr>
        <w:spacing w:after="0" w:line="81" w:lineRule="exact"/>
        <w:rPr>
          <w:rFonts w:ascii="Arial" w:cs="Arial" w:eastAsia="Arial" w:hAnsi="Arial"/>
          <w:sz w:val="16"/>
          <w:szCs w:val="16"/>
          <w:color w:val="auto"/>
        </w:rPr>
      </w:pPr>
    </w:p>
    <w:p>
      <w:pPr>
        <w:ind w:right="480" w:firstLine="622"/>
        <w:spacing w:after="0" w:line="245" w:lineRule="auto"/>
        <w:tabs>
          <w:tab w:leader="none" w:pos="1238" w:val="left"/>
        </w:tabs>
        <w:numPr>
          <w:ilvl w:val="0"/>
          <w:numId w:val="3"/>
        </w:numPr>
        <w:rPr>
          <w:rFonts w:ascii="Arial" w:cs="Arial" w:eastAsia="Arial" w:hAnsi="Arial"/>
          <w:sz w:val="19"/>
          <w:szCs w:val="19"/>
          <w:color w:val="auto"/>
        </w:rPr>
      </w:pPr>
      <w:r>
        <w:rPr>
          <w:rFonts w:ascii="Arial" w:cs="Arial" w:eastAsia="Arial" w:hAnsi="Arial"/>
          <w:sz w:val="19"/>
          <w:szCs w:val="19"/>
          <w:color w:val="auto"/>
        </w:rPr>
        <w:t>All obligations in respect of the New Facilities established hereby shall (i) constitute Obligations and have all of the benefits thereof, (ii) be guaranteed by the Guarantors pursuant to the Guarantee and (iii) be secured by the Liens granted to the Collateral Agent for the benefit of the Secured Parties under the Security Documents.</w:t>
      </w:r>
    </w:p>
    <w:p>
      <w:pPr>
        <w:spacing w:after="0" w:line="168" w:lineRule="exact"/>
        <w:rPr>
          <w:rFonts w:ascii="Arial" w:cs="Arial" w:eastAsia="Arial" w:hAnsi="Arial"/>
          <w:sz w:val="19"/>
          <w:szCs w:val="19"/>
          <w:color w:val="auto"/>
        </w:rPr>
      </w:pPr>
    </w:p>
    <w:p>
      <w:pPr>
        <w:ind w:right="460" w:firstLine="622"/>
        <w:spacing w:after="0" w:line="292" w:lineRule="auto"/>
        <w:tabs>
          <w:tab w:leader="none" w:pos="123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Each New Lender party hereto hereby agrees to commit to provide its respective Term A Loan Commitment and/or Revolving Credit Commitment in the amount(s)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of the Second Amended and Restated Credit Agreement.</w:t>
      </w:r>
    </w:p>
    <w:p>
      <w:pPr>
        <w:spacing w:after="0" w:line="128" w:lineRule="exact"/>
        <w:rPr>
          <w:rFonts w:ascii="Arial" w:cs="Arial" w:eastAsia="Arial" w:hAnsi="Arial"/>
          <w:sz w:val="18"/>
          <w:szCs w:val="18"/>
          <w:color w:val="auto"/>
        </w:rPr>
      </w:pPr>
    </w:p>
    <w:p>
      <w:pPr>
        <w:ind w:right="120" w:firstLine="622"/>
        <w:spacing w:after="0" w:line="266" w:lineRule="auto"/>
        <w:tabs>
          <w:tab w:leader="none" w:pos="1238"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New Lender (i) confirms that it has received a copy of the Second Amended and Restated Credit Agreement and the other Credit Documents and the exhibits thereto, together with copies of the financial statements referred to therein and such other documents and information as it has deemed appropriate to make its own credit analysis and decision to enter into this Second Restatement Agreement; (ii) agrees that it will, independently and without reliance upon the Administrative Agent, the Collateral Agent, any other New Lender or any other Lender or Agent and based on such documents and information as it shall deem appropriate at the time, continue to make its own credit decisions in taking or not taking action under the Second Amended and Restated Credit Agreement; (iii) appoints and authorizes the Administrative Agent and the Collateral Agent to take such action as agent on its behalf and to exercise such powers under the Second Amended and Restated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Second Amended and Restated Credit Agreement are required to be performed by it as a Lender.</w:t>
      </w:r>
    </w:p>
    <w:p>
      <w:pPr>
        <w:spacing w:after="0" w:line="154"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7"/>
          <w:szCs w:val="17"/>
          <w:u w:val="single" w:color="auto"/>
          <w:color w:val="auto"/>
        </w:rPr>
        <w:t>Reference to and Effect on the Credit Documents</w:t>
      </w:r>
      <w:r>
        <w:rPr>
          <w:rFonts w:ascii="Arial" w:cs="Arial" w:eastAsia="Arial" w:hAnsi="Arial"/>
          <w:sz w:val="17"/>
          <w:szCs w:val="17"/>
          <w:color w:val="auto"/>
        </w:rPr>
        <w:t>.</w:t>
      </w:r>
    </w:p>
    <w:p>
      <w:pPr>
        <w:spacing w:after="0" w:line="207" w:lineRule="exact"/>
        <w:rPr>
          <w:sz w:val="20"/>
          <w:szCs w:val="20"/>
          <w:color w:val="auto"/>
        </w:rPr>
      </w:pPr>
    </w:p>
    <w:p>
      <w:pPr>
        <w:ind w:right="280" w:firstLine="622"/>
        <w:spacing w:after="0" w:line="236" w:lineRule="auto"/>
        <w:tabs>
          <w:tab w:leader="none" w:pos="1238"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and after the Second Restatement Effective Date, each reference in the Credit Agreement to “this Credit Agreement,” “hereunder,” “hereof” or words of like import referring to the Credit Agreement, and each reference in the other Credit Documents to “the Credit Agreement,” “thereunder,” “thereof” or words of like import referring to the “Amended and Restated Credit Agreement,” shall mean and be a reference to the Second Amended and Restated Credit Agreement, and any reference to “Obligations” shall mean and be a reference to the “Obligations” under the Second Amended and Restated Credit Agreement.</w:t>
      </w:r>
    </w:p>
    <w:p>
      <w:pPr>
        <w:spacing w:after="0" w:line="189" w:lineRule="exact"/>
        <w:rPr>
          <w:rFonts w:ascii="Arial" w:cs="Arial" w:eastAsia="Arial" w:hAnsi="Arial"/>
          <w:sz w:val="19"/>
          <w:szCs w:val="19"/>
          <w:color w:val="auto"/>
        </w:rPr>
      </w:pPr>
    </w:p>
    <w:p>
      <w:pPr>
        <w:ind w:right="80" w:firstLine="622"/>
        <w:spacing w:after="0" w:line="239" w:lineRule="auto"/>
        <w:tabs>
          <w:tab w:leader="none" w:pos="1238"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and after the Second Restatement Effective Date, the Credit Agreement, as specifically amended and restated by this Second Restatement Agreement, and the other Credit Documents are, and shall continue to be, in full force and effect, and are hereby in all respects ratified and confirmed (including the Guarantee and all Liens and security interests granted thereunder, which shall continue to secure the Obligations in effect after giving effect to this Second Restatement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217" w:lineRule="exact"/>
        <w:rPr>
          <w:sz w:val="20"/>
          <w:szCs w:val="20"/>
          <w:color w:val="auto"/>
        </w:rPr>
      </w:pPr>
    </w:p>
    <w:p>
      <w:pPr>
        <w:ind w:right="20" w:firstLine="622"/>
        <w:spacing w:after="0" w:line="250" w:lineRule="auto"/>
        <w:tabs>
          <w:tab w:leader="none" w:pos="1238" w:val="left"/>
        </w:tabs>
        <w:numPr>
          <w:ilvl w:val="0"/>
          <w:numId w:val="5"/>
        </w:numPr>
        <w:rPr>
          <w:rFonts w:ascii="Arial" w:cs="Arial" w:eastAsia="Arial" w:hAnsi="Arial"/>
          <w:sz w:val="19"/>
          <w:szCs w:val="19"/>
          <w:color w:val="auto"/>
        </w:rPr>
      </w:pPr>
      <w:r>
        <w:rPr>
          <w:rFonts w:ascii="Arial" w:cs="Arial" w:eastAsia="Arial" w:hAnsi="Arial"/>
          <w:sz w:val="19"/>
          <w:szCs w:val="19"/>
          <w:color w:val="auto"/>
        </w:rPr>
        <w:t>From and after the Second Restatement Effective Date, this Second Restatement Agreement shall be deemed a Credit Document for all purposes under the Second Amended and Restated Credit Agreement and the other Credit Documents.</w:t>
      </w:r>
    </w:p>
    <w:p>
      <w:pPr>
        <w:spacing w:after="0" w:line="176" w:lineRule="exact"/>
        <w:rPr>
          <w:rFonts w:ascii="Arial" w:cs="Arial" w:eastAsia="Arial" w:hAnsi="Arial"/>
          <w:sz w:val="19"/>
          <w:szCs w:val="19"/>
          <w:color w:val="auto"/>
        </w:rPr>
      </w:pPr>
    </w:p>
    <w:p>
      <w:pPr>
        <w:ind w:right="300" w:firstLine="622"/>
        <w:spacing w:after="0" w:line="314" w:lineRule="auto"/>
        <w:tabs>
          <w:tab w:leader="none" w:pos="123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parties hereto acknowledge and agree that the amendment and restatement of the Credit Agreement pursuant to this Second Restatement Agreement and all other Credit Documents amended and/or executed and delivered in connection herewith shall not constitute a novation of the Obligations or the Credit Agreement and the other Credit Documents as in effect prior to the Second Restatement Effective Date.</w:t>
      </w:r>
    </w:p>
    <w:p>
      <w:pPr>
        <w:spacing w:after="0" w:line="116" w:lineRule="exact"/>
        <w:rPr>
          <w:sz w:val="20"/>
          <w:szCs w:val="20"/>
          <w:color w:val="auto"/>
        </w:rPr>
      </w:pPr>
    </w:p>
    <w:p>
      <w:pPr>
        <w:ind w:firstLine="619"/>
        <w:spacing w:after="0" w:line="26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This Second Restatement Agreement and the obligations of the parties hereunder and under the Second Amended and Restated Credit Agreement shall become effective upon the satisfaction of each of the conditions set forth in Section 6 of the Second Amended and Restated Credit Agreement (such date, the “</w:t>
      </w:r>
      <w:r>
        <w:rPr>
          <w:rFonts w:ascii="Arial" w:cs="Arial" w:eastAsia="Arial" w:hAnsi="Arial"/>
          <w:sz w:val="18"/>
          <w:szCs w:val="18"/>
          <w:b w:val="1"/>
          <w:bCs w:val="1"/>
          <w:color w:val="auto"/>
        </w:rPr>
        <w:t>Second Restatement Effective Date</w:t>
      </w:r>
      <w:r>
        <w:rPr>
          <w:rFonts w:ascii="Arial" w:cs="Arial" w:eastAsia="Arial" w:hAnsi="Arial"/>
          <w:sz w:val="18"/>
          <w:szCs w:val="18"/>
          <w:color w:val="auto"/>
        </w:rPr>
        <w:t>”).</w:t>
      </w:r>
    </w:p>
    <w:p>
      <w:pPr>
        <w:spacing w:after="0" w:line="150" w:lineRule="exact"/>
        <w:rPr>
          <w:sz w:val="20"/>
          <w:szCs w:val="20"/>
          <w:color w:val="auto"/>
        </w:rPr>
      </w:pPr>
    </w:p>
    <w:p>
      <w:pPr>
        <w:ind w:right="20" w:firstLine="619"/>
        <w:spacing w:after="0" w:line="26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Borrower hereby represents and warrants to the Administrative Agent and the Lenders as of the Second Restatement Effective Date that the representations and warranties of each Credit Party contained in Section 8 of the Second Amended and Restated Credit Agreement and in the other Credit Documents are true and correct in all material respects (provided that any such representations and warranties which are qualified by materiality, material adverse effect or similar language shall be true and correct in all respects) on and as of the Second Restatement Effective Date after giving effect to the transactions contemplated by this Second Restatement Agreement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w:t>
      </w:r>
    </w:p>
    <w:p>
      <w:pPr>
        <w:spacing w:after="0" w:line="168" w:lineRule="exact"/>
        <w:rPr>
          <w:sz w:val="20"/>
          <w:szCs w:val="20"/>
          <w:color w:val="auto"/>
        </w:rPr>
      </w:pPr>
    </w:p>
    <w:p>
      <w:pPr>
        <w:ind w:right="40" w:firstLine="619"/>
        <w:spacing w:after="0" w:line="25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Liens Unimpaired</w:t>
      </w:r>
      <w:r>
        <w:rPr>
          <w:rFonts w:ascii="Arial" w:cs="Arial" w:eastAsia="Arial" w:hAnsi="Arial"/>
          <w:sz w:val="18"/>
          <w:szCs w:val="18"/>
          <w:color w:val="auto"/>
        </w:rPr>
        <w:t xml:space="preserve"> . As of the date hereof, each Credit Party reaffirms its obligations under the Credit Documents to which it is party and its prior grant and the validity of the Liens granted by it pursuant to the Security Documents, and after giving effect to this Second Restatement Agreement, except as specifically modified by this Second Restatement Agreement, the Credit Documents (and the Liens and security interests granted pursuant thereto) shall remain in full force and effect and are hereby ratified and confirmed in all respects. After giving effect to this Second Restatement Agreement, neither the modification of the Credit Agreement effected pursuant to this Second Restatement Agreement nor the execution, delivery, performance or effectiveness of this Second Restatement Agreement:</w:t>
      </w:r>
    </w:p>
    <w:p>
      <w:pPr>
        <w:spacing w:after="0" w:line="166" w:lineRule="exact"/>
        <w:rPr>
          <w:sz w:val="20"/>
          <w:szCs w:val="20"/>
          <w:color w:val="auto"/>
        </w:rPr>
      </w:pPr>
    </w:p>
    <w:p>
      <w:pPr>
        <w:ind w:left="620" w:right="680" w:firstLine="621"/>
        <w:spacing w:after="0" w:line="324" w:lineRule="auto"/>
        <w:tabs>
          <w:tab w:leader="none" w:pos="1858"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impairs the validity, effectiveness or priority of the Liens granted pursuant to any Credit Document, and such Liens continue unimpaired with the same priority to secure repayment of all Obligations, whether heretofore or hereafter incurred; or</w:t>
      </w:r>
    </w:p>
    <w:p>
      <w:pPr>
        <w:spacing w:after="0" w:line="103" w:lineRule="exact"/>
        <w:rPr>
          <w:rFonts w:ascii="Arial" w:cs="Arial" w:eastAsia="Arial" w:hAnsi="Arial"/>
          <w:sz w:val="17"/>
          <w:szCs w:val="17"/>
          <w:color w:val="auto"/>
        </w:rPr>
      </w:pPr>
    </w:p>
    <w:p>
      <w:pPr>
        <w:ind w:left="1860" w:hanging="619"/>
        <w:spacing w:after="0"/>
        <w:tabs>
          <w:tab w:leader="none" w:pos="1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requires that any new filings be made or other action taken to perfect or to maintain the perfection of such Liens.</w:t>
      </w:r>
    </w:p>
    <w:p>
      <w:pPr>
        <w:spacing w:after="0" w:line="218"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Amendment, Modification and Waiver</w:t>
      </w:r>
      <w:r>
        <w:rPr>
          <w:rFonts w:ascii="Arial" w:cs="Arial" w:eastAsia="Arial" w:hAnsi="Arial"/>
          <w:sz w:val="19"/>
          <w:szCs w:val="19"/>
          <w:color w:val="auto"/>
        </w:rPr>
        <w:t>. This Second Restatement Agreement may not be amended, modified or waived except by an instrument or instruments in writing signed and delivered on behalf of each of the parties hereto.</w:t>
      </w:r>
    </w:p>
    <w:p>
      <w:pPr>
        <w:spacing w:after="0" w:line="164"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GOVERNING LAW</w:t>
      </w:r>
      <w:r>
        <w:rPr>
          <w:rFonts w:ascii="Arial" w:cs="Arial" w:eastAsia="Arial" w:hAnsi="Arial"/>
          <w:sz w:val="19"/>
          <w:szCs w:val="19"/>
          <w:color w:val="auto"/>
        </w:rPr>
        <w:t>. THIS SECOND RESTATEMENT AGREEMENT AND THE RIGHTS AND OBLIGATIONS OF THE PARTIES HEREUNDER SHALL BE GOVERNED BY, AND CONSTRUED AND INTERPRETED IN ACCORDANCE WITH, THE LAW OF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NEW YORK. Sections 13.13 and 13.15 of the Credit Agreement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9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Second Restatement Agreement which is invalid or unenforceable in any jurisdiction shall, as to that jurisdiction, be ineffective to the extent of such invalidity or unenforceability without rendering invalid or unenforceable the remaining terms and provisions of this Second Restatement Agreement or affecting the validity or enforceability of any of the terms or provisions of this Second Restatement Agreement in any other jurisdiction. If any provision of this Second Restatement Agreement is so broad as to be unenforceable, the provision shall be interpreted to be only so broad as would be enforceable.</w:t>
      </w:r>
    </w:p>
    <w:p>
      <w:pPr>
        <w:spacing w:after="0" w:line="17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 This Second Restatement Agreement may be executed in counterparts (including by facsimile or other electronic transmission), each of which shall be deemed to be an original, but all of which shall constitute one and the same agreement.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ind w:right="540" w:firstLine="619"/>
        <w:spacing w:after="0" w:line="243"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caused this Second Restatement Agreement to be executed by their respective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as of the date first above written.</w:t>
      </w:r>
    </w:p>
    <w:p>
      <w:pPr>
        <w:spacing w:after="0" w:line="370" w:lineRule="exact"/>
        <w:rPr>
          <w:sz w:val="20"/>
          <w:szCs w:val="20"/>
          <w:color w:val="auto"/>
        </w:rPr>
      </w:pPr>
    </w:p>
    <w:tbl>
      <w:tblPr>
        <w:tblLayout w:type="fixed"/>
        <w:tblInd w:w="5500" w:type="dxa"/>
        <w:tblCellMar>
          <w:top w:w="0" w:type="dxa"/>
          <w:left w:w="0" w:type="dxa"/>
          <w:bottom w:w="0" w:type="dxa"/>
          <w:right w:w="0" w:type="dxa"/>
        </w:tblCellMar>
      </w:tblPr>
      <w:tr>
        <w:trPr>
          <w:trHeight w:val="246"/>
        </w:trPr>
        <w:tc>
          <w:tcPr>
            <w:tcW w:w="92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9"/>
                <w:szCs w:val="19"/>
                <w:b w:val="1"/>
                <w:bCs w:val="1"/>
                <w:color w:val="auto"/>
                <w:w w:val="99"/>
              </w:rPr>
              <w:t>NAUTILUS ACQUISITION HOLDINGS, INC</w:t>
            </w:r>
            <w:r>
              <w:rPr>
                <w:rFonts w:ascii="Arial" w:cs="Arial" w:eastAsia="Arial" w:hAnsi="Arial"/>
                <w:sz w:val="19"/>
                <w:szCs w:val="19"/>
                <w:color w:val="auto"/>
                <w:w w:val="99"/>
              </w:rPr>
              <w:t>., as Holdings</w:t>
            </w:r>
          </w:p>
        </w:tc>
      </w:tr>
      <w:tr>
        <w:trPr>
          <w:trHeight w:val="464"/>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920" w:type="dxa"/>
            <w:vAlign w:val="bottom"/>
          </w:tcPr>
          <w:p>
            <w:pPr>
              <w:ind w:left="20"/>
              <w:spacing w:after="0"/>
              <w:rPr>
                <w:sz w:val="20"/>
                <w:szCs w:val="20"/>
                <w:color w:val="auto"/>
              </w:rPr>
            </w:pPr>
            <w:r>
              <w:rPr>
                <w:rFonts w:ascii="Arial" w:cs="Arial" w:eastAsia="Arial" w:hAnsi="Arial"/>
                <w:sz w:val="19"/>
                <w:szCs w:val="19"/>
                <w:color w:val="auto"/>
              </w:rPr>
              <w:t>/s/ Melissa Rasmussen</w:t>
            </w:r>
          </w:p>
        </w:tc>
      </w:tr>
      <w:tr>
        <w:trPr>
          <w:trHeight w:val="34"/>
        </w:trPr>
        <w:tc>
          <w:tcPr>
            <w:tcW w:w="9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5"/>
        </w:trPr>
        <w:tc>
          <w:tcPr>
            <w:tcW w:w="9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Name: Melissa Rasmussen</w:t>
            </w:r>
          </w:p>
        </w:tc>
      </w:tr>
      <w:tr>
        <w:trPr>
          <w:trHeight w:val="309"/>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Title: Chief Financial Officer</w:t>
            </w:r>
          </w:p>
        </w:tc>
      </w:tr>
      <w:tr>
        <w:trPr>
          <w:trHeight w:val="774"/>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b w:val="1"/>
                <w:bCs w:val="1"/>
                <w:color w:val="auto"/>
              </w:rPr>
              <w:t>NATIONAL VISION, INC</w:t>
            </w:r>
            <w:r>
              <w:rPr>
                <w:rFonts w:ascii="Arial" w:cs="Arial" w:eastAsia="Arial" w:hAnsi="Arial"/>
                <w:sz w:val="19"/>
                <w:szCs w:val="19"/>
                <w:color w:val="auto"/>
              </w:rPr>
              <w:t>., as Borrower</w:t>
            </w:r>
          </w:p>
        </w:tc>
      </w:tr>
      <w:tr>
        <w:trPr>
          <w:trHeight w:val="464"/>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920" w:type="dxa"/>
            <w:vAlign w:val="bottom"/>
          </w:tcPr>
          <w:p>
            <w:pPr>
              <w:ind w:left="20"/>
              <w:spacing w:after="0"/>
              <w:rPr>
                <w:sz w:val="20"/>
                <w:szCs w:val="20"/>
                <w:color w:val="auto"/>
              </w:rPr>
            </w:pPr>
            <w:r>
              <w:rPr>
                <w:rFonts w:ascii="Arial" w:cs="Arial" w:eastAsia="Arial" w:hAnsi="Arial"/>
                <w:sz w:val="19"/>
                <w:szCs w:val="19"/>
                <w:color w:val="auto"/>
              </w:rPr>
              <w:t>/s/ Melissa Rasmussen</w:t>
            </w:r>
          </w:p>
        </w:tc>
      </w:tr>
      <w:tr>
        <w:trPr>
          <w:trHeight w:val="34"/>
        </w:trPr>
        <w:tc>
          <w:tcPr>
            <w:tcW w:w="9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5"/>
        </w:trPr>
        <w:tc>
          <w:tcPr>
            <w:tcW w:w="9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Name: Melissa Rasmussen</w:t>
            </w:r>
          </w:p>
        </w:tc>
      </w:tr>
      <w:tr>
        <w:trPr>
          <w:trHeight w:val="309"/>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Title: Chief Financial Officer</w:t>
            </w:r>
          </w:p>
        </w:tc>
      </w:tr>
      <w:tr>
        <w:trPr>
          <w:trHeight w:val="774"/>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b w:val="1"/>
                <w:bCs w:val="1"/>
                <w:color w:val="auto"/>
                <w:w w:val="97"/>
              </w:rPr>
              <w:t>ARLINGTON CONTACT LENS SERVICE, INC</w:t>
            </w:r>
            <w:r>
              <w:rPr>
                <w:rFonts w:ascii="Arial" w:cs="Arial" w:eastAsia="Arial" w:hAnsi="Arial"/>
                <w:sz w:val="19"/>
                <w:szCs w:val="19"/>
                <w:color w:val="auto"/>
                <w:w w:val="97"/>
              </w:rPr>
              <w:t>., as Subsidi</w:t>
            </w:r>
          </w:p>
        </w:tc>
      </w:tr>
      <w:tr>
        <w:trPr>
          <w:trHeight w:val="245"/>
        </w:trPr>
        <w:tc>
          <w:tcPr>
            <w:tcW w:w="92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Guarantor</w:t>
            </w:r>
          </w:p>
        </w:tc>
      </w:tr>
      <w:tr>
        <w:trPr>
          <w:trHeight w:val="477"/>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920" w:type="dxa"/>
            <w:vAlign w:val="bottom"/>
          </w:tcPr>
          <w:p>
            <w:pPr>
              <w:ind w:left="20"/>
              <w:spacing w:after="0"/>
              <w:rPr>
                <w:sz w:val="20"/>
                <w:szCs w:val="20"/>
                <w:color w:val="auto"/>
              </w:rPr>
            </w:pPr>
            <w:r>
              <w:rPr>
                <w:rFonts w:ascii="Arial" w:cs="Arial" w:eastAsia="Arial" w:hAnsi="Arial"/>
                <w:sz w:val="19"/>
                <w:szCs w:val="19"/>
                <w:color w:val="auto"/>
              </w:rPr>
              <w:t>/s/ Melissa Rasmussen</w:t>
            </w:r>
          </w:p>
        </w:tc>
      </w:tr>
      <w:tr>
        <w:trPr>
          <w:trHeight w:val="34"/>
        </w:trPr>
        <w:tc>
          <w:tcPr>
            <w:tcW w:w="9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5"/>
        </w:trPr>
        <w:tc>
          <w:tcPr>
            <w:tcW w:w="9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Name: Melissa Rasmussen</w:t>
            </w:r>
          </w:p>
        </w:tc>
      </w:tr>
      <w:tr>
        <w:trPr>
          <w:trHeight w:val="297"/>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Title: Chief Financial Officer</w:t>
            </w:r>
          </w:p>
        </w:tc>
      </w:tr>
      <w:tr>
        <w:trPr>
          <w:trHeight w:val="774"/>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b w:val="1"/>
                <w:bCs w:val="1"/>
                <w:color w:val="auto"/>
                <w:w w:val="94"/>
              </w:rPr>
              <w:t>NVAL HEALTHCARE SYSTEMS, INC</w:t>
            </w:r>
            <w:r>
              <w:rPr>
                <w:rFonts w:ascii="Arial" w:cs="Arial" w:eastAsia="Arial" w:hAnsi="Arial"/>
                <w:sz w:val="19"/>
                <w:szCs w:val="19"/>
                <w:color w:val="auto"/>
                <w:w w:val="94"/>
              </w:rPr>
              <w:t>., as Subsidiary Guara</w:t>
            </w:r>
          </w:p>
        </w:tc>
      </w:tr>
      <w:tr>
        <w:trPr>
          <w:trHeight w:val="464"/>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920" w:type="dxa"/>
            <w:vAlign w:val="bottom"/>
          </w:tcPr>
          <w:p>
            <w:pPr>
              <w:ind w:left="20"/>
              <w:spacing w:after="0"/>
              <w:rPr>
                <w:sz w:val="20"/>
                <w:szCs w:val="20"/>
                <w:color w:val="auto"/>
              </w:rPr>
            </w:pPr>
            <w:r>
              <w:rPr>
                <w:rFonts w:ascii="Arial" w:cs="Arial" w:eastAsia="Arial" w:hAnsi="Arial"/>
                <w:sz w:val="19"/>
                <w:szCs w:val="19"/>
                <w:color w:val="auto"/>
              </w:rPr>
              <w:t>/s/ Melissa Rasmussen</w:t>
            </w:r>
          </w:p>
        </w:tc>
      </w:tr>
      <w:tr>
        <w:trPr>
          <w:trHeight w:val="34"/>
        </w:trPr>
        <w:tc>
          <w:tcPr>
            <w:tcW w:w="9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5"/>
        </w:trPr>
        <w:tc>
          <w:tcPr>
            <w:tcW w:w="9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Name: Melissa Rasmussen</w:t>
            </w:r>
          </w:p>
        </w:tc>
      </w:tr>
      <w:tr>
        <w:trPr>
          <w:trHeight w:val="309"/>
        </w:trPr>
        <w:tc>
          <w:tcPr>
            <w:tcW w:w="9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1340"/>
          </w:cols>
          <w:pgMar w:left="320" w:top="1440" w:right="2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313" w:lineRule="auto"/>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 and Collateral</w:t>
      </w:r>
      <w:r>
        <w:rPr>
          <w:rFonts w:ascii="Arial" w:cs="Arial" w:eastAsia="Arial" w:hAnsi="Arial"/>
          <w:sz w:val="19"/>
          <w:szCs w:val="19"/>
          <w:b w:val="1"/>
          <w:bCs w:val="1"/>
          <w:color w:val="auto"/>
        </w:rPr>
        <w:t xml:space="preserve"> </w:t>
      </w:r>
      <w:r>
        <w:rPr>
          <w:rFonts w:ascii="Arial" w:cs="Arial" w:eastAsia="Arial" w:hAnsi="Arial"/>
          <w:sz w:val="19"/>
          <w:szCs w:val="19"/>
          <w:color w:val="auto"/>
        </w:rPr>
        <w:t>Agent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/s/ Erik Truette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3454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Name: Erik Truette</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Term A Lender, a Revolving Credit</w:t>
      </w:r>
      <w:r>
        <w:rPr>
          <w:rFonts w:ascii="Arial" w:cs="Arial" w:eastAsia="Arial" w:hAnsi="Arial"/>
          <w:sz w:val="19"/>
          <w:szCs w:val="19"/>
          <w:b w:val="1"/>
          <w:bCs w:val="1"/>
          <w:color w:val="auto"/>
        </w:rPr>
        <w:t xml:space="preserve"> </w:t>
      </w:r>
      <w:r>
        <w:rPr>
          <w:rFonts w:ascii="Arial" w:cs="Arial" w:eastAsia="Arial" w:hAnsi="Arial"/>
          <w:sz w:val="19"/>
          <w:szCs w:val="19"/>
          <w:color w:val="auto"/>
        </w:rPr>
        <w:t>Lender and a Letter of Credit Issuer</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/s/ Charles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3454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Name: Charles Hart</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ectPr>
          <w:pgSz w:w="11900" w:h="16838" w:orient="portrait"/>
          <w:cols w:equalWidth="0" w:num="2">
            <w:col w:w="4040" w:space="660"/>
            <w:col w:w="5300"/>
          </w:cols>
          <w:pgMar w:left="144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[Signature Page to Second Restatement Agreement]</w:t>
      </w:r>
    </w:p>
    <w:p>
      <w:pPr>
        <w:sectPr>
          <w:pgSz w:w="11900" w:h="16838" w:orient="portrait"/>
          <w:cols w:equalWidth="0" w:num="1">
            <w:col w:w="10000"/>
          </w:cols>
          <w:pgMar w:left="1440" w:top="1440" w:right="459" w:bottom="1440" w:gutter="0" w:footer="0" w:header="0"/>
          <w:type w:val="continuous"/>
        </w:sectPr>
      </w:pPr>
    </w:p>
    <w:bookmarkStart w:id="11" w:name="page12"/>
    <w:bookmarkEnd w:id="11"/>
    <w:p>
      <w:pPr>
        <w:spacing w:after="0" w:line="200" w:lineRule="exact"/>
        <w:rPr>
          <w:sz w:val="20"/>
          <w:szCs w:val="20"/>
          <w:color w:val="auto"/>
        </w:rPr>
      </w:pPr>
    </w:p>
    <w:p>
      <w:pPr>
        <w:spacing w:after="0" w:line="230" w:lineRule="exact"/>
        <w:rPr>
          <w:sz w:val="20"/>
          <w:szCs w:val="20"/>
          <w:color w:val="auto"/>
        </w:rPr>
      </w:pPr>
    </w:p>
    <w:tbl>
      <w:tblPr>
        <w:tblLayout w:type="fixed"/>
        <w:tblInd w:w="3760" w:type="dxa"/>
        <w:tblCellMar>
          <w:top w:w="0" w:type="dxa"/>
          <w:left w:w="0" w:type="dxa"/>
          <w:bottom w:w="0" w:type="dxa"/>
          <w:right w:w="0" w:type="dxa"/>
        </w:tblCellMar>
      </w:tblPr>
      <w:tr>
        <w:trPr>
          <w:trHeight w:val="246"/>
        </w:trPr>
        <w:tc>
          <w:tcPr>
            <w:tcW w:w="9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w w:val="95"/>
              </w:rPr>
              <w:t>JPMORGAN CHASE BANK, N.A.</w:t>
            </w:r>
            <w:r>
              <w:rPr>
                <w:rFonts w:ascii="Arial" w:cs="Arial" w:eastAsia="Arial" w:hAnsi="Arial"/>
                <w:sz w:val="19"/>
                <w:szCs w:val="19"/>
                <w:color w:val="auto"/>
                <w:w w:val="95"/>
              </w:rPr>
              <w:t>, as Term A Lender, a Revolving</w:t>
            </w:r>
          </w:p>
        </w:tc>
      </w:tr>
      <w:tr>
        <w:trPr>
          <w:trHeight w:val="258"/>
        </w:trPr>
        <w:tc>
          <w:tcPr>
            <w:tcW w:w="92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Credit Lender and a Letter of Credit Issuer</w:t>
            </w:r>
          </w:p>
        </w:tc>
      </w:tr>
      <w:tr>
        <w:trPr>
          <w:trHeight w:val="464"/>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Andrew Rossman</w:t>
            </w:r>
          </w:p>
        </w:tc>
      </w:tr>
      <w:tr>
        <w:trPr>
          <w:trHeight w:val="34"/>
        </w:trPr>
        <w:tc>
          <w:tcPr>
            <w:tcW w:w="9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2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Andrew Rossman</w:t>
            </w:r>
          </w:p>
        </w:tc>
      </w:tr>
      <w:tr>
        <w:trPr>
          <w:trHeight w:val="297"/>
        </w:trPr>
        <w:tc>
          <w:tcPr>
            <w:tcW w:w="9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2" w:name="page13"/>
    <w:bookmarkEnd w:id="12"/>
    <w:p>
      <w:pPr>
        <w:spacing w:after="0" w:line="200" w:lineRule="exact"/>
        <w:rPr>
          <w:sz w:val="20"/>
          <w:szCs w:val="20"/>
          <w:color w:val="auto"/>
        </w:rPr>
      </w:pPr>
    </w:p>
    <w:p>
      <w:pPr>
        <w:spacing w:after="0" w:line="231" w:lineRule="exact"/>
        <w:rPr>
          <w:sz w:val="20"/>
          <w:szCs w:val="20"/>
          <w:color w:val="auto"/>
        </w:rPr>
      </w:pPr>
    </w:p>
    <w:tbl>
      <w:tblPr>
        <w:tblLayout w:type="fixed"/>
        <w:tblInd w:w="37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w w:val="93"/>
              </w:rPr>
              <w:t>WELLS FARGO BANK, N.A.</w:t>
            </w:r>
            <w:r>
              <w:rPr>
                <w:rFonts w:ascii="Arial" w:cs="Arial" w:eastAsia="Arial" w:hAnsi="Arial"/>
                <w:sz w:val="19"/>
                <w:szCs w:val="19"/>
                <w:color w:val="auto"/>
                <w:w w:val="93"/>
              </w:rPr>
              <w:t>, as Term A Lender, a Revolving Credit</w:t>
            </w:r>
          </w:p>
        </w:tc>
      </w:tr>
      <w:tr>
        <w:trPr>
          <w:trHeight w:val="258"/>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Lender and a Letter of Credit Issuer</w:t>
            </w:r>
          </w:p>
        </w:tc>
      </w:tr>
      <w:tr>
        <w:trPr>
          <w:trHeight w:val="464"/>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Carl Hinrichs</w:t>
            </w:r>
          </w:p>
        </w:tc>
      </w:tr>
      <w:tr>
        <w:trPr>
          <w:trHeight w:val="34"/>
        </w:trPr>
        <w:tc>
          <w:tcPr>
            <w:tcW w:w="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Carl Hinrichs</w:t>
            </w:r>
          </w:p>
        </w:tc>
      </w:tr>
      <w:tr>
        <w:trPr>
          <w:trHeight w:val="297"/>
        </w:trPr>
        <w:tc>
          <w:tcPr>
            <w:tcW w:w="90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3" w:name="page14"/>
    <w:bookmarkEnd w:id="13"/>
    <w:p>
      <w:pPr>
        <w:spacing w:after="0" w:line="200" w:lineRule="exact"/>
        <w:rPr>
          <w:sz w:val="20"/>
          <w:szCs w:val="20"/>
          <w:color w:val="auto"/>
        </w:rPr>
      </w:pPr>
    </w:p>
    <w:p>
      <w:pPr>
        <w:spacing w:after="0" w:line="231" w:lineRule="exact"/>
        <w:rPr>
          <w:sz w:val="20"/>
          <w:szCs w:val="20"/>
          <w:color w:val="auto"/>
        </w:rPr>
      </w:pPr>
    </w:p>
    <w:tbl>
      <w:tblPr>
        <w:tblLayout w:type="fixed"/>
        <w:tblInd w:w="3760" w:type="dxa"/>
        <w:tblCellMar>
          <w:top w:w="0" w:type="dxa"/>
          <w:left w:w="0" w:type="dxa"/>
          <w:bottom w:w="0" w:type="dxa"/>
          <w:right w:w="0" w:type="dxa"/>
        </w:tblCellMar>
      </w:tblPr>
      <w:tr>
        <w:trPr>
          <w:trHeight w:val="246"/>
        </w:trPr>
        <w:tc>
          <w:tcPr>
            <w:tcW w:w="9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rPr>
              <w:t>GOLDMAN SACHS BANK USA</w:t>
            </w:r>
            <w:r>
              <w:rPr>
                <w:rFonts w:ascii="Arial" w:cs="Arial" w:eastAsia="Arial" w:hAnsi="Arial"/>
                <w:sz w:val="19"/>
                <w:szCs w:val="19"/>
                <w:color w:val="auto"/>
              </w:rPr>
              <w:t>, as a Revolving Credit Lender</w:t>
            </w:r>
          </w:p>
        </w:tc>
      </w:tr>
      <w:tr>
        <w:trPr>
          <w:trHeight w:val="464"/>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William E. Briggs IV</w:t>
            </w:r>
          </w:p>
        </w:tc>
      </w:tr>
      <w:tr>
        <w:trPr>
          <w:trHeight w:val="34"/>
        </w:trPr>
        <w:tc>
          <w:tcPr>
            <w:tcW w:w="9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2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William E. Briggs IV</w:t>
            </w:r>
          </w:p>
        </w:tc>
      </w:tr>
      <w:tr>
        <w:trPr>
          <w:trHeight w:val="309"/>
        </w:trPr>
        <w:tc>
          <w:tcPr>
            <w:tcW w:w="9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4" w:name="page15"/>
    <w:bookmarkEnd w:id="14"/>
    <w:p>
      <w:pPr>
        <w:spacing w:after="0" w:line="200" w:lineRule="exact"/>
        <w:rPr>
          <w:sz w:val="20"/>
          <w:szCs w:val="20"/>
          <w:color w:val="auto"/>
        </w:rPr>
      </w:pPr>
    </w:p>
    <w:p>
      <w:pPr>
        <w:spacing w:after="0" w:line="230" w:lineRule="exact"/>
        <w:rPr>
          <w:sz w:val="20"/>
          <w:szCs w:val="20"/>
          <w:color w:val="auto"/>
        </w:rPr>
      </w:pPr>
    </w:p>
    <w:tbl>
      <w:tblPr>
        <w:tblLayout w:type="fixed"/>
        <w:tblInd w:w="37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w w:val="94"/>
              </w:rPr>
              <w:t xml:space="preserve">Fifth Third Bank, National Association </w:t>
            </w:r>
            <w:r>
              <w:rPr>
                <w:rFonts w:ascii="Arial" w:cs="Arial" w:eastAsia="Arial" w:hAnsi="Arial"/>
                <w:sz w:val="19"/>
                <w:szCs w:val="19"/>
                <w:color w:val="auto"/>
                <w:w w:val="94"/>
              </w:rPr>
              <w:t>as a Term A Lender and a</w:t>
            </w:r>
          </w:p>
        </w:tc>
      </w:tr>
      <w:tr>
        <w:trPr>
          <w:trHeight w:val="258"/>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Revolving Credit Lender</w:t>
            </w:r>
          </w:p>
        </w:tc>
      </w:tr>
      <w:tr>
        <w:trPr>
          <w:trHeight w:val="464"/>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Nathan Calloway</w:t>
            </w:r>
          </w:p>
        </w:tc>
      </w:tr>
      <w:tr>
        <w:trPr>
          <w:trHeight w:val="34"/>
        </w:trPr>
        <w:tc>
          <w:tcPr>
            <w:tcW w:w="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Nathan Calloway</w:t>
            </w:r>
          </w:p>
        </w:tc>
      </w:tr>
      <w:tr>
        <w:trPr>
          <w:trHeight w:val="297"/>
        </w:trPr>
        <w:tc>
          <w:tcPr>
            <w:tcW w:w="90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Associate,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5" w:name="page16"/>
    <w:bookmarkEnd w:id="15"/>
    <w:p>
      <w:pPr>
        <w:spacing w:after="0" w:line="200" w:lineRule="exact"/>
        <w:rPr>
          <w:sz w:val="20"/>
          <w:szCs w:val="20"/>
          <w:color w:val="auto"/>
        </w:rPr>
      </w:pPr>
    </w:p>
    <w:p>
      <w:pPr>
        <w:spacing w:after="0" w:line="23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PNC BANK, National Association, as a Term A Lender and a</w:t>
      </w:r>
    </w:p>
    <w:p>
      <w:pPr>
        <w:spacing w:after="0" w:line="62"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Revolving Credit lender</w:t>
      </w:r>
    </w:p>
    <w:p>
      <w:pPr>
        <w:spacing w:after="0" w:line="233" w:lineRule="exact"/>
        <w:rPr>
          <w:sz w:val="20"/>
          <w:szCs w:val="20"/>
          <w:color w:val="auto"/>
        </w:rPr>
      </w:pPr>
    </w:p>
    <w:p>
      <w:pPr>
        <w:ind w:left="3780"/>
        <w:spacing w:after="0"/>
        <w:tabs>
          <w:tab w:leader="none" w:pos="46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Larry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43815</wp:posOffset>
            </wp:positionV>
            <wp:extent cx="3454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Name: Larry Jackson</w:t>
      </w:r>
    </w:p>
    <w:p>
      <w:pPr>
        <w:spacing w:after="0" w:line="78"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9340"/>
          </w:cols>
          <w:pgMar w:left="1440" w:top="1440" w:right="1119" w:bottom="1440" w:gutter="0" w:footer="0" w:header="0"/>
        </w:sectPr>
      </w:pPr>
    </w:p>
    <w:bookmarkStart w:id="16" w:name="page17"/>
    <w:bookmarkEnd w:id="16"/>
    <w:p>
      <w:pPr>
        <w:spacing w:after="0" w:line="200" w:lineRule="exact"/>
        <w:rPr>
          <w:sz w:val="20"/>
          <w:szCs w:val="20"/>
          <w:color w:val="auto"/>
        </w:rPr>
      </w:pPr>
    </w:p>
    <w:p>
      <w:pPr>
        <w:spacing w:after="0" w:line="231" w:lineRule="exact"/>
        <w:rPr>
          <w:sz w:val="20"/>
          <w:szCs w:val="20"/>
          <w:color w:val="auto"/>
        </w:rPr>
      </w:pPr>
    </w:p>
    <w:tbl>
      <w:tblPr>
        <w:tblLayout w:type="fixed"/>
        <w:tblInd w:w="37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w w:val="91"/>
              </w:rPr>
              <w:t>SYNOVUS BANK</w:t>
            </w:r>
            <w:r>
              <w:rPr>
                <w:rFonts w:ascii="Arial" w:cs="Arial" w:eastAsia="Arial" w:hAnsi="Arial"/>
                <w:sz w:val="19"/>
                <w:szCs w:val="19"/>
                <w:color w:val="auto"/>
                <w:w w:val="91"/>
              </w:rPr>
              <w:t>, as a Term A Lender and a Revolving Credit lender</w:t>
            </w:r>
          </w:p>
        </w:tc>
      </w:tr>
      <w:tr>
        <w:trPr>
          <w:trHeight w:val="464"/>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Zachary Braun</w:t>
            </w:r>
          </w:p>
        </w:tc>
      </w:tr>
      <w:tr>
        <w:trPr>
          <w:trHeight w:val="34"/>
        </w:trPr>
        <w:tc>
          <w:tcPr>
            <w:tcW w:w="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Zachary Braun</w:t>
            </w:r>
          </w:p>
        </w:tc>
      </w:tr>
      <w:tr>
        <w:trPr>
          <w:trHeight w:val="309"/>
        </w:trPr>
        <w:tc>
          <w:tcPr>
            <w:tcW w:w="90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Corporate Banker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7" w:name="page18"/>
    <w:bookmarkEnd w:id="17"/>
    <w:p>
      <w:pPr>
        <w:spacing w:after="0" w:line="200" w:lineRule="exact"/>
        <w:rPr>
          <w:sz w:val="20"/>
          <w:szCs w:val="20"/>
          <w:color w:val="auto"/>
        </w:rPr>
      </w:pPr>
    </w:p>
    <w:p>
      <w:pPr>
        <w:spacing w:after="0" w:line="231" w:lineRule="exact"/>
        <w:rPr>
          <w:sz w:val="20"/>
          <w:szCs w:val="20"/>
          <w:color w:val="auto"/>
        </w:rPr>
      </w:pPr>
    </w:p>
    <w:tbl>
      <w:tblPr>
        <w:tblLayout w:type="fixed"/>
        <w:tblInd w:w="37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rPr>
              <w:t>HANCOCK WHITNEY BANK</w:t>
            </w:r>
            <w:r>
              <w:rPr>
                <w:rFonts w:ascii="Arial" w:cs="Arial" w:eastAsia="Arial" w:hAnsi="Arial"/>
                <w:sz w:val="19"/>
                <w:szCs w:val="19"/>
                <w:color w:val="auto"/>
              </w:rPr>
              <w:t>, as a Term A Lender, and a</w:t>
            </w:r>
          </w:p>
        </w:tc>
      </w:tr>
      <w:tr>
        <w:trPr>
          <w:trHeight w:val="258"/>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Revolving Credit lender</w:t>
            </w:r>
          </w:p>
        </w:tc>
      </w:tr>
      <w:tr>
        <w:trPr>
          <w:trHeight w:val="464"/>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Michael Woodnorth</w:t>
            </w:r>
          </w:p>
        </w:tc>
      </w:tr>
      <w:tr>
        <w:trPr>
          <w:trHeight w:val="34"/>
        </w:trPr>
        <w:tc>
          <w:tcPr>
            <w:tcW w:w="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Michael Woodnorth</w:t>
            </w:r>
          </w:p>
        </w:tc>
      </w:tr>
      <w:tr>
        <w:trPr>
          <w:trHeight w:val="297"/>
        </w:trPr>
        <w:tc>
          <w:tcPr>
            <w:tcW w:w="90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8" w:name="page19"/>
    <w:bookmarkEnd w:id="18"/>
    <w:p>
      <w:pPr>
        <w:spacing w:after="0" w:line="200" w:lineRule="exact"/>
        <w:rPr>
          <w:sz w:val="20"/>
          <w:szCs w:val="20"/>
          <w:color w:val="auto"/>
        </w:rPr>
      </w:pPr>
    </w:p>
    <w:p>
      <w:pPr>
        <w:spacing w:after="0" w:line="230" w:lineRule="exact"/>
        <w:rPr>
          <w:sz w:val="20"/>
          <w:szCs w:val="20"/>
          <w:color w:val="auto"/>
        </w:rPr>
      </w:pPr>
    </w:p>
    <w:tbl>
      <w:tblPr>
        <w:tblLayout w:type="fixed"/>
        <w:tblInd w:w="37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9"/>
                <w:szCs w:val="19"/>
                <w:b w:val="1"/>
                <w:bCs w:val="1"/>
                <w:color w:val="auto"/>
                <w:w w:val="98"/>
              </w:rPr>
              <w:t>United Community Bank</w:t>
            </w:r>
            <w:r>
              <w:rPr>
                <w:rFonts w:ascii="Arial" w:cs="Arial" w:eastAsia="Arial" w:hAnsi="Arial"/>
                <w:sz w:val="19"/>
                <w:szCs w:val="19"/>
                <w:color w:val="auto"/>
                <w:w w:val="98"/>
              </w:rPr>
              <w:t>, as a Term A Lender, and a Revolving</w:t>
            </w:r>
          </w:p>
        </w:tc>
      </w:tr>
      <w:tr>
        <w:trPr>
          <w:trHeight w:val="258"/>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Credit lender</w:t>
            </w:r>
          </w:p>
        </w:tc>
      </w:tr>
      <w:tr>
        <w:trPr>
          <w:trHeight w:val="464"/>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5440" w:type="dxa"/>
            <w:vAlign w:val="bottom"/>
          </w:tcPr>
          <w:p>
            <w:pPr>
              <w:ind w:left="20"/>
              <w:spacing w:after="0"/>
              <w:rPr>
                <w:sz w:val="20"/>
                <w:szCs w:val="20"/>
                <w:color w:val="auto"/>
              </w:rPr>
            </w:pPr>
            <w:r>
              <w:rPr>
                <w:rFonts w:ascii="Arial" w:cs="Arial" w:eastAsia="Arial" w:hAnsi="Arial"/>
                <w:sz w:val="19"/>
                <w:szCs w:val="19"/>
                <w:color w:val="auto"/>
              </w:rPr>
              <w:t>/s/ Jeff Wilson</w:t>
            </w:r>
          </w:p>
        </w:tc>
      </w:tr>
      <w:tr>
        <w:trPr>
          <w:trHeight w:val="34"/>
        </w:trPr>
        <w:tc>
          <w:tcPr>
            <w:tcW w:w="90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9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Name: Jeff Wilson</w:t>
            </w:r>
          </w:p>
        </w:tc>
      </w:tr>
      <w:tr>
        <w:trPr>
          <w:trHeight w:val="297"/>
        </w:trPr>
        <w:tc>
          <w:tcPr>
            <w:tcW w:w="90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9"/>
                <w:szCs w:val="19"/>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[Signature Page to Second Restatement Agreement]</w:t>
      </w:r>
    </w:p>
    <w:p>
      <w:pPr>
        <w:sectPr>
          <w:pgSz w:w="11900" w:h="16838" w:orient="portrait"/>
          <w:cols w:equalWidth="0" w:num="1">
            <w:col w:w="10120"/>
          </w:cols>
          <w:pgMar w:left="1440" w:top="1440" w:right="339" w:bottom="1440" w:gutter="0" w:footer="0" w:header="0"/>
        </w:sectPr>
      </w:pPr>
    </w:p>
    <w:bookmarkStart w:id="19" w:name="page20"/>
    <w:bookmarkEnd w:id="19"/>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AMENDED AND RESTATED CREDIT AGREEMENT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A]</w:t>
      </w:r>
    </w:p>
    <w:p>
      <w:pPr>
        <w:sectPr>
          <w:pgSz w:w="11900" w:h="16838" w:orient="portrait"/>
          <w:cols w:equalWidth="0" w:num="1">
            <w:col w:w="9019"/>
          </w:cols>
          <w:pgMar w:left="1440" w:top="1440"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7"/>
          <w:szCs w:val="17"/>
          <w:b w:val="1"/>
          <w:bCs w:val="1"/>
          <w:color w:val="auto"/>
        </w:rPr>
        <w:t>Published CUSIP Number: 63845QAG4</w:t>
      </w:r>
    </w:p>
    <w:p>
      <w:pPr>
        <w:jc w:val="right"/>
        <w:spacing w:after="0" w:line="221" w:lineRule="auto"/>
        <w:rPr>
          <w:sz w:val="20"/>
          <w:szCs w:val="20"/>
          <w:color w:val="auto"/>
        </w:rPr>
      </w:pPr>
      <w:r>
        <w:rPr>
          <w:rFonts w:ascii="Arial" w:cs="Arial" w:eastAsia="Arial" w:hAnsi="Arial"/>
          <w:sz w:val="17"/>
          <w:szCs w:val="17"/>
          <w:b w:val="1"/>
          <w:bCs w:val="1"/>
          <w:color w:val="auto"/>
        </w:rPr>
        <w:t>Revolving Loan CUSIP Number: 63845QAH2</w:t>
      </w:r>
    </w:p>
    <w:p>
      <w:pPr>
        <w:jc w:val="right"/>
        <w:spacing w:after="0"/>
        <w:rPr>
          <w:sz w:val="20"/>
          <w:szCs w:val="20"/>
          <w:color w:val="auto"/>
        </w:rPr>
      </w:pPr>
      <w:r>
        <w:rPr>
          <w:rFonts w:ascii="Arial" w:cs="Arial" w:eastAsia="Arial" w:hAnsi="Arial"/>
          <w:sz w:val="17"/>
          <w:szCs w:val="17"/>
          <w:b w:val="1"/>
          <w:bCs w:val="1"/>
          <w:color w:val="auto"/>
        </w:rPr>
        <w:t>Term Loan CUSIP Number: 63845QAJ8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SECOND AMENDED AND RESTATED CREDIT AGREEMENT</w:t>
      </w: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June 13, 2023,</w:t>
      </w:r>
    </w:p>
    <w:p>
      <w:pPr>
        <w:spacing w:after="0" w:line="17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among</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NAUTILUS ACQUISITION HOLDINGS, INC.,</w:t>
      </w:r>
    </w:p>
    <w:p>
      <w:pPr>
        <w:jc w:val="center"/>
        <w:ind w:right="1120"/>
        <w:spacing w:after="0"/>
        <w:rPr>
          <w:sz w:val="20"/>
          <w:szCs w:val="20"/>
          <w:color w:val="auto"/>
        </w:rPr>
      </w:pPr>
      <w:r>
        <w:rPr>
          <w:rFonts w:ascii="Arial" w:cs="Arial" w:eastAsia="Arial" w:hAnsi="Arial"/>
          <w:sz w:val="17"/>
          <w:szCs w:val="17"/>
          <w:color w:val="auto"/>
        </w:rPr>
        <w:t>as Holdings,</w:t>
      </w:r>
    </w:p>
    <w:p>
      <w:pPr>
        <w:spacing w:after="0" w:line="16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NATIONAL VISION, INC.,</w:t>
      </w:r>
    </w:p>
    <w:p>
      <w:pPr>
        <w:jc w:val="center"/>
        <w:ind w:right="1120"/>
        <w:spacing w:after="0"/>
        <w:rPr>
          <w:sz w:val="20"/>
          <w:szCs w:val="20"/>
          <w:color w:val="auto"/>
        </w:rPr>
      </w:pPr>
      <w:r>
        <w:rPr>
          <w:rFonts w:ascii="Arial" w:cs="Arial" w:eastAsia="Arial" w:hAnsi="Arial"/>
          <w:sz w:val="17"/>
          <w:szCs w:val="17"/>
          <w:color w:val="auto"/>
        </w:rPr>
        <w:t>as the Borrower</w:t>
      </w:r>
    </w:p>
    <w:p>
      <w:pPr>
        <w:spacing w:after="0" w:line="15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Several Lenders</w:t>
      </w:r>
    </w:p>
    <w:p>
      <w:pPr>
        <w:jc w:val="center"/>
        <w:ind w:right="1120"/>
        <w:spacing w:after="0"/>
        <w:rPr>
          <w:sz w:val="20"/>
          <w:szCs w:val="20"/>
          <w:color w:val="auto"/>
        </w:rPr>
      </w:pPr>
      <w:r>
        <w:rPr>
          <w:rFonts w:ascii="Arial" w:cs="Arial" w:eastAsia="Arial" w:hAnsi="Arial"/>
          <w:sz w:val="17"/>
          <w:szCs w:val="17"/>
          <w:color w:val="auto"/>
        </w:rPr>
        <w:t>from Time to Time Parties Hereto,</w:t>
      </w:r>
    </w:p>
    <w:p>
      <w:pPr>
        <w:spacing w:after="0" w:line="370"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BANK OF AMERICA, N.A.,</w:t>
      </w:r>
    </w:p>
    <w:p>
      <w:pPr>
        <w:jc w:val="center"/>
        <w:ind w:right="1120"/>
        <w:spacing w:after="0"/>
        <w:rPr>
          <w:sz w:val="20"/>
          <w:szCs w:val="20"/>
          <w:color w:val="auto"/>
        </w:rPr>
      </w:pPr>
      <w:r>
        <w:rPr>
          <w:rFonts w:ascii="Arial" w:cs="Arial" w:eastAsia="Arial" w:hAnsi="Arial"/>
          <w:sz w:val="15"/>
          <w:szCs w:val="15"/>
          <w:color w:val="auto"/>
        </w:rPr>
        <w:t>as the Administrative Agent, the Collateral Agent, the Swingline Lender and a Lender,</w:t>
      </w:r>
    </w:p>
    <w:p>
      <w:pPr>
        <w:spacing w:after="0" w:line="18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Letter of Credit Issuers Parties Hereto,</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BOFA SECURITIES, INC.,</w:t>
      </w:r>
    </w:p>
    <w:p>
      <w:pPr>
        <w:jc w:val="center"/>
        <w:ind w:right="1120"/>
        <w:spacing w:after="0" w:line="205" w:lineRule="auto"/>
        <w:rPr>
          <w:sz w:val="20"/>
          <w:szCs w:val="20"/>
          <w:color w:val="auto"/>
        </w:rPr>
      </w:pPr>
      <w:r>
        <w:rPr>
          <w:rFonts w:ascii="Arial" w:cs="Arial" w:eastAsia="Arial" w:hAnsi="Arial"/>
          <w:sz w:val="17"/>
          <w:szCs w:val="17"/>
          <w:color w:val="auto"/>
        </w:rPr>
        <w:t>JPMORGAN CHASE BANK, N.A., and</w:t>
      </w:r>
    </w:p>
    <w:p>
      <w:pPr>
        <w:jc w:val="center"/>
        <w:ind w:right="1120"/>
        <w:spacing w:after="0" w:line="222" w:lineRule="auto"/>
        <w:rPr>
          <w:sz w:val="20"/>
          <w:szCs w:val="20"/>
          <w:color w:val="auto"/>
        </w:rPr>
      </w:pPr>
      <w:r>
        <w:rPr>
          <w:rFonts w:ascii="Arial" w:cs="Arial" w:eastAsia="Arial" w:hAnsi="Arial"/>
          <w:sz w:val="17"/>
          <w:szCs w:val="17"/>
          <w:color w:val="auto"/>
        </w:rPr>
        <w:t>WELLS FARGO SECURITIES, LLC,</w:t>
      </w:r>
    </w:p>
    <w:p>
      <w:pPr>
        <w:ind w:left="3060"/>
        <w:spacing w:after="0"/>
        <w:rPr>
          <w:sz w:val="20"/>
          <w:szCs w:val="20"/>
          <w:color w:val="auto"/>
        </w:rPr>
      </w:pPr>
      <w:r>
        <w:rPr>
          <w:rFonts w:ascii="Arial" w:cs="Arial" w:eastAsia="Arial" w:hAnsi="Arial"/>
          <w:sz w:val="17"/>
          <w:szCs w:val="17"/>
          <w:color w:val="auto"/>
        </w:rPr>
        <w:t>as Joint Lead Arrangers and Bookrunners,</w:t>
      </w:r>
    </w:p>
    <w:p>
      <w:pPr>
        <w:spacing w:after="0" w:line="176"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JPMORGAN CHASE BANK, N.A., and</w:t>
      </w:r>
    </w:p>
    <w:p>
      <w:pPr>
        <w:jc w:val="center"/>
        <w:ind w:right="1120"/>
        <w:spacing w:after="0" w:line="221" w:lineRule="auto"/>
        <w:rPr>
          <w:sz w:val="20"/>
          <w:szCs w:val="20"/>
          <w:color w:val="auto"/>
        </w:rPr>
      </w:pPr>
      <w:r>
        <w:rPr>
          <w:rFonts w:ascii="Arial" w:cs="Arial" w:eastAsia="Arial" w:hAnsi="Arial"/>
          <w:sz w:val="17"/>
          <w:szCs w:val="17"/>
          <w:color w:val="auto"/>
        </w:rPr>
        <w:t>WELLS FARGO BANK, N.A., as</w:t>
      </w:r>
    </w:p>
    <w:p>
      <w:pPr>
        <w:jc w:val="center"/>
        <w:ind w:right="1120"/>
        <w:spacing w:after="0"/>
        <w:rPr>
          <w:sz w:val="20"/>
          <w:szCs w:val="20"/>
          <w:color w:val="auto"/>
        </w:rPr>
      </w:pPr>
      <w:r>
        <w:rPr>
          <w:rFonts w:ascii="Arial" w:cs="Arial" w:eastAsia="Arial" w:hAnsi="Arial"/>
          <w:sz w:val="17"/>
          <w:szCs w:val="17"/>
          <w:color w:val="auto"/>
        </w:rPr>
        <w:t>as Syndication Agents</w:t>
      </w:r>
    </w:p>
    <w:p>
      <w:pPr>
        <w:spacing w:after="0" w:line="190"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and</w:t>
      </w:r>
    </w:p>
    <w:p>
      <w:pPr>
        <w:spacing w:after="0" w:line="203"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FIFTH THIRD BANK, NATIONAL ASSOCIATION, and</w:t>
      </w:r>
    </w:p>
    <w:p>
      <w:pPr>
        <w:ind w:left="3000"/>
        <w:spacing w:after="0" w:line="205" w:lineRule="auto"/>
        <w:rPr>
          <w:sz w:val="20"/>
          <w:szCs w:val="20"/>
          <w:color w:val="auto"/>
        </w:rPr>
      </w:pPr>
      <w:r>
        <w:rPr>
          <w:rFonts w:ascii="Arial" w:cs="Arial" w:eastAsia="Arial" w:hAnsi="Arial"/>
          <w:sz w:val="17"/>
          <w:szCs w:val="17"/>
          <w:color w:val="auto"/>
        </w:rPr>
        <w:t>PNC BANK, NATIONAL ASSOCIATION,</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as Documentation Agents</w:t>
      </w:r>
    </w:p>
    <w:p>
      <w:pPr>
        <w:sectPr>
          <w:pgSz w:w="11900" w:h="16838" w:orient="portrait"/>
          <w:cols w:equalWidth="0" w:num="1">
            <w:col w:w="10120"/>
          </w:cols>
          <w:pgMar w:left="1440" w:top="100" w:right="339" w:bottom="1440" w:gutter="0" w:footer="0" w:header="0"/>
        </w:sectPr>
      </w:pPr>
    </w:p>
    <w:bookmarkStart w:id="21" w:name="page22"/>
    <w:bookmarkEnd w:id="21"/>
    <w:p>
      <w:pPr>
        <w:spacing w:after="0" w:line="100" w:lineRule="exact"/>
        <w:rPr>
          <w:sz w:val="20"/>
          <w:szCs w:val="20"/>
          <w:color w:val="auto"/>
        </w:rPr>
      </w:pPr>
    </w:p>
    <w:p>
      <w:pPr>
        <w:jc w:val="right"/>
        <w:ind w:right="332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color w:val="auto"/>
        </w:rPr>
        <w:t>Definitions</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Defined Terms</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u w:val="single" w:color="auto"/>
          <w:color w:val="auto"/>
        </w:rPr>
        <w:t>Other Interpretive Provisions</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u w:val="single" w:color="auto"/>
          <w:color w:val="auto"/>
        </w:rPr>
        <w:t>Accounting Terms</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u w:val="single" w:color="auto"/>
          <w:color w:val="auto"/>
        </w:rPr>
        <w:t>Rounding</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u w:val="single" w:color="auto"/>
          <w:color w:val="auto"/>
        </w:rPr>
        <w:t>References to Agreements Laws, Etc</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4"/>
          <w:szCs w:val="14"/>
          <w:u w:val="single" w:color="auto"/>
          <w:color w:val="auto"/>
        </w:rPr>
        <w:t>Exchange Rates</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4"/>
          <w:szCs w:val="14"/>
          <w:u w:val="single" w:color="auto"/>
          <w:color w:val="auto"/>
        </w:rPr>
        <w:t>Rates</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u w:val="single" w:color="auto"/>
          <w:color w:val="auto"/>
        </w:rPr>
        <w:t>Times of Day</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u w:val="single" w:color="auto"/>
          <w:color w:val="auto"/>
        </w:rPr>
        <w:t>Timing of Payment or Performance</w:t>
      </w:r>
    </w:p>
    <w:p>
      <w:pPr>
        <w:spacing w:after="0" w:line="10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u w:val="single" w:color="auto"/>
          <w:color w:val="auto"/>
        </w:rPr>
        <w:t>Certifications</w:t>
      </w:r>
    </w:p>
    <w:p>
      <w:pPr>
        <w:spacing w:after="0" w:line="114"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u w:val="single" w:color="auto"/>
          <w:color w:val="auto"/>
        </w:rPr>
        <w:t>Compliance with Certain Sections</w:t>
      </w:r>
    </w:p>
    <w:p>
      <w:pPr>
        <w:spacing w:after="0" w:line="10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u w:val="single" w:color="auto"/>
          <w:color w:val="auto"/>
        </w:rPr>
        <w:t>Pro Forma and Other Calculations</w:t>
      </w:r>
      <w:r>
        <w:rPr>
          <w:rFonts w:ascii="Arial" w:cs="Arial" w:eastAsia="Arial" w:hAnsi="Arial"/>
          <w:sz w:val="15"/>
          <w:szCs w:val="15"/>
          <w:color w:val="auto"/>
        </w:rPr>
        <w:t>.</w:t>
      </w:r>
    </w:p>
    <w:p>
      <w:pPr>
        <w:spacing w:after="0" w:line="11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u w:val="single" w:color="auto"/>
          <w:color w:val="auto"/>
        </w:rPr>
        <w:t>Divisions</w:t>
      </w:r>
    </w:p>
    <w:p>
      <w:pPr>
        <w:spacing w:after="0" w:line="10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u w:val="single" w:color="auto"/>
          <w:color w:val="auto"/>
        </w:rPr>
        <w:t>Amendment and Restatement</w:t>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color w:val="auto"/>
        </w:rPr>
        <w:t>Amount and Terms of Credit</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u w:val="single" w:color="auto"/>
          <w:color w:val="auto"/>
        </w:rPr>
        <w:t>Commitments</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u w:val="single" w:color="auto"/>
          <w:color w:val="auto"/>
        </w:rPr>
        <w:t>Minimum Amount of Each Borrowing; Maximum Number of Borrowings</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Notice of Borrowing</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Disbursement of Funds</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u w:val="single" w:color="auto"/>
          <w:color w:val="auto"/>
        </w:rPr>
        <w:t>Repayment of Loans; Evidence of Debt</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u w:val="single" w:color="auto"/>
          <w:color w:val="auto"/>
        </w:rPr>
        <w:t>Conversions and Continuations</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u w:val="single" w:color="auto"/>
          <w:color w:val="auto"/>
        </w:rPr>
        <w:t>Pro Rata Borrowings</w:t>
      </w:r>
    </w:p>
    <w:p>
      <w:pPr>
        <w:spacing w:after="0" w:line="114"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u w:val="single" w:color="auto"/>
          <w:color w:val="auto"/>
        </w:rPr>
        <w:t>Interest</w:t>
      </w:r>
    </w:p>
    <w:p>
      <w:pPr>
        <w:spacing w:after="0" w:line="101"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u w:val="single" w:color="auto"/>
          <w:color w:val="auto"/>
        </w:rPr>
        <w:t>Interest Periods</w:t>
      </w:r>
    </w:p>
    <w:p>
      <w:pPr>
        <w:spacing w:after="0" w:line="11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7"/>
          <w:szCs w:val="17"/>
          <w:u w:val="single" w:color="auto"/>
          <w:color w:val="auto"/>
        </w:rPr>
        <w:t>Illegality</w:t>
      </w:r>
    </w:p>
    <w:p>
      <w:pPr>
        <w:spacing w:after="0" w:line="101"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u w:val="single" w:color="auto"/>
          <w:color w:val="auto"/>
        </w:rPr>
        <w:t>Compensation</w:t>
      </w:r>
    </w:p>
    <w:p>
      <w:pPr>
        <w:spacing w:after="0" w:line="11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u w:val="single" w:color="auto"/>
          <w:color w:val="auto"/>
        </w:rPr>
        <w:t>Change of Lending Office</w:t>
      </w:r>
    </w:p>
    <w:p>
      <w:pPr>
        <w:spacing w:after="0" w:line="10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5"/>
          <w:szCs w:val="15"/>
          <w:u w:val="single" w:color="auto"/>
          <w:color w:val="auto"/>
        </w:rPr>
        <w:t>Notice of Certain Costs</w:t>
      </w:r>
    </w:p>
    <w:p>
      <w:pPr>
        <w:spacing w:after="0" w:line="11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u w:val="single" w:color="auto"/>
          <w:color w:val="auto"/>
        </w:rPr>
        <w:t>Incremental Facilities</w:t>
      </w:r>
    </w:p>
    <w:p>
      <w:pPr>
        <w:spacing w:after="0" w:line="10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5"/>
          <w:szCs w:val="15"/>
          <w:u w:val="single" w:color="auto"/>
          <w:color w:val="auto"/>
        </w:rPr>
        <w:t>Inability to Determine Rates</w:t>
      </w:r>
    </w:p>
    <w:p>
      <w:pPr>
        <w:spacing w:after="0" w:line="114"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5"/>
          <w:szCs w:val="15"/>
          <w:u w:val="single" w:color="auto"/>
          <w:color w:val="auto"/>
        </w:rPr>
        <w:t>Defaulting Lenders</w:t>
      </w:r>
    </w:p>
    <w:p>
      <w:pPr>
        <w:spacing w:after="0" w:line="10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color w:val="auto"/>
        </w:rPr>
        <w:t>Letters of Credit</w:t>
      </w:r>
    </w:p>
    <w:p>
      <w:pPr>
        <w:spacing w:after="0" w:line="114"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Letters of Credit</w:t>
      </w:r>
    </w:p>
    <w:p>
      <w:pPr>
        <w:spacing w:after="0" w:line="101"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Letter of Credit Requests</w:t>
      </w:r>
    </w:p>
    <w:p>
      <w:pPr>
        <w:spacing w:after="0" w:line="114"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u w:val="single" w:color="auto"/>
          <w:color w:val="auto"/>
        </w:rPr>
        <w:t>Letter of Credit Participations</w:t>
      </w:r>
    </w:p>
    <w:p>
      <w:pPr>
        <w:spacing w:after="0" w:line="101"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Agreement to Repay Letter of Credit Drawings</w:t>
      </w:r>
    </w:p>
    <w:p>
      <w:pPr>
        <w:spacing w:after="0" w:line="114"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4"/>
          <w:szCs w:val="14"/>
          <w:u w:val="single" w:color="auto"/>
          <w:color w:val="auto"/>
        </w:rPr>
        <w:t>Increased Costs</w:t>
      </w:r>
    </w:p>
    <w:p>
      <w:pPr>
        <w:spacing w:after="0" w:line="101"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u w:val="single" w:color="auto"/>
          <w:color w:val="auto"/>
        </w:rPr>
        <w:t>New or Successor Letter of Credit Issuer</w:t>
      </w:r>
    </w:p>
    <w:p>
      <w:pPr>
        <w:spacing w:after="0" w:line="114"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u w:val="single" w:color="auto"/>
          <w:color w:val="auto"/>
        </w:rPr>
        <w:t>Role of Letter of Credit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Page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62</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62</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62</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65</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69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69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70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70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70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71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71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75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77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78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78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82</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85</w:t>
      </w:r>
    </w:p>
    <w:p>
      <w:pPr>
        <w:spacing w:after="0" w:line="232" w:lineRule="exact"/>
        <w:rPr>
          <w:sz w:val="20"/>
          <w:szCs w:val="20"/>
          <w:color w:val="auto"/>
        </w:rPr>
      </w:pPr>
    </w:p>
    <w:p>
      <w:pPr>
        <w:sectPr>
          <w:pgSz w:w="11900" w:h="16838" w:orient="portrait"/>
          <w:cols w:equalWidth="0" w:num="2">
            <w:col w:w="9800" w:space="720"/>
            <w:col w:w="660"/>
          </w:cols>
          <w:pgMar w:left="380" w:top="1440" w:right="339" w:bottom="5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180"/>
          </w:cols>
          <w:pgMar w:left="380" w:top="1440" w:right="339" w:bottom="506"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5"/>
          <w:szCs w:val="15"/>
          <w:u w:val="single" w:color="auto"/>
          <w:color w:val="auto"/>
        </w:rPr>
        <w:t>Cash Collateral</w:t>
      </w:r>
    </w:p>
    <w:p>
      <w:pPr>
        <w:spacing w:after="0" w:line="10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6"/>
          <w:szCs w:val="16"/>
          <w:u w:val="single" w:color="auto"/>
          <w:color w:val="auto"/>
        </w:rPr>
        <w:t>Applicability of ISP</w:t>
      </w:r>
    </w:p>
    <w:p>
      <w:pPr>
        <w:spacing w:after="0" w:line="11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5"/>
          <w:szCs w:val="15"/>
          <w:u w:val="single" w:color="auto"/>
          <w:color w:val="auto"/>
        </w:rPr>
        <w:t>Conflict with Issuer Documents</w:t>
      </w:r>
    </w:p>
    <w:p>
      <w:pPr>
        <w:spacing w:after="0" w:line="10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auto"/>
        </w:rPr>
        <w:t>Letters of Credit Issued for Restricted Subsidiaries</w:t>
      </w:r>
    </w:p>
    <w:p>
      <w:pPr>
        <w:spacing w:after="0" w:line="11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u w:val="single" w:color="auto"/>
          <w:color w:val="auto"/>
        </w:rPr>
        <w:t>Provisions Related to Extended Revolving Credit Commitments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7"/>
                <w:szCs w:val="17"/>
                <w:color w:val="auto"/>
              </w:rPr>
              <w:t>Section 4</w:t>
            </w:r>
          </w:p>
        </w:tc>
        <w:tc>
          <w:tcPr>
            <w:tcW w:w="5320" w:type="dxa"/>
            <w:vAlign w:val="bottom"/>
            <w:gridSpan w:val="20"/>
          </w:tcPr>
          <w:p>
            <w:pPr>
              <w:ind w:left="80"/>
              <w:spacing w:after="0"/>
              <w:rPr>
                <w:sz w:val="20"/>
                <w:szCs w:val="20"/>
                <w:color w:val="auto"/>
              </w:rPr>
            </w:pPr>
            <w:r>
              <w:rPr>
                <w:rFonts w:ascii="Arial" w:cs="Arial" w:eastAsia="Arial" w:hAnsi="Arial"/>
                <w:sz w:val="17"/>
                <w:szCs w:val="17"/>
                <w:color w:val="auto"/>
              </w:rPr>
              <w:t>Fees</w:t>
            </w:r>
          </w:p>
        </w:tc>
      </w:tr>
      <w:tr>
        <w:trPr>
          <w:trHeight w:val="272"/>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4.1</w:t>
            </w:r>
          </w:p>
        </w:tc>
        <w:tc>
          <w:tcPr>
            <w:tcW w:w="5040" w:type="dxa"/>
            <w:vAlign w:val="bottom"/>
            <w:gridSpan w:val="19"/>
          </w:tcPr>
          <w:p>
            <w:pPr>
              <w:spacing w:after="0"/>
              <w:rPr>
                <w:sz w:val="20"/>
                <w:szCs w:val="20"/>
                <w:color w:val="auto"/>
              </w:rPr>
            </w:pPr>
            <w:r>
              <w:rPr>
                <w:rFonts w:ascii="Arial" w:cs="Arial" w:eastAsia="Arial" w:hAnsi="Arial"/>
                <w:sz w:val="17"/>
                <w:szCs w:val="17"/>
                <w:color w:val="auto"/>
              </w:rPr>
              <w:t>Fees</w:t>
            </w:r>
          </w:p>
        </w:tc>
      </w:tr>
      <w:tr>
        <w:trPr>
          <w:trHeight w:val="20"/>
        </w:trPr>
        <w:tc>
          <w:tcPr>
            <w:tcW w:w="1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4.2</w:t>
            </w:r>
          </w:p>
        </w:tc>
        <w:tc>
          <w:tcPr>
            <w:tcW w:w="3860" w:type="dxa"/>
            <w:vAlign w:val="bottom"/>
            <w:tcBorders>
              <w:bottom w:val="single" w:sz="8" w:color="auto"/>
            </w:tcBorders>
            <w:gridSpan w:val="18"/>
          </w:tcPr>
          <w:p>
            <w:pPr>
              <w:spacing w:after="0"/>
              <w:rPr>
                <w:sz w:val="20"/>
                <w:szCs w:val="20"/>
                <w:color w:val="auto"/>
              </w:rPr>
            </w:pPr>
            <w:r>
              <w:rPr>
                <w:rFonts w:ascii="Arial" w:cs="Arial" w:eastAsia="Arial" w:hAnsi="Arial"/>
                <w:sz w:val="17"/>
                <w:szCs w:val="17"/>
                <w:color w:val="auto"/>
                <w:w w:val="93"/>
              </w:rPr>
              <w:t>Voluntary Reduction of Revolving Credit Commitments</w:t>
            </w:r>
          </w:p>
        </w:tc>
        <w:tc>
          <w:tcPr>
            <w:tcW w:w="1180" w:type="dxa"/>
            <w:vAlign w:val="bottom"/>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4.3</w:t>
            </w:r>
          </w:p>
        </w:tc>
        <w:tc>
          <w:tcPr>
            <w:tcW w:w="5040" w:type="dxa"/>
            <w:vAlign w:val="bottom"/>
            <w:gridSpan w:val="19"/>
          </w:tcPr>
          <w:p>
            <w:pPr>
              <w:spacing w:after="0"/>
              <w:rPr>
                <w:sz w:val="20"/>
                <w:szCs w:val="20"/>
                <w:color w:val="auto"/>
              </w:rPr>
            </w:pPr>
            <w:r>
              <w:rPr>
                <w:rFonts w:ascii="Arial" w:cs="Arial" w:eastAsia="Arial" w:hAnsi="Arial"/>
                <w:sz w:val="17"/>
                <w:szCs w:val="17"/>
                <w:color w:val="auto"/>
              </w:rPr>
              <w:t>Mandatory Termination of Commitments</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314"/>
        </w:trPr>
        <w:tc>
          <w:tcPr>
            <w:tcW w:w="740" w:type="dxa"/>
            <w:vAlign w:val="bottom"/>
          </w:tcPr>
          <w:p>
            <w:pPr>
              <w:spacing w:after="0"/>
              <w:rPr>
                <w:sz w:val="20"/>
                <w:szCs w:val="20"/>
                <w:color w:val="auto"/>
              </w:rPr>
            </w:pPr>
            <w:r>
              <w:rPr>
                <w:rFonts w:ascii="Arial" w:cs="Arial" w:eastAsia="Arial" w:hAnsi="Arial"/>
                <w:sz w:val="17"/>
                <w:szCs w:val="17"/>
                <w:color w:val="auto"/>
              </w:rPr>
              <w:t>Section 5</w:t>
            </w:r>
          </w:p>
        </w:tc>
        <w:tc>
          <w:tcPr>
            <w:tcW w:w="5320" w:type="dxa"/>
            <w:vAlign w:val="bottom"/>
            <w:gridSpan w:val="20"/>
          </w:tcPr>
          <w:p>
            <w:pPr>
              <w:ind w:left="80"/>
              <w:spacing w:after="0"/>
              <w:rPr>
                <w:sz w:val="20"/>
                <w:szCs w:val="20"/>
                <w:color w:val="auto"/>
              </w:rPr>
            </w:pPr>
            <w:r>
              <w:rPr>
                <w:rFonts w:ascii="Arial" w:cs="Arial" w:eastAsia="Arial" w:hAnsi="Arial"/>
                <w:sz w:val="17"/>
                <w:szCs w:val="17"/>
                <w:color w:val="auto"/>
              </w:rPr>
              <w:t>Payments</w:t>
            </w:r>
          </w:p>
        </w:tc>
      </w:tr>
      <w:tr>
        <w:trPr>
          <w:trHeight w:val="272"/>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5.1</w:t>
            </w:r>
          </w:p>
        </w:tc>
        <w:tc>
          <w:tcPr>
            <w:tcW w:w="1600" w:type="dxa"/>
            <w:vAlign w:val="bottom"/>
            <w:tcBorders>
              <w:bottom w:val="single" w:sz="8" w:color="auto"/>
            </w:tcBorders>
            <w:gridSpan w:val="11"/>
          </w:tcPr>
          <w:p>
            <w:pPr>
              <w:spacing w:after="0"/>
              <w:rPr>
                <w:sz w:val="20"/>
                <w:szCs w:val="20"/>
                <w:color w:val="auto"/>
              </w:rPr>
            </w:pPr>
            <w:r>
              <w:rPr>
                <w:rFonts w:ascii="Arial" w:cs="Arial" w:eastAsia="Arial" w:hAnsi="Arial"/>
                <w:sz w:val="17"/>
                <w:szCs w:val="17"/>
                <w:color w:val="auto"/>
                <w:w w:val="89"/>
              </w:rPr>
              <w:t>Voluntary Prepayments</w:t>
            </w:r>
          </w:p>
        </w:tc>
        <w:tc>
          <w:tcPr>
            <w:tcW w:w="3440" w:type="dxa"/>
            <w:vAlign w:val="bottom"/>
            <w:gridSpan w:val="8"/>
          </w:tcPr>
          <w:p>
            <w:pPr>
              <w:spacing w:after="0"/>
              <w:rPr>
                <w:sz w:val="23"/>
                <w:szCs w:val="23"/>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5.2</w:t>
            </w:r>
          </w:p>
        </w:tc>
        <w:tc>
          <w:tcPr>
            <w:tcW w:w="1680" w:type="dxa"/>
            <w:vAlign w:val="bottom"/>
            <w:tcBorders>
              <w:bottom w:val="single" w:sz="8" w:color="auto"/>
            </w:tcBorders>
            <w:gridSpan w:val="12"/>
          </w:tcPr>
          <w:p>
            <w:pPr>
              <w:spacing w:after="0"/>
              <w:rPr>
                <w:sz w:val="20"/>
                <w:szCs w:val="20"/>
                <w:color w:val="auto"/>
              </w:rPr>
            </w:pPr>
            <w:r>
              <w:rPr>
                <w:rFonts w:ascii="Arial" w:cs="Arial" w:eastAsia="Arial" w:hAnsi="Arial"/>
                <w:sz w:val="17"/>
                <w:szCs w:val="17"/>
                <w:color w:val="auto"/>
                <w:w w:val="89"/>
              </w:rPr>
              <w:t>Mandatory Prepayments</w:t>
            </w:r>
          </w:p>
        </w:tc>
        <w:tc>
          <w:tcPr>
            <w:tcW w:w="3360" w:type="dxa"/>
            <w:vAlign w:val="bottom"/>
            <w:gridSpan w:val="7"/>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5.3</w:t>
            </w:r>
          </w:p>
        </w:tc>
        <w:tc>
          <w:tcPr>
            <w:tcW w:w="5040" w:type="dxa"/>
            <w:vAlign w:val="bottom"/>
            <w:gridSpan w:val="19"/>
          </w:tcPr>
          <w:p>
            <w:pPr>
              <w:spacing w:after="0"/>
              <w:rPr>
                <w:sz w:val="20"/>
                <w:szCs w:val="20"/>
                <w:color w:val="auto"/>
              </w:rPr>
            </w:pPr>
            <w:r>
              <w:rPr>
                <w:rFonts w:ascii="Arial" w:cs="Arial" w:eastAsia="Arial" w:hAnsi="Arial"/>
                <w:sz w:val="17"/>
                <w:szCs w:val="17"/>
                <w:color w:val="auto"/>
              </w:rPr>
              <w:t>Method and Place of Payment</w:t>
            </w: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5.4</w:t>
            </w:r>
          </w:p>
        </w:tc>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7"/>
                <w:szCs w:val="17"/>
                <w:color w:val="auto"/>
                <w:w w:val="88"/>
              </w:rPr>
              <w:t>Net Payments</w:t>
            </w:r>
          </w:p>
        </w:tc>
        <w:tc>
          <w:tcPr>
            <w:tcW w:w="1100" w:type="dxa"/>
            <w:vAlign w:val="bottom"/>
            <w:tcBorders>
              <w:top w:val="single" w:sz="8" w:color="auto"/>
            </w:tcBorders>
            <w:gridSpan w:val="9"/>
          </w:tcPr>
          <w:p>
            <w:pPr>
              <w:spacing w:after="0"/>
              <w:rPr>
                <w:sz w:val="24"/>
                <w:szCs w:val="24"/>
                <w:color w:val="auto"/>
              </w:rPr>
            </w:pPr>
          </w:p>
        </w:tc>
        <w:tc>
          <w:tcPr>
            <w:tcW w:w="2980" w:type="dxa"/>
            <w:vAlign w:val="bottom"/>
            <w:gridSpan w:val="5"/>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5.5</w:t>
            </w:r>
          </w:p>
        </w:tc>
        <w:tc>
          <w:tcPr>
            <w:tcW w:w="2360" w:type="dxa"/>
            <w:vAlign w:val="bottom"/>
            <w:tcBorders>
              <w:bottom w:val="single" w:sz="8" w:color="auto"/>
            </w:tcBorders>
            <w:gridSpan w:val="15"/>
          </w:tcPr>
          <w:p>
            <w:pPr>
              <w:spacing w:after="0"/>
              <w:rPr>
                <w:sz w:val="20"/>
                <w:szCs w:val="20"/>
                <w:color w:val="auto"/>
              </w:rPr>
            </w:pPr>
            <w:r>
              <w:rPr>
                <w:rFonts w:ascii="Arial" w:cs="Arial" w:eastAsia="Arial" w:hAnsi="Arial"/>
                <w:sz w:val="17"/>
                <w:szCs w:val="17"/>
                <w:color w:val="auto"/>
                <w:w w:val="89"/>
              </w:rPr>
              <w:t>Computations of Interest and Fees</w:t>
            </w:r>
          </w:p>
        </w:tc>
        <w:tc>
          <w:tcPr>
            <w:tcW w:w="2680" w:type="dxa"/>
            <w:vAlign w:val="bottom"/>
            <w:gridSpan w:val="4"/>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5.6</w:t>
            </w:r>
          </w:p>
        </w:tc>
        <w:tc>
          <w:tcPr>
            <w:tcW w:w="17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color w:val="auto"/>
                <w:w w:val="93"/>
              </w:rPr>
              <w:t>Limit on Rate of Interest</w:t>
            </w:r>
          </w:p>
        </w:tc>
        <w:tc>
          <w:tcPr>
            <w:tcW w:w="3340" w:type="dxa"/>
            <w:vAlign w:val="bottom"/>
            <w:gridSpan w:val="6"/>
          </w:tcPr>
          <w:p>
            <w:pPr>
              <w:spacing w:after="0"/>
              <w:rPr>
                <w:sz w:val="24"/>
                <w:szCs w:val="24"/>
                <w:color w:val="auto"/>
              </w:rPr>
            </w:pPr>
          </w:p>
        </w:tc>
      </w:tr>
      <w:tr>
        <w:trPr>
          <w:trHeight w:val="327"/>
        </w:trPr>
        <w:tc>
          <w:tcPr>
            <w:tcW w:w="6060" w:type="dxa"/>
            <w:vAlign w:val="bottom"/>
            <w:gridSpan w:val="21"/>
          </w:tcPr>
          <w:p>
            <w:pPr>
              <w:spacing w:after="0"/>
              <w:rPr>
                <w:sz w:val="20"/>
                <w:szCs w:val="20"/>
                <w:color w:val="auto"/>
              </w:rPr>
            </w:pPr>
            <w:r>
              <w:rPr>
                <w:rFonts w:ascii="Arial" w:cs="Arial" w:eastAsia="Arial" w:hAnsi="Arial"/>
                <w:sz w:val="17"/>
                <w:szCs w:val="17"/>
                <w:color w:val="auto"/>
              </w:rPr>
              <w:t>Section 6  Conditions Precedent to Initial Borrowing</w:t>
            </w:r>
          </w:p>
        </w:tc>
      </w:tr>
      <w:tr>
        <w:trPr>
          <w:trHeight w:val="25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6.1</w:t>
            </w:r>
          </w:p>
        </w:tc>
        <w:tc>
          <w:tcPr>
            <w:tcW w:w="5040" w:type="dxa"/>
            <w:vAlign w:val="bottom"/>
            <w:gridSpan w:val="19"/>
          </w:tcPr>
          <w:p>
            <w:pPr>
              <w:spacing w:after="0"/>
              <w:rPr>
                <w:sz w:val="20"/>
                <w:szCs w:val="20"/>
                <w:color w:val="auto"/>
              </w:rPr>
            </w:pPr>
            <w:r>
              <w:rPr>
                <w:rFonts w:ascii="Arial" w:cs="Arial" w:eastAsia="Arial" w:hAnsi="Arial"/>
                <w:sz w:val="17"/>
                <w:szCs w:val="17"/>
                <w:color w:val="auto"/>
              </w:rPr>
              <w:t>Credit Documents</w:t>
            </w: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6.2</w:t>
            </w:r>
          </w:p>
        </w:tc>
        <w:tc>
          <w:tcPr>
            <w:tcW w:w="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7"/>
                <w:szCs w:val="17"/>
                <w:color w:val="auto"/>
                <w:w w:val="91"/>
              </w:rPr>
              <w:t>Collateral</w:t>
            </w:r>
          </w:p>
        </w:tc>
        <w:tc>
          <w:tcPr>
            <w:tcW w:w="560" w:type="dxa"/>
            <w:vAlign w:val="bottom"/>
            <w:tcBorders>
              <w:top w:val="single" w:sz="8" w:color="auto"/>
            </w:tcBorders>
            <w:gridSpan w:val="5"/>
          </w:tcPr>
          <w:p>
            <w:pPr>
              <w:spacing w:after="0"/>
              <w:rPr>
                <w:sz w:val="24"/>
                <w:szCs w:val="24"/>
                <w:color w:val="auto"/>
              </w:rPr>
            </w:pPr>
          </w:p>
        </w:tc>
        <w:tc>
          <w:tcPr>
            <w:tcW w:w="3800" w:type="dxa"/>
            <w:vAlign w:val="bottom"/>
            <w:gridSpan w:val="11"/>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6.3</w:t>
            </w:r>
          </w:p>
        </w:tc>
        <w:tc>
          <w:tcPr>
            <w:tcW w:w="106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1"/>
              </w:rPr>
              <w:t>Legal Opinions</w:t>
            </w:r>
          </w:p>
        </w:tc>
        <w:tc>
          <w:tcPr>
            <w:tcW w:w="3980" w:type="dxa"/>
            <w:vAlign w:val="bottom"/>
            <w:gridSpan w:val="13"/>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6.4</w:t>
            </w:r>
          </w:p>
        </w:tc>
        <w:tc>
          <w:tcPr>
            <w:tcW w:w="5040" w:type="dxa"/>
            <w:vAlign w:val="bottom"/>
            <w:gridSpan w:val="19"/>
          </w:tcPr>
          <w:p>
            <w:pPr>
              <w:spacing w:after="0"/>
              <w:rPr>
                <w:sz w:val="20"/>
                <w:szCs w:val="20"/>
                <w:color w:val="auto"/>
              </w:rPr>
            </w:pPr>
            <w:r>
              <w:rPr>
                <w:rFonts w:ascii="Arial" w:cs="Arial" w:eastAsia="Arial" w:hAnsi="Arial"/>
                <w:sz w:val="17"/>
                <w:szCs w:val="17"/>
                <w:color w:val="auto"/>
              </w:rPr>
              <w:t>Closing Certificates</w:t>
            </w:r>
          </w:p>
        </w:tc>
      </w:tr>
      <w:tr>
        <w:trPr>
          <w:trHeight w:val="20"/>
        </w:trPr>
        <w:tc>
          <w:tcPr>
            <w:tcW w:w="1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6.5</w:t>
            </w:r>
          </w:p>
        </w:tc>
        <w:tc>
          <w:tcPr>
            <w:tcW w:w="5040" w:type="dxa"/>
            <w:vAlign w:val="bottom"/>
            <w:tcBorders>
              <w:bottom w:val="single" w:sz="8" w:color="auto"/>
            </w:tcBorders>
            <w:gridSpan w:val="19"/>
          </w:tcPr>
          <w:p>
            <w:pPr>
              <w:spacing w:after="0"/>
              <w:rPr>
                <w:sz w:val="20"/>
                <w:szCs w:val="20"/>
                <w:color w:val="auto"/>
              </w:rPr>
            </w:pPr>
            <w:r>
              <w:rPr>
                <w:rFonts w:ascii="Arial" w:cs="Arial" w:eastAsia="Arial" w:hAnsi="Arial"/>
                <w:sz w:val="17"/>
                <w:szCs w:val="17"/>
                <w:color w:val="auto"/>
                <w:w w:val="91"/>
              </w:rPr>
              <w:t>Authorization of Proceedings of the Credit Parties; Corporate Documents</w:t>
            </w: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6.6</w:t>
            </w:r>
          </w:p>
        </w:tc>
        <w:tc>
          <w:tcPr>
            <w:tcW w:w="5040" w:type="dxa"/>
            <w:vAlign w:val="bottom"/>
            <w:gridSpan w:val="19"/>
          </w:tcPr>
          <w:p>
            <w:pPr>
              <w:spacing w:after="0"/>
              <w:rPr>
                <w:sz w:val="20"/>
                <w:szCs w:val="20"/>
                <w:color w:val="auto"/>
              </w:rPr>
            </w:pPr>
            <w:r>
              <w:rPr>
                <w:rFonts w:ascii="Arial" w:cs="Arial" w:eastAsia="Arial" w:hAnsi="Arial"/>
                <w:sz w:val="17"/>
                <w:szCs w:val="17"/>
                <w:color w:val="auto"/>
              </w:rPr>
              <w:t>Fees</w:t>
            </w:r>
          </w:p>
        </w:tc>
      </w:tr>
      <w:tr>
        <w:trPr>
          <w:trHeight w:val="20"/>
        </w:trPr>
        <w:tc>
          <w:tcPr>
            <w:tcW w:w="1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6.7</w:t>
            </w:r>
          </w:p>
        </w:tc>
        <w:tc>
          <w:tcPr>
            <w:tcW w:w="5040" w:type="dxa"/>
            <w:vAlign w:val="bottom"/>
            <w:gridSpan w:val="19"/>
          </w:tcPr>
          <w:p>
            <w:pPr>
              <w:spacing w:after="0"/>
              <w:rPr>
                <w:sz w:val="20"/>
                <w:szCs w:val="20"/>
                <w:color w:val="auto"/>
              </w:rPr>
            </w:pPr>
            <w:r>
              <w:rPr>
                <w:rFonts w:ascii="Arial" w:cs="Arial" w:eastAsia="Arial" w:hAnsi="Arial"/>
                <w:sz w:val="17"/>
                <w:szCs w:val="17"/>
                <w:color w:val="auto"/>
              </w:rPr>
              <w:t>Representations and Warranties; No Default</w:t>
            </w: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6.8</w:t>
            </w:r>
          </w:p>
        </w:tc>
        <w:tc>
          <w:tcPr>
            <w:tcW w:w="3020" w:type="dxa"/>
            <w:vAlign w:val="bottom"/>
            <w:tcBorders>
              <w:top w:val="single" w:sz="8" w:color="auto"/>
            </w:tcBorders>
            <w:gridSpan w:val="17"/>
          </w:tcPr>
          <w:p>
            <w:pPr>
              <w:spacing w:after="0"/>
              <w:rPr>
                <w:sz w:val="20"/>
                <w:szCs w:val="20"/>
                <w:color w:val="auto"/>
              </w:rPr>
            </w:pPr>
            <w:r>
              <w:rPr>
                <w:rFonts w:ascii="Arial" w:cs="Arial" w:eastAsia="Arial" w:hAnsi="Arial"/>
                <w:sz w:val="17"/>
                <w:szCs w:val="17"/>
                <w:color w:val="auto"/>
              </w:rPr>
              <w:t>Solvency Certificate</w:t>
            </w:r>
          </w:p>
        </w:tc>
        <w:tc>
          <w:tcPr>
            <w:tcW w:w="2020" w:type="dxa"/>
            <w:vAlign w:val="bottom"/>
            <w:gridSpan w:val="2"/>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6.9</w:t>
            </w:r>
          </w:p>
        </w:tc>
        <w:tc>
          <w:tcPr>
            <w:tcW w:w="12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7"/>
                <w:szCs w:val="17"/>
                <w:color w:val="auto"/>
                <w:w w:val="96"/>
              </w:rPr>
              <w:t>KYC Information</w:t>
            </w:r>
          </w:p>
        </w:tc>
        <w:tc>
          <w:tcPr>
            <w:tcW w:w="180" w:type="dxa"/>
            <w:vAlign w:val="bottom"/>
            <w:tcBorders>
              <w:top w:val="single" w:sz="8" w:color="auto"/>
            </w:tcBorders>
            <w:gridSpan w:val="3"/>
          </w:tcPr>
          <w:p>
            <w:pPr>
              <w:spacing w:after="0"/>
              <w:rPr>
                <w:sz w:val="24"/>
                <w:szCs w:val="24"/>
                <w:color w:val="auto"/>
              </w:rPr>
            </w:pPr>
          </w:p>
        </w:tc>
        <w:tc>
          <w:tcPr>
            <w:tcW w:w="3640" w:type="dxa"/>
            <w:vAlign w:val="bottom"/>
            <w:gridSpan w:val="9"/>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6.10</w:t>
            </w:r>
          </w:p>
        </w:tc>
        <w:tc>
          <w:tcPr>
            <w:tcW w:w="80" w:type="dxa"/>
            <w:vAlign w:val="bottom"/>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1"/>
              </w:rPr>
              <w:t>Refinancing</w:t>
            </w:r>
          </w:p>
        </w:tc>
        <w:tc>
          <w:tcPr>
            <w:tcW w:w="4120" w:type="dxa"/>
            <w:vAlign w:val="bottom"/>
            <w:gridSpan w:val="15"/>
          </w:tcPr>
          <w:p>
            <w:pPr>
              <w:spacing w:after="0"/>
              <w:rPr>
                <w:sz w:val="24"/>
                <w:szCs w:val="24"/>
                <w:color w:val="auto"/>
              </w:rPr>
            </w:pPr>
          </w:p>
        </w:tc>
      </w:tr>
    </w:tbl>
    <w:p>
      <w:pPr>
        <w:spacing w:after="0" w:line="10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6"/>
          <w:szCs w:val="16"/>
          <w:u w:val="single" w:color="auto"/>
          <w:color w:val="auto"/>
        </w:rPr>
        <w:t>Notice of Term Loan Borrowing</w:t>
      </w:r>
    </w:p>
    <w:p>
      <w:pPr>
        <w:spacing w:after="0" w:line="114"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Conditions Precedent to All Credit Events on and after the Second Restatement Effective Date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660"/>
              <w:spacing w:after="0"/>
              <w:rPr>
                <w:sz w:val="20"/>
                <w:szCs w:val="20"/>
                <w:color w:val="auto"/>
              </w:rPr>
            </w:pPr>
            <w:r>
              <w:rPr>
                <w:rFonts w:ascii="Arial" w:cs="Arial" w:eastAsia="Arial" w:hAnsi="Arial"/>
                <w:sz w:val="17"/>
                <w:szCs w:val="17"/>
                <w:color w:val="auto"/>
              </w:rPr>
              <w:t>7.1</w:t>
            </w:r>
          </w:p>
        </w:tc>
        <w:tc>
          <w:tcPr>
            <w:tcW w:w="4820" w:type="dxa"/>
            <w:vAlign w:val="bottom"/>
            <w:gridSpan w:val="14"/>
          </w:tcPr>
          <w:p>
            <w:pPr>
              <w:spacing w:after="0"/>
              <w:rPr>
                <w:sz w:val="20"/>
                <w:szCs w:val="20"/>
                <w:color w:val="auto"/>
              </w:rPr>
            </w:pPr>
            <w:r>
              <w:rPr>
                <w:rFonts w:ascii="Arial" w:cs="Arial" w:eastAsia="Arial" w:hAnsi="Arial"/>
                <w:sz w:val="17"/>
                <w:szCs w:val="17"/>
                <w:color w:val="auto"/>
              </w:rPr>
              <w:t>No Default; Representations and Warranties</w:t>
            </w: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89"/>
        </w:trPr>
        <w:tc>
          <w:tcPr>
            <w:tcW w:w="1060" w:type="dxa"/>
            <w:vAlign w:val="bottom"/>
          </w:tcPr>
          <w:p>
            <w:pPr>
              <w:ind w:left="660"/>
              <w:spacing w:after="0"/>
              <w:rPr>
                <w:sz w:val="20"/>
                <w:szCs w:val="20"/>
                <w:color w:val="auto"/>
              </w:rPr>
            </w:pPr>
            <w:r>
              <w:rPr>
                <w:rFonts w:ascii="Arial" w:cs="Arial" w:eastAsia="Arial" w:hAnsi="Arial"/>
                <w:sz w:val="17"/>
                <w:szCs w:val="17"/>
                <w:color w:val="auto"/>
              </w:rPr>
              <w:t>7.2</w:t>
            </w:r>
          </w:p>
        </w:tc>
        <w:tc>
          <w:tcPr>
            <w:tcW w:w="4820" w:type="dxa"/>
            <w:vAlign w:val="bottom"/>
            <w:gridSpan w:val="14"/>
          </w:tcPr>
          <w:p>
            <w:pPr>
              <w:spacing w:after="0"/>
              <w:rPr>
                <w:sz w:val="20"/>
                <w:szCs w:val="20"/>
                <w:color w:val="auto"/>
              </w:rPr>
            </w:pPr>
            <w:r>
              <w:rPr>
                <w:rFonts w:ascii="Arial" w:cs="Arial" w:eastAsia="Arial" w:hAnsi="Arial"/>
                <w:sz w:val="17"/>
                <w:szCs w:val="17"/>
                <w:color w:val="auto"/>
              </w:rPr>
              <w:t>Notice of Borrowing; Letter of Credit Request</w:t>
            </w: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14"/>
        </w:trPr>
        <w:tc>
          <w:tcPr>
            <w:tcW w:w="5880" w:type="dxa"/>
            <w:vAlign w:val="bottom"/>
            <w:gridSpan w:val="15"/>
          </w:tcPr>
          <w:p>
            <w:pPr>
              <w:spacing w:after="0"/>
              <w:rPr>
                <w:sz w:val="20"/>
                <w:szCs w:val="20"/>
                <w:color w:val="auto"/>
              </w:rPr>
            </w:pPr>
            <w:r>
              <w:rPr>
                <w:rFonts w:ascii="Arial" w:cs="Arial" w:eastAsia="Arial" w:hAnsi="Arial"/>
                <w:sz w:val="17"/>
                <w:szCs w:val="17"/>
                <w:color w:val="auto"/>
              </w:rPr>
              <w:t>Section 8  Representations and Warranties</w:t>
            </w:r>
          </w:p>
        </w:tc>
      </w:tr>
      <w:tr>
        <w:trPr>
          <w:trHeight w:val="272"/>
        </w:trPr>
        <w:tc>
          <w:tcPr>
            <w:tcW w:w="1060" w:type="dxa"/>
            <w:vAlign w:val="bottom"/>
          </w:tcPr>
          <w:p>
            <w:pPr>
              <w:ind w:left="660"/>
              <w:spacing w:after="0"/>
              <w:rPr>
                <w:sz w:val="20"/>
                <w:szCs w:val="20"/>
                <w:color w:val="auto"/>
              </w:rPr>
            </w:pPr>
            <w:r>
              <w:rPr>
                <w:rFonts w:ascii="Arial" w:cs="Arial" w:eastAsia="Arial" w:hAnsi="Arial"/>
                <w:sz w:val="17"/>
                <w:szCs w:val="17"/>
                <w:color w:val="auto"/>
              </w:rPr>
              <w:t>8.1</w:t>
            </w:r>
          </w:p>
        </w:tc>
        <w:tc>
          <w:tcPr>
            <w:tcW w:w="4820" w:type="dxa"/>
            <w:vAlign w:val="bottom"/>
            <w:gridSpan w:val="14"/>
          </w:tcPr>
          <w:p>
            <w:pPr>
              <w:spacing w:after="0"/>
              <w:rPr>
                <w:sz w:val="20"/>
                <w:szCs w:val="20"/>
                <w:color w:val="auto"/>
              </w:rPr>
            </w:pPr>
            <w:r>
              <w:rPr>
                <w:rFonts w:ascii="Arial" w:cs="Arial" w:eastAsia="Arial" w:hAnsi="Arial"/>
                <w:sz w:val="17"/>
                <w:szCs w:val="17"/>
                <w:color w:val="auto"/>
              </w:rPr>
              <w:t>Corporate Status</w:t>
            </w: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77"/>
        </w:trPr>
        <w:tc>
          <w:tcPr>
            <w:tcW w:w="1060" w:type="dxa"/>
            <w:vAlign w:val="bottom"/>
          </w:tcPr>
          <w:p>
            <w:pPr>
              <w:ind w:left="660"/>
              <w:spacing w:after="0"/>
              <w:rPr>
                <w:sz w:val="20"/>
                <w:szCs w:val="20"/>
                <w:color w:val="auto"/>
              </w:rPr>
            </w:pPr>
            <w:r>
              <w:rPr>
                <w:rFonts w:ascii="Arial" w:cs="Arial" w:eastAsia="Arial" w:hAnsi="Arial"/>
                <w:sz w:val="17"/>
                <w:szCs w:val="17"/>
                <w:color w:val="auto"/>
              </w:rPr>
              <w:t>8.2</w:t>
            </w:r>
          </w:p>
        </w:tc>
        <w:tc>
          <w:tcPr>
            <w:tcW w:w="2160" w:type="dxa"/>
            <w:vAlign w:val="bottom"/>
            <w:tcBorders>
              <w:bottom w:val="single" w:sz="8" w:color="auto"/>
            </w:tcBorders>
            <w:gridSpan w:val="9"/>
          </w:tcPr>
          <w:p>
            <w:pPr>
              <w:spacing w:after="0"/>
              <w:rPr>
                <w:sz w:val="20"/>
                <w:szCs w:val="20"/>
                <w:color w:val="auto"/>
              </w:rPr>
            </w:pPr>
            <w:r>
              <w:rPr>
                <w:rFonts w:ascii="Arial" w:cs="Arial" w:eastAsia="Arial" w:hAnsi="Arial"/>
                <w:sz w:val="17"/>
                <w:szCs w:val="17"/>
                <w:color w:val="auto"/>
                <w:w w:val="91"/>
              </w:rPr>
              <w:t>Corporate Power and Authority</w:t>
            </w:r>
          </w:p>
        </w:tc>
        <w:tc>
          <w:tcPr>
            <w:tcW w:w="2660" w:type="dxa"/>
            <w:vAlign w:val="bottom"/>
            <w:gridSpan w:val="5"/>
          </w:tcPr>
          <w:p>
            <w:pPr>
              <w:spacing w:after="0"/>
              <w:rPr>
                <w:sz w:val="24"/>
                <w:szCs w:val="24"/>
                <w:color w:val="auto"/>
              </w:rPr>
            </w:pPr>
          </w:p>
        </w:tc>
      </w:tr>
      <w:tr>
        <w:trPr>
          <w:trHeight w:val="289"/>
        </w:trPr>
        <w:tc>
          <w:tcPr>
            <w:tcW w:w="1060" w:type="dxa"/>
            <w:vAlign w:val="bottom"/>
          </w:tcPr>
          <w:p>
            <w:pPr>
              <w:ind w:left="660"/>
              <w:spacing w:after="0"/>
              <w:rPr>
                <w:sz w:val="20"/>
                <w:szCs w:val="20"/>
                <w:color w:val="auto"/>
              </w:rPr>
            </w:pPr>
            <w:r>
              <w:rPr>
                <w:rFonts w:ascii="Arial" w:cs="Arial" w:eastAsia="Arial" w:hAnsi="Arial"/>
                <w:sz w:val="17"/>
                <w:szCs w:val="17"/>
                <w:color w:val="auto"/>
              </w:rPr>
              <w:t>8.3</w:t>
            </w:r>
          </w:p>
        </w:tc>
        <w:tc>
          <w:tcPr>
            <w:tcW w:w="4820" w:type="dxa"/>
            <w:vAlign w:val="bottom"/>
            <w:gridSpan w:val="14"/>
          </w:tcPr>
          <w:p>
            <w:pPr>
              <w:spacing w:after="0"/>
              <w:rPr>
                <w:sz w:val="20"/>
                <w:szCs w:val="20"/>
                <w:color w:val="auto"/>
              </w:rPr>
            </w:pPr>
            <w:r>
              <w:rPr>
                <w:rFonts w:ascii="Arial" w:cs="Arial" w:eastAsia="Arial" w:hAnsi="Arial"/>
                <w:sz w:val="17"/>
                <w:szCs w:val="17"/>
                <w:color w:val="auto"/>
              </w:rPr>
              <w:t>No Violation</w:t>
            </w:r>
          </w:p>
        </w:tc>
      </w:tr>
      <w:tr>
        <w:trPr>
          <w:trHeight w:val="277"/>
        </w:trPr>
        <w:tc>
          <w:tcPr>
            <w:tcW w:w="1060" w:type="dxa"/>
            <w:vAlign w:val="bottom"/>
          </w:tcPr>
          <w:p>
            <w:pPr>
              <w:ind w:left="660"/>
              <w:spacing w:after="0"/>
              <w:rPr>
                <w:sz w:val="20"/>
                <w:szCs w:val="20"/>
                <w:color w:val="auto"/>
              </w:rPr>
            </w:pPr>
            <w:r>
              <w:rPr>
                <w:rFonts w:ascii="Arial" w:cs="Arial" w:eastAsia="Arial" w:hAnsi="Arial"/>
                <w:sz w:val="17"/>
                <w:szCs w:val="17"/>
                <w:color w:val="auto"/>
              </w:rPr>
              <w:t>8.4</w:t>
            </w:r>
          </w:p>
        </w:tc>
        <w:tc>
          <w:tcPr>
            <w:tcW w:w="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color w:val="auto"/>
                <w:w w:val="96"/>
              </w:rPr>
              <w:t>Litigation</w:t>
            </w:r>
          </w:p>
        </w:tc>
        <w:tc>
          <w:tcPr>
            <w:tcW w:w="220" w:type="dxa"/>
            <w:vAlign w:val="bottom"/>
            <w:tcBorders>
              <w:top w:val="single" w:sz="8" w:color="auto"/>
            </w:tcBorders>
          </w:tcPr>
          <w:p>
            <w:pPr>
              <w:spacing w:after="0"/>
              <w:rPr>
                <w:sz w:val="24"/>
                <w:szCs w:val="24"/>
                <w:color w:val="auto"/>
              </w:rPr>
            </w:pPr>
          </w:p>
        </w:tc>
        <w:tc>
          <w:tcPr>
            <w:tcW w:w="3920" w:type="dxa"/>
            <w:vAlign w:val="bottom"/>
            <w:gridSpan w:val="11"/>
          </w:tcPr>
          <w:p>
            <w:pPr>
              <w:spacing w:after="0"/>
              <w:rPr>
                <w:sz w:val="24"/>
                <w:szCs w:val="24"/>
                <w:color w:val="auto"/>
              </w:rPr>
            </w:pPr>
          </w:p>
        </w:tc>
      </w:tr>
      <w:tr>
        <w:trPr>
          <w:trHeight w:val="289"/>
        </w:trPr>
        <w:tc>
          <w:tcPr>
            <w:tcW w:w="1060" w:type="dxa"/>
            <w:vAlign w:val="bottom"/>
          </w:tcPr>
          <w:p>
            <w:pPr>
              <w:ind w:left="660"/>
              <w:spacing w:after="0"/>
              <w:rPr>
                <w:sz w:val="20"/>
                <w:szCs w:val="20"/>
                <w:color w:val="auto"/>
              </w:rPr>
            </w:pPr>
            <w:r>
              <w:rPr>
                <w:rFonts w:ascii="Arial" w:cs="Arial" w:eastAsia="Arial" w:hAnsi="Arial"/>
                <w:sz w:val="17"/>
                <w:szCs w:val="17"/>
                <w:color w:val="auto"/>
              </w:rPr>
              <w:t>8.5</w:t>
            </w:r>
          </w:p>
        </w:tc>
        <w:tc>
          <w:tcPr>
            <w:tcW w:w="136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91"/>
              </w:rPr>
              <w:t>Margin Regulations</w:t>
            </w:r>
          </w:p>
        </w:tc>
        <w:tc>
          <w:tcPr>
            <w:tcW w:w="3460" w:type="dxa"/>
            <w:vAlign w:val="bottom"/>
            <w:gridSpan w:val="9"/>
          </w:tcPr>
          <w:p>
            <w:pPr>
              <w:spacing w:after="0"/>
              <w:rPr>
                <w:sz w:val="24"/>
                <w:szCs w:val="24"/>
                <w:color w:val="auto"/>
              </w:rPr>
            </w:pPr>
          </w:p>
        </w:tc>
      </w:tr>
      <w:tr>
        <w:trPr>
          <w:trHeight w:val="277"/>
        </w:trPr>
        <w:tc>
          <w:tcPr>
            <w:tcW w:w="1060" w:type="dxa"/>
            <w:vAlign w:val="bottom"/>
          </w:tcPr>
          <w:p>
            <w:pPr>
              <w:ind w:left="660"/>
              <w:spacing w:after="0"/>
              <w:rPr>
                <w:sz w:val="20"/>
                <w:szCs w:val="20"/>
                <w:color w:val="auto"/>
              </w:rPr>
            </w:pPr>
            <w:r>
              <w:rPr>
                <w:rFonts w:ascii="Arial" w:cs="Arial" w:eastAsia="Arial" w:hAnsi="Arial"/>
                <w:sz w:val="17"/>
                <w:szCs w:val="17"/>
                <w:color w:val="auto"/>
              </w:rPr>
              <w:t>8.6</w:t>
            </w:r>
          </w:p>
        </w:tc>
        <w:tc>
          <w:tcPr>
            <w:tcW w:w="4820" w:type="dxa"/>
            <w:vAlign w:val="bottom"/>
            <w:gridSpan w:val="14"/>
          </w:tcPr>
          <w:p>
            <w:pPr>
              <w:spacing w:after="0"/>
              <w:rPr>
                <w:sz w:val="20"/>
                <w:szCs w:val="20"/>
                <w:color w:val="auto"/>
              </w:rPr>
            </w:pPr>
            <w:r>
              <w:rPr>
                <w:rFonts w:ascii="Arial" w:cs="Arial" w:eastAsia="Arial" w:hAnsi="Arial"/>
                <w:sz w:val="17"/>
                <w:szCs w:val="17"/>
                <w:color w:val="auto"/>
              </w:rPr>
              <w:t>Governmental Approvals</w:t>
            </w: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89"/>
        </w:trPr>
        <w:tc>
          <w:tcPr>
            <w:tcW w:w="1060" w:type="dxa"/>
            <w:vAlign w:val="bottom"/>
          </w:tcPr>
          <w:p>
            <w:pPr>
              <w:ind w:left="660"/>
              <w:spacing w:after="0"/>
              <w:rPr>
                <w:sz w:val="20"/>
                <w:szCs w:val="20"/>
                <w:color w:val="auto"/>
              </w:rPr>
            </w:pPr>
            <w:r>
              <w:rPr>
                <w:rFonts w:ascii="Arial" w:cs="Arial" w:eastAsia="Arial" w:hAnsi="Arial"/>
                <w:sz w:val="17"/>
                <w:szCs w:val="17"/>
                <w:color w:val="auto"/>
              </w:rPr>
              <w:t>8.7</w:t>
            </w:r>
          </w:p>
        </w:tc>
        <w:tc>
          <w:tcPr>
            <w:tcW w:w="4820" w:type="dxa"/>
            <w:vAlign w:val="bottom"/>
            <w:gridSpan w:val="14"/>
          </w:tcPr>
          <w:p>
            <w:pPr>
              <w:spacing w:after="0"/>
              <w:rPr>
                <w:sz w:val="20"/>
                <w:szCs w:val="20"/>
                <w:color w:val="auto"/>
              </w:rPr>
            </w:pPr>
            <w:r>
              <w:rPr>
                <w:rFonts w:ascii="Arial" w:cs="Arial" w:eastAsia="Arial" w:hAnsi="Arial"/>
                <w:sz w:val="17"/>
                <w:szCs w:val="17"/>
                <w:color w:val="auto"/>
              </w:rPr>
              <w:t>Investment Company Act</w:t>
            </w:r>
          </w:p>
        </w:tc>
      </w:tr>
      <w:tr>
        <w:trPr>
          <w:trHeight w:val="20"/>
        </w:trPr>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77"/>
        </w:trPr>
        <w:tc>
          <w:tcPr>
            <w:tcW w:w="1060" w:type="dxa"/>
            <w:vAlign w:val="bottom"/>
          </w:tcPr>
          <w:p>
            <w:pPr>
              <w:ind w:left="660"/>
              <w:spacing w:after="0"/>
              <w:rPr>
                <w:sz w:val="20"/>
                <w:szCs w:val="20"/>
                <w:color w:val="auto"/>
              </w:rPr>
            </w:pPr>
            <w:r>
              <w:rPr>
                <w:rFonts w:ascii="Arial" w:cs="Arial" w:eastAsia="Arial" w:hAnsi="Arial"/>
                <w:sz w:val="17"/>
                <w:szCs w:val="17"/>
                <w:color w:val="auto"/>
              </w:rPr>
              <w:t>8.8</w:t>
            </w:r>
          </w:p>
        </w:tc>
        <w:tc>
          <w:tcPr>
            <w:tcW w:w="210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auto"/>
                <w:w w:val="90"/>
              </w:rPr>
              <w:t>True and Complete Disclosure</w:t>
            </w:r>
          </w:p>
        </w:tc>
        <w:tc>
          <w:tcPr>
            <w:tcW w:w="2720" w:type="dxa"/>
            <w:vAlign w:val="bottom"/>
            <w:gridSpan w:val="6"/>
          </w:tcPr>
          <w:p>
            <w:pPr>
              <w:spacing w:after="0"/>
              <w:rPr>
                <w:sz w:val="24"/>
                <w:szCs w:val="24"/>
                <w:color w:val="auto"/>
              </w:rPr>
            </w:pPr>
          </w:p>
        </w:tc>
      </w:tr>
      <w:tr>
        <w:trPr>
          <w:trHeight w:val="289"/>
        </w:trPr>
        <w:tc>
          <w:tcPr>
            <w:tcW w:w="1060" w:type="dxa"/>
            <w:vAlign w:val="bottom"/>
          </w:tcPr>
          <w:p>
            <w:pPr>
              <w:ind w:left="660"/>
              <w:spacing w:after="0"/>
              <w:rPr>
                <w:sz w:val="20"/>
                <w:szCs w:val="20"/>
                <w:color w:val="auto"/>
              </w:rPr>
            </w:pPr>
            <w:r>
              <w:rPr>
                <w:rFonts w:ascii="Arial" w:cs="Arial" w:eastAsia="Arial" w:hAnsi="Arial"/>
                <w:sz w:val="17"/>
                <w:szCs w:val="17"/>
                <w:color w:val="auto"/>
              </w:rPr>
              <w:t>8.9</w:t>
            </w:r>
          </w:p>
        </w:tc>
        <w:tc>
          <w:tcPr>
            <w:tcW w:w="2900" w:type="dxa"/>
            <w:vAlign w:val="bottom"/>
            <w:tcBorders>
              <w:bottom w:val="single" w:sz="8" w:color="auto"/>
            </w:tcBorders>
            <w:gridSpan w:val="11"/>
          </w:tcPr>
          <w:p>
            <w:pPr>
              <w:spacing w:after="0"/>
              <w:rPr>
                <w:sz w:val="20"/>
                <w:szCs w:val="20"/>
                <w:color w:val="auto"/>
              </w:rPr>
            </w:pPr>
            <w:r>
              <w:rPr>
                <w:rFonts w:ascii="Arial" w:cs="Arial" w:eastAsia="Arial" w:hAnsi="Arial"/>
                <w:sz w:val="17"/>
                <w:szCs w:val="17"/>
                <w:color w:val="auto"/>
                <w:w w:val="92"/>
              </w:rPr>
              <w:t>Financial Condition; Financial Statements</w:t>
            </w:r>
          </w:p>
        </w:tc>
        <w:tc>
          <w:tcPr>
            <w:tcW w:w="1920" w:type="dxa"/>
            <w:vAlign w:val="bottom"/>
            <w:gridSpan w:val="3"/>
          </w:tcPr>
          <w:p>
            <w:pPr>
              <w:spacing w:after="0"/>
              <w:rPr>
                <w:sz w:val="24"/>
                <w:szCs w:val="24"/>
                <w:color w:val="auto"/>
              </w:rPr>
            </w:pPr>
          </w:p>
        </w:tc>
      </w:tr>
      <w:tr>
        <w:trPr>
          <w:trHeight w:val="277"/>
        </w:trPr>
        <w:tc>
          <w:tcPr>
            <w:tcW w:w="5880" w:type="dxa"/>
            <w:vAlign w:val="bottom"/>
            <w:gridSpan w:val="15"/>
          </w:tcPr>
          <w:p>
            <w:pPr>
              <w:ind w:left="660"/>
              <w:spacing w:after="0"/>
              <w:rPr>
                <w:sz w:val="20"/>
                <w:szCs w:val="20"/>
                <w:color w:val="auto"/>
              </w:rPr>
            </w:pPr>
            <w:r>
              <w:rPr>
                <w:rFonts w:ascii="Arial" w:cs="Arial" w:eastAsia="Arial" w:hAnsi="Arial"/>
                <w:sz w:val="17"/>
                <w:szCs w:val="17"/>
                <w:color w:val="auto"/>
              </w:rPr>
              <w:t>8.10  Compliance with Laws; No Default</w:t>
            </w:r>
          </w:p>
        </w:tc>
      </w:tr>
      <w:tr>
        <w:trPr>
          <w:trHeight w:val="20"/>
        </w:trPr>
        <w:tc>
          <w:tcPr>
            <w:tcW w:w="1140" w:type="dxa"/>
            <w:vAlign w:val="bottom"/>
            <w:gridSpan w:val="2"/>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1640" w:type="dxa"/>
            <w:vAlign w:val="bottom"/>
            <w:gridSpan w:val="7"/>
            <w:shd w:val="clear" w:color="auto" w:fill="000000"/>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289"/>
        </w:trPr>
        <w:tc>
          <w:tcPr>
            <w:tcW w:w="5880" w:type="dxa"/>
            <w:vAlign w:val="bottom"/>
            <w:gridSpan w:val="15"/>
          </w:tcPr>
          <w:p>
            <w:pPr>
              <w:ind w:left="660"/>
              <w:spacing w:after="0"/>
              <w:rPr>
                <w:sz w:val="20"/>
                <w:szCs w:val="20"/>
                <w:color w:val="auto"/>
              </w:rPr>
            </w:pPr>
            <w:r>
              <w:rPr>
                <w:rFonts w:ascii="Arial" w:cs="Arial" w:eastAsia="Arial" w:hAnsi="Arial"/>
                <w:sz w:val="17"/>
                <w:szCs w:val="17"/>
                <w:color w:val="auto"/>
                <w:w w:val="94"/>
              </w:rPr>
              <w:t>8.11  Anti-Corruption, Sanctions and Anti-Money Laundering Compliance</w:t>
            </w:r>
          </w:p>
        </w:tc>
      </w:tr>
      <w:tr>
        <w:trPr>
          <w:trHeight w:val="277"/>
        </w:trPr>
        <w:tc>
          <w:tcPr>
            <w:tcW w:w="1060" w:type="dxa"/>
            <w:vAlign w:val="bottom"/>
          </w:tcPr>
          <w:p>
            <w:pPr>
              <w:ind w:left="660"/>
              <w:spacing w:after="0"/>
              <w:rPr>
                <w:sz w:val="20"/>
                <w:szCs w:val="20"/>
                <w:color w:val="auto"/>
              </w:rPr>
            </w:pPr>
            <w:r>
              <w:rPr>
                <w:rFonts w:ascii="Arial" w:cs="Arial" w:eastAsia="Arial" w:hAnsi="Arial"/>
                <w:sz w:val="17"/>
                <w:szCs w:val="17"/>
                <w:color w:val="auto"/>
              </w:rPr>
              <w:t>8.12</w:t>
            </w:r>
          </w:p>
        </w:tc>
        <w:tc>
          <w:tcPr>
            <w:tcW w:w="80" w:type="dxa"/>
            <w:vAlign w:val="bottom"/>
          </w:tcPr>
          <w:p>
            <w:pPr>
              <w:spacing w:after="0"/>
              <w:rPr>
                <w:sz w:val="24"/>
                <w:szCs w:val="24"/>
                <w:color w:val="auto"/>
              </w:rPr>
            </w:pPr>
          </w:p>
        </w:tc>
        <w:tc>
          <w:tcPr>
            <w:tcW w:w="4740" w:type="dxa"/>
            <w:vAlign w:val="bottom"/>
            <w:tcBorders>
              <w:top w:val="single" w:sz="8" w:color="auto"/>
            </w:tcBorders>
            <w:gridSpan w:val="13"/>
          </w:tcPr>
          <w:p>
            <w:pPr>
              <w:spacing w:after="0"/>
              <w:rPr>
                <w:sz w:val="20"/>
                <w:szCs w:val="20"/>
                <w:color w:val="auto"/>
              </w:rPr>
            </w:pPr>
            <w:r>
              <w:rPr>
                <w:rFonts w:ascii="Arial" w:cs="Arial" w:eastAsia="Arial" w:hAnsi="Arial"/>
                <w:sz w:val="17"/>
                <w:szCs w:val="17"/>
                <w:color w:val="auto"/>
              </w:rPr>
              <w:t>Tax Matters</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86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89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89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92</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95</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99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99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100</w:t>
      </w:r>
    </w:p>
    <w:p>
      <w:pPr>
        <w:spacing w:after="0" w:line="230" w:lineRule="exact"/>
        <w:rPr>
          <w:sz w:val="20"/>
          <w:szCs w:val="20"/>
          <w:color w:val="auto"/>
        </w:rPr>
      </w:pPr>
    </w:p>
    <w:p>
      <w:pPr>
        <w:sectPr>
          <w:pgSz w:w="11900" w:h="16838" w:orient="portrait"/>
          <w:cols w:equalWidth="0" w:num="2">
            <w:col w:w="9840" w:space="720"/>
            <w:col w:w="660"/>
          </w:cols>
          <w:pgMar w:left="340" w:top="114" w:right="339" w:bottom="2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220"/>
          </w:cols>
          <w:pgMar w:left="340" w:top="114" w:right="339" w:bottom="249"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8.13</w:t>
            </w:r>
          </w:p>
        </w:tc>
        <w:tc>
          <w:tcPr>
            <w:tcW w:w="100" w:type="dxa"/>
            <w:vAlign w:val="bottom"/>
          </w:tcPr>
          <w:p>
            <w:pPr>
              <w:spacing w:after="0"/>
              <w:rPr>
                <w:sz w:val="16"/>
                <w:szCs w:val="16"/>
                <w:color w:val="auto"/>
              </w:rPr>
            </w:pPr>
          </w:p>
        </w:tc>
        <w:tc>
          <w:tcPr>
            <w:tcW w:w="1700" w:type="dxa"/>
            <w:vAlign w:val="bottom"/>
            <w:tcBorders>
              <w:bottom w:val="single" w:sz="8" w:color="auto"/>
            </w:tcBorders>
            <w:gridSpan w:val="21"/>
          </w:tcPr>
          <w:p>
            <w:pPr>
              <w:spacing w:after="0"/>
              <w:rPr>
                <w:sz w:val="20"/>
                <w:szCs w:val="20"/>
                <w:color w:val="auto"/>
              </w:rPr>
            </w:pPr>
            <w:r>
              <w:rPr>
                <w:rFonts w:ascii="Arial" w:cs="Arial" w:eastAsia="Arial" w:hAnsi="Arial"/>
                <w:sz w:val="17"/>
                <w:szCs w:val="17"/>
                <w:color w:val="auto"/>
                <w:w w:val="93"/>
              </w:rPr>
              <w:t>Compliance with ERISA</w:t>
            </w:r>
          </w:p>
        </w:tc>
        <w:tc>
          <w:tcPr>
            <w:tcW w:w="2460" w:type="dxa"/>
            <w:vAlign w:val="bottom"/>
            <w:gridSpan w:val="12"/>
          </w:tcPr>
          <w:p>
            <w:pPr>
              <w:spacing w:after="0"/>
              <w:rPr>
                <w:sz w:val="16"/>
                <w:szCs w:val="16"/>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8.14</w:t>
            </w:r>
          </w:p>
        </w:tc>
        <w:tc>
          <w:tcPr>
            <w:tcW w:w="100" w:type="dxa"/>
            <w:vAlign w:val="bottom"/>
          </w:tcPr>
          <w:p>
            <w:pPr>
              <w:spacing w:after="0"/>
              <w:rPr>
                <w:sz w:val="24"/>
                <w:szCs w:val="24"/>
                <w:color w:val="auto"/>
              </w:rPr>
            </w:pPr>
          </w:p>
        </w:tc>
        <w:tc>
          <w:tcPr>
            <w:tcW w:w="82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auto"/>
                <w:w w:val="86"/>
              </w:rPr>
              <w:t>Subsidiaries</w:t>
            </w:r>
          </w:p>
        </w:tc>
        <w:tc>
          <w:tcPr>
            <w:tcW w:w="3340" w:type="dxa"/>
            <w:vAlign w:val="bottom"/>
            <w:gridSpan w:val="25"/>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8.15</w:t>
            </w:r>
          </w:p>
        </w:tc>
        <w:tc>
          <w:tcPr>
            <w:tcW w:w="100" w:type="dxa"/>
            <w:vAlign w:val="bottom"/>
          </w:tcPr>
          <w:p>
            <w:pPr>
              <w:spacing w:after="0"/>
              <w:rPr>
                <w:sz w:val="24"/>
                <w:szCs w:val="24"/>
                <w:color w:val="auto"/>
              </w:rPr>
            </w:pPr>
          </w:p>
        </w:tc>
        <w:tc>
          <w:tcPr>
            <w:tcW w:w="1400" w:type="dxa"/>
            <w:vAlign w:val="bottom"/>
            <w:tcBorders>
              <w:bottom w:val="single" w:sz="8" w:color="auto"/>
            </w:tcBorders>
            <w:gridSpan w:val="17"/>
          </w:tcPr>
          <w:p>
            <w:pPr>
              <w:spacing w:after="0"/>
              <w:rPr>
                <w:sz w:val="20"/>
                <w:szCs w:val="20"/>
                <w:color w:val="auto"/>
              </w:rPr>
            </w:pPr>
            <w:r>
              <w:rPr>
                <w:rFonts w:ascii="Arial" w:cs="Arial" w:eastAsia="Arial" w:hAnsi="Arial"/>
                <w:sz w:val="17"/>
                <w:szCs w:val="17"/>
                <w:color w:val="auto"/>
                <w:w w:val="91"/>
              </w:rPr>
              <w:t>Intellectual Property</w:t>
            </w:r>
          </w:p>
        </w:tc>
        <w:tc>
          <w:tcPr>
            <w:tcW w:w="2760" w:type="dxa"/>
            <w:vAlign w:val="bottom"/>
            <w:gridSpan w:val="16"/>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24"/>
                <w:szCs w:val="24"/>
                <w:color w:val="auto"/>
              </w:rPr>
            </w:pPr>
          </w:p>
        </w:tc>
        <w:tc>
          <w:tcPr>
            <w:tcW w:w="1420" w:type="dxa"/>
            <w:vAlign w:val="bottom"/>
            <w:tcBorders>
              <w:bottom w:val="single" w:sz="8" w:color="auto"/>
            </w:tcBorders>
            <w:gridSpan w:val="18"/>
          </w:tcPr>
          <w:p>
            <w:pPr>
              <w:spacing w:after="0"/>
              <w:rPr>
                <w:sz w:val="20"/>
                <w:szCs w:val="20"/>
                <w:color w:val="auto"/>
              </w:rPr>
            </w:pPr>
            <w:r>
              <w:rPr>
                <w:rFonts w:ascii="Arial" w:cs="Arial" w:eastAsia="Arial" w:hAnsi="Arial"/>
                <w:sz w:val="17"/>
                <w:szCs w:val="17"/>
                <w:color w:val="auto"/>
                <w:w w:val="91"/>
              </w:rPr>
              <w:t>Environmental Laws</w:t>
            </w:r>
          </w:p>
        </w:tc>
        <w:tc>
          <w:tcPr>
            <w:tcW w:w="2740" w:type="dxa"/>
            <w:vAlign w:val="bottom"/>
            <w:gridSpan w:val="15"/>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24"/>
                <w:szCs w:val="24"/>
                <w:color w:val="auto"/>
              </w:rPr>
            </w:pPr>
          </w:p>
        </w:tc>
        <w:tc>
          <w:tcPr>
            <w:tcW w:w="68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85"/>
              </w:rPr>
              <w:t>Properties</w:t>
            </w:r>
          </w:p>
        </w:tc>
        <w:tc>
          <w:tcPr>
            <w:tcW w:w="3480" w:type="dxa"/>
            <w:vAlign w:val="bottom"/>
            <w:gridSpan w:val="28"/>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8.18</w:t>
            </w:r>
          </w:p>
        </w:tc>
        <w:tc>
          <w:tcPr>
            <w:tcW w:w="100" w:type="dxa"/>
            <w:vAlign w:val="bottom"/>
          </w:tcPr>
          <w:p>
            <w:pPr>
              <w:spacing w:after="0"/>
              <w:rPr>
                <w:sz w:val="24"/>
                <w:szCs w:val="2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86"/>
              </w:rPr>
              <w:t>Solvency</w:t>
            </w:r>
          </w:p>
        </w:tc>
        <w:tc>
          <w:tcPr>
            <w:tcW w:w="3540" w:type="dxa"/>
            <w:vAlign w:val="bottom"/>
            <w:gridSpan w:val="30"/>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24"/>
                <w:szCs w:val="24"/>
                <w:color w:val="auto"/>
              </w:rPr>
            </w:pPr>
          </w:p>
        </w:tc>
        <w:tc>
          <w:tcPr>
            <w:tcW w:w="72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auto"/>
                <w:w w:val="89"/>
              </w:rPr>
              <w:t>Patriot Act</w:t>
            </w:r>
          </w:p>
        </w:tc>
        <w:tc>
          <w:tcPr>
            <w:tcW w:w="3440" w:type="dxa"/>
            <w:vAlign w:val="bottom"/>
            <w:gridSpan w:val="26"/>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8.20</w:t>
            </w:r>
          </w:p>
        </w:tc>
        <w:tc>
          <w:tcPr>
            <w:tcW w:w="100" w:type="dxa"/>
            <w:vAlign w:val="bottom"/>
          </w:tcPr>
          <w:p>
            <w:pPr>
              <w:spacing w:after="0"/>
              <w:rPr>
                <w:sz w:val="24"/>
                <w:szCs w:val="24"/>
                <w:color w:val="auto"/>
              </w:rPr>
            </w:pPr>
          </w:p>
        </w:tc>
        <w:tc>
          <w:tcPr>
            <w:tcW w:w="1820" w:type="dxa"/>
            <w:vAlign w:val="bottom"/>
            <w:tcBorders>
              <w:bottom w:val="single" w:sz="8" w:color="auto"/>
            </w:tcBorders>
            <w:gridSpan w:val="23"/>
          </w:tcPr>
          <w:p>
            <w:pPr>
              <w:spacing w:after="0"/>
              <w:rPr>
                <w:sz w:val="20"/>
                <w:szCs w:val="20"/>
                <w:color w:val="auto"/>
              </w:rPr>
            </w:pPr>
            <w:r>
              <w:rPr>
                <w:rFonts w:ascii="Arial" w:cs="Arial" w:eastAsia="Arial" w:hAnsi="Arial"/>
                <w:sz w:val="17"/>
                <w:szCs w:val="17"/>
                <w:color w:val="auto"/>
                <w:w w:val="93"/>
              </w:rPr>
              <w:t>EEA Financial Institutions</w:t>
            </w:r>
          </w:p>
        </w:tc>
        <w:tc>
          <w:tcPr>
            <w:tcW w:w="2340" w:type="dxa"/>
            <w:vAlign w:val="bottom"/>
            <w:gridSpan w:val="10"/>
          </w:tcPr>
          <w:p>
            <w:pPr>
              <w:spacing w:after="0"/>
              <w:rPr>
                <w:sz w:val="24"/>
                <w:szCs w:val="24"/>
                <w:color w:val="auto"/>
              </w:rPr>
            </w:pPr>
          </w:p>
        </w:tc>
      </w:tr>
      <w:tr>
        <w:trPr>
          <w:trHeight w:val="327"/>
        </w:trPr>
        <w:tc>
          <w:tcPr>
            <w:tcW w:w="5280" w:type="dxa"/>
            <w:vAlign w:val="bottom"/>
            <w:gridSpan w:val="36"/>
          </w:tcPr>
          <w:p>
            <w:pPr>
              <w:spacing w:after="0"/>
              <w:rPr>
                <w:sz w:val="20"/>
                <w:szCs w:val="20"/>
                <w:color w:val="auto"/>
              </w:rPr>
            </w:pPr>
            <w:r>
              <w:rPr>
                <w:rFonts w:ascii="Arial" w:cs="Arial" w:eastAsia="Arial" w:hAnsi="Arial"/>
                <w:sz w:val="17"/>
                <w:szCs w:val="17"/>
                <w:color w:val="auto"/>
              </w:rPr>
              <w:t>Section 9  Affirmative Covenants</w:t>
            </w:r>
          </w:p>
        </w:tc>
      </w:tr>
      <w:tr>
        <w:trPr>
          <w:trHeight w:val="259"/>
        </w:trPr>
        <w:tc>
          <w:tcPr>
            <w:tcW w:w="880" w:type="dxa"/>
            <w:vAlign w:val="bottom"/>
          </w:tcPr>
          <w:p>
            <w:pPr>
              <w:ind w:left="620"/>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22"/>
                <w:szCs w:val="22"/>
                <w:color w:val="auto"/>
              </w:rPr>
            </w:pPr>
          </w:p>
        </w:tc>
        <w:tc>
          <w:tcPr>
            <w:tcW w:w="4260" w:type="dxa"/>
            <w:vAlign w:val="bottom"/>
            <w:gridSpan w:val="34"/>
          </w:tcPr>
          <w:p>
            <w:pPr>
              <w:spacing w:after="0"/>
              <w:rPr>
                <w:sz w:val="20"/>
                <w:szCs w:val="20"/>
                <w:color w:val="auto"/>
              </w:rPr>
            </w:pPr>
            <w:r>
              <w:rPr>
                <w:rFonts w:ascii="Arial" w:cs="Arial" w:eastAsia="Arial" w:hAnsi="Arial"/>
                <w:sz w:val="17"/>
                <w:szCs w:val="17"/>
                <w:color w:val="auto"/>
              </w:rPr>
              <w:t>Information Covenants</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880" w:type="dxa"/>
            <w:vAlign w:val="bottom"/>
          </w:tcPr>
          <w:p>
            <w:pPr>
              <w:ind w:left="620"/>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24"/>
                <w:szCs w:val="24"/>
                <w:color w:val="auto"/>
              </w:rPr>
            </w:pPr>
          </w:p>
        </w:tc>
        <w:tc>
          <w:tcPr>
            <w:tcW w:w="4260" w:type="dxa"/>
            <w:vAlign w:val="bottom"/>
            <w:gridSpan w:val="34"/>
          </w:tcPr>
          <w:p>
            <w:pPr>
              <w:spacing w:after="0"/>
              <w:rPr>
                <w:sz w:val="20"/>
                <w:szCs w:val="20"/>
                <w:color w:val="auto"/>
              </w:rPr>
            </w:pPr>
            <w:r>
              <w:rPr>
                <w:rFonts w:ascii="Arial" w:cs="Arial" w:eastAsia="Arial" w:hAnsi="Arial"/>
                <w:sz w:val="17"/>
                <w:szCs w:val="17"/>
                <w:color w:val="auto"/>
              </w:rPr>
              <w:t>Books, Records, and Inspections</w:t>
            </w:r>
          </w:p>
        </w:tc>
      </w:tr>
      <w:tr>
        <w:trPr>
          <w:trHeight w:val="277"/>
        </w:trPr>
        <w:tc>
          <w:tcPr>
            <w:tcW w:w="880" w:type="dxa"/>
            <w:vAlign w:val="bottom"/>
          </w:tcPr>
          <w:p>
            <w:pPr>
              <w:ind w:left="620"/>
              <w:spacing w:after="0"/>
              <w:rPr>
                <w:sz w:val="20"/>
                <w:szCs w:val="20"/>
                <w:color w:val="auto"/>
              </w:rPr>
            </w:pPr>
            <w:r>
              <w:rPr>
                <w:rFonts w:ascii="Arial" w:cs="Arial" w:eastAsia="Arial" w:hAnsi="Arial"/>
                <w:sz w:val="17"/>
                <w:szCs w:val="17"/>
                <w:color w:val="auto"/>
              </w:rPr>
              <w:t>9.3</w:t>
            </w:r>
          </w:p>
        </w:tc>
        <w:tc>
          <w:tcPr>
            <w:tcW w:w="140" w:type="dxa"/>
            <w:vAlign w:val="bottom"/>
          </w:tcPr>
          <w:p>
            <w:pPr>
              <w:spacing w:after="0"/>
              <w:rPr>
                <w:sz w:val="24"/>
                <w:szCs w:val="24"/>
                <w:color w:val="auto"/>
              </w:rPr>
            </w:pPr>
          </w:p>
        </w:tc>
        <w:tc>
          <w:tcPr>
            <w:tcW w:w="1780" w:type="dxa"/>
            <w:vAlign w:val="bottom"/>
            <w:tcBorders>
              <w:top w:val="single" w:sz="8" w:color="auto"/>
              <w:bottom w:val="single" w:sz="8" w:color="auto"/>
            </w:tcBorders>
            <w:gridSpan w:val="21"/>
          </w:tcPr>
          <w:p>
            <w:pPr>
              <w:spacing w:after="0"/>
              <w:rPr>
                <w:sz w:val="20"/>
                <w:szCs w:val="20"/>
                <w:color w:val="auto"/>
              </w:rPr>
            </w:pPr>
            <w:r>
              <w:rPr>
                <w:rFonts w:ascii="Arial" w:cs="Arial" w:eastAsia="Arial" w:hAnsi="Arial"/>
                <w:sz w:val="17"/>
                <w:szCs w:val="17"/>
                <w:color w:val="auto"/>
                <w:w w:val="89"/>
              </w:rPr>
              <w:t>Maintenance of Insurance</w:t>
            </w:r>
          </w:p>
        </w:tc>
        <w:tc>
          <w:tcPr>
            <w:tcW w:w="460" w:type="dxa"/>
            <w:vAlign w:val="bottom"/>
            <w:tcBorders>
              <w:top w:val="single" w:sz="8" w:color="auto"/>
            </w:tcBorders>
            <w:gridSpan w:val="6"/>
          </w:tcPr>
          <w:p>
            <w:pPr>
              <w:spacing w:after="0"/>
              <w:rPr>
                <w:sz w:val="24"/>
                <w:szCs w:val="24"/>
                <w:color w:val="auto"/>
              </w:rPr>
            </w:pPr>
          </w:p>
        </w:tc>
        <w:tc>
          <w:tcPr>
            <w:tcW w:w="2020" w:type="dxa"/>
            <w:vAlign w:val="bottom"/>
            <w:gridSpan w:val="7"/>
          </w:tcPr>
          <w:p>
            <w:pPr>
              <w:spacing w:after="0"/>
              <w:rPr>
                <w:sz w:val="24"/>
                <w:szCs w:val="24"/>
                <w:color w:val="auto"/>
              </w:rPr>
            </w:pPr>
          </w:p>
        </w:tc>
      </w:tr>
      <w:tr>
        <w:trPr>
          <w:trHeight w:val="289"/>
        </w:trPr>
        <w:tc>
          <w:tcPr>
            <w:tcW w:w="880" w:type="dxa"/>
            <w:vAlign w:val="bottom"/>
          </w:tcPr>
          <w:p>
            <w:pPr>
              <w:ind w:left="620"/>
              <w:spacing w:after="0"/>
              <w:rPr>
                <w:sz w:val="20"/>
                <w:szCs w:val="20"/>
                <w:color w:val="auto"/>
              </w:rPr>
            </w:pPr>
            <w:r>
              <w:rPr>
                <w:rFonts w:ascii="Arial" w:cs="Arial" w:eastAsia="Arial" w:hAnsi="Arial"/>
                <w:sz w:val="17"/>
                <w:szCs w:val="17"/>
                <w:color w:val="auto"/>
              </w:rPr>
              <w:t>9.4</w:t>
            </w:r>
          </w:p>
        </w:tc>
        <w:tc>
          <w:tcPr>
            <w:tcW w:w="140" w:type="dxa"/>
            <w:vAlign w:val="bottom"/>
          </w:tcPr>
          <w:p>
            <w:pPr>
              <w:spacing w:after="0"/>
              <w:rPr>
                <w:sz w:val="24"/>
                <w:szCs w:val="24"/>
                <w:color w:val="auto"/>
              </w:rPr>
            </w:pPr>
          </w:p>
        </w:tc>
        <w:tc>
          <w:tcPr>
            <w:tcW w:w="1220" w:type="dxa"/>
            <w:vAlign w:val="bottom"/>
            <w:tcBorders>
              <w:bottom w:val="single" w:sz="8" w:color="auto"/>
            </w:tcBorders>
            <w:gridSpan w:val="12"/>
          </w:tcPr>
          <w:p>
            <w:pPr>
              <w:spacing w:after="0"/>
              <w:rPr>
                <w:sz w:val="20"/>
                <w:szCs w:val="20"/>
                <w:color w:val="auto"/>
              </w:rPr>
            </w:pPr>
            <w:r>
              <w:rPr>
                <w:rFonts w:ascii="Arial" w:cs="Arial" w:eastAsia="Arial" w:hAnsi="Arial"/>
                <w:sz w:val="17"/>
                <w:szCs w:val="17"/>
                <w:color w:val="auto"/>
                <w:w w:val="87"/>
              </w:rPr>
              <w:t>Payment of Taxes</w:t>
            </w:r>
          </w:p>
        </w:tc>
        <w:tc>
          <w:tcPr>
            <w:tcW w:w="3040" w:type="dxa"/>
            <w:vAlign w:val="bottom"/>
            <w:gridSpan w:val="22"/>
          </w:tcPr>
          <w:p>
            <w:pPr>
              <w:spacing w:after="0"/>
              <w:rPr>
                <w:sz w:val="24"/>
                <w:szCs w:val="24"/>
                <w:color w:val="auto"/>
              </w:rPr>
            </w:pPr>
          </w:p>
        </w:tc>
      </w:tr>
      <w:tr>
        <w:trPr>
          <w:trHeight w:val="277"/>
        </w:trPr>
        <w:tc>
          <w:tcPr>
            <w:tcW w:w="880" w:type="dxa"/>
            <w:vAlign w:val="bottom"/>
          </w:tcPr>
          <w:p>
            <w:pPr>
              <w:ind w:left="620"/>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24"/>
                <w:szCs w:val="24"/>
                <w:color w:val="auto"/>
              </w:rPr>
            </w:pPr>
          </w:p>
        </w:tc>
        <w:tc>
          <w:tcPr>
            <w:tcW w:w="4260" w:type="dxa"/>
            <w:vAlign w:val="bottom"/>
            <w:tcBorders>
              <w:bottom w:val="single" w:sz="8" w:color="auto"/>
            </w:tcBorders>
            <w:gridSpan w:val="34"/>
          </w:tcPr>
          <w:p>
            <w:pPr>
              <w:spacing w:after="0"/>
              <w:rPr>
                <w:sz w:val="20"/>
                <w:szCs w:val="20"/>
                <w:color w:val="auto"/>
              </w:rPr>
            </w:pPr>
            <w:r>
              <w:rPr>
                <w:rFonts w:ascii="Arial" w:cs="Arial" w:eastAsia="Arial" w:hAnsi="Arial"/>
                <w:sz w:val="17"/>
                <w:szCs w:val="17"/>
                <w:color w:val="auto"/>
                <w:w w:val="90"/>
              </w:rPr>
              <w:t>Preservation of Existence; Consolidated Corporate Franchises</w:t>
            </w:r>
          </w:p>
        </w:tc>
      </w:tr>
      <w:tr>
        <w:trPr>
          <w:trHeight w:val="289"/>
        </w:trPr>
        <w:tc>
          <w:tcPr>
            <w:tcW w:w="880" w:type="dxa"/>
            <w:vAlign w:val="bottom"/>
          </w:tcPr>
          <w:p>
            <w:pPr>
              <w:ind w:left="620"/>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24"/>
                <w:szCs w:val="24"/>
                <w:color w:val="auto"/>
              </w:rPr>
            </w:pPr>
          </w:p>
        </w:tc>
        <w:tc>
          <w:tcPr>
            <w:tcW w:w="4260" w:type="dxa"/>
            <w:vAlign w:val="bottom"/>
            <w:gridSpan w:val="34"/>
          </w:tcPr>
          <w:p>
            <w:pPr>
              <w:spacing w:after="0"/>
              <w:rPr>
                <w:sz w:val="20"/>
                <w:szCs w:val="20"/>
                <w:color w:val="auto"/>
              </w:rPr>
            </w:pPr>
            <w:r>
              <w:rPr>
                <w:rFonts w:ascii="Arial" w:cs="Arial" w:eastAsia="Arial" w:hAnsi="Arial"/>
                <w:sz w:val="17"/>
                <w:szCs w:val="17"/>
                <w:color w:val="auto"/>
              </w:rPr>
              <w:t>Compliance with Statutes, Regulations, Etc</w:t>
            </w:r>
          </w:p>
        </w:tc>
      </w:tr>
      <w:tr>
        <w:trPr>
          <w:trHeight w:val="277"/>
        </w:trPr>
        <w:tc>
          <w:tcPr>
            <w:tcW w:w="880" w:type="dxa"/>
            <w:vAlign w:val="bottom"/>
          </w:tcPr>
          <w:p>
            <w:pPr>
              <w:ind w:left="620"/>
              <w:spacing w:after="0"/>
              <w:rPr>
                <w:sz w:val="20"/>
                <w:szCs w:val="20"/>
                <w:color w:val="auto"/>
              </w:rPr>
            </w:pPr>
            <w:r>
              <w:rPr>
                <w:rFonts w:ascii="Arial" w:cs="Arial" w:eastAsia="Arial" w:hAnsi="Arial"/>
                <w:sz w:val="17"/>
                <w:szCs w:val="17"/>
                <w:color w:val="auto"/>
              </w:rPr>
              <w:t>9.7</w:t>
            </w:r>
          </w:p>
        </w:tc>
        <w:tc>
          <w:tcPr>
            <w:tcW w:w="140" w:type="dxa"/>
            <w:vAlign w:val="bottom"/>
          </w:tcPr>
          <w:p>
            <w:pPr>
              <w:spacing w:after="0"/>
              <w:rPr>
                <w:sz w:val="24"/>
                <w:szCs w:val="24"/>
                <w:color w:val="auto"/>
              </w:rPr>
            </w:pPr>
          </w:p>
        </w:tc>
        <w:tc>
          <w:tcPr>
            <w:tcW w:w="2980" w:type="dxa"/>
            <w:vAlign w:val="bottom"/>
            <w:tcBorders>
              <w:top w:val="single" w:sz="8" w:color="auto"/>
            </w:tcBorders>
            <w:gridSpan w:val="32"/>
          </w:tcPr>
          <w:p>
            <w:pPr>
              <w:spacing w:after="0"/>
              <w:rPr>
                <w:sz w:val="20"/>
                <w:szCs w:val="20"/>
                <w:color w:val="auto"/>
              </w:rPr>
            </w:pPr>
            <w:r>
              <w:rPr>
                <w:rFonts w:ascii="Arial" w:cs="Arial" w:eastAsia="Arial" w:hAnsi="Arial"/>
                <w:sz w:val="17"/>
                <w:szCs w:val="17"/>
                <w:color w:val="auto"/>
              </w:rPr>
              <w:t>ERISA</w:t>
            </w:r>
          </w:p>
        </w:tc>
        <w:tc>
          <w:tcPr>
            <w:tcW w:w="1280" w:type="dxa"/>
            <w:vAlign w:val="bottom"/>
            <w:gridSpan w:val="2"/>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880" w:type="dxa"/>
            <w:vAlign w:val="bottom"/>
          </w:tcPr>
          <w:p>
            <w:pPr>
              <w:ind w:left="620"/>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24"/>
                <w:szCs w:val="24"/>
                <w:color w:val="auto"/>
              </w:rPr>
            </w:pPr>
          </w:p>
        </w:tc>
        <w:tc>
          <w:tcPr>
            <w:tcW w:w="4260" w:type="dxa"/>
            <w:vAlign w:val="bottom"/>
            <w:gridSpan w:val="34"/>
          </w:tcPr>
          <w:p>
            <w:pPr>
              <w:spacing w:after="0"/>
              <w:rPr>
                <w:sz w:val="20"/>
                <w:szCs w:val="20"/>
                <w:color w:val="auto"/>
              </w:rPr>
            </w:pPr>
            <w:r>
              <w:rPr>
                <w:rFonts w:ascii="Arial" w:cs="Arial" w:eastAsia="Arial" w:hAnsi="Arial"/>
                <w:sz w:val="17"/>
                <w:szCs w:val="17"/>
                <w:color w:val="auto"/>
              </w:rPr>
              <w:t>Maintenance of Properties</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880" w:type="dxa"/>
            <w:vAlign w:val="bottom"/>
          </w:tcPr>
          <w:p>
            <w:pPr>
              <w:ind w:left="620"/>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24"/>
                <w:szCs w:val="24"/>
                <w:color w:val="auto"/>
              </w:rPr>
            </w:pPr>
          </w:p>
        </w:tc>
        <w:tc>
          <w:tcPr>
            <w:tcW w:w="1900" w:type="dxa"/>
            <w:vAlign w:val="bottom"/>
            <w:tcBorders>
              <w:bottom w:val="single" w:sz="8" w:color="auto"/>
            </w:tcBorders>
            <w:gridSpan w:val="23"/>
          </w:tcPr>
          <w:p>
            <w:pPr>
              <w:spacing w:after="0"/>
              <w:rPr>
                <w:sz w:val="20"/>
                <w:szCs w:val="20"/>
                <w:color w:val="auto"/>
              </w:rPr>
            </w:pPr>
            <w:r>
              <w:rPr>
                <w:rFonts w:ascii="Arial" w:cs="Arial" w:eastAsia="Arial" w:hAnsi="Arial"/>
                <w:sz w:val="17"/>
                <w:szCs w:val="17"/>
                <w:color w:val="auto"/>
                <w:w w:val="93"/>
              </w:rPr>
              <w:t>Transactions with Affiliates</w:t>
            </w:r>
          </w:p>
        </w:tc>
        <w:tc>
          <w:tcPr>
            <w:tcW w:w="2360" w:type="dxa"/>
            <w:vAlign w:val="bottom"/>
            <w:gridSpan w:val="11"/>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9.10</w:t>
            </w:r>
          </w:p>
        </w:tc>
        <w:tc>
          <w:tcPr>
            <w:tcW w:w="100" w:type="dxa"/>
            <w:vAlign w:val="bottom"/>
          </w:tcPr>
          <w:p>
            <w:pPr>
              <w:spacing w:after="0"/>
              <w:rPr>
                <w:sz w:val="24"/>
                <w:szCs w:val="24"/>
                <w:color w:val="auto"/>
              </w:rPr>
            </w:pPr>
          </w:p>
        </w:tc>
        <w:tc>
          <w:tcPr>
            <w:tcW w:w="1340" w:type="dxa"/>
            <w:vAlign w:val="bottom"/>
            <w:tcBorders>
              <w:bottom w:val="single" w:sz="8" w:color="auto"/>
            </w:tcBorders>
            <w:gridSpan w:val="15"/>
          </w:tcPr>
          <w:p>
            <w:pPr>
              <w:spacing w:after="0"/>
              <w:rPr>
                <w:sz w:val="20"/>
                <w:szCs w:val="20"/>
                <w:color w:val="auto"/>
              </w:rPr>
            </w:pPr>
            <w:r>
              <w:rPr>
                <w:rFonts w:ascii="Arial" w:cs="Arial" w:eastAsia="Arial" w:hAnsi="Arial"/>
                <w:sz w:val="17"/>
                <w:szCs w:val="17"/>
                <w:color w:val="auto"/>
                <w:w w:val="88"/>
              </w:rPr>
              <w:t>End of Fiscal Years</w:t>
            </w:r>
          </w:p>
        </w:tc>
        <w:tc>
          <w:tcPr>
            <w:tcW w:w="2820" w:type="dxa"/>
            <w:vAlign w:val="bottom"/>
            <w:gridSpan w:val="18"/>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Additional Guarantors and Grantors</w:t>
            </w:r>
          </w:p>
        </w:tc>
      </w:tr>
      <w:tr>
        <w:trPr>
          <w:trHeight w:val="20"/>
        </w:trPr>
        <w:tc>
          <w:tcPr>
            <w:tcW w:w="102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9.12</w:t>
            </w:r>
          </w:p>
        </w:tc>
        <w:tc>
          <w:tcPr>
            <w:tcW w:w="100" w:type="dxa"/>
            <w:vAlign w:val="bottom"/>
          </w:tcPr>
          <w:p>
            <w:pPr>
              <w:spacing w:after="0"/>
              <w:rPr>
                <w:sz w:val="24"/>
                <w:szCs w:val="24"/>
                <w:color w:val="auto"/>
              </w:rPr>
            </w:pPr>
          </w:p>
        </w:tc>
        <w:tc>
          <w:tcPr>
            <w:tcW w:w="3940" w:type="dxa"/>
            <w:vAlign w:val="bottom"/>
            <w:tcBorders>
              <w:bottom w:val="single" w:sz="8" w:color="auto"/>
            </w:tcBorders>
            <w:gridSpan w:val="32"/>
          </w:tcPr>
          <w:p>
            <w:pPr>
              <w:spacing w:after="0"/>
              <w:rPr>
                <w:sz w:val="20"/>
                <w:szCs w:val="20"/>
                <w:color w:val="auto"/>
              </w:rPr>
            </w:pPr>
            <w:r>
              <w:rPr>
                <w:rFonts w:ascii="Arial" w:cs="Arial" w:eastAsia="Arial" w:hAnsi="Arial"/>
                <w:sz w:val="17"/>
                <w:szCs w:val="17"/>
                <w:color w:val="auto"/>
                <w:w w:val="90"/>
              </w:rPr>
              <w:t>Pledge of Additional Stock and Evidence of Indebtedness</w:t>
            </w:r>
          </w:p>
        </w:tc>
        <w:tc>
          <w:tcPr>
            <w:tcW w:w="220" w:type="dxa"/>
            <w:vAlign w:val="bottom"/>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24"/>
                <w:szCs w:val="24"/>
                <w:color w:val="auto"/>
              </w:rPr>
            </w:pPr>
          </w:p>
        </w:tc>
        <w:tc>
          <w:tcPr>
            <w:tcW w:w="1100" w:type="dxa"/>
            <w:vAlign w:val="bottom"/>
            <w:tcBorders>
              <w:bottom w:val="single" w:sz="8" w:color="auto"/>
            </w:tcBorders>
            <w:gridSpan w:val="10"/>
          </w:tcPr>
          <w:p>
            <w:pPr>
              <w:spacing w:after="0"/>
              <w:rPr>
                <w:sz w:val="20"/>
                <w:szCs w:val="20"/>
                <w:color w:val="auto"/>
              </w:rPr>
            </w:pPr>
            <w:r>
              <w:rPr>
                <w:rFonts w:ascii="Arial" w:cs="Arial" w:eastAsia="Arial" w:hAnsi="Arial"/>
                <w:sz w:val="17"/>
                <w:szCs w:val="17"/>
                <w:color w:val="auto"/>
                <w:w w:val="85"/>
              </w:rPr>
              <w:t>Use of Proceeds</w:t>
            </w:r>
          </w:p>
        </w:tc>
        <w:tc>
          <w:tcPr>
            <w:tcW w:w="3060" w:type="dxa"/>
            <w:vAlign w:val="bottom"/>
            <w:gridSpan w:val="23"/>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Further Assurances</w:t>
            </w: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24"/>
                <w:szCs w:val="24"/>
                <w:color w:val="auto"/>
              </w:rPr>
            </w:pPr>
          </w:p>
        </w:tc>
        <w:tc>
          <w:tcPr>
            <w:tcW w:w="1300" w:type="dxa"/>
            <w:vAlign w:val="bottom"/>
            <w:tcBorders>
              <w:top w:val="single" w:sz="8" w:color="auto"/>
            </w:tcBorders>
            <w:gridSpan w:val="14"/>
          </w:tcPr>
          <w:p>
            <w:pPr>
              <w:spacing w:after="0"/>
              <w:rPr>
                <w:sz w:val="20"/>
                <w:szCs w:val="20"/>
                <w:color w:val="auto"/>
              </w:rPr>
            </w:pPr>
            <w:r>
              <w:rPr>
                <w:rFonts w:ascii="Arial" w:cs="Arial" w:eastAsia="Arial" w:hAnsi="Arial"/>
                <w:sz w:val="17"/>
                <w:szCs w:val="17"/>
                <w:color w:val="auto"/>
                <w:w w:val="96"/>
              </w:rPr>
              <w:t>Lines of Business</w:t>
            </w:r>
          </w:p>
        </w:tc>
        <w:tc>
          <w:tcPr>
            <w:tcW w:w="2860" w:type="dxa"/>
            <w:vAlign w:val="bottom"/>
            <w:gridSpan w:val="19"/>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27"/>
        </w:trPr>
        <w:tc>
          <w:tcPr>
            <w:tcW w:w="880" w:type="dxa"/>
            <w:vAlign w:val="bottom"/>
          </w:tcPr>
          <w:p>
            <w:pPr>
              <w:spacing w:after="0"/>
              <w:rPr>
                <w:sz w:val="20"/>
                <w:szCs w:val="20"/>
                <w:color w:val="auto"/>
              </w:rPr>
            </w:pPr>
            <w:r>
              <w:rPr>
                <w:rFonts w:ascii="Arial" w:cs="Arial" w:eastAsia="Arial" w:hAnsi="Arial"/>
                <w:sz w:val="17"/>
                <w:szCs w:val="17"/>
                <w:color w:val="auto"/>
              </w:rPr>
              <w:t>Section 10</w:t>
            </w:r>
          </w:p>
        </w:tc>
        <w:tc>
          <w:tcPr>
            <w:tcW w:w="4400" w:type="dxa"/>
            <w:vAlign w:val="bottom"/>
            <w:gridSpan w:val="35"/>
          </w:tcPr>
          <w:p>
            <w:pPr>
              <w:ind w:left="20"/>
              <w:spacing w:after="0"/>
              <w:rPr>
                <w:sz w:val="20"/>
                <w:szCs w:val="20"/>
                <w:color w:val="auto"/>
              </w:rPr>
            </w:pPr>
            <w:r>
              <w:rPr>
                <w:rFonts w:ascii="Arial" w:cs="Arial" w:eastAsia="Arial" w:hAnsi="Arial"/>
                <w:sz w:val="17"/>
                <w:szCs w:val="17"/>
                <w:color w:val="auto"/>
              </w:rPr>
              <w:t>Negative Covenants</w:t>
            </w:r>
          </w:p>
        </w:tc>
      </w:tr>
      <w:tr>
        <w:trPr>
          <w:trHeight w:val="25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2"/>
                <w:szCs w:val="22"/>
                <w:color w:val="auto"/>
              </w:rPr>
            </w:pPr>
          </w:p>
        </w:tc>
        <w:tc>
          <w:tcPr>
            <w:tcW w:w="1860" w:type="dxa"/>
            <w:vAlign w:val="bottom"/>
            <w:tcBorders>
              <w:bottom w:val="single" w:sz="8" w:color="auto"/>
            </w:tcBorders>
            <w:gridSpan w:val="24"/>
          </w:tcPr>
          <w:p>
            <w:pPr>
              <w:spacing w:after="0"/>
              <w:rPr>
                <w:sz w:val="20"/>
                <w:szCs w:val="20"/>
                <w:color w:val="auto"/>
              </w:rPr>
            </w:pPr>
            <w:r>
              <w:rPr>
                <w:rFonts w:ascii="Arial" w:cs="Arial" w:eastAsia="Arial" w:hAnsi="Arial"/>
                <w:sz w:val="17"/>
                <w:szCs w:val="17"/>
                <w:color w:val="auto"/>
                <w:w w:val="90"/>
              </w:rPr>
              <w:t>Limitation on Indebtedness</w:t>
            </w:r>
          </w:p>
        </w:tc>
        <w:tc>
          <w:tcPr>
            <w:tcW w:w="2300" w:type="dxa"/>
            <w:vAlign w:val="bottom"/>
            <w:gridSpan w:val="9"/>
          </w:tcPr>
          <w:p>
            <w:pPr>
              <w:spacing w:after="0"/>
              <w:rPr>
                <w:sz w:val="22"/>
                <w:szCs w:val="22"/>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Limitation on Liens</w:t>
            </w: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2500" w:type="dxa"/>
            <w:vAlign w:val="bottom"/>
            <w:tcBorders>
              <w:bottom w:val="single" w:sz="8" w:color="auto"/>
            </w:tcBorders>
            <w:gridSpan w:val="29"/>
          </w:tcPr>
          <w:p>
            <w:pPr>
              <w:spacing w:after="0"/>
              <w:rPr>
                <w:sz w:val="20"/>
                <w:szCs w:val="20"/>
                <w:color w:val="auto"/>
              </w:rPr>
            </w:pPr>
            <w:r>
              <w:rPr>
                <w:rFonts w:ascii="Arial" w:cs="Arial" w:eastAsia="Arial" w:hAnsi="Arial"/>
                <w:sz w:val="17"/>
                <w:szCs w:val="17"/>
                <w:color w:val="auto"/>
                <w:w w:val="90"/>
              </w:rPr>
              <w:t>Limitation on Fundamental Changes</w:t>
            </w:r>
          </w:p>
        </w:tc>
        <w:tc>
          <w:tcPr>
            <w:tcW w:w="1660" w:type="dxa"/>
            <w:vAlign w:val="bottom"/>
            <w:gridSpan w:val="4"/>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Limitation on Sale of Assets</w:t>
            </w: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gridSpan w:val="8"/>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4"/>
                <w:szCs w:val="24"/>
                <w:color w:val="auto"/>
              </w:rPr>
            </w:pPr>
          </w:p>
        </w:tc>
        <w:tc>
          <w:tcPr>
            <w:tcW w:w="2440" w:type="dxa"/>
            <w:vAlign w:val="bottom"/>
            <w:tcBorders>
              <w:bottom w:val="single" w:sz="8" w:color="auto"/>
            </w:tcBorders>
            <w:gridSpan w:val="28"/>
          </w:tcPr>
          <w:p>
            <w:pPr>
              <w:spacing w:after="0"/>
              <w:rPr>
                <w:sz w:val="20"/>
                <w:szCs w:val="20"/>
                <w:color w:val="auto"/>
              </w:rPr>
            </w:pPr>
            <w:r>
              <w:rPr>
                <w:rFonts w:ascii="Arial" w:cs="Arial" w:eastAsia="Arial" w:hAnsi="Arial"/>
                <w:sz w:val="17"/>
                <w:szCs w:val="17"/>
                <w:color w:val="auto"/>
                <w:w w:val="93"/>
              </w:rPr>
              <w:t>Limitation on Restricted Payments</w:t>
            </w:r>
          </w:p>
        </w:tc>
        <w:tc>
          <w:tcPr>
            <w:tcW w:w="1720" w:type="dxa"/>
            <w:vAlign w:val="bottom"/>
            <w:gridSpan w:val="5"/>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2640" w:type="dxa"/>
            <w:vAlign w:val="bottom"/>
            <w:tcBorders>
              <w:bottom w:val="single" w:sz="8" w:color="auto"/>
            </w:tcBorders>
            <w:gridSpan w:val="30"/>
          </w:tcPr>
          <w:p>
            <w:pPr>
              <w:spacing w:after="0"/>
              <w:rPr>
                <w:sz w:val="20"/>
                <w:szCs w:val="20"/>
                <w:color w:val="auto"/>
              </w:rPr>
            </w:pPr>
            <w:r>
              <w:rPr>
                <w:rFonts w:ascii="Arial" w:cs="Arial" w:eastAsia="Arial" w:hAnsi="Arial"/>
                <w:sz w:val="17"/>
                <w:szCs w:val="17"/>
                <w:color w:val="auto"/>
                <w:w w:val="93"/>
              </w:rPr>
              <w:t>Limitation on Subsidiary Distributions</w:t>
            </w:r>
          </w:p>
        </w:tc>
        <w:tc>
          <w:tcPr>
            <w:tcW w:w="1520" w:type="dxa"/>
            <w:vAlign w:val="bottom"/>
            <w:gridSpan w:val="3"/>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1400" w:type="dxa"/>
            <w:vAlign w:val="bottom"/>
            <w:tcBorders>
              <w:bottom w:val="single" w:sz="8" w:color="auto"/>
            </w:tcBorders>
            <w:gridSpan w:val="17"/>
          </w:tcPr>
          <w:p>
            <w:pPr>
              <w:spacing w:after="0"/>
              <w:rPr>
                <w:sz w:val="20"/>
                <w:szCs w:val="20"/>
                <w:color w:val="auto"/>
              </w:rPr>
            </w:pPr>
            <w:r>
              <w:rPr>
                <w:rFonts w:ascii="Arial" w:cs="Arial" w:eastAsia="Arial" w:hAnsi="Arial"/>
                <w:sz w:val="17"/>
                <w:szCs w:val="17"/>
                <w:color w:val="auto"/>
                <w:w w:val="89"/>
              </w:rPr>
              <w:t>Financial Covenants</w:t>
            </w:r>
          </w:p>
        </w:tc>
        <w:tc>
          <w:tcPr>
            <w:tcW w:w="2760" w:type="dxa"/>
            <w:vAlign w:val="bottom"/>
            <w:gridSpan w:val="16"/>
          </w:tcPr>
          <w:p>
            <w:pPr>
              <w:spacing w:after="0"/>
              <w:rPr>
                <w:sz w:val="24"/>
                <w:szCs w:val="24"/>
                <w:color w:val="auto"/>
              </w:rPr>
            </w:pPr>
          </w:p>
        </w:tc>
      </w:tr>
      <w:tr>
        <w:trPr>
          <w:trHeight w:val="327"/>
        </w:trPr>
        <w:tc>
          <w:tcPr>
            <w:tcW w:w="5280" w:type="dxa"/>
            <w:vAlign w:val="bottom"/>
            <w:gridSpan w:val="36"/>
          </w:tcPr>
          <w:p>
            <w:pPr>
              <w:spacing w:after="0"/>
              <w:rPr>
                <w:sz w:val="20"/>
                <w:szCs w:val="20"/>
                <w:color w:val="auto"/>
              </w:rPr>
            </w:pPr>
            <w:r>
              <w:rPr>
                <w:rFonts w:ascii="Arial" w:cs="Arial" w:eastAsia="Arial" w:hAnsi="Arial"/>
                <w:sz w:val="17"/>
                <w:szCs w:val="17"/>
                <w:color w:val="auto"/>
              </w:rPr>
              <w:t>Section 11  Events of Default</w:t>
            </w:r>
          </w:p>
        </w:tc>
      </w:tr>
      <w:tr>
        <w:trPr>
          <w:trHeight w:val="25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22"/>
                <w:szCs w:val="22"/>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Payments</w:t>
            </w:r>
          </w:p>
        </w:tc>
      </w:tr>
      <w:tr>
        <w:trPr>
          <w:trHeight w:val="20"/>
        </w:trPr>
        <w:tc>
          <w:tcPr>
            <w:tcW w:w="102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Representations, Etc</w:t>
            </w: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4"/>
                <w:szCs w:val="24"/>
                <w:color w:val="auto"/>
              </w:rPr>
            </w:pPr>
          </w:p>
        </w:tc>
        <w:tc>
          <w:tcPr>
            <w:tcW w:w="7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7"/>
                <w:szCs w:val="17"/>
                <w:color w:val="auto"/>
                <w:w w:val="83"/>
              </w:rPr>
              <w:t>Covenants</w:t>
            </w:r>
          </w:p>
        </w:tc>
        <w:tc>
          <w:tcPr>
            <w:tcW w:w="680" w:type="dxa"/>
            <w:vAlign w:val="bottom"/>
            <w:tcBorders>
              <w:top w:val="single" w:sz="8" w:color="auto"/>
            </w:tcBorders>
            <w:gridSpan w:val="10"/>
          </w:tcPr>
          <w:p>
            <w:pPr>
              <w:spacing w:after="0"/>
              <w:rPr>
                <w:sz w:val="24"/>
                <w:szCs w:val="24"/>
                <w:color w:val="auto"/>
              </w:rPr>
            </w:pPr>
          </w:p>
        </w:tc>
        <w:tc>
          <w:tcPr>
            <w:tcW w:w="2780" w:type="dxa"/>
            <w:vAlign w:val="bottom"/>
            <w:gridSpan w:val="17"/>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4"/>
                <w:szCs w:val="24"/>
                <w:color w:val="auto"/>
              </w:rPr>
            </w:pPr>
          </w:p>
        </w:tc>
        <w:tc>
          <w:tcPr>
            <w:tcW w:w="2260" w:type="dxa"/>
            <w:vAlign w:val="bottom"/>
            <w:tcBorders>
              <w:bottom w:val="single" w:sz="8" w:color="auto"/>
            </w:tcBorders>
            <w:gridSpan w:val="27"/>
          </w:tcPr>
          <w:p>
            <w:pPr>
              <w:spacing w:after="0"/>
              <w:rPr>
                <w:sz w:val="20"/>
                <w:szCs w:val="20"/>
                <w:color w:val="auto"/>
              </w:rPr>
            </w:pPr>
            <w:r>
              <w:rPr>
                <w:rFonts w:ascii="Arial" w:cs="Arial" w:eastAsia="Arial" w:hAnsi="Arial"/>
                <w:sz w:val="17"/>
                <w:szCs w:val="17"/>
                <w:color w:val="auto"/>
                <w:w w:val="90"/>
              </w:rPr>
              <w:t>Default Under Other Agreements</w:t>
            </w:r>
          </w:p>
        </w:tc>
        <w:tc>
          <w:tcPr>
            <w:tcW w:w="1900" w:type="dxa"/>
            <w:vAlign w:val="bottom"/>
            <w:gridSpan w:val="6"/>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4"/>
                <w:szCs w:val="24"/>
                <w:color w:val="auto"/>
              </w:rPr>
            </w:pPr>
          </w:p>
        </w:tc>
        <w:tc>
          <w:tcPr>
            <w:tcW w:w="1080" w:type="dxa"/>
            <w:vAlign w:val="bottom"/>
            <w:tcBorders>
              <w:bottom w:val="single" w:sz="8" w:color="auto"/>
            </w:tcBorders>
            <w:gridSpan w:val="9"/>
          </w:tcPr>
          <w:p>
            <w:pPr>
              <w:spacing w:after="0"/>
              <w:rPr>
                <w:sz w:val="20"/>
                <w:szCs w:val="20"/>
                <w:color w:val="auto"/>
              </w:rPr>
            </w:pPr>
            <w:r>
              <w:rPr>
                <w:rFonts w:ascii="Arial" w:cs="Arial" w:eastAsia="Arial" w:hAnsi="Arial"/>
                <w:sz w:val="17"/>
                <w:szCs w:val="17"/>
                <w:color w:val="auto"/>
                <w:w w:val="88"/>
              </w:rPr>
              <w:t>Bankruptcy, Etc</w:t>
            </w:r>
          </w:p>
        </w:tc>
        <w:tc>
          <w:tcPr>
            <w:tcW w:w="3080" w:type="dxa"/>
            <w:vAlign w:val="bottom"/>
            <w:gridSpan w:val="24"/>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ERISA</w:t>
            </w:r>
          </w:p>
        </w:tc>
      </w:tr>
      <w:tr>
        <w:trPr>
          <w:trHeight w:val="20"/>
        </w:trPr>
        <w:tc>
          <w:tcPr>
            <w:tcW w:w="102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18"/>
          </w:tcPr>
          <w:p>
            <w:pPr>
              <w:spacing w:after="0" w:line="20" w:lineRule="exact"/>
              <w:rPr>
                <w:sz w:val="1"/>
                <w:szCs w:val="1"/>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24"/>
                <w:szCs w:val="24"/>
                <w:color w:val="auto"/>
              </w:rPr>
            </w:pPr>
          </w:p>
        </w:tc>
        <w:tc>
          <w:tcPr>
            <w:tcW w:w="68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82"/>
              </w:rPr>
              <w:t>Guarantee</w:t>
            </w:r>
          </w:p>
        </w:tc>
        <w:tc>
          <w:tcPr>
            <w:tcW w:w="3480" w:type="dxa"/>
            <w:vAlign w:val="bottom"/>
            <w:gridSpan w:val="28"/>
          </w:tcPr>
          <w:p>
            <w:pPr>
              <w:spacing w:after="0"/>
              <w:rPr>
                <w:sz w:val="24"/>
                <w:szCs w:val="24"/>
                <w:color w:val="auto"/>
              </w:rPr>
            </w:pPr>
          </w:p>
        </w:tc>
      </w:tr>
      <w:tr>
        <w:trPr>
          <w:trHeight w:val="289"/>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4"/>
                <w:szCs w:val="24"/>
                <w:color w:val="auto"/>
              </w:rPr>
            </w:pPr>
          </w:p>
        </w:tc>
        <w:tc>
          <w:tcPr>
            <w:tcW w:w="12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color w:val="auto"/>
                <w:w w:val="86"/>
              </w:rPr>
              <w:t>Pledge Agreement</w:t>
            </w:r>
          </w:p>
        </w:tc>
        <w:tc>
          <w:tcPr>
            <w:tcW w:w="2920" w:type="dxa"/>
            <w:vAlign w:val="bottom"/>
            <w:gridSpan w:val="20"/>
          </w:tcPr>
          <w:p>
            <w:pPr>
              <w:spacing w:after="0"/>
              <w:rPr>
                <w:sz w:val="24"/>
                <w:szCs w:val="24"/>
                <w:color w:val="auto"/>
              </w:rPr>
            </w:pPr>
          </w:p>
        </w:tc>
      </w:tr>
      <w:tr>
        <w:trPr>
          <w:trHeight w:val="277"/>
        </w:trPr>
        <w:tc>
          <w:tcPr>
            <w:tcW w:w="1020" w:type="dxa"/>
            <w:vAlign w:val="bottom"/>
            <w:gridSpan w:val="2"/>
          </w:tcPr>
          <w:p>
            <w:pPr>
              <w:ind w:left="62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4"/>
                <w:szCs w:val="24"/>
                <w:color w:val="auto"/>
              </w:rPr>
            </w:pPr>
          </w:p>
        </w:tc>
        <w:tc>
          <w:tcPr>
            <w:tcW w:w="4160" w:type="dxa"/>
            <w:vAlign w:val="bottom"/>
            <w:gridSpan w:val="33"/>
          </w:tcPr>
          <w:p>
            <w:pPr>
              <w:spacing w:after="0"/>
              <w:rPr>
                <w:sz w:val="20"/>
                <w:szCs w:val="20"/>
                <w:color w:val="auto"/>
              </w:rPr>
            </w:pPr>
            <w:r>
              <w:rPr>
                <w:rFonts w:ascii="Arial" w:cs="Arial" w:eastAsia="Arial" w:hAnsi="Arial"/>
                <w:sz w:val="17"/>
                <w:szCs w:val="17"/>
                <w:color w:val="auto"/>
              </w:rPr>
              <w:t>Security Agreement</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7"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5"/>
          <w:szCs w:val="15"/>
          <w:u w:val="single" w:color="auto"/>
          <w:color w:val="auto"/>
        </w:rPr>
        <w:t>Judgments</w:t>
      </w:r>
    </w:p>
    <w:p>
      <w:pPr>
        <w:spacing w:after="0" w:line="101"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5"/>
          <w:szCs w:val="15"/>
          <w:u w:val="single" w:color="auto"/>
          <w:color w:val="auto"/>
        </w:rPr>
        <w:t>Change of Control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100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102</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102</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102</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105</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105</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107</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109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114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114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116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117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123</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232" w:lineRule="exact"/>
        <w:rPr>
          <w:sz w:val="20"/>
          <w:szCs w:val="20"/>
          <w:color w:val="auto"/>
        </w:rPr>
      </w:pPr>
    </w:p>
    <w:p>
      <w:pPr>
        <w:sectPr>
          <w:pgSz w:w="11900" w:h="16838" w:orient="portrait"/>
          <w:cols w:equalWidth="0" w:num="2">
            <w:col w:w="9800" w:space="720"/>
            <w:col w:w="660"/>
          </w:cols>
          <w:pgMar w:left="380" w:top="114" w:right="339" w:bottom="2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180"/>
          </w:cols>
          <w:pgMar w:left="380" w:top="114" w:right="339" w:bottom="249"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5"/>
          <w:szCs w:val="15"/>
          <w:u w:val="single" w:color="auto"/>
          <w:color w:val="auto"/>
        </w:rPr>
        <w:t>Remedies Upon Event of Default</w:t>
      </w:r>
    </w:p>
    <w:p>
      <w:pPr>
        <w:spacing w:after="0" w:line="101"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5"/>
          <w:szCs w:val="15"/>
          <w:u w:val="single" w:color="auto"/>
          <w:color w:val="auto"/>
        </w:rPr>
        <w:t>Application of Proceeds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11.14</w:t>
            </w:r>
          </w:p>
        </w:tc>
        <w:tc>
          <w:tcPr>
            <w:tcW w:w="100" w:type="dxa"/>
            <w:vAlign w:val="bottom"/>
          </w:tcPr>
          <w:p>
            <w:pPr>
              <w:spacing w:after="0"/>
              <w:rPr>
                <w:sz w:val="16"/>
                <w:szCs w:val="16"/>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0"/>
              </w:rPr>
              <w:t>Equity Cure</w:t>
            </w:r>
          </w:p>
        </w:tc>
        <w:tc>
          <w:tcPr>
            <w:tcW w:w="4380" w:type="dxa"/>
            <w:vAlign w:val="bottom"/>
            <w:gridSpan w:val="27"/>
          </w:tcPr>
          <w:p>
            <w:pPr>
              <w:spacing w:after="0"/>
              <w:rPr>
                <w:sz w:val="16"/>
                <w:szCs w:val="16"/>
                <w:color w:val="auto"/>
              </w:rPr>
            </w:pPr>
          </w:p>
        </w:tc>
      </w:tr>
      <w:tr>
        <w:trPr>
          <w:trHeight w:val="314"/>
        </w:trPr>
        <w:tc>
          <w:tcPr>
            <w:tcW w:w="820" w:type="dxa"/>
            <w:vAlign w:val="bottom"/>
          </w:tcPr>
          <w:p>
            <w:pPr>
              <w:spacing w:after="0"/>
              <w:rPr>
                <w:sz w:val="20"/>
                <w:szCs w:val="20"/>
                <w:color w:val="auto"/>
              </w:rPr>
            </w:pPr>
            <w:r>
              <w:rPr>
                <w:rFonts w:ascii="Arial" w:cs="Arial" w:eastAsia="Arial" w:hAnsi="Arial"/>
                <w:sz w:val="17"/>
                <w:szCs w:val="17"/>
                <w:color w:val="auto"/>
                <w:w w:val="99"/>
              </w:rPr>
              <w:t>Section 12</w:t>
            </w:r>
          </w:p>
        </w:tc>
        <w:tc>
          <w:tcPr>
            <w:tcW w:w="5580" w:type="dxa"/>
            <w:vAlign w:val="bottom"/>
            <w:gridSpan w:val="32"/>
          </w:tcPr>
          <w:p>
            <w:pPr>
              <w:ind w:left="80"/>
              <w:spacing w:after="0"/>
              <w:rPr>
                <w:sz w:val="20"/>
                <w:szCs w:val="20"/>
                <w:color w:val="auto"/>
              </w:rPr>
            </w:pPr>
            <w:r>
              <w:rPr>
                <w:rFonts w:ascii="Arial" w:cs="Arial" w:eastAsia="Arial" w:hAnsi="Arial"/>
                <w:sz w:val="17"/>
                <w:szCs w:val="17"/>
                <w:color w:val="auto"/>
              </w:rPr>
              <w:t>The Agents</w:t>
            </w:r>
          </w:p>
        </w:tc>
      </w:tr>
      <w:tr>
        <w:trPr>
          <w:trHeight w:val="272"/>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12.1</w:t>
            </w:r>
          </w:p>
        </w:tc>
        <w:tc>
          <w:tcPr>
            <w:tcW w:w="5300" w:type="dxa"/>
            <w:vAlign w:val="bottom"/>
            <w:gridSpan w:val="31"/>
          </w:tcPr>
          <w:p>
            <w:pPr>
              <w:spacing w:after="0"/>
              <w:rPr>
                <w:sz w:val="20"/>
                <w:szCs w:val="20"/>
                <w:color w:val="auto"/>
              </w:rPr>
            </w:pPr>
            <w:r>
              <w:rPr>
                <w:rFonts w:ascii="Arial" w:cs="Arial" w:eastAsia="Arial" w:hAnsi="Arial"/>
                <w:sz w:val="17"/>
                <w:szCs w:val="17"/>
                <w:color w:val="auto"/>
              </w:rPr>
              <w:t>Appointment</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12.2</w:t>
            </w:r>
          </w:p>
        </w:tc>
        <w:tc>
          <w:tcPr>
            <w:tcW w:w="1440" w:type="dxa"/>
            <w:vAlign w:val="bottom"/>
            <w:tcBorders>
              <w:bottom w:val="single" w:sz="8" w:color="auto"/>
            </w:tcBorders>
            <w:gridSpan w:val="11"/>
          </w:tcPr>
          <w:p>
            <w:pPr>
              <w:spacing w:after="0"/>
              <w:rPr>
                <w:sz w:val="20"/>
                <w:szCs w:val="20"/>
                <w:color w:val="auto"/>
              </w:rPr>
            </w:pPr>
            <w:r>
              <w:rPr>
                <w:rFonts w:ascii="Arial" w:cs="Arial" w:eastAsia="Arial" w:hAnsi="Arial"/>
                <w:sz w:val="17"/>
                <w:szCs w:val="17"/>
                <w:color w:val="auto"/>
                <w:w w:val="92"/>
              </w:rPr>
              <w:t>Delegation of Duties</w:t>
            </w:r>
          </w:p>
        </w:tc>
        <w:tc>
          <w:tcPr>
            <w:tcW w:w="3860" w:type="dxa"/>
            <w:vAlign w:val="bottom"/>
            <w:gridSpan w:val="20"/>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12.3</w:t>
            </w:r>
          </w:p>
        </w:tc>
        <w:tc>
          <w:tcPr>
            <w:tcW w:w="5300" w:type="dxa"/>
            <w:vAlign w:val="bottom"/>
            <w:gridSpan w:val="31"/>
          </w:tcPr>
          <w:p>
            <w:pPr>
              <w:spacing w:after="0"/>
              <w:rPr>
                <w:sz w:val="20"/>
                <w:szCs w:val="20"/>
                <w:color w:val="auto"/>
              </w:rPr>
            </w:pPr>
            <w:r>
              <w:rPr>
                <w:rFonts w:ascii="Arial" w:cs="Arial" w:eastAsia="Arial" w:hAnsi="Arial"/>
                <w:sz w:val="17"/>
                <w:szCs w:val="17"/>
                <w:color w:val="auto"/>
              </w:rPr>
              <w:t>Exculpatory Provisions</w:t>
            </w: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12.4</w:t>
            </w:r>
          </w:p>
        </w:tc>
        <w:tc>
          <w:tcPr>
            <w:tcW w:w="134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17"/>
                <w:szCs w:val="17"/>
                <w:color w:val="auto"/>
                <w:w w:val="90"/>
              </w:rPr>
              <w:t>Reliance by Agents</w:t>
            </w:r>
          </w:p>
        </w:tc>
        <w:tc>
          <w:tcPr>
            <w:tcW w:w="260" w:type="dxa"/>
            <w:vAlign w:val="bottom"/>
            <w:tcBorders>
              <w:top w:val="single" w:sz="8" w:color="auto"/>
            </w:tcBorders>
            <w:gridSpan w:val="4"/>
          </w:tcPr>
          <w:p>
            <w:pPr>
              <w:spacing w:after="0"/>
              <w:rPr>
                <w:sz w:val="24"/>
                <w:szCs w:val="24"/>
                <w:color w:val="auto"/>
              </w:rPr>
            </w:pPr>
          </w:p>
        </w:tc>
        <w:tc>
          <w:tcPr>
            <w:tcW w:w="3700" w:type="dxa"/>
            <w:vAlign w:val="bottom"/>
            <w:gridSpan w:val="18"/>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12.5</w:t>
            </w:r>
          </w:p>
        </w:tc>
        <w:tc>
          <w:tcPr>
            <w:tcW w:w="5300" w:type="dxa"/>
            <w:vAlign w:val="bottom"/>
            <w:gridSpan w:val="31"/>
          </w:tcPr>
          <w:p>
            <w:pPr>
              <w:spacing w:after="0"/>
              <w:rPr>
                <w:sz w:val="20"/>
                <w:szCs w:val="20"/>
                <w:color w:val="auto"/>
              </w:rPr>
            </w:pPr>
            <w:r>
              <w:rPr>
                <w:rFonts w:ascii="Arial" w:cs="Arial" w:eastAsia="Arial" w:hAnsi="Arial"/>
                <w:sz w:val="17"/>
                <w:szCs w:val="17"/>
                <w:color w:val="auto"/>
              </w:rPr>
              <w:t>Notice of Default</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12.6</w:t>
            </w:r>
          </w:p>
        </w:tc>
        <w:tc>
          <w:tcPr>
            <w:tcW w:w="5300" w:type="dxa"/>
            <w:vAlign w:val="bottom"/>
            <w:gridSpan w:val="31"/>
          </w:tcPr>
          <w:p>
            <w:pPr>
              <w:spacing w:after="0"/>
              <w:rPr>
                <w:sz w:val="20"/>
                <w:szCs w:val="20"/>
                <w:color w:val="auto"/>
              </w:rPr>
            </w:pPr>
            <w:r>
              <w:rPr>
                <w:rFonts w:ascii="Arial" w:cs="Arial" w:eastAsia="Arial" w:hAnsi="Arial"/>
                <w:sz w:val="17"/>
                <w:szCs w:val="17"/>
                <w:color w:val="auto"/>
                <w:w w:val="92"/>
              </w:rPr>
              <w:t>Non-Reliance on Administrative Agent, Collateral Agent, and Other Lenders</w:t>
            </w: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12.7</w:t>
            </w:r>
          </w:p>
        </w:tc>
        <w:tc>
          <w:tcPr>
            <w:tcW w:w="11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7"/>
                <w:szCs w:val="17"/>
                <w:color w:val="auto"/>
                <w:w w:val="94"/>
              </w:rPr>
              <w:t>Indemnification</w:t>
            </w:r>
          </w:p>
        </w:tc>
        <w:tc>
          <w:tcPr>
            <w:tcW w:w="4160" w:type="dxa"/>
            <w:vAlign w:val="bottom"/>
            <w:tcBorders>
              <w:top w:val="single" w:sz="8" w:color="auto"/>
            </w:tcBorders>
            <w:gridSpan w:val="25"/>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12.8</w:t>
            </w:r>
          </w:p>
        </w:tc>
        <w:tc>
          <w:tcPr>
            <w:tcW w:w="5300" w:type="dxa"/>
            <w:vAlign w:val="bottom"/>
            <w:gridSpan w:val="31"/>
          </w:tcPr>
          <w:p>
            <w:pPr>
              <w:spacing w:after="0"/>
              <w:rPr>
                <w:sz w:val="20"/>
                <w:szCs w:val="20"/>
                <w:color w:val="auto"/>
              </w:rPr>
            </w:pPr>
            <w:r>
              <w:rPr>
                <w:rFonts w:ascii="Arial" w:cs="Arial" w:eastAsia="Arial" w:hAnsi="Arial"/>
                <w:sz w:val="17"/>
                <w:szCs w:val="17"/>
                <w:color w:val="auto"/>
              </w:rPr>
              <w:t>Agents in Their Individual Capacities</w:t>
            </w: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12.9</w:t>
            </w:r>
          </w:p>
        </w:tc>
        <w:tc>
          <w:tcPr>
            <w:tcW w:w="2580" w:type="dxa"/>
            <w:vAlign w:val="bottom"/>
            <w:tcBorders>
              <w:top w:val="single" w:sz="8" w:color="auto"/>
            </w:tcBorders>
            <w:gridSpan w:val="22"/>
          </w:tcPr>
          <w:p>
            <w:pPr>
              <w:spacing w:after="0"/>
              <w:rPr>
                <w:sz w:val="20"/>
                <w:szCs w:val="20"/>
                <w:color w:val="auto"/>
              </w:rPr>
            </w:pPr>
            <w:r>
              <w:rPr>
                <w:rFonts w:ascii="Arial" w:cs="Arial" w:eastAsia="Arial" w:hAnsi="Arial"/>
                <w:sz w:val="17"/>
                <w:szCs w:val="17"/>
                <w:color w:val="auto"/>
              </w:rPr>
              <w:t>Successor Agents</w:t>
            </w:r>
          </w:p>
        </w:tc>
        <w:tc>
          <w:tcPr>
            <w:tcW w:w="2720" w:type="dxa"/>
            <w:vAlign w:val="bottom"/>
            <w:gridSpan w:val="9"/>
          </w:tcPr>
          <w:p>
            <w:pPr>
              <w:spacing w:after="0"/>
              <w:rPr>
                <w:sz w:val="24"/>
                <w:szCs w:val="24"/>
                <w:color w:val="auto"/>
              </w:rPr>
            </w:pPr>
          </w:p>
        </w:tc>
      </w:tr>
      <w:tr>
        <w:trPr>
          <w:trHeight w:val="20"/>
        </w:trPr>
        <w:tc>
          <w:tcPr>
            <w:tcW w:w="110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Withholding Tax</w:t>
            </w:r>
          </w:p>
        </w:tc>
      </w:tr>
      <w:tr>
        <w:trPr>
          <w:trHeight w:val="20"/>
        </w:trPr>
        <w:tc>
          <w:tcPr>
            <w:tcW w:w="120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89"/>
        </w:trPr>
        <w:tc>
          <w:tcPr>
            <w:tcW w:w="6400" w:type="dxa"/>
            <w:vAlign w:val="bottom"/>
            <w:gridSpan w:val="33"/>
          </w:tcPr>
          <w:p>
            <w:pPr>
              <w:ind w:left="620"/>
              <w:spacing w:after="0"/>
              <w:rPr>
                <w:sz w:val="20"/>
                <w:szCs w:val="20"/>
                <w:color w:val="auto"/>
              </w:rPr>
            </w:pPr>
            <w:r>
              <w:rPr>
                <w:rFonts w:ascii="Arial" w:cs="Arial" w:eastAsia="Arial" w:hAnsi="Arial"/>
                <w:sz w:val="17"/>
                <w:szCs w:val="17"/>
                <w:color w:val="auto"/>
              </w:rPr>
              <w:t>12.11  Agents Under Security Documents and Guarantee</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12.12</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Right to Realize on Collateral and Enforce Guarantee</w:t>
            </w: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12.13</w:t>
            </w:r>
          </w:p>
        </w:tc>
        <w:tc>
          <w:tcPr>
            <w:tcW w:w="100" w:type="dxa"/>
            <w:vAlign w:val="bottom"/>
          </w:tcPr>
          <w:p>
            <w:pPr>
              <w:spacing w:after="0"/>
              <w:rPr>
                <w:sz w:val="24"/>
                <w:szCs w:val="24"/>
                <w:color w:val="auto"/>
              </w:rPr>
            </w:pPr>
          </w:p>
        </w:tc>
        <w:tc>
          <w:tcPr>
            <w:tcW w:w="2280" w:type="dxa"/>
            <w:vAlign w:val="bottom"/>
            <w:tcBorders>
              <w:top w:val="single" w:sz="8" w:color="auto"/>
              <w:bottom w:val="single" w:sz="8" w:color="auto"/>
            </w:tcBorders>
            <w:gridSpan w:val="17"/>
          </w:tcPr>
          <w:p>
            <w:pPr>
              <w:spacing w:after="0"/>
              <w:rPr>
                <w:sz w:val="20"/>
                <w:szCs w:val="20"/>
                <w:color w:val="auto"/>
              </w:rPr>
            </w:pPr>
            <w:r>
              <w:rPr>
                <w:rFonts w:ascii="Arial" w:cs="Arial" w:eastAsia="Arial" w:hAnsi="Arial"/>
                <w:sz w:val="17"/>
                <w:szCs w:val="17"/>
                <w:color w:val="auto"/>
                <w:w w:val="91"/>
              </w:rPr>
              <w:t>Intercreditor Agreements Govern</w:t>
            </w:r>
          </w:p>
        </w:tc>
        <w:tc>
          <w:tcPr>
            <w:tcW w:w="1380" w:type="dxa"/>
            <w:vAlign w:val="bottom"/>
            <w:tcBorders>
              <w:top w:val="single" w:sz="8" w:color="auto"/>
            </w:tcBorders>
            <w:gridSpan w:val="9"/>
          </w:tcPr>
          <w:p>
            <w:pPr>
              <w:spacing w:after="0"/>
              <w:rPr>
                <w:sz w:val="24"/>
                <w:szCs w:val="24"/>
                <w:color w:val="auto"/>
              </w:rPr>
            </w:pPr>
          </w:p>
        </w:tc>
        <w:tc>
          <w:tcPr>
            <w:tcW w:w="1540" w:type="dxa"/>
            <w:vAlign w:val="bottom"/>
            <w:gridSpan w:val="4"/>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12.14</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Certain ERISA Matters</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24"/>
                <w:szCs w:val="24"/>
                <w:color w:val="auto"/>
              </w:rPr>
            </w:pPr>
          </w:p>
        </w:tc>
        <w:tc>
          <w:tcPr>
            <w:tcW w:w="2300" w:type="dxa"/>
            <w:vAlign w:val="bottom"/>
            <w:tcBorders>
              <w:bottom w:val="single" w:sz="8" w:color="auto"/>
            </w:tcBorders>
            <w:gridSpan w:val="18"/>
          </w:tcPr>
          <w:p>
            <w:pPr>
              <w:spacing w:after="0"/>
              <w:rPr>
                <w:sz w:val="20"/>
                <w:szCs w:val="20"/>
                <w:color w:val="auto"/>
              </w:rPr>
            </w:pPr>
            <w:r>
              <w:rPr>
                <w:rFonts w:ascii="Arial" w:cs="Arial" w:eastAsia="Arial" w:hAnsi="Arial"/>
                <w:sz w:val="17"/>
                <w:szCs w:val="17"/>
                <w:color w:val="auto"/>
                <w:w w:val="89"/>
              </w:rPr>
              <w:t>Recovery of Erroneous Payments</w:t>
            </w:r>
          </w:p>
        </w:tc>
        <w:tc>
          <w:tcPr>
            <w:tcW w:w="2900" w:type="dxa"/>
            <w:vAlign w:val="bottom"/>
            <w:gridSpan w:val="12"/>
          </w:tcPr>
          <w:p>
            <w:pPr>
              <w:spacing w:after="0"/>
              <w:rPr>
                <w:sz w:val="24"/>
                <w:szCs w:val="24"/>
                <w:color w:val="auto"/>
              </w:rPr>
            </w:pPr>
          </w:p>
        </w:tc>
      </w:tr>
      <w:tr>
        <w:trPr>
          <w:trHeight w:val="314"/>
        </w:trPr>
        <w:tc>
          <w:tcPr>
            <w:tcW w:w="820" w:type="dxa"/>
            <w:vAlign w:val="bottom"/>
          </w:tcPr>
          <w:p>
            <w:pPr>
              <w:spacing w:after="0"/>
              <w:rPr>
                <w:sz w:val="20"/>
                <w:szCs w:val="20"/>
                <w:color w:val="auto"/>
              </w:rPr>
            </w:pPr>
            <w:r>
              <w:rPr>
                <w:rFonts w:ascii="Arial" w:cs="Arial" w:eastAsia="Arial" w:hAnsi="Arial"/>
                <w:sz w:val="17"/>
                <w:szCs w:val="17"/>
                <w:color w:val="auto"/>
                <w:w w:val="99"/>
              </w:rPr>
              <w:t>Section 13</w:t>
            </w:r>
          </w:p>
        </w:tc>
        <w:tc>
          <w:tcPr>
            <w:tcW w:w="5580" w:type="dxa"/>
            <w:vAlign w:val="bottom"/>
            <w:gridSpan w:val="32"/>
          </w:tcPr>
          <w:p>
            <w:pPr>
              <w:ind w:left="80"/>
              <w:spacing w:after="0"/>
              <w:rPr>
                <w:sz w:val="20"/>
                <w:szCs w:val="20"/>
                <w:color w:val="auto"/>
              </w:rPr>
            </w:pPr>
            <w:r>
              <w:rPr>
                <w:rFonts w:ascii="Arial" w:cs="Arial" w:eastAsia="Arial" w:hAnsi="Arial"/>
                <w:sz w:val="17"/>
                <w:szCs w:val="17"/>
                <w:color w:val="auto"/>
              </w:rPr>
              <w:t>Miscellaneous</w:t>
            </w:r>
          </w:p>
        </w:tc>
      </w:tr>
      <w:tr>
        <w:trPr>
          <w:trHeight w:val="272"/>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w:t>
            </w:r>
          </w:p>
        </w:tc>
        <w:tc>
          <w:tcPr>
            <w:tcW w:w="2540" w:type="dxa"/>
            <w:vAlign w:val="bottom"/>
            <w:tcBorders>
              <w:bottom w:val="single" w:sz="8" w:color="auto"/>
            </w:tcBorders>
            <w:gridSpan w:val="20"/>
          </w:tcPr>
          <w:p>
            <w:pPr>
              <w:spacing w:after="0"/>
              <w:rPr>
                <w:sz w:val="20"/>
                <w:szCs w:val="20"/>
                <w:color w:val="auto"/>
              </w:rPr>
            </w:pPr>
            <w:r>
              <w:rPr>
                <w:rFonts w:ascii="Arial" w:cs="Arial" w:eastAsia="Arial" w:hAnsi="Arial"/>
                <w:sz w:val="17"/>
                <w:szCs w:val="17"/>
                <w:color w:val="auto"/>
                <w:w w:val="88"/>
              </w:rPr>
              <w:t>Amendments, Waivers, and Releases</w:t>
            </w:r>
          </w:p>
        </w:tc>
        <w:tc>
          <w:tcPr>
            <w:tcW w:w="2760" w:type="dxa"/>
            <w:vAlign w:val="bottom"/>
            <w:gridSpan w:val="11"/>
          </w:tcPr>
          <w:p>
            <w:pPr>
              <w:spacing w:after="0"/>
              <w:rPr>
                <w:sz w:val="23"/>
                <w:szCs w:val="23"/>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13.2</w:t>
            </w:r>
          </w:p>
        </w:tc>
        <w:tc>
          <w:tcPr>
            <w:tcW w:w="5300" w:type="dxa"/>
            <w:vAlign w:val="bottom"/>
            <w:gridSpan w:val="31"/>
          </w:tcPr>
          <w:p>
            <w:pPr>
              <w:spacing w:after="0"/>
              <w:rPr>
                <w:sz w:val="20"/>
                <w:szCs w:val="20"/>
                <w:color w:val="auto"/>
              </w:rPr>
            </w:pPr>
            <w:r>
              <w:rPr>
                <w:rFonts w:ascii="Arial" w:cs="Arial" w:eastAsia="Arial" w:hAnsi="Arial"/>
                <w:sz w:val="17"/>
                <w:szCs w:val="17"/>
                <w:color w:val="auto"/>
              </w:rPr>
              <w:t>Notices</w:t>
            </w:r>
          </w:p>
        </w:tc>
      </w:tr>
      <w:tr>
        <w:trPr>
          <w:trHeight w:val="20"/>
        </w:trPr>
        <w:tc>
          <w:tcPr>
            <w:tcW w:w="110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13.3</w:t>
            </w:r>
          </w:p>
        </w:tc>
        <w:tc>
          <w:tcPr>
            <w:tcW w:w="2360" w:type="dxa"/>
            <w:vAlign w:val="bottom"/>
            <w:tcBorders>
              <w:bottom w:val="single" w:sz="8" w:color="auto"/>
            </w:tcBorders>
            <w:gridSpan w:val="17"/>
          </w:tcPr>
          <w:p>
            <w:pPr>
              <w:spacing w:after="0"/>
              <w:rPr>
                <w:sz w:val="20"/>
                <w:szCs w:val="20"/>
                <w:color w:val="auto"/>
              </w:rPr>
            </w:pPr>
            <w:r>
              <w:rPr>
                <w:rFonts w:ascii="Arial" w:cs="Arial" w:eastAsia="Arial" w:hAnsi="Arial"/>
                <w:sz w:val="17"/>
                <w:szCs w:val="17"/>
                <w:color w:val="auto"/>
                <w:w w:val="91"/>
              </w:rPr>
              <w:t>No Waiver; Cumulative Remedies</w:t>
            </w:r>
          </w:p>
        </w:tc>
        <w:tc>
          <w:tcPr>
            <w:tcW w:w="2940" w:type="dxa"/>
            <w:vAlign w:val="bottom"/>
            <w:gridSpan w:val="14"/>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13.4</w:t>
            </w:r>
          </w:p>
        </w:tc>
        <w:tc>
          <w:tcPr>
            <w:tcW w:w="2980" w:type="dxa"/>
            <w:vAlign w:val="bottom"/>
            <w:tcBorders>
              <w:bottom w:val="single" w:sz="8" w:color="auto"/>
            </w:tcBorders>
            <w:gridSpan w:val="24"/>
          </w:tcPr>
          <w:p>
            <w:pPr>
              <w:spacing w:after="0"/>
              <w:rPr>
                <w:sz w:val="20"/>
                <w:szCs w:val="20"/>
                <w:color w:val="auto"/>
              </w:rPr>
            </w:pPr>
            <w:r>
              <w:rPr>
                <w:rFonts w:ascii="Arial" w:cs="Arial" w:eastAsia="Arial" w:hAnsi="Arial"/>
                <w:sz w:val="17"/>
                <w:szCs w:val="17"/>
                <w:color w:val="auto"/>
                <w:w w:val="90"/>
              </w:rPr>
              <w:t>Survival of Representations and Warranties</w:t>
            </w:r>
          </w:p>
        </w:tc>
        <w:tc>
          <w:tcPr>
            <w:tcW w:w="2320" w:type="dxa"/>
            <w:vAlign w:val="bottom"/>
            <w:gridSpan w:val="7"/>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13.5</w:t>
            </w:r>
          </w:p>
        </w:tc>
        <w:tc>
          <w:tcPr>
            <w:tcW w:w="5300" w:type="dxa"/>
            <w:vAlign w:val="bottom"/>
            <w:gridSpan w:val="31"/>
          </w:tcPr>
          <w:p>
            <w:pPr>
              <w:spacing w:after="0"/>
              <w:rPr>
                <w:sz w:val="20"/>
                <w:szCs w:val="20"/>
                <w:color w:val="auto"/>
              </w:rPr>
            </w:pPr>
            <w:r>
              <w:rPr>
                <w:rFonts w:ascii="Arial" w:cs="Arial" w:eastAsia="Arial" w:hAnsi="Arial"/>
                <w:sz w:val="17"/>
                <w:szCs w:val="17"/>
                <w:color w:val="auto"/>
              </w:rPr>
              <w:t>Payment of Expenses; Indemnification</w:t>
            </w:r>
          </w:p>
        </w:tc>
      </w:tr>
      <w:tr>
        <w:trPr>
          <w:trHeight w:val="20"/>
        </w:trPr>
        <w:tc>
          <w:tcPr>
            <w:tcW w:w="1100" w:type="dxa"/>
            <w:vAlign w:val="bottom"/>
            <w:gridSpan w:val="2"/>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13.6</w:t>
            </w:r>
          </w:p>
        </w:tc>
        <w:tc>
          <w:tcPr>
            <w:tcW w:w="5300" w:type="dxa"/>
            <w:vAlign w:val="bottom"/>
            <w:gridSpan w:val="31"/>
          </w:tcPr>
          <w:p>
            <w:pPr>
              <w:spacing w:after="0"/>
              <w:rPr>
                <w:sz w:val="20"/>
                <w:szCs w:val="20"/>
                <w:color w:val="auto"/>
              </w:rPr>
            </w:pPr>
            <w:r>
              <w:rPr>
                <w:rFonts w:ascii="Arial" w:cs="Arial" w:eastAsia="Arial" w:hAnsi="Arial"/>
                <w:sz w:val="17"/>
                <w:szCs w:val="17"/>
                <w:color w:val="auto"/>
              </w:rPr>
              <w:t>Successors and Assigns; Participations and Assignments</w:t>
            </w: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13.7</w:t>
            </w:r>
          </w:p>
        </w:tc>
        <w:tc>
          <w:tcPr>
            <w:tcW w:w="3860" w:type="dxa"/>
            <w:vAlign w:val="bottom"/>
            <w:tcBorders>
              <w:top w:val="single" w:sz="8" w:color="auto"/>
            </w:tcBorders>
            <w:gridSpan w:val="29"/>
          </w:tcPr>
          <w:p>
            <w:pPr>
              <w:spacing w:after="0"/>
              <w:rPr>
                <w:sz w:val="20"/>
                <w:szCs w:val="20"/>
                <w:color w:val="auto"/>
              </w:rPr>
            </w:pPr>
            <w:r>
              <w:rPr>
                <w:rFonts w:ascii="Arial" w:cs="Arial" w:eastAsia="Arial" w:hAnsi="Arial"/>
                <w:sz w:val="17"/>
                <w:szCs w:val="17"/>
                <w:color w:val="auto"/>
                <w:w w:val="91"/>
              </w:rPr>
              <w:t>Replacements of Lenders Under Certain Circumstances</w:t>
            </w:r>
          </w:p>
        </w:tc>
        <w:tc>
          <w:tcPr>
            <w:tcW w:w="1440" w:type="dxa"/>
            <w:vAlign w:val="bottom"/>
            <w:gridSpan w:val="2"/>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13.8</w:t>
            </w:r>
          </w:p>
        </w:tc>
        <w:tc>
          <w:tcPr>
            <w:tcW w:w="152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7"/>
                <w:szCs w:val="17"/>
                <w:color w:val="auto"/>
                <w:w w:val="96"/>
              </w:rPr>
              <w:t>Adjustments; Set-off</w:t>
            </w:r>
          </w:p>
        </w:tc>
        <w:tc>
          <w:tcPr>
            <w:tcW w:w="2300" w:type="dxa"/>
            <w:vAlign w:val="bottom"/>
            <w:tcBorders>
              <w:top w:val="single" w:sz="8" w:color="auto"/>
            </w:tcBorders>
            <w:gridSpan w:val="16"/>
          </w:tcPr>
          <w:p>
            <w:pPr>
              <w:spacing w:after="0"/>
              <w:rPr>
                <w:sz w:val="24"/>
                <w:szCs w:val="24"/>
                <w:color w:val="auto"/>
              </w:rPr>
            </w:pPr>
          </w:p>
        </w:tc>
        <w:tc>
          <w:tcPr>
            <w:tcW w:w="1480" w:type="dxa"/>
            <w:vAlign w:val="bottom"/>
            <w:gridSpan w:val="3"/>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13.9</w:t>
            </w:r>
          </w:p>
        </w:tc>
        <w:tc>
          <w:tcPr>
            <w:tcW w:w="5300" w:type="dxa"/>
            <w:vAlign w:val="bottom"/>
            <w:gridSpan w:val="31"/>
          </w:tcPr>
          <w:p>
            <w:pPr>
              <w:spacing w:after="0"/>
              <w:rPr>
                <w:sz w:val="20"/>
                <w:szCs w:val="20"/>
                <w:color w:val="auto"/>
              </w:rPr>
            </w:pPr>
            <w:r>
              <w:rPr>
                <w:rFonts w:ascii="Arial" w:cs="Arial" w:eastAsia="Arial" w:hAnsi="Arial"/>
                <w:sz w:val="17"/>
                <w:szCs w:val="17"/>
                <w:color w:val="auto"/>
              </w:rPr>
              <w:t>Counterparts</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13.10</w:t>
            </w:r>
          </w:p>
        </w:tc>
        <w:tc>
          <w:tcPr>
            <w:tcW w:w="100" w:type="dxa"/>
            <w:vAlign w:val="bottom"/>
          </w:tcPr>
          <w:p>
            <w:pPr>
              <w:spacing w:after="0"/>
              <w:rPr>
                <w:sz w:val="24"/>
                <w:szCs w:val="2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1"/>
              </w:rPr>
              <w:t>Severability</w:t>
            </w:r>
          </w:p>
        </w:tc>
        <w:tc>
          <w:tcPr>
            <w:tcW w:w="4380" w:type="dxa"/>
            <w:vAlign w:val="bottom"/>
            <w:gridSpan w:val="27"/>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13.11</w:t>
            </w:r>
          </w:p>
        </w:tc>
        <w:tc>
          <w:tcPr>
            <w:tcW w:w="100" w:type="dxa"/>
            <w:vAlign w:val="bottom"/>
          </w:tcPr>
          <w:p>
            <w:pPr>
              <w:spacing w:after="0"/>
              <w:rPr>
                <w:sz w:val="24"/>
                <w:szCs w:val="2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2"/>
              </w:rPr>
              <w:t>Integration</w:t>
            </w:r>
          </w:p>
        </w:tc>
        <w:tc>
          <w:tcPr>
            <w:tcW w:w="4420" w:type="dxa"/>
            <w:vAlign w:val="bottom"/>
            <w:gridSpan w:val="28"/>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13.12</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GOVERNING LAW</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13.13</w:t>
            </w:r>
          </w:p>
        </w:tc>
        <w:tc>
          <w:tcPr>
            <w:tcW w:w="100" w:type="dxa"/>
            <w:vAlign w:val="bottom"/>
          </w:tcPr>
          <w:p>
            <w:pPr>
              <w:spacing w:after="0"/>
              <w:rPr>
                <w:sz w:val="24"/>
                <w:szCs w:val="24"/>
                <w:color w:val="auto"/>
              </w:rPr>
            </w:pPr>
          </w:p>
        </w:tc>
        <w:tc>
          <w:tcPr>
            <w:tcW w:w="2460" w:type="dxa"/>
            <w:vAlign w:val="bottom"/>
            <w:tcBorders>
              <w:bottom w:val="single" w:sz="8" w:color="auto"/>
            </w:tcBorders>
            <w:gridSpan w:val="20"/>
          </w:tcPr>
          <w:p>
            <w:pPr>
              <w:spacing w:after="0"/>
              <w:rPr>
                <w:sz w:val="20"/>
                <w:szCs w:val="20"/>
                <w:color w:val="auto"/>
              </w:rPr>
            </w:pPr>
            <w:r>
              <w:rPr>
                <w:rFonts w:ascii="Arial" w:cs="Arial" w:eastAsia="Arial" w:hAnsi="Arial"/>
                <w:sz w:val="17"/>
                <w:szCs w:val="17"/>
                <w:color w:val="auto"/>
                <w:w w:val="91"/>
              </w:rPr>
              <w:t>Submission to Jurisdiction; Waivers</w:t>
            </w:r>
          </w:p>
        </w:tc>
        <w:tc>
          <w:tcPr>
            <w:tcW w:w="2740" w:type="dxa"/>
            <w:vAlign w:val="bottom"/>
            <w:gridSpan w:val="10"/>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13.14</w:t>
            </w:r>
          </w:p>
        </w:tc>
        <w:tc>
          <w:tcPr>
            <w:tcW w:w="100" w:type="dxa"/>
            <w:vAlign w:val="bottom"/>
          </w:tcPr>
          <w:p>
            <w:pPr>
              <w:spacing w:after="0"/>
              <w:rPr>
                <w:sz w:val="24"/>
                <w:szCs w:val="24"/>
                <w:color w:val="auto"/>
              </w:rPr>
            </w:pPr>
          </w:p>
        </w:tc>
        <w:tc>
          <w:tcPr>
            <w:tcW w:w="1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color w:val="auto"/>
                <w:w w:val="91"/>
              </w:rPr>
              <w:t>Acknowledgments</w:t>
            </w:r>
          </w:p>
        </w:tc>
        <w:tc>
          <w:tcPr>
            <w:tcW w:w="3920" w:type="dxa"/>
            <w:vAlign w:val="bottom"/>
            <w:gridSpan w:val="21"/>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13.15</w:t>
            </w:r>
          </w:p>
        </w:tc>
        <w:tc>
          <w:tcPr>
            <w:tcW w:w="100" w:type="dxa"/>
            <w:vAlign w:val="bottom"/>
          </w:tcPr>
          <w:p>
            <w:pPr>
              <w:spacing w:after="0"/>
              <w:rPr>
                <w:sz w:val="24"/>
                <w:szCs w:val="24"/>
                <w:color w:val="auto"/>
              </w:rPr>
            </w:pPr>
          </w:p>
        </w:tc>
        <w:tc>
          <w:tcPr>
            <w:tcW w:w="2020" w:type="dxa"/>
            <w:vAlign w:val="bottom"/>
            <w:tcBorders>
              <w:bottom w:val="single" w:sz="8" w:color="auto"/>
            </w:tcBorders>
            <w:gridSpan w:val="14"/>
          </w:tcPr>
          <w:p>
            <w:pPr>
              <w:spacing w:after="0"/>
              <w:rPr>
                <w:sz w:val="20"/>
                <w:szCs w:val="20"/>
                <w:color w:val="auto"/>
              </w:rPr>
            </w:pPr>
            <w:r>
              <w:rPr>
                <w:rFonts w:ascii="Arial" w:cs="Arial" w:eastAsia="Arial" w:hAnsi="Arial"/>
                <w:sz w:val="17"/>
                <w:szCs w:val="17"/>
                <w:color w:val="auto"/>
                <w:w w:val="95"/>
              </w:rPr>
              <w:t>WAIVERS OF JURY TRIAL</w:t>
            </w:r>
          </w:p>
        </w:tc>
        <w:tc>
          <w:tcPr>
            <w:tcW w:w="3180" w:type="dxa"/>
            <w:vAlign w:val="bottom"/>
            <w:gridSpan w:val="16"/>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Confidentiality</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13.17</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Direct Website Communications</w:t>
            </w: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24"/>
                <w:szCs w:val="24"/>
                <w:color w:val="auto"/>
              </w:rPr>
            </w:pPr>
          </w:p>
        </w:tc>
        <w:tc>
          <w:tcPr>
            <w:tcW w:w="134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17"/>
                <w:szCs w:val="17"/>
                <w:color w:val="auto"/>
                <w:w w:val="92"/>
              </w:rPr>
              <w:t>USA PATRIOT Act</w:t>
            </w:r>
          </w:p>
        </w:tc>
        <w:tc>
          <w:tcPr>
            <w:tcW w:w="880" w:type="dxa"/>
            <w:vAlign w:val="bottom"/>
            <w:tcBorders>
              <w:top w:val="single" w:sz="8" w:color="auto"/>
            </w:tcBorders>
            <w:gridSpan w:val="5"/>
          </w:tcPr>
          <w:p>
            <w:pPr>
              <w:spacing w:after="0"/>
              <w:rPr>
                <w:sz w:val="24"/>
                <w:szCs w:val="24"/>
                <w:color w:val="auto"/>
              </w:rPr>
            </w:pPr>
          </w:p>
        </w:tc>
        <w:tc>
          <w:tcPr>
            <w:tcW w:w="2980" w:type="dxa"/>
            <w:vAlign w:val="bottom"/>
            <w:gridSpan w:val="15"/>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13.19</w:t>
            </w:r>
          </w:p>
        </w:tc>
        <w:tc>
          <w:tcPr>
            <w:tcW w:w="100" w:type="dxa"/>
            <w:vAlign w:val="bottom"/>
          </w:tcPr>
          <w:p>
            <w:pPr>
              <w:spacing w:after="0"/>
              <w:rPr>
                <w:sz w:val="24"/>
                <w:szCs w:val="2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[Reserved]</w:t>
            </w:r>
          </w:p>
        </w:tc>
        <w:tc>
          <w:tcPr>
            <w:tcW w:w="4420" w:type="dxa"/>
            <w:vAlign w:val="bottom"/>
            <w:gridSpan w:val="28"/>
          </w:tcPr>
          <w:p>
            <w:pPr>
              <w:spacing w:after="0"/>
              <w:rPr>
                <w:sz w:val="24"/>
                <w:szCs w:val="24"/>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13.20</w:t>
            </w:r>
          </w:p>
        </w:tc>
        <w:tc>
          <w:tcPr>
            <w:tcW w:w="100" w:type="dxa"/>
            <w:vAlign w:val="bottom"/>
          </w:tcPr>
          <w:p>
            <w:pPr>
              <w:spacing w:after="0"/>
              <w:rPr>
                <w:sz w:val="24"/>
                <w:szCs w:val="24"/>
                <w:color w:val="auto"/>
              </w:rPr>
            </w:pPr>
          </w:p>
        </w:tc>
        <w:tc>
          <w:tcPr>
            <w:tcW w:w="1420" w:type="dxa"/>
            <w:vAlign w:val="bottom"/>
            <w:tcBorders>
              <w:bottom w:val="single" w:sz="8" w:color="auto"/>
            </w:tcBorders>
            <w:gridSpan w:val="11"/>
          </w:tcPr>
          <w:p>
            <w:pPr>
              <w:spacing w:after="0"/>
              <w:rPr>
                <w:sz w:val="20"/>
                <w:szCs w:val="20"/>
                <w:color w:val="auto"/>
              </w:rPr>
            </w:pPr>
            <w:r>
              <w:rPr>
                <w:rFonts w:ascii="Arial" w:cs="Arial" w:eastAsia="Arial" w:hAnsi="Arial"/>
                <w:sz w:val="17"/>
                <w:szCs w:val="17"/>
                <w:color w:val="auto"/>
                <w:w w:val="90"/>
              </w:rPr>
              <w:t>Payments Set Aside</w:t>
            </w:r>
          </w:p>
        </w:tc>
        <w:tc>
          <w:tcPr>
            <w:tcW w:w="3780" w:type="dxa"/>
            <w:vAlign w:val="bottom"/>
            <w:gridSpan w:val="19"/>
          </w:tcPr>
          <w:p>
            <w:pPr>
              <w:spacing w:after="0"/>
              <w:rPr>
                <w:sz w:val="24"/>
                <w:szCs w:val="24"/>
                <w:color w:val="auto"/>
              </w:rPr>
            </w:pP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13.21</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No Fiduciary Duty</w:t>
            </w: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9"/>
            <w:shd w:val="clear" w:color="auto" w:fill="000000"/>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r>
      <w:tr>
        <w:trPr>
          <w:trHeight w:val="277"/>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13.22</w:t>
            </w:r>
          </w:p>
        </w:tc>
        <w:tc>
          <w:tcPr>
            <w:tcW w:w="100" w:type="dxa"/>
            <w:vAlign w:val="bottom"/>
          </w:tcPr>
          <w:p>
            <w:pPr>
              <w:spacing w:after="0"/>
              <w:rPr>
                <w:sz w:val="24"/>
                <w:szCs w:val="24"/>
                <w:color w:val="auto"/>
              </w:rPr>
            </w:pPr>
          </w:p>
        </w:tc>
        <w:tc>
          <w:tcPr>
            <w:tcW w:w="5200" w:type="dxa"/>
            <w:vAlign w:val="bottom"/>
            <w:tcBorders>
              <w:bottom w:val="single" w:sz="8" w:color="auto"/>
            </w:tcBorders>
            <w:gridSpan w:val="30"/>
          </w:tcPr>
          <w:p>
            <w:pPr>
              <w:spacing w:after="0"/>
              <w:rPr>
                <w:sz w:val="20"/>
                <w:szCs w:val="20"/>
                <w:color w:val="auto"/>
              </w:rPr>
            </w:pPr>
            <w:r>
              <w:rPr>
                <w:rFonts w:ascii="Arial" w:cs="Arial" w:eastAsia="Arial" w:hAnsi="Arial"/>
                <w:sz w:val="17"/>
                <w:szCs w:val="17"/>
                <w:color w:val="auto"/>
                <w:w w:val="93"/>
              </w:rPr>
              <w:t>Acknowledgement and Consent to Bail-In of Affected Financial Institutions</w:t>
            </w:r>
          </w:p>
        </w:tc>
      </w:tr>
      <w:tr>
        <w:trPr>
          <w:trHeight w:val="289"/>
        </w:trPr>
        <w:tc>
          <w:tcPr>
            <w:tcW w:w="1100" w:type="dxa"/>
            <w:vAlign w:val="bottom"/>
            <w:gridSpan w:val="2"/>
          </w:tcPr>
          <w:p>
            <w:pPr>
              <w:ind w:left="620"/>
              <w:spacing w:after="0"/>
              <w:rPr>
                <w:sz w:val="20"/>
                <w:szCs w:val="20"/>
                <w:color w:val="auto"/>
              </w:rPr>
            </w:pPr>
            <w:r>
              <w:rPr>
                <w:rFonts w:ascii="Arial" w:cs="Arial" w:eastAsia="Arial" w:hAnsi="Arial"/>
                <w:sz w:val="17"/>
                <w:szCs w:val="17"/>
                <w:color w:val="auto"/>
              </w:rPr>
              <w:t>13.23</w:t>
            </w:r>
          </w:p>
        </w:tc>
        <w:tc>
          <w:tcPr>
            <w:tcW w:w="100" w:type="dxa"/>
            <w:vAlign w:val="bottom"/>
          </w:tcPr>
          <w:p>
            <w:pPr>
              <w:spacing w:after="0"/>
              <w:rPr>
                <w:sz w:val="24"/>
                <w:szCs w:val="24"/>
                <w:color w:val="auto"/>
              </w:rPr>
            </w:pPr>
          </w:p>
        </w:tc>
        <w:tc>
          <w:tcPr>
            <w:tcW w:w="5200" w:type="dxa"/>
            <w:vAlign w:val="bottom"/>
            <w:gridSpan w:val="30"/>
          </w:tcPr>
          <w:p>
            <w:pPr>
              <w:spacing w:after="0"/>
              <w:rPr>
                <w:sz w:val="20"/>
                <w:szCs w:val="20"/>
                <w:color w:val="auto"/>
              </w:rPr>
            </w:pPr>
            <w:r>
              <w:rPr>
                <w:rFonts w:ascii="Arial" w:cs="Arial" w:eastAsia="Arial" w:hAnsi="Arial"/>
                <w:sz w:val="17"/>
                <w:szCs w:val="17"/>
                <w:color w:val="auto"/>
              </w:rPr>
              <w:t>Acknowledgement Regarding Any Supported QFCs</w:t>
            </w:r>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129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129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132</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133</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133</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134</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134</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136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139</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145</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146</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146</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147</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148</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148</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149</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150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150</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150</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151</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151</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151</w:t>
      </w:r>
    </w:p>
    <w:p>
      <w:pPr>
        <w:spacing w:after="0" w:line="243" w:lineRule="exact"/>
        <w:rPr>
          <w:sz w:val="20"/>
          <w:szCs w:val="20"/>
          <w:color w:val="auto"/>
        </w:rPr>
      </w:pPr>
    </w:p>
    <w:p>
      <w:pPr>
        <w:sectPr>
          <w:pgSz w:w="11900" w:h="16838" w:orient="portrait"/>
          <w:cols w:equalWidth="0" w:num="2">
            <w:col w:w="9800" w:space="720"/>
            <w:col w:w="660"/>
          </w:cols>
          <w:pgMar w:left="380" w:top="114" w:right="339"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180"/>
          </w:cols>
          <w:pgMar w:left="380" w:top="114" w:right="339" w:bottom="326" w:gutter="0" w:footer="0" w:header="0"/>
          <w:type w:val="continuous"/>
        </w:sectPr>
      </w:pPr>
    </w:p>
    <w:bookmarkStart w:id="25" w:name="page26"/>
    <w:bookmarkEnd w:id="25"/>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SCHEDULES</w:t>
      </w:r>
    </w:p>
    <w:p>
      <w:pPr>
        <w:spacing w:after="0" w:line="10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Schedule 1.1(a)</w:t>
      </w:r>
      <w:r>
        <w:rPr>
          <w:sz w:val="20"/>
          <w:szCs w:val="20"/>
          <w:color w:val="auto"/>
        </w:rPr>
        <w:tab/>
      </w:r>
      <w:r>
        <w:rPr>
          <w:rFonts w:ascii="Arial" w:cs="Arial" w:eastAsia="Arial" w:hAnsi="Arial"/>
          <w:sz w:val="15"/>
          <w:szCs w:val="15"/>
          <w:color w:val="auto"/>
        </w:rPr>
        <w:t>Mortgaged Properties</w:t>
      </w:r>
    </w:p>
    <w:p>
      <w:pPr>
        <w:spacing w:after="0" w:line="233" w:lineRule="auto"/>
        <w:tabs>
          <w:tab w:leader="none" w:pos="1240" w:val="left"/>
        </w:tabs>
        <w:rPr>
          <w:sz w:val="20"/>
          <w:szCs w:val="20"/>
          <w:color w:val="auto"/>
        </w:rPr>
      </w:pPr>
      <w:r>
        <w:rPr>
          <w:rFonts w:ascii="Arial" w:cs="Arial" w:eastAsia="Arial" w:hAnsi="Arial"/>
          <w:sz w:val="17"/>
          <w:szCs w:val="17"/>
          <w:color w:val="auto"/>
        </w:rPr>
        <w:t>Schedule 1.1(b)</w:t>
      </w:r>
      <w:r>
        <w:rPr>
          <w:sz w:val="20"/>
          <w:szCs w:val="20"/>
          <w:color w:val="auto"/>
        </w:rPr>
        <w:tab/>
      </w:r>
      <w:r>
        <w:rPr>
          <w:rFonts w:ascii="Arial" w:cs="Arial" w:eastAsia="Arial" w:hAnsi="Arial"/>
          <w:sz w:val="15"/>
          <w:szCs w:val="15"/>
          <w:color w:val="auto"/>
        </w:rPr>
        <w:t>Commitments of Lenders</w:t>
      </w:r>
    </w:p>
    <w:p>
      <w:pPr>
        <w:spacing w:after="0" w:line="233" w:lineRule="auto"/>
        <w:tabs>
          <w:tab w:leader="none" w:pos="1240" w:val="left"/>
        </w:tabs>
        <w:rPr>
          <w:sz w:val="20"/>
          <w:szCs w:val="20"/>
          <w:color w:val="auto"/>
        </w:rPr>
      </w:pPr>
      <w:r>
        <w:rPr>
          <w:rFonts w:ascii="Arial" w:cs="Arial" w:eastAsia="Arial" w:hAnsi="Arial"/>
          <w:sz w:val="17"/>
          <w:szCs w:val="17"/>
          <w:color w:val="auto"/>
        </w:rPr>
        <w:t>Schedule 1.1(c)</w:t>
      </w:r>
      <w:r>
        <w:rPr>
          <w:sz w:val="20"/>
          <w:szCs w:val="20"/>
          <w:color w:val="auto"/>
        </w:rPr>
        <w:tab/>
      </w:r>
      <w:r>
        <w:rPr>
          <w:rFonts w:ascii="Arial" w:cs="Arial" w:eastAsia="Arial" w:hAnsi="Arial"/>
          <w:sz w:val="15"/>
          <w:szCs w:val="15"/>
          <w:color w:val="auto"/>
        </w:rPr>
        <w:t>Existing Letters of Credit</w:t>
      </w:r>
    </w:p>
    <w:p>
      <w:pPr>
        <w:spacing w:after="0"/>
        <w:tabs>
          <w:tab w:leader="none" w:pos="1120" w:val="left"/>
        </w:tabs>
        <w:rPr>
          <w:sz w:val="20"/>
          <w:szCs w:val="20"/>
          <w:color w:val="auto"/>
        </w:rPr>
      </w:pPr>
      <w:r>
        <w:rPr>
          <w:rFonts w:ascii="Arial" w:cs="Arial" w:eastAsia="Arial" w:hAnsi="Arial"/>
          <w:sz w:val="17"/>
          <w:szCs w:val="17"/>
          <w:color w:val="auto"/>
        </w:rPr>
        <w:t>Schedule 8.14</w:t>
      </w:r>
      <w:r>
        <w:rPr>
          <w:sz w:val="20"/>
          <w:szCs w:val="20"/>
          <w:color w:val="auto"/>
        </w:rPr>
        <w:tab/>
      </w:r>
      <w:r>
        <w:rPr>
          <w:rFonts w:ascii="Arial" w:cs="Arial" w:eastAsia="Arial" w:hAnsi="Arial"/>
          <w:sz w:val="15"/>
          <w:szCs w:val="15"/>
          <w:color w:val="auto"/>
        </w:rPr>
        <w:t>Subsidiaries</w:t>
      </w:r>
    </w:p>
    <w:p>
      <w:pPr>
        <w:spacing w:after="0" w:line="234" w:lineRule="auto"/>
        <w:tabs>
          <w:tab w:leader="none" w:pos="1120" w:val="left"/>
        </w:tabs>
        <w:rPr>
          <w:sz w:val="20"/>
          <w:szCs w:val="20"/>
          <w:color w:val="auto"/>
        </w:rPr>
      </w:pPr>
      <w:r>
        <w:rPr>
          <w:rFonts w:ascii="Arial" w:cs="Arial" w:eastAsia="Arial" w:hAnsi="Arial"/>
          <w:sz w:val="17"/>
          <w:szCs w:val="17"/>
          <w:color w:val="auto"/>
        </w:rPr>
        <w:t>Schedule 8.16</w:t>
      </w:r>
      <w:r>
        <w:rPr>
          <w:sz w:val="20"/>
          <w:szCs w:val="20"/>
          <w:color w:val="auto"/>
        </w:rPr>
        <w:tab/>
      </w:r>
      <w:r>
        <w:rPr>
          <w:rFonts w:ascii="Arial" w:cs="Arial" w:eastAsia="Arial" w:hAnsi="Arial"/>
          <w:sz w:val="15"/>
          <w:szCs w:val="15"/>
          <w:color w:val="auto"/>
        </w:rPr>
        <w:t>Environmental</w:t>
      </w:r>
    </w:p>
    <w:p>
      <w:pPr>
        <w:spacing w:after="0" w:line="233" w:lineRule="auto"/>
        <w:tabs>
          <w:tab w:leader="none" w:pos="1120" w:val="left"/>
        </w:tabs>
        <w:rPr>
          <w:sz w:val="20"/>
          <w:szCs w:val="20"/>
          <w:color w:val="auto"/>
        </w:rPr>
      </w:pPr>
      <w:r>
        <w:rPr>
          <w:rFonts w:ascii="Arial" w:cs="Arial" w:eastAsia="Arial" w:hAnsi="Arial"/>
          <w:sz w:val="17"/>
          <w:szCs w:val="17"/>
          <w:color w:val="auto"/>
        </w:rPr>
        <w:t>Schedule 9.14</w:t>
      </w:r>
      <w:r>
        <w:rPr>
          <w:sz w:val="20"/>
          <w:szCs w:val="20"/>
          <w:color w:val="auto"/>
        </w:rPr>
        <w:tab/>
      </w:r>
      <w:r>
        <w:rPr>
          <w:rFonts w:ascii="Arial" w:cs="Arial" w:eastAsia="Arial" w:hAnsi="Arial"/>
          <w:sz w:val="15"/>
          <w:szCs w:val="15"/>
          <w:color w:val="auto"/>
        </w:rPr>
        <w:t>Post-Closing Actions</w:t>
      </w:r>
    </w:p>
    <w:p>
      <w:pPr>
        <w:spacing w:after="0"/>
        <w:tabs>
          <w:tab w:leader="none" w:pos="1120" w:val="left"/>
        </w:tabs>
        <w:rPr>
          <w:sz w:val="20"/>
          <w:szCs w:val="20"/>
          <w:color w:val="auto"/>
        </w:rPr>
      </w:pPr>
      <w:r>
        <w:rPr>
          <w:rFonts w:ascii="Arial" w:cs="Arial" w:eastAsia="Arial" w:hAnsi="Arial"/>
          <w:sz w:val="17"/>
          <w:szCs w:val="17"/>
          <w:color w:val="auto"/>
        </w:rPr>
        <w:t>Schedule 10.1</w:t>
      </w:r>
      <w:r>
        <w:rPr>
          <w:sz w:val="20"/>
          <w:szCs w:val="20"/>
          <w:color w:val="auto"/>
        </w:rPr>
        <w:tab/>
      </w:r>
      <w:r>
        <w:rPr>
          <w:rFonts w:ascii="Arial" w:cs="Arial" w:eastAsia="Arial" w:hAnsi="Arial"/>
          <w:sz w:val="15"/>
          <w:szCs w:val="15"/>
          <w:color w:val="auto"/>
        </w:rPr>
        <w:t>Second Restatement Effective Date Indebtedness</w:t>
      </w:r>
    </w:p>
    <w:p>
      <w:pPr>
        <w:spacing w:after="0" w:line="233" w:lineRule="auto"/>
        <w:tabs>
          <w:tab w:leader="none" w:pos="1120" w:val="left"/>
        </w:tabs>
        <w:rPr>
          <w:sz w:val="20"/>
          <w:szCs w:val="20"/>
          <w:color w:val="auto"/>
        </w:rPr>
      </w:pPr>
      <w:r>
        <w:rPr>
          <w:rFonts w:ascii="Arial" w:cs="Arial" w:eastAsia="Arial" w:hAnsi="Arial"/>
          <w:sz w:val="17"/>
          <w:szCs w:val="17"/>
          <w:color w:val="auto"/>
        </w:rPr>
        <w:t>Schedule 10.2</w:t>
      </w:r>
      <w:r>
        <w:rPr>
          <w:sz w:val="20"/>
          <w:szCs w:val="20"/>
          <w:color w:val="auto"/>
        </w:rPr>
        <w:tab/>
      </w:r>
      <w:r>
        <w:rPr>
          <w:rFonts w:ascii="Arial" w:cs="Arial" w:eastAsia="Arial" w:hAnsi="Arial"/>
          <w:sz w:val="15"/>
          <w:szCs w:val="15"/>
          <w:color w:val="auto"/>
        </w:rPr>
        <w:t>Second Restatement Effective Date Liens</w:t>
      </w:r>
    </w:p>
    <w:p>
      <w:pPr>
        <w:spacing w:after="0" w:line="233" w:lineRule="auto"/>
        <w:tabs>
          <w:tab w:leader="none" w:pos="1120" w:val="left"/>
        </w:tabs>
        <w:rPr>
          <w:sz w:val="20"/>
          <w:szCs w:val="20"/>
          <w:color w:val="auto"/>
        </w:rPr>
      </w:pPr>
      <w:r>
        <w:rPr>
          <w:rFonts w:ascii="Arial" w:cs="Arial" w:eastAsia="Arial" w:hAnsi="Arial"/>
          <w:sz w:val="17"/>
          <w:szCs w:val="17"/>
          <w:color w:val="auto"/>
        </w:rPr>
        <w:t>Schedule 10.5</w:t>
      </w:r>
      <w:r>
        <w:rPr>
          <w:sz w:val="20"/>
          <w:szCs w:val="20"/>
          <w:color w:val="auto"/>
        </w:rPr>
        <w:tab/>
      </w:r>
      <w:r>
        <w:rPr>
          <w:rFonts w:ascii="Arial" w:cs="Arial" w:eastAsia="Arial" w:hAnsi="Arial"/>
          <w:sz w:val="15"/>
          <w:szCs w:val="15"/>
          <w:color w:val="auto"/>
        </w:rPr>
        <w:t>Second Restatement Effective Date Investments</w:t>
      </w:r>
    </w:p>
    <w:p>
      <w:pPr>
        <w:spacing w:after="0"/>
        <w:tabs>
          <w:tab w:leader="none" w:pos="1120" w:val="left"/>
        </w:tabs>
        <w:rPr>
          <w:sz w:val="20"/>
          <w:szCs w:val="20"/>
          <w:color w:val="auto"/>
        </w:rPr>
      </w:pPr>
      <w:r>
        <w:rPr>
          <w:rFonts w:ascii="Arial" w:cs="Arial" w:eastAsia="Arial" w:hAnsi="Arial"/>
          <w:sz w:val="17"/>
          <w:szCs w:val="17"/>
          <w:color w:val="auto"/>
        </w:rPr>
        <w:t>Schedule 13.2</w:t>
      </w:r>
      <w:r>
        <w:rPr>
          <w:sz w:val="20"/>
          <w:szCs w:val="20"/>
          <w:color w:val="auto"/>
        </w:rPr>
        <w:tab/>
      </w:r>
      <w:r>
        <w:rPr>
          <w:rFonts w:ascii="Arial" w:cs="Arial" w:eastAsia="Arial" w:hAnsi="Arial"/>
          <w:sz w:val="15"/>
          <w:szCs w:val="15"/>
          <w:color w:val="auto"/>
        </w:rPr>
        <w:t>Notice Addresses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EXHIBITS</w:t>
      </w:r>
    </w:p>
    <w:p>
      <w:pPr>
        <w:spacing w:after="0" w:line="8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5"/>
          <w:szCs w:val="15"/>
          <w:color w:val="auto"/>
        </w:rPr>
        <w:t>Form of Joinder Agreement</w:t>
      </w:r>
    </w:p>
    <w:p>
      <w:pPr>
        <w:spacing w:after="0" w:line="233" w:lineRule="auto"/>
        <w:tabs>
          <w:tab w:leader="none" w:pos="82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5"/>
          <w:szCs w:val="15"/>
          <w:color w:val="auto"/>
        </w:rPr>
        <w:t>[Reserved]</w:t>
      </w:r>
    </w:p>
    <w:p>
      <w:pPr>
        <w:spacing w:after="0" w:line="233" w:lineRule="auto"/>
        <w:tabs>
          <w:tab w:leader="none" w:pos="82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5"/>
          <w:szCs w:val="15"/>
          <w:color w:val="auto"/>
        </w:rPr>
        <w:t>[Reserved]</w:t>
      </w:r>
    </w:p>
    <w:p>
      <w:pPr>
        <w:spacing w:after="0"/>
        <w:tabs>
          <w:tab w:leader="none" w:pos="82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5"/>
          <w:szCs w:val="15"/>
          <w:color w:val="auto"/>
        </w:rPr>
        <w:t>[Reserved]</w:t>
      </w:r>
    </w:p>
    <w:p>
      <w:pPr>
        <w:spacing w:after="0" w:line="1" w:lineRule="exact"/>
        <w:rPr>
          <w:sz w:val="20"/>
          <w:szCs w:val="20"/>
          <w:color w:val="auto"/>
        </w:rPr>
      </w:pPr>
    </w:p>
    <w:p>
      <w:pPr>
        <w:ind w:right="4999"/>
        <w:spacing w:after="0" w:line="211" w:lineRule="auto"/>
        <w:rPr>
          <w:sz w:val="20"/>
          <w:szCs w:val="20"/>
          <w:color w:val="auto"/>
        </w:rPr>
      </w:pPr>
      <w:r>
        <w:rPr>
          <w:rFonts w:ascii="Arial" w:cs="Arial" w:eastAsia="Arial" w:hAnsi="Arial"/>
          <w:sz w:val="17"/>
          <w:szCs w:val="17"/>
          <w:color w:val="auto"/>
        </w:rPr>
        <w:t>Exhibit E Form of Credit Party Second Restatement Effective Certificate Exhibit F Form of Assignment and Acceptance Exhibit G-1 Form of Promissory Note (Term A Loans)</w:t>
      </w:r>
    </w:p>
    <w:p>
      <w:pPr>
        <w:spacing w:after="0" w:line="233" w:lineRule="auto"/>
        <w:tabs>
          <w:tab w:leader="none" w:pos="980" w:val="left"/>
        </w:tabs>
        <w:rPr>
          <w:sz w:val="20"/>
          <w:szCs w:val="20"/>
          <w:color w:val="auto"/>
        </w:rPr>
      </w:pPr>
      <w:r>
        <w:rPr>
          <w:rFonts w:ascii="Arial" w:cs="Arial" w:eastAsia="Arial" w:hAnsi="Arial"/>
          <w:sz w:val="17"/>
          <w:szCs w:val="17"/>
          <w:color w:val="auto"/>
        </w:rPr>
        <w:t>Exhibit G-2</w:t>
      </w:r>
      <w:r>
        <w:rPr>
          <w:sz w:val="20"/>
          <w:szCs w:val="20"/>
          <w:color w:val="auto"/>
        </w:rPr>
        <w:tab/>
      </w:r>
      <w:r>
        <w:rPr>
          <w:rFonts w:ascii="Arial" w:cs="Arial" w:eastAsia="Arial" w:hAnsi="Arial"/>
          <w:sz w:val="15"/>
          <w:szCs w:val="15"/>
          <w:color w:val="auto"/>
        </w:rPr>
        <w:t>Form of Promissory Note (Revolving Credit Loans)</w:t>
      </w:r>
    </w:p>
    <w:p>
      <w:pPr>
        <w:spacing w:after="0" w:line="218" w:lineRule="auto"/>
        <w:tabs>
          <w:tab w:leader="none" w:pos="820" w:val="left"/>
        </w:tabs>
        <w:rPr>
          <w:sz w:val="20"/>
          <w:szCs w:val="20"/>
          <w:color w:val="auto"/>
        </w:rPr>
      </w:pPr>
      <w:r>
        <w:rPr>
          <w:rFonts w:ascii="Arial" w:cs="Arial" w:eastAsia="Arial" w:hAnsi="Arial"/>
          <w:sz w:val="17"/>
          <w:szCs w:val="17"/>
          <w:color w:val="auto"/>
        </w:rPr>
        <w:t>Exhibit H</w:t>
      </w:r>
      <w:r>
        <w:rPr>
          <w:sz w:val="20"/>
          <w:szCs w:val="20"/>
          <w:color w:val="auto"/>
        </w:rPr>
        <w:tab/>
      </w:r>
      <w:r>
        <w:rPr>
          <w:rFonts w:ascii="Arial" w:cs="Arial" w:eastAsia="Arial" w:hAnsi="Arial"/>
          <w:sz w:val="16"/>
          <w:szCs w:val="16"/>
          <w:color w:val="auto"/>
        </w:rPr>
        <w:t>Form of First Lien Intercreditor Agreement</w:t>
      </w:r>
    </w:p>
    <w:p>
      <w:pPr>
        <w:spacing w:after="0"/>
        <w:tabs>
          <w:tab w:leader="none" w:pos="760" w:val="left"/>
        </w:tabs>
        <w:rPr>
          <w:sz w:val="20"/>
          <w:szCs w:val="20"/>
          <w:color w:val="auto"/>
        </w:rPr>
      </w:pPr>
      <w:r>
        <w:rPr>
          <w:rFonts w:ascii="Arial" w:cs="Arial" w:eastAsia="Arial" w:hAnsi="Arial"/>
          <w:sz w:val="17"/>
          <w:szCs w:val="17"/>
          <w:color w:val="auto"/>
        </w:rPr>
        <w:t>Exhibit I</w:t>
      </w:r>
      <w:r>
        <w:rPr>
          <w:sz w:val="20"/>
          <w:szCs w:val="20"/>
          <w:color w:val="auto"/>
        </w:rPr>
        <w:tab/>
      </w:r>
      <w:r>
        <w:rPr>
          <w:rFonts w:ascii="Arial" w:cs="Arial" w:eastAsia="Arial" w:hAnsi="Arial"/>
          <w:sz w:val="15"/>
          <w:szCs w:val="15"/>
          <w:color w:val="auto"/>
        </w:rPr>
        <w:t>Form of Second Lien Intercreditor Agreement</w:t>
      </w:r>
    </w:p>
    <w:p>
      <w:pPr>
        <w:spacing w:after="0" w:line="233" w:lineRule="auto"/>
        <w:tabs>
          <w:tab w:leader="none" w:pos="920" w:val="left"/>
        </w:tabs>
        <w:rPr>
          <w:sz w:val="20"/>
          <w:szCs w:val="20"/>
          <w:color w:val="auto"/>
        </w:rPr>
      </w:pPr>
      <w:r>
        <w:rPr>
          <w:rFonts w:ascii="Arial" w:cs="Arial" w:eastAsia="Arial" w:hAnsi="Arial"/>
          <w:sz w:val="17"/>
          <w:szCs w:val="17"/>
          <w:color w:val="auto"/>
        </w:rPr>
        <w:t>Exhibit J-1</w:t>
      </w:r>
      <w:r>
        <w:rPr>
          <w:sz w:val="20"/>
          <w:szCs w:val="20"/>
          <w:color w:val="auto"/>
        </w:rPr>
        <w:tab/>
      </w:r>
      <w:r>
        <w:rPr>
          <w:rFonts w:ascii="Arial" w:cs="Arial" w:eastAsia="Arial" w:hAnsi="Arial"/>
          <w:sz w:val="15"/>
          <w:szCs w:val="15"/>
          <w:color w:val="auto"/>
        </w:rPr>
        <w:t>Form of Non-Bank Tax Certificate</w:t>
      </w:r>
    </w:p>
    <w:p>
      <w:pPr>
        <w:ind w:left="1480"/>
        <w:spacing w:after="0" w:line="219" w:lineRule="auto"/>
        <w:rPr>
          <w:sz w:val="20"/>
          <w:szCs w:val="20"/>
          <w:color w:val="auto"/>
        </w:rPr>
      </w:pPr>
      <w:r>
        <w:rPr>
          <w:rFonts w:ascii="Arial" w:cs="Arial" w:eastAsia="Arial" w:hAnsi="Arial"/>
          <w:sz w:val="16"/>
          <w:szCs w:val="16"/>
          <w:color w:val="auto"/>
        </w:rPr>
        <w:t>(For Non-U.S. Lenders That Are Not Partnerships For U.S. Federal Income Tax Purposes)</w:t>
      </w:r>
    </w:p>
    <w:p>
      <w:pPr>
        <w:spacing w:after="0"/>
        <w:tabs>
          <w:tab w:leader="none" w:pos="920" w:val="left"/>
        </w:tabs>
        <w:rPr>
          <w:sz w:val="20"/>
          <w:szCs w:val="20"/>
          <w:color w:val="auto"/>
        </w:rPr>
      </w:pPr>
      <w:r>
        <w:rPr>
          <w:rFonts w:ascii="Arial" w:cs="Arial" w:eastAsia="Arial" w:hAnsi="Arial"/>
          <w:sz w:val="17"/>
          <w:szCs w:val="17"/>
          <w:color w:val="auto"/>
        </w:rPr>
        <w:t>Exhibit J-2</w:t>
      </w:r>
      <w:r>
        <w:rPr>
          <w:sz w:val="20"/>
          <w:szCs w:val="20"/>
          <w:color w:val="auto"/>
        </w:rPr>
        <w:tab/>
      </w:r>
      <w:r>
        <w:rPr>
          <w:rFonts w:ascii="Arial" w:cs="Arial" w:eastAsia="Arial" w:hAnsi="Arial"/>
          <w:sz w:val="15"/>
          <w:szCs w:val="15"/>
          <w:color w:val="auto"/>
        </w:rPr>
        <w:t>Form of Non-Bank Tax Certificate</w:t>
      </w:r>
    </w:p>
    <w:p>
      <w:pPr>
        <w:ind w:left="1480"/>
        <w:spacing w:after="0" w:line="219" w:lineRule="auto"/>
        <w:rPr>
          <w:sz w:val="20"/>
          <w:szCs w:val="20"/>
          <w:color w:val="auto"/>
        </w:rPr>
      </w:pPr>
      <w:r>
        <w:rPr>
          <w:rFonts w:ascii="Arial" w:cs="Arial" w:eastAsia="Arial" w:hAnsi="Arial"/>
          <w:sz w:val="16"/>
          <w:szCs w:val="16"/>
          <w:color w:val="auto"/>
        </w:rPr>
        <w:t>(For Non-U.S. Lenders That Are Partnerships For U.S. Federal Income Tax Purposes)</w:t>
      </w:r>
    </w:p>
    <w:p>
      <w:pPr>
        <w:spacing w:after="0" w:line="233" w:lineRule="auto"/>
        <w:tabs>
          <w:tab w:leader="none" w:pos="920" w:val="left"/>
        </w:tabs>
        <w:rPr>
          <w:sz w:val="20"/>
          <w:szCs w:val="20"/>
          <w:color w:val="auto"/>
        </w:rPr>
      </w:pPr>
      <w:r>
        <w:rPr>
          <w:rFonts w:ascii="Arial" w:cs="Arial" w:eastAsia="Arial" w:hAnsi="Arial"/>
          <w:sz w:val="17"/>
          <w:szCs w:val="17"/>
          <w:color w:val="auto"/>
        </w:rPr>
        <w:t>Exhibit J-3</w:t>
      </w:r>
      <w:r>
        <w:rPr>
          <w:sz w:val="20"/>
          <w:szCs w:val="20"/>
          <w:color w:val="auto"/>
        </w:rPr>
        <w:tab/>
      </w:r>
      <w:r>
        <w:rPr>
          <w:rFonts w:ascii="Arial" w:cs="Arial" w:eastAsia="Arial" w:hAnsi="Arial"/>
          <w:sz w:val="15"/>
          <w:szCs w:val="15"/>
          <w:color w:val="auto"/>
        </w:rPr>
        <w:t>Form of Non-Bank Tax Certificate</w:t>
      </w:r>
    </w:p>
    <w:p>
      <w:pPr>
        <w:ind w:left="1480"/>
        <w:spacing w:after="0"/>
        <w:rPr>
          <w:sz w:val="20"/>
          <w:szCs w:val="20"/>
          <w:color w:val="auto"/>
        </w:rPr>
      </w:pPr>
      <w:r>
        <w:rPr>
          <w:rFonts w:ascii="Arial" w:cs="Arial" w:eastAsia="Arial" w:hAnsi="Arial"/>
          <w:sz w:val="15"/>
          <w:szCs w:val="15"/>
          <w:color w:val="auto"/>
        </w:rPr>
        <w:t>(For Non-U.S. Participants That Are Not Partnerships For U.S. Federal Income Tax Purposes)</w:t>
      </w:r>
    </w:p>
    <w:p>
      <w:pPr>
        <w:spacing w:after="0"/>
        <w:tabs>
          <w:tab w:leader="none" w:pos="920" w:val="left"/>
        </w:tabs>
        <w:rPr>
          <w:sz w:val="20"/>
          <w:szCs w:val="20"/>
          <w:color w:val="auto"/>
        </w:rPr>
      </w:pPr>
      <w:r>
        <w:rPr>
          <w:rFonts w:ascii="Arial" w:cs="Arial" w:eastAsia="Arial" w:hAnsi="Arial"/>
          <w:sz w:val="17"/>
          <w:szCs w:val="17"/>
          <w:color w:val="auto"/>
        </w:rPr>
        <w:t>Exhibit J-4</w:t>
      </w:r>
      <w:r>
        <w:rPr>
          <w:sz w:val="20"/>
          <w:szCs w:val="20"/>
          <w:color w:val="auto"/>
        </w:rPr>
        <w:tab/>
      </w:r>
      <w:r>
        <w:rPr>
          <w:rFonts w:ascii="Arial" w:cs="Arial" w:eastAsia="Arial" w:hAnsi="Arial"/>
          <w:sz w:val="15"/>
          <w:szCs w:val="15"/>
          <w:color w:val="auto"/>
        </w:rPr>
        <w:t>Form of Non-Bank Tax Certificate</w:t>
      </w:r>
    </w:p>
    <w:p>
      <w:pPr>
        <w:ind w:left="1480"/>
        <w:spacing w:after="0" w:line="218" w:lineRule="auto"/>
        <w:rPr>
          <w:sz w:val="20"/>
          <w:szCs w:val="20"/>
          <w:color w:val="auto"/>
        </w:rPr>
      </w:pPr>
      <w:r>
        <w:rPr>
          <w:rFonts w:ascii="Arial" w:cs="Arial" w:eastAsia="Arial" w:hAnsi="Arial"/>
          <w:sz w:val="16"/>
          <w:szCs w:val="16"/>
          <w:color w:val="auto"/>
        </w:rPr>
        <w:t>(For Foreign Participants That Are Partnerships For U.S. Federal Income Tax Purposes)</w:t>
      </w:r>
    </w:p>
    <w:p>
      <w:pPr>
        <w:spacing w:after="0" w:line="236" w:lineRule="auto"/>
        <w:tabs>
          <w:tab w:leader="none" w:pos="820" w:val="left"/>
        </w:tabs>
        <w:rPr>
          <w:sz w:val="20"/>
          <w:szCs w:val="20"/>
          <w:color w:val="auto"/>
        </w:rPr>
      </w:pPr>
      <w:r>
        <w:rPr>
          <w:rFonts w:ascii="Arial" w:cs="Arial" w:eastAsia="Arial" w:hAnsi="Arial"/>
          <w:sz w:val="17"/>
          <w:szCs w:val="17"/>
          <w:color w:val="auto"/>
        </w:rPr>
        <w:t>Exhibit K</w:t>
      </w:r>
      <w:r>
        <w:rPr>
          <w:sz w:val="20"/>
          <w:szCs w:val="20"/>
          <w:color w:val="auto"/>
        </w:rPr>
        <w:tab/>
      </w:r>
      <w:r>
        <w:rPr>
          <w:rFonts w:ascii="Arial" w:cs="Arial" w:eastAsia="Arial" w:hAnsi="Arial"/>
          <w:sz w:val="16"/>
          <w:szCs w:val="16"/>
          <w:color w:val="auto"/>
        </w:rPr>
        <w:t>Form of Notice of Borrowing or Continuation or Conversion</w:t>
      </w:r>
    </w:p>
    <w:p>
      <w:pPr>
        <w:spacing w:after="0" w:line="233" w:lineRule="auto"/>
        <w:tabs>
          <w:tab w:leader="none" w:pos="800" w:val="left"/>
        </w:tabs>
        <w:rPr>
          <w:sz w:val="20"/>
          <w:szCs w:val="20"/>
          <w:color w:val="auto"/>
        </w:rPr>
      </w:pPr>
      <w:r>
        <w:rPr>
          <w:rFonts w:ascii="Arial" w:cs="Arial" w:eastAsia="Arial" w:hAnsi="Arial"/>
          <w:sz w:val="17"/>
          <w:szCs w:val="17"/>
          <w:color w:val="auto"/>
        </w:rPr>
        <w:t>Exhibit L</w:t>
      </w:r>
      <w:r>
        <w:rPr>
          <w:sz w:val="20"/>
          <w:szCs w:val="20"/>
          <w:color w:val="auto"/>
        </w:rPr>
        <w:tab/>
      </w:r>
      <w:r>
        <w:rPr>
          <w:rFonts w:ascii="Arial" w:cs="Arial" w:eastAsia="Arial" w:hAnsi="Arial"/>
          <w:sz w:val="15"/>
          <w:szCs w:val="15"/>
          <w:color w:val="auto"/>
        </w:rPr>
        <w:t>Form of Letter of Credit Request</w:t>
      </w:r>
    </w:p>
    <w:p>
      <w:pPr>
        <w:spacing w:after="0"/>
        <w:tabs>
          <w:tab w:leader="none" w:pos="860" w:val="left"/>
        </w:tabs>
        <w:rPr>
          <w:sz w:val="20"/>
          <w:szCs w:val="20"/>
          <w:color w:val="auto"/>
        </w:rPr>
      </w:pPr>
      <w:r>
        <w:rPr>
          <w:rFonts w:ascii="Arial" w:cs="Arial" w:eastAsia="Arial" w:hAnsi="Arial"/>
          <w:sz w:val="17"/>
          <w:szCs w:val="17"/>
          <w:color w:val="auto"/>
        </w:rPr>
        <w:t>Exhibit M</w:t>
      </w:r>
      <w:r>
        <w:rPr>
          <w:sz w:val="20"/>
          <w:szCs w:val="20"/>
          <w:color w:val="auto"/>
        </w:rPr>
        <w:tab/>
      </w:r>
      <w:r>
        <w:rPr>
          <w:rFonts w:ascii="Arial" w:cs="Arial" w:eastAsia="Arial" w:hAnsi="Arial"/>
          <w:sz w:val="15"/>
          <w:szCs w:val="15"/>
          <w:color w:val="auto"/>
        </w:rPr>
        <w:t>Form of Hedge Bank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139"/>
          </w:cols>
          <w:pgMar w:left="320" w:top="1440" w:right="1440" w:bottom="1440" w:gutter="0" w:footer="0" w:header="0"/>
        </w:sectPr>
      </w:pPr>
    </w:p>
    <w:bookmarkStart w:id="26" w:name="page27"/>
    <w:bookmarkEnd w:id="26"/>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CREDIT AGREEMENT</w:t>
      </w:r>
    </w:p>
    <w:p>
      <w:pPr>
        <w:spacing w:after="0" w:line="197" w:lineRule="exact"/>
        <w:rPr>
          <w:sz w:val="20"/>
          <w:szCs w:val="20"/>
          <w:color w:val="auto"/>
        </w:rPr>
      </w:pPr>
    </w:p>
    <w:p>
      <w:pPr>
        <w:ind w:right="280" w:firstLine="619"/>
        <w:spacing w:after="0" w:line="245" w:lineRule="auto"/>
        <w:rPr>
          <w:sz w:val="20"/>
          <w:szCs w:val="20"/>
          <w:color w:val="auto"/>
        </w:rPr>
      </w:pPr>
      <w:r>
        <w:rPr>
          <w:rFonts w:ascii="Arial" w:cs="Arial" w:eastAsia="Arial" w:hAnsi="Arial"/>
          <w:sz w:val="15"/>
          <w:szCs w:val="15"/>
          <w:color w:val="auto"/>
        </w:rPr>
        <w:t>SECOND AMENDED AND RESTATED CREDIT AGREEMENT, dated as of June 13, 2023 (as amended, amended and restated, supplemented or otherwise modified from time to time), among NAUTILUS ACQUISITION HOLDINGS, INC., a Delaware corporation (“</w:t>
      </w:r>
      <w:r>
        <w:rPr>
          <w:rFonts w:ascii="Arial" w:cs="Arial" w:eastAsia="Arial" w:hAnsi="Arial"/>
          <w:sz w:val="15"/>
          <w:szCs w:val="15"/>
          <w:b w:val="1"/>
          <w:bCs w:val="1"/>
          <w:color w:val="auto"/>
        </w:rPr>
        <w:t>Holdings</w:t>
      </w:r>
      <w:r>
        <w:rPr>
          <w:rFonts w:ascii="Arial" w:cs="Arial" w:eastAsia="Arial" w:hAnsi="Arial"/>
          <w:sz w:val="15"/>
          <w:szCs w:val="15"/>
          <w:color w:val="auto"/>
        </w:rPr>
        <w:t>”), National Vision, Inc., a Georgia corporation (the “</w:t>
      </w:r>
      <w:r>
        <w:rPr>
          <w:rFonts w:ascii="Arial" w:cs="Arial" w:eastAsia="Arial" w:hAnsi="Arial"/>
          <w:sz w:val="15"/>
          <w:szCs w:val="15"/>
          <w:b w:val="1"/>
          <w:bCs w:val="1"/>
          <w:color w:val="auto"/>
        </w:rPr>
        <w:t>Borrower</w:t>
      </w:r>
      <w:r>
        <w:rPr>
          <w:rFonts w:ascii="Arial" w:cs="Arial" w:eastAsia="Arial" w:hAnsi="Arial"/>
          <w:sz w:val="15"/>
          <w:szCs w:val="15"/>
          <w:color w:val="auto"/>
        </w:rPr>
        <w:t>”), the lending institutions from time to time parties hereto (each a “</w:t>
      </w:r>
      <w:r>
        <w:rPr>
          <w:rFonts w:ascii="Arial" w:cs="Arial" w:eastAsia="Arial" w:hAnsi="Arial"/>
          <w:sz w:val="15"/>
          <w:szCs w:val="15"/>
          <w:b w:val="1"/>
          <w:bCs w:val="1"/>
          <w:color w:val="auto"/>
        </w:rPr>
        <w:t>Lender</w:t>
      </w:r>
      <w:r>
        <w:rPr>
          <w:rFonts w:ascii="Arial" w:cs="Arial" w:eastAsia="Arial" w:hAnsi="Arial"/>
          <w:sz w:val="15"/>
          <w:szCs w:val="15"/>
          <w:color w:val="auto"/>
        </w:rPr>
        <w:t>” and, collectively, together with the Swingline</w:t>
      </w:r>
    </w:p>
    <w:p>
      <w:pPr>
        <w:spacing w:after="0" w:line="1" w:lineRule="exact"/>
        <w:rPr>
          <w:sz w:val="20"/>
          <w:szCs w:val="20"/>
          <w:color w:val="auto"/>
        </w:rPr>
      </w:pPr>
    </w:p>
    <w:p>
      <w:pPr>
        <w:ind w:right="360"/>
        <w:spacing w:after="0" w:line="227" w:lineRule="auto"/>
        <w:rPr>
          <w:sz w:val="20"/>
          <w:szCs w:val="20"/>
          <w:color w:val="auto"/>
        </w:rPr>
      </w:pPr>
      <w:r>
        <w:rPr>
          <w:rFonts w:ascii="Arial" w:cs="Arial" w:eastAsia="Arial" w:hAnsi="Arial"/>
          <w:sz w:val="17"/>
          <w:szCs w:val="17"/>
          <w:color w:val="auto"/>
        </w:rPr>
        <w:t>Lender,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 BANK OF AMERICA, N.A., as the Swingline Lender, the Administrative Agent and the Collateral Agent (such terms and each other capitalized term used but not defined in this preamble having the meaning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and each Letter of Credit Issuer.</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WHEREAS, the Borrower, Holdings, certain lenders and Goldman Sachs Bank USA, in its capacity as administrative agent and collateral agent (in such</w:t>
      </w:r>
    </w:p>
    <w:p>
      <w:pPr>
        <w:spacing w:after="0" w:line="22" w:lineRule="exact"/>
        <w:rPr>
          <w:sz w:val="20"/>
          <w:szCs w:val="20"/>
          <w:color w:val="auto"/>
        </w:rPr>
      </w:pPr>
    </w:p>
    <w:p>
      <w:pPr>
        <w:ind w:right="140"/>
        <w:spacing w:after="0" w:line="220" w:lineRule="auto"/>
        <w:rPr>
          <w:sz w:val="20"/>
          <w:szCs w:val="20"/>
          <w:color w:val="auto"/>
        </w:rPr>
      </w:pPr>
      <w:r>
        <w:rPr>
          <w:rFonts w:ascii="Arial" w:cs="Arial" w:eastAsia="Arial" w:hAnsi="Arial"/>
          <w:sz w:val="17"/>
          <w:szCs w:val="17"/>
          <w:color w:val="auto"/>
        </w:rPr>
        <w:t>capacities, the “</w:t>
      </w:r>
      <w:r>
        <w:rPr>
          <w:rFonts w:ascii="Arial" w:cs="Arial" w:eastAsia="Arial" w:hAnsi="Arial"/>
          <w:sz w:val="17"/>
          <w:szCs w:val="17"/>
          <w:b w:val="1"/>
          <w:bCs w:val="1"/>
          <w:color w:val="auto"/>
        </w:rPr>
        <w:t>Former Agent</w:t>
      </w:r>
      <w:r>
        <w:rPr>
          <w:rFonts w:ascii="Arial" w:cs="Arial" w:eastAsia="Arial" w:hAnsi="Arial"/>
          <w:sz w:val="17"/>
          <w:szCs w:val="17"/>
          <w:color w:val="auto"/>
        </w:rPr>
        <w:t>”), entered into that certain First Lien Credit Agreement dated as of March 13, 2014 (the “</w:t>
      </w:r>
      <w:r>
        <w:rPr>
          <w:rFonts w:ascii="Arial" w:cs="Arial" w:eastAsia="Arial" w:hAnsi="Arial"/>
          <w:sz w:val="17"/>
          <w:szCs w:val="17"/>
          <w:b w:val="1"/>
          <w:bCs w:val="1"/>
          <w:color w:val="auto"/>
        </w:rPr>
        <w:t>Original Credit Agreement</w:t>
      </w:r>
      <w:r>
        <w:rPr>
          <w:rFonts w:ascii="Arial" w:cs="Arial" w:eastAsia="Arial" w:hAnsi="Arial"/>
          <w:sz w:val="17"/>
          <w:szCs w:val="17"/>
          <w:color w:val="auto"/>
        </w:rPr>
        <w:t>” and, the Original Credit Agreement, as amended and restated on the Restatement Effective Date, and as further amended, supplemented or otherwise modified prior to the Second Restatement Effective Date, the “</w:t>
      </w:r>
      <w:r>
        <w:rPr>
          <w:rFonts w:ascii="Arial" w:cs="Arial" w:eastAsia="Arial" w:hAnsi="Arial"/>
          <w:sz w:val="17"/>
          <w:szCs w:val="17"/>
          <w:b w:val="1"/>
          <w:bCs w:val="1"/>
          <w:color w:val="auto"/>
        </w:rPr>
        <w:t>Existing Credit Agreement</w:t>
      </w:r>
      <w:r>
        <w:rPr>
          <w:rFonts w:ascii="Arial" w:cs="Arial" w:eastAsia="Arial" w:hAnsi="Arial"/>
          <w:sz w:val="17"/>
          <w:szCs w:val="17"/>
          <w:color w:val="auto"/>
        </w:rPr>
        <w:t>”);</w:t>
      </w:r>
    </w:p>
    <w:p>
      <w:pPr>
        <w:spacing w:after="0" w:line="170" w:lineRule="exact"/>
        <w:rPr>
          <w:sz w:val="20"/>
          <w:szCs w:val="20"/>
          <w:color w:val="auto"/>
        </w:rPr>
      </w:pPr>
    </w:p>
    <w:p>
      <w:pPr>
        <w:ind w:right="40" w:firstLine="619"/>
        <w:spacing w:after="0" w:line="245" w:lineRule="auto"/>
        <w:rPr>
          <w:sz w:val="20"/>
          <w:szCs w:val="20"/>
          <w:color w:val="auto"/>
        </w:rPr>
      </w:pPr>
      <w:r>
        <w:rPr>
          <w:rFonts w:ascii="Arial" w:cs="Arial" w:eastAsia="Arial" w:hAnsi="Arial"/>
          <w:sz w:val="15"/>
          <w:szCs w:val="15"/>
          <w:color w:val="auto"/>
        </w:rPr>
        <w:t>WHEREAS, pursuant to the Second Restatement Agreement (as defined below), the Borrower has requested that the Required Lenders amend and restate the Existing Credit Agreement and that the Lenders provide new Term A Loans in an aggregate principal amount of up to $150,000,000 and a new Revolving Credit Facility in an aggregate principal amount of up to $300,000,000, the proceeds of which are to be used (i) to redeem, defease, refinance or repay certain</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17"/>
          <w:szCs w:val="17"/>
          <w:color w:val="auto"/>
        </w:rPr>
        <w:t>existing indebtedness of the Borrower and its Subsidiaries, including all amounts outstanding (other than contingent obligations) under the Existing Credit Agreement immediately prior to the Second Restatement Effective Date (the “</w:t>
      </w:r>
      <w:r>
        <w:rPr>
          <w:rFonts w:ascii="Arial" w:cs="Arial" w:eastAsia="Arial" w:hAnsi="Arial"/>
          <w:sz w:val="17"/>
          <w:szCs w:val="17"/>
          <w:b w:val="1"/>
          <w:bCs w:val="1"/>
          <w:color w:val="auto"/>
        </w:rPr>
        <w:t>Second Restatement Date Refinancing</w:t>
      </w:r>
      <w:r>
        <w:rPr>
          <w:rFonts w:ascii="Arial" w:cs="Arial" w:eastAsia="Arial" w:hAnsi="Arial"/>
          <w:sz w:val="17"/>
          <w:szCs w:val="17"/>
          <w:color w:val="auto"/>
        </w:rPr>
        <w:t>”), (ii) to pay fees and expenses incurred in connection with the Transactions (as defined below) and (iii) for general corporate purposes;</w:t>
      </w:r>
    </w:p>
    <w:p>
      <w:pPr>
        <w:spacing w:after="0" w:line="170" w:lineRule="exact"/>
        <w:rPr>
          <w:sz w:val="20"/>
          <w:szCs w:val="20"/>
          <w:color w:val="auto"/>
        </w:rPr>
      </w:pPr>
    </w:p>
    <w:p>
      <w:pPr>
        <w:ind w:right="20" w:firstLine="619"/>
        <w:spacing w:after="0" w:line="236" w:lineRule="auto"/>
        <w:rPr>
          <w:sz w:val="20"/>
          <w:szCs w:val="20"/>
          <w:color w:val="auto"/>
        </w:rPr>
      </w:pPr>
      <w:r>
        <w:rPr>
          <w:rFonts w:ascii="Arial" w:cs="Arial" w:eastAsia="Arial" w:hAnsi="Arial"/>
          <w:sz w:val="17"/>
          <w:szCs w:val="17"/>
          <w:color w:val="auto"/>
        </w:rPr>
        <w:t>WHEREAS, the Lenders and Letter of Credit Issuers are willing to make available to the Borrower such term loan and revolving credit and letter of credit facilities upon the terms and subject to the conditions set forth herein;</w:t>
      </w:r>
    </w:p>
    <w:p>
      <w:pPr>
        <w:spacing w:after="0" w:line="157"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5"/>
          <w:szCs w:val="15"/>
          <w:color w:val="auto"/>
        </w:rPr>
        <w:t>WHEREAS, the Lenders party to the Second Restatement Agreement have consented to the amendment and restatement of the Existing Credit Agreement and such Lenders are willing to provide the facilities described above, in each case, subject to terms and conditions set forth in the Second Restatement Agreement;</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it is the intent of the parties hereto that this Agreement amend and restate in its entirety the Existing Credit Agreement;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NOW, THEREFORE, in consideration of the premises and the covenants and agreements contained herein, the parties hereto hereby agree as follows:</w:t>
      </w:r>
    </w:p>
    <w:p>
      <w:pPr>
        <w:spacing w:after="0" w:line="21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Definitions</w:t>
      </w:r>
    </w:p>
    <w:p>
      <w:pPr>
        <w:spacing w:after="0" w:line="178" w:lineRule="exact"/>
        <w:rPr>
          <w:sz w:val="20"/>
          <w:szCs w:val="20"/>
          <w:color w:val="auto"/>
        </w:rPr>
      </w:pPr>
    </w:p>
    <w:p>
      <w:pPr>
        <w:ind w:right="40" w:firstLine="619"/>
        <w:spacing w:after="0" w:line="236"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As used herein, the following terms shall have the meanings specified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unless the context otherwise requires (it being understood that defined terms in this Agreement shall include in the singular number the plural and in the plural the singular):</w:t>
      </w:r>
    </w:p>
    <w:p>
      <w:pPr>
        <w:spacing w:after="0" w:line="164" w:lineRule="exact"/>
        <w:rPr>
          <w:sz w:val="20"/>
          <w:szCs w:val="20"/>
          <w:color w:val="auto"/>
        </w:rPr>
      </w:pPr>
    </w:p>
    <w:p>
      <w:pPr>
        <w:ind w:right="16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ABR</w:t>
      </w:r>
      <w:r>
        <w:rPr>
          <w:rFonts w:ascii="Arial" w:cs="Arial" w:eastAsia="Arial" w:hAnsi="Arial"/>
          <w:sz w:val="15"/>
          <w:szCs w:val="15"/>
          <w:color w:val="auto"/>
        </w:rPr>
        <w:t xml:space="preserve">” shall mean for any day a fluctuating rate per annum equal to the highest of (i) the Federal Funds Effective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clause (b) of the definition of “Term SOFR” </w:t>
      </w:r>
      <w:r>
        <w:rPr>
          <w:rFonts w:ascii="Arial" w:cs="Arial" w:eastAsia="Arial" w:hAnsi="Arial"/>
          <w:sz w:val="15"/>
          <w:szCs w:val="15"/>
          <w:i w:val="1"/>
          <w:iCs w:val="1"/>
          <w:color w:val="auto"/>
        </w:rPr>
        <w:t>plus</w:t>
      </w:r>
      <w:r>
        <w:rPr>
          <w:rFonts w:ascii="Arial" w:cs="Arial" w:eastAsia="Arial" w:hAnsi="Arial"/>
          <w:sz w:val="15"/>
          <w:szCs w:val="15"/>
          <w:color w:val="auto"/>
        </w:rPr>
        <w:t xml:space="preserve"> 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in no</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event shall the ABR at any time be less than 1.00% per annum.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w:t>
      </w:r>
    </w:p>
    <w:p>
      <w:pPr>
        <w:ind w:right="120"/>
        <w:spacing w:after="0" w:line="220" w:lineRule="auto"/>
        <w:rPr>
          <w:sz w:val="20"/>
          <w:szCs w:val="20"/>
          <w:color w:val="auto"/>
        </w:rPr>
      </w:pPr>
      <w:r>
        <w:rPr>
          <w:rFonts w:ascii="Arial" w:cs="Arial" w:eastAsia="Arial" w:hAnsi="Arial"/>
          <w:sz w:val="17"/>
          <w:szCs w:val="17"/>
          <w:color w:val="auto"/>
        </w:rPr>
        <w:t xml:space="preserve">specified in the public announcement of such change. If the ABR is being used as an alternate rate of interest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hereof, then the ABR shall, subject to the proviso in the first sentence of this definition, be the greater of clauses (i) and (ii) above and shall be determined without reference to clause (iii) above.</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 Loan</w:t>
      </w:r>
      <w:r>
        <w:rPr>
          <w:rFonts w:ascii="Arial" w:cs="Arial" w:eastAsia="Arial" w:hAnsi="Arial"/>
          <w:sz w:val="17"/>
          <w:szCs w:val="17"/>
          <w:color w:val="auto"/>
        </w:rPr>
        <w:t>” shall mean each Loan bearing interest based on the ABR.</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EBITDA</w:t>
      </w:r>
      <w:r>
        <w:rPr>
          <w:rFonts w:ascii="Arial" w:cs="Arial" w:eastAsia="Arial" w:hAnsi="Arial"/>
          <w:sz w:val="16"/>
          <w:szCs w:val="16"/>
          <w:color w:val="auto"/>
        </w:rPr>
        <w:t>” shall mean, with respect to any Acquired Entity or Business or any Converted Restricted Subsidiary (any of the foregoing, a “</w:t>
      </w:r>
      <w:r>
        <w:rPr>
          <w:rFonts w:ascii="Arial" w:cs="Arial" w:eastAsia="Arial" w:hAnsi="Arial"/>
          <w:sz w:val="16"/>
          <w:szCs w:val="16"/>
          <w:b w:val="1"/>
          <w:bCs w:val="1"/>
          <w:color w:val="auto"/>
        </w:rPr>
        <w:t>Pro</w:t>
      </w:r>
    </w:p>
    <w:p>
      <w:pPr>
        <w:spacing w:after="0" w:line="17"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b w:val="1"/>
          <w:bCs w:val="1"/>
          <w:color w:val="auto"/>
        </w:rPr>
        <w:t>Forma Entity</w:t>
      </w:r>
      <w:r>
        <w:rPr>
          <w:rFonts w:ascii="Arial" w:cs="Arial" w:eastAsia="Arial" w:hAnsi="Arial"/>
          <w:sz w:val="17"/>
          <w:szCs w:val="17"/>
          <w:color w:val="auto"/>
        </w:rPr>
        <w:t>”) for any period, the amount for such period of Consolidated EBITDA of such Pro Forma Entity (determined using such definitions as if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to Holdings and the Restricted Subsidiaries therein were to such Pro Forma Entity and its Restricted Subsidiaries), all as determined on a consolidated basis for such Pro Forma Entity in accordance with GAAP.</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Entity or Business</w:t>
      </w:r>
      <w:r>
        <w:rPr>
          <w:rFonts w:ascii="Arial" w:cs="Arial" w:eastAsia="Arial" w:hAnsi="Arial"/>
          <w:sz w:val="17"/>
          <w:szCs w:val="17"/>
          <w:color w:val="auto"/>
        </w:rPr>
        <w:t>” shall have the meaning provided in the definition of “Consolidated EBITDA”.</w:t>
      </w:r>
    </w:p>
    <w:p>
      <w:pPr>
        <w:spacing w:after="0" w:line="178" w:lineRule="exact"/>
        <w:rPr>
          <w:sz w:val="20"/>
          <w:szCs w:val="20"/>
          <w:color w:val="auto"/>
        </w:rPr>
      </w:pPr>
    </w:p>
    <w:p>
      <w:pPr>
        <w:ind w:right="6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Acquired Indebtedness</w:t>
      </w:r>
      <w:r>
        <w:rPr>
          <w:rFonts w:ascii="Arial" w:cs="Arial" w:eastAsia="Arial" w:hAnsi="Arial"/>
          <w:sz w:val="15"/>
          <w:szCs w:val="15"/>
          <w:color w:val="auto"/>
        </w:rPr>
        <w:t>” shall mean, with respect to any specified Person, (i) Indebtedness of any other Person existing at the time such other Person is merged, consolidated, or amalgamated with or into or became a Restricted Subsidiary of such specified Person and (ii) Indebtedness secured by a Lien</w:t>
      </w:r>
    </w:p>
    <w:p>
      <w:pPr>
        <w:spacing w:after="0"/>
        <w:rPr>
          <w:sz w:val="20"/>
          <w:szCs w:val="20"/>
          <w:color w:val="auto"/>
        </w:rPr>
      </w:pPr>
      <w:r>
        <w:rPr>
          <w:rFonts w:ascii="Arial" w:cs="Arial" w:eastAsia="Arial" w:hAnsi="Arial"/>
          <w:sz w:val="17"/>
          <w:szCs w:val="17"/>
          <w:color w:val="auto"/>
        </w:rPr>
        <w:t>encumbering any asset acquired by such specified Person.</w:t>
      </w:r>
    </w:p>
    <w:p>
      <w:pPr>
        <w:spacing w:after="0" w:line="158" w:lineRule="exact"/>
        <w:rPr>
          <w:sz w:val="20"/>
          <w:szCs w:val="20"/>
          <w:color w:val="auto"/>
        </w:rPr>
      </w:pPr>
    </w:p>
    <w:p>
      <w:pPr>
        <w:ind w:right="1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Total Revolving Credit Commitment</w:t>
      </w:r>
      <w:r>
        <w:rPr>
          <w:rFonts w:ascii="Arial" w:cs="Arial" w:eastAsia="Arial" w:hAnsi="Arial"/>
          <w:sz w:val="17"/>
          <w:szCs w:val="17"/>
          <w:color w:val="auto"/>
        </w:rPr>
        <w:t>” shall mean at any time the Total Revolving Credit Commitment less the aggregate Revolving Credit Commitments of all Defaulting Lenders.</w:t>
      </w:r>
    </w:p>
    <w:p>
      <w:pPr>
        <w:spacing w:after="0" w:line="165" w:lineRule="exact"/>
        <w:rPr>
          <w:sz w:val="20"/>
          <w:szCs w:val="20"/>
          <w:color w:val="auto"/>
        </w:rPr>
      </w:pPr>
    </w:p>
    <w:p>
      <w:pPr>
        <w:ind w:right="3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Total Term A Loan Commitment</w:t>
      </w:r>
      <w:r>
        <w:rPr>
          <w:rFonts w:ascii="Arial" w:cs="Arial" w:eastAsia="Arial" w:hAnsi="Arial"/>
          <w:sz w:val="17"/>
          <w:szCs w:val="17"/>
          <w:color w:val="auto"/>
        </w:rPr>
        <w:t>” shall mean at any time the Total Term A Loan Commitment less the Term A Loan Commitments of all Defaulting Lenders.</w:t>
      </w:r>
    </w:p>
    <w:p>
      <w:pPr>
        <w:spacing w:after="0" w:line="152" w:lineRule="exact"/>
        <w:rPr>
          <w:sz w:val="20"/>
          <w:szCs w:val="20"/>
          <w:color w:val="auto"/>
        </w:rPr>
      </w:pPr>
    </w:p>
    <w:p>
      <w:pPr>
        <w:ind w:right="74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Total Term Loan Commitment</w:t>
      </w:r>
      <w:r>
        <w:rPr>
          <w:rFonts w:ascii="Arial" w:cs="Arial" w:eastAsia="Arial" w:hAnsi="Arial"/>
          <w:sz w:val="17"/>
          <w:szCs w:val="17"/>
          <w:color w:val="auto"/>
        </w:rPr>
        <w:t>” shall mean at any time the Total Term Loan Commitment less the Term Loan Commitments of all Defaulting Lenders.</w:t>
      </w:r>
    </w:p>
    <w:p>
      <w:pPr>
        <w:spacing w:after="0" w:line="139" w:lineRule="exact"/>
        <w:rPr>
          <w:sz w:val="20"/>
          <w:szCs w:val="20"/>
          <w:color w:val="auto"/>
        </w:rPr>
      </w:pPr>
    </w:p>
    <w:p>
      <w:pPr>
        <w:ind w:right="3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Administrative Agent</w:t>
      </w:r>
      <w:r>
        <w:rPr>
          <w:rFonts w:ascii="Arial" w:cs="Arial" w:eastAsia="Arial" w:hAnsi="Arial"/>
          <w:sz w:val="15"/>
          <w:szCs w:val="15"/>
          <w:color w:val="auto"/>
        </w:rPr>
        <w:t xml:space="preserve">” shall mean Bank of America, N.A., as the administrative agent for the Lenders under this Agreement and the other Credit Documents, or any successor administrative agent pursuant to </w:t>
      </w:r>
      <w:r>
        <w:rPr>
          <w:rFonts w:ascii="Arial" w:cs="Arial" w:eastAsia="Arial" w:hAnsi="Arial"/>
          <w:sz w:val="15"/>
          <w:szCs w:val="15"/>
          <w:u w:val="single" w:color="auto"/>
          <w:color w:val="auto"/>
        </w:rPr>
        <w:t>Section 12.9</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matters relating to the Original Credit Agreement or</w:t>
      </w:r>
    </w:p>
    <w:p>
      <w:pPr>
        <w:spacing w:after="0"/>
        <w:rPr>
          <w:sz w:val="20"/>
          <w:szCs w:val="20"/>
          <w:color w:val="auto"/>
        </w:rPr>
      </w:pPr>
      <w:r>
        <w:rPr>
          <w:rFonts w:ascii="Arial" w:cs="Arial" w:eastAsia="Arial" w:hAnsi="Arial"/>
          <w:sz w:val="17"/>
          <w:szCs w:val="17"/>
          <w:color w:val="auto"/>
        </w:rPr>
        <w:t>periods prior to the Restatement Effective Date, such term shall refer to the Former Agent.</w:t>
      </w:r>
    </w:p>
    <w:p>
      <w:pPr>
        <w:spacing w:after="0" w:line="158" w:lineRule="exact"/>
        <w:rPr>
          <w:sz w:val="20"/>
          <w:szCs w:val="20"/>
          <w:color w:val="auto"/>
        </w:rPr>
      </w:pPr>
    </w:p>
    <w:p>
      <w:pPr>
        <w:ind w:right="1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Agent’s Office</w:t>
      </w:r>
      <w:r>
        <w:rPr>
          <w:rFonts w:ascii="Arial" w:cs="Arial" w:eastAsia="Arial" w:hAnsi="Arial"/>
          <w:sz w:val="17"/>
          <w:szCs w:val="17"/>
          <w:color w:val="auto"/>
        </w:rPr>
        <w:t xml:space="preserve">” shall mean the Administrative Agent’s address and, as appropriate, account as set forth on </w:t>
      </w:r>
      <w:r>
        <w:rPr>
          <w:rFonts w:ascii="Arial" w:cs="Arial" w:eastAsia="Arial" w:hAnsi="Arial"/>
          <w:sz w:val="17"/>
          <w:szCs w:val="17"/>
          <w:u w:val="single" w:color="auto"/>
          <w:color w:val="auto"/>
        </w:rPr>
        <w:t>Schedule 13.2</w:t>
      </w:r>
      <w:r>
        <w:rPr>
          <w:rFonts w:ascii="Arial" w:cs="Arial" w:eastAsia="Arial" w:hAnsi="Arial"/>
          <w:sz w:val="17"/>
          <w:szCs w:val="17"/>
          <w:color w:val="auto"/>
        </w:rPr>
        <w:t xml:space="preserve"> or such other address or account as the Administrative Agent may from time to time notify the Borrower and the Lenders.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13.6(b)(ii)(D)</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Affected Financial Institution</w:t>
      </w:r>
      <w:r>
        <w:rPr>
          <w:rFonts w:ascii="Arial" w:cs="Arial" w:eastAsia="Arial" w:hAnsi="Arial"/>
          <w:sz w:val="17"/>
          <w:szCs w:val="17"/>
          <w:color w:val="auto"/>
        </w:rPr>
        <w:t>” shall mean (a) any EEA Financial Institution or (b) any UK Financial Institution.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any Person, any other Person directly or indirectly controlling, controlled by, or under direct or indirect common</w:t>
      </w:r>
    </w:p>
    <w:p>
      <w:pPr>
        <w:spacing w:after="0" w:line="17" w:lineRule="exact"/>
        <w:rPr>
          <w:sz w:val="20"/>
          <w:szCs w:val="20"/>
          <w:color w:val="auto"/>
        </w:rPr>
      </w:pPr>
    </w:p>
    <w:p>
      <w:pPr>
        <w:ind w:right="440"/>
        <w:spacing w:after="0" w:line="243" w:lineRule="auto"/>
        <w:rPr>
          <w:sz w:val="20"/>
          <w:szCs w:val="20"/>
          <w:color w:val="auto"/>
        </w:rPr>
      </w:pPr>
      <w:r>
        <w:rPr>
          <w:rFonts w:ascii="Arial" w:cs="Arial" w:eastAsia="Arial" w:hAnsi="Arial"/>
          <w:sz w:val="16"/>
          <w:szCs w:val="16"/>
          <w:color w:val="auto"/>
        </w:rPr>
        <w:t>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13.17(b)</w:t>
      </w:r>
      <w:r>
        <w:rPr>
          <w:rFonts w:ascii="Arial" w:cs="Arial" w:eastAsia="Arial" w:hAnsi="Arial"/>
          <w:sz w:val="17"/>
          <w:szCs w:val="17"/>
          <w:color w:val="auto"/>
        </w:rPr>
        <w:t>.</w:t>
      </w:r>
    </w:p>
    <w:p>
      <w:pPr>
        <w:spacing w:after="0" w:line="191" w:lineRule="exact"/>
        <w:rPr>
          <w:sz w:val="20"/>
          <w:szCs w:val="20"/>
          <w:color w:val="auto"/>
        </w:rPr>
      </w:pPr>
    </w:p>
    <w:p>
      <w:pPr>
        <w:ind w:right="3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Agents</w:t>
      </w:r>
      <w:r>
        <w:rPr>
          <w:rFonts w:ascii="Arial" w:cs="Arial" w:eastAsia="Arial" w:hAnsi="Arial"/>
          <w:sz w:val="17"/>
          <w:szCs w:val="17"/>
          <w:color w:val="auto"/>
        </w:rPr>
        <w:t>” shall mean the Administrative Agent, the Collateral Agent and each Syndication Agent, Documentation Agent and Joint Lead Arranger and Bookrunner.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shall mean this Credit Agreement.</w:t>
      </w:r>
    </w:p>
    <w:p>
      <w:pPr>
        <w:spacing w:after="0" w:line="191" w:lineRule="exact"/>
        <w:rPr>
          <w:sz w:val="20"/>
          <w:szCs w:val="20"/>
          <w:color w:val="auto"/>
        </w:rPr>
      </w:pPr>
    </w:p>
    <w:p>
      <w:pPr>
        <w:ind w:right="4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Anti-Corruption Laws</w:t>
      </w:r>
      <w:r>
        <w:rPr>
          <w:rFonts w:ascii="Arial" w:cs="Arial" w:eastAsia="Arial" w:hAnsi="Arial"/>
          <w:sz w:val="17"/>
          <w:szCs w:val="17"/>
          <w:color w:val="auto"/>
        </w:rPr>
        <w:t>” shall mean all laws, rules, and regulations of any jurisdiction applicable to the Borrower or any of its Subsidiaries from time to time concerning or relating to bribery, money laundering or corruption, including the United States Foreign Corrupt Practices Act of 1977, as amended, and the rules and regulations promulgated thereunder.</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Margin</w:t>
      </w:r>
      <w:r>
        <w:rPr>
          <w:rFonts w:ascii="Arial" w:cs="Arial" w:eastAsia="Arial" w:hAnsi="Arial"/>
          <w:sz w:val="17"/>
          <w:szCs w:val="17"/>
          <w:color w:val="auto"/>
        </w:rPr>
        <w:t>” shall mean a percentage per annum equal to:</w:t>
      </w:r>
    </w:p>
    <w:p>
      <w:pPr>
        <w:spacing w:after="0" w:line="184" w:lineRule="exact"/>
        <w:rPr>
          <w:sz w:val="20"/>
          <w:szCs w:val="20"/>
          <w:color w:val="auto"/>
        </w:rPr>
      </w:pPr>
    </w:p>
    <w:p>
      <w:pPr>
        <w:ind w:left="620" w:firstLine="621"/>
        <w:spacing w:after="0" w:line="236" w:lineRule="auto"/>
        <w:tabs>
          <w:tab w:leader="none" w:pos="164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until delivery of financial statements and a related Compliance Certificate for the period ending on September 30, 2023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w:t>
      </w:r>
      <w:r>
        <w:rPr>
          <w:rFonts w:ascii="Arial" w:cs="Arial" w:eastAsia="Arial" w:hAnsi="Arial"/>
          <w:sz w:val="17"/>
          <w:szCs w:val="17"/>
          <w:color w:val="auto"/>
        </w:rPr>
        <w:t>, (1) for Term SOFR Loans, 1.75%, (2) for ABR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Loans, 0.75%, (3) for Letter of Credit Fees, 1.75% per annum and (4) for Commitment Fees, 0.30% per annum and</w:t>
      </w:r>
    </w:p>
    <w:p>
      <w:pPr>
        <w:spacing w:after="0" w:line="191" w:lineRule="exact"/>
        <w:rPr>
          <w:sz w:val="20"/>
          <w:szCs w:val="20"/>
          <w:color w:val="auto"/>
        </w:rPr>
      </w:pPr>
    </w:p>
    <w:p>
      <w:pPr>
        <w:ind w:left="620" w:right="100" w:firstLine="621"/>
        <w:spacing w:after="0" w:line="236" w:lineRule="auto"/>
        <w:tabs>
          <w:tab w:leader="none" w:pos="165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thereafter, the percentages per annum set forth in the table below, based upon the Consolidated Total Debt to Consolidated EBITDA Ratio as set forth in the most recent Compliance Certificate received by the Administrative Agent pursuant to </w:t>
      </w:r>
      <w:r>
        <w:rPr>
          <w:rFonts w:ascii="Arial" w:cs="Arial" w:eastAsia="Arial" w:hAnsi="Arial"/>
          <w:sz w:val="17"/>
          <w:szCs w:val="17"/>
          <w:u w:val="single" w:color="auto"/>
          <w:color w:val="auto"/>
        </w:rPr>
        <w:t>Section 9.1:</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080" w:type="dxa"/>
            <w:vAlign w:val="bottom"/>
            <w:tcBorders>
              <w:top w:val="single" w:sz="8" w:color="auto"/>
              <w:left w:val="single" w:sz="8" w:color="auto"/>
              <w:right w:val="single" w:sz="8" w:color="auto"/>
            </w:tcBorders>
          </w:tcPr>
          <w:p>
            <w:pPr>
              <w:spacing w:after="0"/>
              <w:rPr>
                <w:sz w:val="22"/>
                <w:szCs w:val="22"/>
                <w:color w:val="auto"/>
              </w:rPr>
            </w:pP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Consolidated Total Debt</w:t>
            </w:r>
          </w:p>
        </w:tc>
        <w:tc>
          <w:tcPr>
            <w:tcW w:w="1260" w:type="dxa"/>
            <w:vAlign w:val="bottom"/>
            <w:tcBorders>
              <w:top w:val="single" w:sz="8" w:color="auto"/>
              <w:right w:val="single" w:sz="8" w:color="auto"/>
            </w:tcBorders>
          </w:tcPr>
          <w:p>
            <w:pPr>
              <w:spacing w:after="0"/>
              <w:rPr>
                <w:sz w:val="22"/>
                <w:szCs w:val="22"/>
                <w:color w:val="auto"/>
              </w:rPr>
            </w:pPr>
          </w:p>
        </w:tc>
        <w:tc>
          <w:tcPr>
            <w:tcW w:w="1740" w:type="dxa"/>
            <w:vAlign w:val="bottom"/>
            <w:tcBorders>
              <w:top w:val="single" w:sz="8" w:color="auto"/>
              <w:right w:val="single" w:sz="8" w:color="auto"/>
            </w:tcBorders>
          </w:tcPr>
          <w:p>
            <w:pPr>
              <w:spacing w:after="0"/>
              <w:rPr>
                <w:sz w:val="22"/>
                <w:szCs w:val="22"/>
                <w:color w:val="auto"/>
              </w:rPr>
            </w:pPr>
          </w:p>
        </w:tc>
        <w:tc>
          <w:tcPr>
            <w:tcW w:w="2080" w:type="dxa"/>
            <w:vAlign w:val="bottom"/>
            <w:tcBorders>
              <w:top w:val="single" w:sz="8" w:color="auto"/>
              <w:right w:val="single" w:sz="8" w:color="auto"/>
            </w:tcBorders>
          </w:tcPr>
          <w:p>
            <w:pPr>
              <w:spacing w:after="0"/>
              <w:rPr>
                <w:sz w:val="22"/>
                <w:szCs w:val="22"/>
                <w:color w:val="auto"/>
              </w:rPr>
            </w:pPr>
          </w:p>
        </w:tc>
        <w:tc>
          <w:tcPr>
            <w:tcW w:w="2100" w:type="dxa"/>
            <w:vAlign w:val="bottom"/>
            <w:tcBorders>
              <w:top w:val="single" w:sz="8" w:color="auto"/>
              <w:right w:val="single" w:sz="8" w:color="auto"/>
            </w:tcBorders>
          </w:tcPr>
          <w:p>
            <w:pPr>
              <w:spacing w:after="0"/>
              <w:rPr>
                <w:sz w:val="22"/>
                <w:szCs w:val="22"/>
                <w:color w:val="auto"/>
              </w:rPr>
            </w:pPr>
          </w:p>
        </w:tc>
      </w:tr>
      <w:tr>
        <w:trPr>
          <w:trHeight w:val="23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Pricing</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to Consolidated EBITDA</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Letter of</w:t>
            </w:r>
          </w:p>
        </w:tc>
        <w:tc>
          <w:tcPr>
            <w:tcW w:w="174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23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Level</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Ratio</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Credit Fees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ABR Loans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Term SOFR Loans</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Commitment Fee Rate</w:t>
            </w:r>
          </w:p>
        </w:tc>
      </w:tr>
      <w:tr>
        <w:trPr>
          <w:trHeight w:val="40"/>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6"/>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&gt; 2.50:1.00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2.25%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1.25%</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2.25%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0.35%</w:t>
            </w: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6"/>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II</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 2.50:1.00 but &gt;1.75:1.00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2.00%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0.35%</w:t>
            </w:r>
          </w:p>
        </w:tc>
      </w:tr>
      <w:tr>
        <w:trPr>
          <w:trHeight w:val="40"/>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6"/>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III</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 1.75:1:00 but &gt;0.75:1.00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1.75%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0.75%</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0.30%</w:t>
            </w:r>
          </w:p>
        </w:tc>
      </w:tr>
      <w:tr>
        <w:trPr>
          <w:trHeight w:val="40"/>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36"/>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 0.75:1:00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1.50%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0.50%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1.50%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0.25%</w:t>
            </w: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297" w:lineRule="exact"/>
        <w:rPr>
          <w:sz w:val="20"/>
          <w:szCs w:val="20"/>
          <w:color w:val="auto"/>
        </w:rPr>
      </w:pPr>
    </w:p>
    <w:p>
      <w:pPr>
        <w:ind w:right="160" w:firstLine="619"/>
        <w:spacing w:after="0" w:line="236" w:lineRule="auto"/>
        <w:rPr>
          <w:sz w:val="20"/>
          <w:szCs w:val="20"/>
          <w:color w:val="auto"/>
        </w:rPr>
      </w:pPr>
      <w:r>
        <w:rPr>
          <w:rFonts w:ascii="Arial" w:cs="Arial" w:eastAsia="Arial" w:hAnsi="Arial"/>
          <w:sz w:val="17"/>
          <w:szCs w:val="17"/>
          <w:color w:val="auto"/>
        </w:rPr>
        <w:t xml:space="preserve">Any increase or decrease in the Applicable Margin resulting from a change in the Consolidated Total Debt to Consolidated EBITDA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w:t>
      </w:r>
    </w:p>
    <w:p>
      <w:pPr>
        <w:spacing w:after="0" w:line="170" w:lineRule="exact"/>
        <w:rPr>
          <w:sz w:val="20"/>
          <w:szCs w:val="20"/>
          <w:color w:val="auto"/>
        </w:rPr>
      </w:pPr>
    </w:p>
    <w:p>
      <w:pPr>
        <w:ind w:right="60" w:firstLine="619"/>
        <w:spacing w:after="0" w:line="245" w:lineRule="auto"/>
        <w:rPr>
          <w:sz w:val="20"/>
          <w:szCs w:val="20"/>
          <w:color w:val="auto"/>
        </w:rPr>
      </w:pPr>
      <w:r>
        <w:rPr>
          <w:rFonts w:ascii="Arial" w:cs="Arial" w:eastAsia="Arial" w:hAnsi="Arial"/>
          <w:sz w:val="15"/>
          <w:szCs w:val="15"/>
          <w:color w:val="auto"/>
        </w:rPr>
        <w:t>Notwithstanding the foregoing, (a) the Applicable Margin in respect of any Class of Extended Revolving Credit Commitments or any Extended Term Loans or Revolving Credit Loans made pursuant to any Extended Revolving Credit Commitments shall be the applicable percentages per annum set forth in the relevant Extension Amendment, (b) the Applicable Margin in respect of any Class of Incremental Loans, shall be the applicable percentages per annum set forth in</w:t>
      </w:r>
    </w:p>
    <w:p>
      <w:pPr>
        <w:spacing w:after="0" w:line="1" w:lineRule="exact"/>
        <w:rPr>
          <w:sz w:val="20"/>
          <w:szCs w:val="20"/>
          <w:color w:val="auto"/>
        </w:rPr>
      </w:pPr>
    </w:p>
    <w:p>
      <w:pPr>
        <w:ind w:right="180"/>
        <w:spacing w:after="0" w:line="227" w:lineRule="auto"/>
        <w:rPr>
          <w:sz w:val="20"/>
          <w:szCs w:val="20"/>
          <w:color w:val="auto"/>
        </w:rPr>
      </w:pPr>
      <w:r>
        <w:rPr>
          <w:rFonts w:ascii="Arial" w:cs="Arial" w:eastAsia="Arial" w:hAnsi="Arial"/>
          <w:sz w:val="17"/>
          <w:szCs w:val="17"/>
          <w:color w:val="auto"/>
        </w:rPr>
        <w:t>the relevant Joinder Agreement and (c) the Applicable Margin in respect of any Class of Replacement Term Loans shall be the applicable percentages per annum set forth in the relevant agreement.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Notwithstanding anything to the contrary contained above in this definition or elsewhere in this Agreement, if it is subsequently determined that any</w:t>
      </w:r>
    </w:p>
    <w:p>
      <w:pPr>
        <w:spacing w:after="0" w:line="11"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Consolidated Total Debt to Consolidated EBITDA Ratio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such Consolidated Total Debt to Consolidated EBITDA Ratio been accurately determined, then, for all purposes of this Agreement, the Applicable</w:t>
      </w:r>
    </w:p>
    <w:p>
      <w:pPr>
        <w:jc w:val="both"/>
        <w:ind w:right="80"/>
        <w:spacing w:after="0" w:line="239" w:lineRule="auto"/>
        <w:rPr>
          <w:sz w:val="20"/>
          <w:szCs w:val="20"/>
          <w:color w:val="auto"/>
        </w:rPr>
      </w:pPr>
      <w:r>
        <w:rPr>
          <w:rFonts w:ascii="Arial" w:cs="Arial" w:eastAsia="Arial" w:hAnsi="Arial"/>
          <w:sz w:val="15"/>
          <w:szCs w:val="15"/>
          <w:color w:val="auto"/>
        </w:rPr>
        <w:t>Margin for any day occurring within the period covered by such Compliance Certificate shall retroactively be deemed to be the relevant percentage as based upon the accurately determined Consolidated Total Debt to Consolidated EBITDA Ratio for such period, and any shortfall in the interest or fees theretofore paid by the Borrower for the relevant period as a result of the miscalculation of such Consolidated Total Debt to Consolidated EBITDA Ratio shall be deemed to be (and shall</w:t>
      </w:r>
    </w:p>
    <w:p>
      <w:pPr>
        <w:spacing w:after="0" w:line="233" w:lineRule="auto"/>
        <w:rPr>
          <w:sz w:val="20"/>
          <w:szCs w:val="20"/>
          <w:color w:val="auto"/>
        </w:rPr>
      </w:pPr>
      <w:r>
        <w:rPr>
          <w:rFonts w:ascii="Arial" w:cs="Arial" w:eastAsia="Arial" w:hAnsi="Arial"/>
          <w:sz w:val="15"/>
          <w:szCs w:val="15"/>
          <w:color w:val="auto"/>
        </w:rPr>
        <w:t xml:space="preserve">be) due and payable, at the time the interest or fees for such period were required to be 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so long as an Event of</w:t>
      </w:r>
    </w:p>
    <w:p>
      <w:pPr>
        <w:spacing w:after="0" w:line="233" w:lineRule="auto"/>
        <w:rPr>
          <w:sz w:val="20"/>
          <w:szCs w:val="20"/>
          <w:color w:val="auto"/>
        </w:rPr>
      </w:pPr>
      <w:r>
        <w:rPr>
          <w:rFonts w:ascii="Arial" w:cs="Arial" w:eastAsia="Arial" w:hAnsi="Arial"/>
          <w:sz w:val="15"/>
          <w:szCs w:val="15"/>
          <w:color w:val="auto"/>
        </w:rPr>
        <w:t xml:space="preserve">Default described in </w:t>
      </w:r>
      <w:r>
        <w:rPr>
          <w:rFonts w:ascii="Arial" w:cs="Arial" w:eastAsia="Arial" w:hAnsi="Arial"/>
          <w:sz w:val="15"/>
          <w:szCs w:val="15"/>
          <w:u w:val="single" w:color="auto"/>
          <w:color w:val="auto"/>
        </w:rPr>
        <w:t>Section 11.5</w:t>
      </w:r>
      <w:r>
        <w:rPr>
          <w:rFonts w:ascii="Arial" w:cs="Arial" w:eastAsia="Arial" w:hAnsi="Arial"/>
          <w:sz w:val="15"/>
          <w:szCs w:val="15"/>
          <w:color w:val="auto"/>
        </w:rPr>
        <w:t xml:space="preserve"> has not occurred with respect to the Borrower, such shortfall shall be due and payable within five Business Days following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written demand thereof by the Administrative Agent and no Default shall be deemed to have occurred as a result of such non-payment until the expiration of such</w:t>
      </w:r>
    </w:p>
    <w:p>
      <w:pPr>
        <w:spacing w:after="0" w:line="8" w:lineRule="exact"/>
        <w:rPr>
          <w:sz w:val="20"/>
          <w:szCs w:val="20"/>
          <w:color w:val="auto"/>
        </w:rPr>
      </w:pPr>
    </w:p>
    <w:p>
      <w:pPr>
        <w:jc w:val="both"/>
        <w:ind w:right="60"/>
        <w:spacing w:after="0" w:line="239" w:lineRule="auto"/>
        <w:rPr>
          <w:sz w:val="20"/>
          <w:szCs w:val="20"/>
          <w:color w:val="auto"/>
        </w:rPr>
      </w:pPr>
      <w:r>
        <w:rPr>
          <w:rFonts w:ascii="Arial" w:cs="Arial" w:eastAsia="Arial" w:hAnsi="Arial"/>
          <w:sz w:val="15"/>
          <w:szCs w:val="15"/>
          <w:color w:val="auto"/>
        </w:rPr>
        <w:t xml:space="preserve">five Business Day period. In addition, at the option of the Required Lenders, at any time during which the Borrower shall have failed to deliver any of the Section 9.1 Financials by the applicable date required under </w:t>
      </w:r>
      <w:r>
        <w:rPr>
          <w:rFonts w:ascii="Arial" w:cs="Arial" w:eastAsia="Arial" w:hAnsi="Arial"/>
          <w:sz w:val="15"/>
          <w:szCs w:val="15"/>
          <w:u w:val="single" w:color="auto"/>
          <w:color w:val="auto"/>
        </w:rPr>
        <w:t>Section 9.1</w:t>
      </w:r>
      <w:r>
        <w:rPr>
          <w:rFonts w:ascii="Arial" w:cs="Arial" w:eastAsia="Arial" w:hAnsi="Arial"/>
          <w:sz w:val="15"/>
          <w:szCs w:val="15"/>
          <w:color w:val="auto"/>
        </w:rPr>
        <w:t>, then the Consolidated Total Debt to Consolidated EBITDA Ratio shall be deemed to be in pricing level I for the purposes of determining the Applicable Margin (but only for so long as such failure continues, after which such ratio and pricing level shall be</w:t>
      </w:r>
    </w:p>
    <w:p>
      <w:pPr>
        <w:spacing w:after="0"/>
        <w:rPr>
          <w:sz w:val="20"/>
          <w:szCs w:val="20"/>
          <w:color w:val="auto"/>
        </w:rPr>
      </w:pPr>
      <w:r>
        <w:rPr>
          <w:rFonts w:ascii="Arial" w:cs="Arial" w:eastAsia="Arial" w:hAnsi="Arial"/>
          <w:sz w:val="17"/>
          <w:szCs w:val="17"/>
          <w:color w:val="auto"/>
        </w:rPr>
        <w:t>determined based on the then existing Consolidated Total Debt to Consolidated EBITDA Ratio.</w:t>
      </w:r>
    </w:p>
    <w:p>
      <w:pPr>
        <w:spacing w:after="0" w:line="158" w:lineRule="exact"/>
        <w:rPr>
          <w:sz w:val="20"/>
          <w:szCs w:val="20"/>
          <w:color w:val="auto"/>
        </w:rPr>
      </w:pPr>
    </w:p>
    <w:p>
      <w:pPr>
        <w:ind w:right="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shall mean any Fund that is administered or managed by (i) a Lender, (ii) an Affiliate of a Lender, or (iii) an entity or an Affiliate of an entity that administers, advises or manages a Lender.</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shall mean:</w:t>
      </w:r>
    </w:p>
    <w:p>
      <w:pPr>
        <w:spacing w:after="0" w:line="184" w:lineRule="exact"/>
        <w:rPr>
          <w:sz w:val="20"/>
          <w:szCs w:val="20"/>
          <w:color w:val="auto"/>
        </w:rPr>
      </w:pPr>
    </w:p>
    <w:p>
      <w:pPr>
        <w:ind w:left="620" w:right="700" w:firstLine="174"/>
        <w:spacing w:after="0" w:line="236" w:lineRule="auto"/>
        <w:tabs>
          <w:tab w:leader="none" w:pos="112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conveyance, transfer, or other disposition, whether in a single transaction or a series of related transactions, of property or assets (including by way of a Sale Leaseback) (each a “</w:t>
      </w:r>
      <w:r>
        <w:rPr>
          <w:rFonts w:ascii="Arial" w:cs="Arial" w:eastAsia="Arial" w:hAnsi="Arial"/>
          <w:sz w:val="17"/>
          <w:szCs w:val="17"/>
          <w:b w:val="1"/>
          <w:bCs w:val="1"/>
          <w:color w:val="auto"/>
        </w:rPr>
        <w:t>disposition</w:t>
      </w:r>
      <w:r>
        <w:rPr>
          <w:rFonts w:ascii="Arial" w:cs="Arial" w:eastAsia="Arial" w:hAnsi="Arial"/>
          <w:sz w:val="17"/>
          <w:szCs w:val="17"/>
          <w:color w:val="auto"/>
        </w:rPr>
        <w:t>”) of Holdings or any Restricted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06" w:lineRule="exact"/>
        <w:rPr>
          <w:sz w:val="20"/>
          <w:szCs w:val="20"/>
          <w:color w:val="auto"/>
        </w:rPr>
      </w:pPr>
    </w:p>
    <w:p>
      <w:pPr>
        <w:ind w:left="-174" w:right="260" w:firstLine="174"/>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issuance or sale of Equity Interests of any Restricted Subsidiary (other than preferred stock of Restricted Subsidiaries issued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whether in a single transaction or a series of related transactions, in each case, other than:</w:t>
      </w:r>
    </w:p>
    <w:p>
      <w:pPr>
        <w:spacing w:after="0" w:line="150" w:lineRule="exact"/>
        <w:rPr>
          <w:rFonts w:ascii="Arial" w:cs="Arial" w:eastAsia="Arial" w:hAnsi="Arial"/>
          <w:sz w:val="17"/>
          <w:szCs w:val="17"/>
          <w:color w:val="auto"/>
        </w:rPr>
      </w:pPr>
    </w:p>
    <w:p>
      <w:pPr>
        <w:ind w:left="446" w:firstLine="620"/>
        <w:spacing w:after="0" w:line="224" w:lineRule="auto"/>
        <w:tabs>
          <w:tab w:leader="none" w:pos="142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 (including the disposition of optical goods to FirstSight);</w:t>
      </w:r>
    </w:p>
    <w:p>
      <w:pPr>
        <w:spacing w:after="0" w:line="159" w:lineRule="exact"/>
        <w:rPr>
          <w:rFonts w:ascii="Arial" w:cs="Arial" w:eastAsia="Arial" w:hAnsi="Arial"/>
          <w:sz w:val="17"/>
          <w:szCs w:val="17"/>
          <w:color w:val="auto"/>
        </w:rPr>
      </w:pPr>
    </w:p>
    <w:p>
      <w:pPr>
        <w:ind w:left="1446" w:hanging="380"/>
        <w:spacing w:after="0"/>
        <w:tabs>
          <w:tab w:leader="none" w:pos="1446" w:val="left"/>
        </w:tabs>
        <w:numPr>
          <w:ilvl w:val="1"/>
          <w:numId w:val="10"/>
        </w:numPr>
        <w:rPr>
          <w:rFonts w:ascii="Arial" w:cs="Arial" w:eastAsia="Arial" w:hAnsi="Arial"/>
          <w:sz w:val="15"/>
          <w:szCs w:val="15"/>
          <w:color w:val="auto"/>
        </w:rPr>
      </w:pPr>
      <w:r>
        <w:rPr>
          <w:rFonts w:ascii="Arial" w:cs="Arial" w:eastAsia="Arial" w:hAnsi="Arial"/>
          <w:sz w:val="15"/>
          <w:szCs w:val="15"/>
          <w:color w:val="auto"/>
        </w:rPr>
        <w:t xml:space="preserve">the disposition of all or substantially all of the assets of Holdings or the Borrower in a manner permitted pursuant to </w:t>
      </w:r>
      <w:r>
        <w:rPr>
          <w:rFonts w:ascii="Arial" w:cs="Arial" w:eastAsia="Arial" w:hAnsi="Arial"/>
          <w:sz w:val="15"/>
          <w:szCs w:val="15"/>
          <w:u w:val="single" w:color="auto"/>
          <w:color w:val="auto"/>
        </w:rPr>
        <w:t>Section 10.3</w:t>
      </w:r>
      <w:r>
        <w:rPr>
          <w:rFonts w:ascii="Arial" w:cs="Arial" w:eastAsia="Arial" w:hAnsi="Arial"/>
          <w:sz w:val="15"/>
          <w:szCs w:val="15"/>
          <w:color w:val="auto"/>
        </w:rPr>
        <w:t>;</w:t>
      </w:r>
    </w:p>
    <w:p>
      <w:pPr>
        <w:spacing w:after="0" w:line="214" w:lineRule="exact"/>
        <w:rPr>
          <w:rFonts w:ascii="Arial" w:cs="Arial" w:eastAsia="Arial" w:hAnsi="Arial"/>
          <w:sz w:val="15"/>
          <w:szCs w:val="15"/>
          <w:color w:val="auto"/>
        </w:rPr>
      </w:pPr>
    </w:p>
    <w:p>
      <w:pPr>
        <w:ind w:left="446" w:right="240" w:firstLine="620"/>
        <w:spacing w:after="0" w:line="226" w:lineRule="auto"/>
        <w:tabs>
          <w:tab w:leader="none" w:pos="1427"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the incurrence of Liens that are permitted to be incurred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or the making of any Restricted Payment or Permitted Investment (other than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thereof) that is permitted to be made, and is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446" w:right="640" w:firstLine="620"/>
        <w:spacing w:after="0" w:line="236" w:lineRule="auto"/>
        <w:tabs>
          <w:tab w:leader="none" w:pos="14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disposition of assets or issuance or sale of Equity Interests of any Restricted Subsidiary in any transaction or series of transactions with an aggregate Fair Market Value of less than $10,000,000;</w:t>
      </w:r>
    </w:p>
    <w:p>
      <w:pPr>
        <w:spacing w:after="0" w:line="157" w:lineRule="exact"/>
        <w:rPr>
          <w:rFonts w:ascii="Arial" w:cs="Arial" w:eastAsia="Arial" w:hAnsi="Arial"/>
          <w:sz w:val="17"/>
          <w:szCs w:val="17"/>
          <w:color w:val="auto"/>
        </w:rPr>
      </w:pPr>
    </w:p>
    <w:p>
      <w:pPr>
        <w:ind w:left="446" w:right="280" w:firstLine="620"/>
        <w:spacing w:after="0" w:line="248" w:lineRule="auto"/>
        <w:tabs>
          <w:tab w:leader="none" w:pos="142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disposition of property or assets or issuance of securities by (1) a Restricted Subsidiary to Holdings or (2) by Holdings or a Restricted Subsidiary to another Restricted Subsidiary;</w:t>
      </w:r>
    </w:p>
    <w:p>
      <w:pPr>
        <w:spacing w:after="0" w:line="150" w:lineRule="exact"/>
        <w:rPr>
          <w:rFonts w:ascii="Arial" w:cs="Arial" w:eastAsia="Arial" w:hAnsi="Arial"/>
          <w:sz w:val="17"/>
          <w:szCs w:val="17"/>
          <w:color w:val="auto"/>
        </w:rPr>
      </w:pPr>
    </w:p>
    <w:p>
      <w:pPr>
        <w:ind w:left="446" w:right="180" w:firstLine="620"/>
        <w:spacing w:after="0" w:line="236" w:lineRule="auto"/>
        <w:tabs>
          <w:tab w:leader="none" w:pos="1408"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the extent allowable under Section 1031 of the Code, or any comparable or successor provision, any exchange of like property (excluding any boot thereon) for use in a Similar Business;</w:t>
      </w:r>
    </w:p>
    <w:p>
      <w:pPr>
        <w:spacing w:after="0" w:line="169" w:lineRule="exact"/>
        <w:rPr>
          <w:rFonts w:ascii="Arial" w:cs="Arial" w:eastAsia="Arial" w:hAnsi="Arial"/>
          <w:sz w:val="17"/>
          <w:szCs w:val="17"/>
          <w:color w:val="auto"/>
        </w:rPr>
      </w:pPr>
    </w:p>
    <w:p>
      <w:pPr>
        <w:ind w:left="1446" w:hanging="380"/>
        <w:spacing w:after="0"/>
        <w:tabs>
          <w:tab w:leader="none" w:pos="1446"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issuance, sale or pledge of Equity Interests in, or Indebtedness, or other securities of, an Unrestricted Subsidiary;</w:t>
      </w:r>
    </w:p>
    <w:p>
      <w:pPr>
        <w:spacing w:after="0" w:line="178" w:lineRule="exact"/>
        <w:rPr>
          <w:rFonts w:ascii="Arial" w:cs="Arial" w:eastAsia="Arial" w:hAnsi="Arial"/>
          <w:sz w:val="17"/>
          <w:szCs w:val="17"/>
          <w:color w:val="auto"/>
        </w:rPr>
      </w:pPr>
    </w:p>
    <w:p>
      <w:pPr>
        <w:ind w:left="1446" w:hanging="380"/>
        <w:spacing w:after="0"/>
        <w:tabs>
          <w:tab w:leader="none" w:pos="1446" w:val="left"/>
        </w:tabs>
        <w:numPr>
          <w:ilvl w:val="1"/>
          <w:numId w:val="10"/>
        </w:numPr>
        <w:rPr>
          <w:rFonts w:ascii="Arial" w:cs="Arial" w:eastAsia="Arial" w:hAnsi="Arial"/>
          <w:sz w:val="17"/>
          <w:szCs w:val="17"/>
          <w:color w:val="auto"/>
        </w:rPr>
      </w:pPr>
      <w:r>
        <w:rPr>
          <w:rFonts w:ascii="Arial" w:cs="Arial" w:eastAsia="Arial" w:hAnsi="Arial"/>
          <w:sz w:val="17"/>
          <w:szCs w:val="17"/>
          <w:color w:val="auto"/>
        </w:rPr>
        <w:t>foreclosures, condemnation, casualty or any similar action on assets (including dispositions in connection therewith);</w:t>
      </w:r>
    </w:p>
    <w:p>
      <w:pPr>
        <w:spacing w:after="0" w:line="178" w:lineRule="exact"/>
        <w:rPr>
          <w:rFonts w:ascii="Arial" w:cs="Arial" w:eastAsia="Arial" w:hAnsi="Arial"/>
          <w:sz w:val="17"/>
          <w:szCs w:val="17"/>
          <w:color w:val="auto"/>
        </w:rPr>
      </w:pPr>
    </w:p>
    <w:p>
      <w:pPr>
        <w:ind w:left="1406" w:hanging="340"/>
        <w:spacing w:after="0"/>
        <w:tabs>
          <w:tab w:leader="none" w:pos="1406" w:val="left"/>
        </w:tabs>
        <w:numPr>
          <w:ilvl w:val="1"/>
          <w:numId w:val="10"/>
        </w:numPr>
        <w:rPr>
          <w:rFonts w:ascii="Arial" w:cs="Arial" w:eastAsia="Arial" w:hAnsi="Arial"/>
          <w:sz w:val="17"/>
          <w:szCs w:val="17"/>
          <w:color w:val="auto"/>
        </w:rPr>
      </w:pPr>
      <w:r>
        <w:rPr>
          <w:rFonts w:ascii="Arial" w:cs="Arial" w:eastAsia="Arial" w:hAnsi="Arial"/>
          <w:sz w:val="17"/>
          <w:szCs w:val="17"/>
          <w:color w:val="auto"/>
        </w:rPr>
        <w:t>sales of accounts receivable, or participations therein, and related assets in connection with any Receivables Facility;</w:t>
      </w:r>
    </w:p>
    <w:p>
      <w:pPr>
        <w:spacing w:after="0" w:line="191" w:lineRule="exact"/>
        <w:rPr>
          <w:rFonts w:ascii="Arial" w:cs="Arial" w:eastAsia="Arial" w:hAnsi="Arial"/>
          <w:sz w:val="17"/>
          <w:szCs w:val="17"/>
          <w:color w:val="auto"/>
        </w:rPr>
      </w:pPr>
    </w:p>
    <w:p>
      <w:pPr>
        <w:ind w:left="446" w:right="400" w:firstLine="620"/>
        <w:spacing w:after="0" w:line="236" w:lineRule="auto"/>
        <w:tabs>
          <w:tab w:leader="none" w:pos="13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financing transaction with respect to property built or acquired by Holdings or any Restricted Subsidiary after the Second Restatement Effective Date, including Sale Leasebacks and asset securitizations permitted by this Agreement;</w:t>
      </w:r>
    </w:p>
    <w:p>
      <w:pPr>
        <w:spacing w:after="0" w:line="157" w:lineRule="exact"/>
        <w:rPr>
          <w:rFonts w:ascii="Arial" w:cs="Arial" w:eastAsia="Arial" w:hAnsi="Arial"/>
          <w:sz w:val="17"/>
          <w:szCs w:val="17"/>
          <w:color w:val="auto"/>
        </w:rPr>
      </w:pPr>
    </w:p>
    <w:p>
      <w:pPr>
        <w:ind w:left="446" w:right="40" w:firstLine="620"/>
        <w:spacing w:after="0" w:line="224" w:lineRule="auto"/>
        <w:tabs>
          <w:tab w:leader="none" w:pos="14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any surrender or waiver of contractual rights or the settlement, release, or surrender of contractual rights or other litigation claims, (2) the termination or collapse of cost sharing agreements with Holdings or any Subsidiary and the settlement of any crossing payments in connection therewith, or (3) the settlement, discount, write off, forgiveness, or cancellation of any Indebtedness owing by any present or former consultants, directors, officers, or employees of Holdings (or any direct or indirect parent company of Holdings) or any Subsidiary or any of their successors or assigns;</w:t>
      </w:r>
    </w:p>
    <w:p>
      <w:pPr>
        <w:spacing w:after="0" w:line="157" w:lineRule="exact"/>
        <w:rPr>
          <w:rFonts w:ascii="Arial" w:cs="Arial" w:eastAsia="Arial" w:hAnsi="Arial"/>
          <w:sz w:val="17"/>
          <w:szCs w:val="17"/>
          <w:color w:val="auto"/>
        </w:rPr>
      </w:pPr>
    </w:p>
    <w:p>
      <w:pPr>
        <w:ind w:left="446" w:right="740" w:firstLine="620"/>
        <w:spacing w:after="0" w:line="236" w:lineRule="auto"/>
        <w:tabs>
          <w:tab w:leader="none" w:pos="13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disposition or discount of inventory, accounts receivable, or notes receivable in the ordinary course of business or the conversion of accounts receivable to notes receivable;</w:t>
      </w:r>
    </w:p>
    <w:p>
      <w:pPr>
        <w:spacing w:after="0" w:line="169" w:lineRule="exact"/>
        <w:rPr>
          <w:rFonts w:ascii="Arial" w:cs="Arial" w:eastAsia="Arial" w:hAnsi="Arial"/>
          <w:sz w:val="17"/>
          <w:szCs w:val="17"/>
          <w:color w:val="auto"/>
        </w:rPr>
      </w:pPr>
    </w:p>
    <w:p>
      <w:pPr>
        <w:ind w:left="446" w:right="220" w:firstLine="620"/>
        <w:spacing w:after="0" w:line="236" w:lineRule="auto"/>
        <w:tabs>
          <w:tab w:leader="none" w:pos="1485"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licensing or sub-licensing of Intellectual Property or other general intangibles (whether pursuant to franchise agreements or otherwise) in the ordinary course of business;</w:t>
      </w:r>
    </w:p>
    <w:p>
      <w:pPr>
        <w:spacing w:after="0" w:line="157" w:lineRule="exact"/>
        <w:rPr>
          <w:rFonts w:ascii="Arial" w:cs="Arial" w:eastAsia="Arial" w:hAnsi="Arial"/>
          <w:sz w:val="17"/>
          <w:szCs w:val="17"/>
          <w:color w:val="auto"/>
        </w:rPr>
      </w:pPr>
    </w:p>
    <w:p>
      <w:pPr>
        <w:ind w:left="1446" w:hanging="380"/>
        <w:spacing w:after="0"/>
        <w:tabs>
          <w:tab w:leader="none" w:pos="144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unwinding of any Hedging Obligations or obligations in respect of Cash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26"/>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46"/>
          </w:cols>
          <w:pgMar w:left="1114" w:top="1440" w:right="339" w:bottom="1440" w:gutter="0" w:footer="0" w:header="0"/>
        </w:sectPr>
      </w:pPr>
    </w:p>
    <w:bookmarkStart w:id="30" w:name="page31"/>
    <w:bookmarkEnd w:id="30"/>
    <w:p>
      <w:pPr>
        <w:spacing w:after="0" w:line="106" w:lineRule="exact"/>
        <w:rPr>
          <w:sz w:val="20"/>
          <w:szCs w:val="20"/>
          <w:color w:val="auto"/>
        </w:rPr>
      </w:pPr>
    </w:p>
    <w:p>
      <w:pPr>
        <w:ind w:left="1240" w:right="220" w:firstLine="620"/>
        <w:spacing w:after="0" w:line="313" w:lineRule="auto"/>
        <w:tabs>
          <w:tab w:leader="none" w:pos="2231" w:val="left"/>
        </w:tabs>
        <w:numPr>
          <w:ilvl w:val="0"/>
          <w:numId w:val="11"/>
        </w:numPr>
        <w:rPr>
          <w:rFonts w:ascii="Arial" w:cs="Arial" w:eastAsia="Arial" w:hAnsi="Arial"/>
          <w:sz w:val="15"/>
          <w:szCs w:val="15"/>
          <w:color w:val="auto"/>
        </w:rPr>
      </w:pPr>
      <w:r>
        <w:rPr>
          <w:rFonts w:ascii="Arial" w:cs="Arial" w:eastAsia="Arial" w:hAnsi="Arial"/>
          <w:sz w:val="15"/>
          <w:szCs w:val="15"/>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04" w:lineRule="exact"/>
        <w:rPr>
          <w:rFonts w:ascii="Arial" w:cs="Arial" w:eastAsia="Arial" w:hAnsi="Arial"/>
          <w:sz w:val="15"/>
          <w:szCs w:val="15"/>
          <w:color w:val="auto"/>
        </w:rPr>
      </w:pPr>
    </w:p>
    <w:p>
      <w:pPr>
        <w:ind w:left="1240" w:right="480" w:firstLine="620"/>
        <w:spacing w:after="0" w:line="295" w:lineRule="auto"/>
        <w:tabs>
          <w:tab w:leader="none" w:pos="2231"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lapse or abandonment of Intellectual Property rights in the ordinary course of business, which in the reasonable business judgment of the Borrower are not material to the conduct of the business of Holdings and the Restricted Subsidiaries taken as a whole;</w:t>
      </w:r>
    </w:p>
    <w:p>
      <w:pPr>
        <w:spacing w:after="0" w:line="130" w:lineRule="exact"/>
        <w:rPr>
          <w:rFonts w:ascii="Arial" w:cs="Arial" w:eastAsia="Arial" w:hAnsi="Arial"/>
          <w:sz w:val="15"/>
          <w:szCs w:val="15"/>
          <w:color w:val="auto"/>
        </w:rPr>
      </w:pPr>
    </w:p>
    <w:p>
      <w:pPr>
        <w:ind w:left="2240" w:hanging="380"/>
        <w:spacing w:after="0"/>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issuance of directors’ qualifying shares and shares issued to foreign nationals as required by applicable law;</w:t>
      </w:r>
    </w:p>
    <w:p>
      <w:pPr>
        <w:spacing w:after="0" w:line="178" w:lineRule="exact"/>
        <w:rPr>
          <w:rFonts w:ascii="Arial" w:cs="Arial" w:eastAsia="Arial" w:hAnsi="Arial"/>
          <w:sz w:val="17"/>
          <w:szCs w:val="17"/>
          <w:color w:val="auto"/>
        </w:rPr>
      </w:pPr>
    </w:p>
    <w:p>
      <w:pPr>
        <w:ind w:left="1240" w:right="540" w:firstLine="620"/>
        <w:spacing w:after="0" w:line="231" w:lineRule="auto"/>
        <w:tabs>
          <w:tab w:leader="none" w:pos="2202"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157" w:lineRule="exact"/>
        <w:rPr>
          <w:rFonts w:ascii="Arial" w:cs="Arial" w:eastAsia="Arial" w:hAnsi="Arial"/>
          <w:sz w:val="17"/>
          <w:szCs w:val="17"/>
          <w:color w:val="auto"/>
        </w:rPr>
      </w:pPr>
    </w:p>
    <w:p>
      <w:pPr>
        <w:ind w:left="1240" w:right="20" w:firstLine="620"/>
        <w:spacing w:after="0" w:line="236" w:lineRule="auto"/>
        <w:tabs>
          <w:tab w:leader="none" w:pos="22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leases, assignments, subleases, licenses, or sublicenses, in each case in the ordinary course of business and which do not materially interfere with the business of Holdings and the Restricted Subsidiaries, taken as a whole;</w:t>
      </w:r>
    </w:p>
    <w:p>
      <w:pPr>
        <w:spacing w:after="0" w:line="169" w:lineRule="exact"/>
        <w:rPr>
          <w:rFonts w:ascii="Arial" w:cs="Arial" w:eastAsia="Arial" w:hAnsi="Arial"/>
          <w:sz w:val="17"/>
          <w:szCs w:val="17"/>
          <w:color w:val="auto"/>
        </w:rPr>
      </w:pPr>
    </w:p>
    <w:p>
      <w:pPr>
        <w:ind w:left="2240" w:hanging="380"/>
        <w:spacing w:after="0"/>
        <w:tabs>
          <w:tab w:leader="none" w:pos="2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dispositions of non-core assets acquired in connection with any Permitted Acquisition or Investment permitted hereunder;</w:t>
      </w:r>
    </w:p>
    <w:p>
      <w:pPr>
        <w:spacing w:after="0" w:line="189" w:lineRule="exact"/>
        <w:rPr>
          <w:rFonts w:ascii="Arial" w:cs="Arial" w:eastAsia="Arial" w:hAnsi="Arial"/>
          <w:sz w:val="16"/>
          <w:szCs w:val="16"/>
          <w:color w:val="auto"/>
        </w:rPr>
      </w:pPr>
    </w:p>
    <w:p>
      <w:pPr>
        <w:jc w:val="both"/>
        <w:ind w:left="1240" w:right="420" w:firstLine="620"/>
        <w:spacing w:after="0" w:line="295" w:lineRule="auto"/>
        <w:tabs>
          <w:tab w:leader="none" w:pos="2231"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the extent necessary or reasonably considered advisable by the Borrower to comply with requirements of law at such time, dispositions of (A) any retail location or any eye facility located in California and/or (B) FirstSight or any other Managed Care Subsidiary;</w:t>
      </w:r>
    </w:p>
    <w:p>
      <w:pPr>
        <w:spacing w:after="0" w:line="130" w:lineRule="exact"/>
        <w:rPr>
          <w:rFonts w:ascii="Arial" w:cs="Arial" w:eastAsia="Arial" w:hAnsi="Arial"/>
          <w:sz w:val="15"/>
          <w:szCs w:val="15"/>
          <w:color w:val="auto"/>
        </w:rPr>
      </w:pPr>
    </w:p>
    <w:p>
      <w:pPr>
        <w:ind w:left="2240" w:hanging="380"/>
        <w:spacing w:after="0"/>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dispositions pursuant to the Wal-Mart Agreements; and</w:t>
      </w:r>
    </w:p>
    <w:p>
      <w:pPr>
        <w:spacing w:after="0" w:line="178" w:lineRule="exact"/>
        <w:rPr>
          <w:rFonts w:ascii="Arial" w:cs="Arial" w:eastAsia="Arial" w:hAnsi="Arial"/>
          <w:sz w:val="17"/>
          <w:szCs w:val="17"/>
          <w:color w:val="auto"/>
        </w:rPr>
      </w:pPr>
    </w:p>
    <w:p>
      <w:pPr>
        <w:ind w:left="1240" w:right="340" w:firstLine="620"/>
        <w:spacing w:after="0" w:line="236" w:lineRule="auto"/>
        <w:tabs>
          <w:tab w:leader="none" w:pos="22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lease or sublease of real property and related office equipment and personal property to health care professionals (or their Affiliates) or a Managed Care Subsidiary in the ordinary course of business.</w:t>
      </w:r>
    </w:p>
    <w:p>
      <w:pPr>
        <w:spacing w:after="0" w:line="164" w:lineRule="exact"/>
        <w:rPr>
          <w:sz w:val="20"/>
          <w:szCs w:val="20"/>
          <w:color w:val="auto"/>
        </w:rPr>
      </w:pPr>
    </w:p>
    <w:p>
      <w:pPr>
        <w:ind w:right="24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Asset Sale Prepayment Event</w:t>
      </w:r>
      <w:r>
        <w:rPr>
          <w:rFonts w:ascii="Arial" w:cs="Arial" w:eastAsia="Arial" w:hAnsi="Arial"/>
          <w:sz w:val="15"/>
          <w:szCs w:val="15"/>
          <w:color w:val="auto"/>
        </w:rPr>
        <w:t xml:space="preserve">” shall mean any Asset Sale subject to the Reinvestment Period allowed in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with respect to any Asset Sale Prepayment Event, the Borrower shall not be obligated to make any prepayment otherwise required by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unless and until the aggregate amount of Net Cash Proceeds from all such Asset Sale Prepayment Events, after giving effect to the reinvestment rights set forth herein, exceeds</w:t>
      </w:r>
    </w:p>
    <w:p>
      <w:pPr>
        <w:spacing w:after="0" w:line="1" w:lineRule="exact"/>
        <w:rPr>
          <w:sz w:val="20"/>
          <w:szCs w:val="20"/>
          <w:color w:val="auto"/>
        </w:rPr>
      </w:pPr>
    </w:p>
    <w:p>
      <w:pPr>
        <w:ind w:right="340"/>
        <w:spacing w:after="0" w:line="227" w:lineRule="auto"/>
        <w:rPr>
          <w:sz w:val="20"/>
          <w:szCs w:val="20"/>
          <w:color w:val="auto"/>
        </w:rPr>
      </w:pPr>
      <w:r>
        <w:rPr>
          <w:rFonts w:ascii="Arial" w:cs="Arial" w:eastAsia="Arial" w:hAnsi="Arial"/>
          <w:sz w:val="17"/>
          <w:szCs w:val="17"/>
          <w:color w:val="auto"/>
        </w:rPr>
        <w:t>$10,000,000 (the “</w:t>
      </w:r>
      <w:r>
        <w:rPr>
          <w:rFonts w:ascii="Arial" w:cs="Arial" w:eastAsia="Arial" w:hAnsi="Arial"/>
          <w:sz w:val="17"/>
          <w:szCs w:val="17"/>
          <w:b w:val="1"/>
          <w:bCs w:val="1"/>
          <w:color w:val="auto"/>
        </w:rPr>
        <w:t>Prepayment Trigger</w:t>
      </w:r>
      <w:r>
        <w:rPr>
          <w:rFonts w:ascii="Arial" w:cs="Arial" w:eastAsia="Arial" w:hAnsi="Arial"/>
          <w:sz w:val="17"/>
          <w:szCs w:val="17"/>
          <w:color w:val="auto"/>
        </w:rPr>
        <w:t>”) in any fiscal year of Holdings, but then from all such Net Cash Proceeds (excluding amounts below the Prepayment Trigger).</w:t>
      </w:r>
    </w:p>
    <w:p>
      <w:pPr>
        <w:spacing w:after="0" w:line="152" w:lineRule="exact"/>
        <w:rPr>
          <w:sz w:val="20"/>
          <w:szCs w:val="20"/>
          <w:color w:val="auto"/>
        </w:rPr>
      </w:pPr>
    </w:p>
    <w:p>
      <w:pPr>
        <w:ind w:right="1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Acceptance</w:t>
      </w:r>
      <w:r>
        <w:rPr>
          <w:rFonts w:ascii="Arial" w:cs="Arial" w:eastAsia="Arial" w:hAnsi="Arial"/>
          <w:sz w:val="17"/>
          <w:szCs w:val="17"/>
          <w:color w:val="auto"/>
        </w:rPr>
        <w:t xml:space="preserve">” shall mean an assignment and acceptance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or such other form as may be approved by the Administrative Agent.</w:t>
      </w:r>
    </w:p>
    <w:p>
      <w:pPr>
        <w:spacing w:after="0" w:line="139" w:lineRule="exact"/>
        <w:rPr>
          <w:sz w:val="20"/>
          <w:szCs w:val="20"/>
          <w:color w:val="auto"/>
        </w:rPr>
      </w:pPr>
    </w:p>
    <w:p>
      <w:pPr>
        <w:ind w:right="10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Authorized Officer</w:t>
      </w:r>
      <w:r>
        <w:rPr>
          <w:rFonts w:ascii="Arial" w:cs="Arial" w:eastAsia="Arial" w:hAnsi="Arial"/>
          <w:sz w:val="15"/>
          <w:szCs w:val="15"/>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 Director, a Manager,</w:t>
      </w:r>
    </w:p>
    <w:p>
      <w:pPr>
        <w:ind w:right="100"/>
        <w:spacing w:after="0" w:line="239" w:lineRule="auto"/>
        <w:rPr>
          <w:sz w:val="20"/>
          <w:szCs w:val="20"/>
          <w:color w:val="auto"/>
        </w:rPr>
      </w:pPr>
      <w:r>
        <w:rPr>
          <w:rFonts w:ascii="Arial" w:cs="Arial" w:eastAsia="Arial" w:hAnsi="Arial"/>
          <w:sz w:val="15"/>
          <w:szCs w:val="15"/>
          <w:color w:val="auto"/>
        </w:rPr>
        <w:t>or any other senior officer or agent with express authority to act on behalf of such Person designated as such by the board of directors or other managing authority of such Person and, solely for purposes of notices given pursuant to Section 2 or Section 5.1, any other officer or employee of the applicable Credit Party so designated by any of the foregoing officers in a notice to the Administrative Agent or any other officer or employee of the applicable Credit Party designated in or</w:t>
      </w:r>
    </w:p>
    <w:p>
      <w:pPr>
        <w:spacing w:after="0"/>
        <w:rPr>
          <w:sz w:val="20"/>
          <w:szCs w:val="20"/>
          <w:color w:val="auto"/>
        </w:rPr>
      </w:pPr>
      <w:r>
        <w:rPr>
          <w:rFonts w:ascii="Arial" w:cs="Arial" w:eastAsia="Arial" w:hAnsi="Arial"/>
          <w:sz w:val="17"/>
          <w:szCs w:val="17"/>
          <w:color w:val="auto"/>
        </w:rPr>
        <w:t>pursuant to an agreement between the applicable Credit Party and the Administrative Agent.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Auto-Extension Letter of Credit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3.2(d)</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shall mean an amount equal to the excess, if any, of (i) the amount of the Total Revolving Credit Commitment over (ii) the</w:t>
      </w:r>
    </w:p>
    <w:p>
      <w:pPr>
        <w:spacing w:after="0" w:line="17" w:lineRule="exact"/>
        <w:rPr>
          <w:sz w:val="20"/>
          <w:szCs w:val="20"/>
          <w:color w:val="auto"/>
        </w:rPr>
      </w:pPr>
    </w:p>
    <w:p>
      <w:pPr>
        <w:ind w:right="560"/>
        <w:spacing w:after="0" w:line="227" w:lineRule="auto"/>
        <w:rPr>
          <w:sz w:val="20"/>
          <w:szCs w:val="20"/>
          <w:color w:val="auto"/>
        </w:rPr>
      </w:pPr>
      <w:r>
        <w:rPr>
          <w:rFonts w:ascii="Arial" w:cs="Arial" w:eastAsia="Arial" w:hAnsi="Arial"/>
          <w:sz w:val="17"/>
          <w:szCs w:val="17"/>
          <w:color w:val="auto"/>
        </w:rPr>
        <w:t>sum of the aggregate principal amount of (a) all Revolving Credit Loans (but not Swingline Loans) then outstanding and (b) the aggregate Letters of Credit Outstanding at such time.</w:t>
      </w:r>
    </w:p>
    <w:p>
      <w:pPr>
        <w:spacing w:after="0" w:line="152"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Average New Store Consolidated EBITDA</w:t>
      </w:r>
      <w:r>
        <w:rPr>
          <w:rFonts w:ascii="Arial" w:cs="Arial" w:eastAsia="Arial" w:hAnsi="Arial"/>
          <w:sz w:val="17"/>
          <w:szCs w:val="17"/>
          <w:color w:val="auto"/>
        </w:rPr>
        <w:t>” shall mean, with respect to any Test Period, the numeric average of the amount of Consolidated EBITDA of Stores (excluding New Stores) in their 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through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0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quarters after opening of such Stores (e.g., the sum of each such Store’s Consolidated EBITDA for such four quarter period, divided by the number of applicable Stores).</w:t>
      </w:r>
    </w:p>
    <w:p>
      <w:pPr>
        <w:spacing w:after="0" w:line="144" w:lineRule="exact"/>
        <w:rPr>
          <w:sz w:val="20"/>
          <w:szCs w:val="20"/>
          <w:color w:val="auto"/>
        </w:rPr>
      </w:pPr>
    </w:p>
    <w:p>
      <w:pPr>
        <w:ind w:right="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Action</w:t>
      </w:r>
      <w:r>
        <w:rPr>
          <w:rFonts w:ascii="Arial" w:cs="Arial" w:eastAsia="Arial" w:hAnsi="Arial"/>
          <w:sz w:val="17"/>
          <w:szCs w:val="17"/>
          <w:color w:val="auto"/>
        </w:rPr>
        <w:t>” shall mean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ind w:right="34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Bail-In Legislation</w:t>
      </w:r>
      <w:r>
        <w:rPr>
          <w:rFonts w:ascii="Arial" w:cs="Arial" w:eastAsia="Arial" w:hAnsi="Arial"/>
          <w:sz w:val="15"/>
          <w:szCs w:val="15"/>
          <w:color w:val="auto"/>
        </w:rPr>
        <w:t>”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w:t>
      </w:r>
    </w:p>
    <w:p>
      <w:pPr>
        <w:spacing w:after="0" w:line="1" w:lineRule="exact"/>
        <w:rPr>
          <w:sz w:val="20"/>
          <w:szCs w:val="20"/>
          <w:color w:val="auto"/>
        </w:rPr>
      </w:pPr>
    </w:p>
    <w:p>
      <w:pPr>
        <w:ind w:right="680"/>
        <w:spacing w:after="0" w:line="243" w:lineRule="auto"/>
        <w:rPr>
          <w:sz w:val="20"/>
          <w:szCs w:val="20"/>
          <w:color w:val="auto"/>
        </w:rPr>
      </w:pPr>
      <w:r>
        <w:rPr>
          <w:rFonts w:ascii="Arial" w:cs="Arial" w:eastAsia="Arial" w:hAnsi="Arial"/>
          <w:sz w:val="16"/>
          <w:szCs w:val="16"/>
          <w:color w:val="auto"/>
        </w:rPr>
        <w:t>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11.5</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shall mean a certification regarding beneficial ownership as required by the Beneficial Ownership Regulation.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Beneficial Ownership Regulation</w:t>
      </w:r>
      <w:r>
        <w:rPr>
          <w:rFonts w:ascii="Arial" w:cs="Arial" w:eastAsia="Arial" w:hAnsi="Arial"/>
          <w:sz w:val="17"/>
          <w:szCs w:val="17"/>
          <w:color w:val="auto"/>
        </w:rPr>
        <w:t>” shall mean 31 C.F.R. § 1010.230.</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Benefit Plan</w:t>
      </w:r>
      <w:r>
        <w:rPr>
          <w:rFonts w:ascii="Arial" w:cs="Arial" w:eastAsia="Arial" w:hAnsi="Arial"/>
          <w:sz w:val="16"/>
          <w:szCs w:val="16"/>
          <w:color w:val="auto"/>
        </w:rPr>
        <w:t>” shall mean any of (a) an “employee benefit plan” (as defined in ERISA) that is subject to Title I of ERISA, (b) a “plan” as defined in and</w:t>
      </w:r>
    </w:p>
    <w:p>
      <w:pPr>
        <w:spacing w:after="0" w:line="17"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Benefited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13.8(a)</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shall mean the Board of Governors of the Federal Reserve System of the United States (or any successor).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shall have the meaning provided in the preamble to this Agreement.</w:t>
      </w:r>
    </w:p>
    <w:p>
      <w:pPr>
        <w:spacing w:after="0" w:line="178" w:lineRule="exact"/>
        <w:rPr>
          <w:sz w:val="20"/>
          <w:szCs w:val="20"/>
          <w:color w:val="auto"/>
        </w:rPr>
      </w:pPr>
    </w:p>
    <w:p>
      <w:pPr>
        <w:ind w:right="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w:t>
      </w:r>
      <w:r>
        <w:rPr>
          <w:rFonts w:ascii="Arial" w:cs="Arial" w:eastAsia="Arial" w:hAnsi="Arial"/>
          <w:sz w:val="17"/>
          <w:szCs w:val="17"/>
          <w:color w:val="auto"/>
        </w:rPr>
        <w:t>” shall mean (i) Loans of the same Class and Type, made, converted, or continued on the same date and, in the case of Term SOFR Loans, as to which a single Interest Period is in effect, or (ii) a Swingline Loan.</w:t>
      </w:r>
    </w:p>
    <w:p>
      <w:pPr>
        <w:spacing w:after="0" w:line="139" w:lineRule="exact"/>
        <w:rPr>
          <w:sz w:val="20"/>
          <w:szCs w:val="20"/>
          <w:color w:val="auto"/>
        </w:rPr>
      </w:pPr>
    </w:p>
    <w:p>
      <w:pPr>
        <w:ind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shall mean any day excluding Saturday, Sunday, and any other day on which banking institutions in New York City are authorized by law or other governmental actions to close, and, if such day relates to any interest rate settings as to a Term SOFR Loan, any fundings, disbursements, settlements, and</w:t>
      </w:r>
    </w:p>
    <w:p>
      <w:pPr>
        <w:ind w:right="40"/>
        <w:spacing w:after="0" w:line="227" w:lineRule="auto"/>
        <w:rPr>
          <w:sz w:val="20"/>
          <w:szCs w:val="20"/>
          <w:color w:val="auto"/>
        </w:rPr>
      </w:pPr>
      <w:r>
        <w:rPr>
          <w:rFonts w:ascii="Arial" w:cs="Arial" w:eastAsia="Arial" w:hAnsi="Arial"/>
          <w:sz w:val="17"/>
          <w:szCs w:val="17"/>
          <w:color w:val="auto"/>
        </w:rPr>
        <w:t>payments in respect of any such Term SOFR Loan, or any other dealings in Dollars to be carried out pursuant to this Agreement in respect of any such Term SOFR Loan, such day shall be a U.S. Government Securities Business Day.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shall mean, as applied to any Person, any lease of any property (whether real, personal, or mixed) by that Person as lessee that, in</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conformity with GAAP, is, or is required to be, accounted for as a capital lease on the balance sheet of that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all leases of any Person that are or would be characterized as operating leases in accordance with GAAP immediately prior to December 31, 2013 (whether or not such operating leases were in effect on such date) shall continue to be accounted for as operating leases (and not as Capital Leases) for purposes of this Agreement regardless of any change in</w:t>
      </w:r>
    </w:p>
    <w:p>
      <w:pPr>
        <w:ind w:right="280"/>
        <w:spacing w:after="0" w:line="227" w:lineRule="auto"/>
        <w:rPr>
          <w:sz w:val="20"/>
          <w:szCs w:val="20"/>
          <w:color w:val="auto"/>
        </w:rPr>
      </w:pPr>
      <w:r>
        <w:rPr>
          <w:rFonts w:ascii="Arial" w:cs="Arial" w:eastAsia="Arial" w:hAnsi="Arial"/>
          <w:sz w:val="17"/>
          <w:szCs w:val="17"/>
          <w:color w:val="auto"/>
        </w:rPr>
        <w:t>GAAP following the date that would otherwise require such leases to be recharacterized as Capital Leases and (ii) all leases for Stores shall be accounted for as operating leases for purposes of this Agreement.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shall mean (i) in the case of a corporation, corporate stock, (ii) in the case of an association or business entity, any and all shares,</w:t>
      </w:r>
    </w:p>
    <w:p>
      <w:pPr>
        <w:spacing w:after="0" w:line="17"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w:t>
      </w:r>
    </w:p>
    <w:p>
      <w:pPr>
        <w:spacing w:after="0"/>
        <w:rPr>
          <w:sz w:val="20"/>
          <w:szCs w:val="20"/>
          <w:color w:val="auto"/>
        </w:rPr>
      </w:pPr>
      <w:r>
        <w:rPr>
          <w:rFonts w:ascii="Arial" w:cs="Arial" w:eastAsia="Arial" w:hAnsi="Arial"/>
          <w:sz w:val="17"/>
          <w:szCs w:val="17"/>
          <w:color w:val="auto"/>
        </w:rPr>
        <w:t>appreciation programs” in connection with employee benefits that do not require a dividend or distribution shall not constitute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0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Capitalized Lease Obligation</w:t>
      </w:r>
      <w:r>
        <w:rPr>
          <w:rFonts w:ascii="Arial" w:cs="Arial" w:eastAsia="Arial" w:hAnsi="Arial"/>
          <w:sz w:val="15"/>
          <w:szCs w:val="15"/>
          <w:color w:val="auto"/>
        </w:rPr>
        <w:t>” shall mean, at the time any determination thereof is to be made, the amount of the liability in respect of a Capital Lease</w:t>
      </w:r>
    </w:p>
    <w:p>
      <w:pPr>
        <w:spacing w:after="0" w:line="28"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that would at such time be required to be capitalized and reflected as a liability on a balance sheet (excluding the footnotes thereto) prepared in accordance with GAAP;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obligations of any Person that are or would be characterized as operating lease obligations in accordance with GAAP immediately prior to December 31, 2013 (whether or not such operating lease obligations were in effect on such date) shall continue to be accounted for as operating lease obligations</w:t>
      </w:r>
    </w:p>
    <w:p>
      <w:pPr>
        <w:ind w:right="40"/>
        <w:spacing w:after="0" w:line="227" w:lineRule="auto"/>
        <w:rPr>
          <w:sz w:val="20"/>
          <w:szCs w:val="20"/>
          <w:color w:val="auto"/>
        </w:rPr>
      </w:pPr>
      <w:r>
        <w:rPr>
          <w:rFonts w:ascii="Arial" w:cs="Arial" w:eastAsia="Arial" w:hAnsi="Arial"/>
          <w:sz w:val="17"/>
          <w:szCs w:val="17"/>
          <w:color w:val="auto"/>
        </w:rPr>
        <w:t>(and not as Capitalized Lease Obligations) for purposes of this Agreement regardless of any change in GAAP following the date that would otherwise require such obligations to be recharacterized as Capitalized Lease Obligations.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Administrative Agent, for the benefit of one or more of the Letter of Credit</w:t>
      </w:r>
    </w:p>
    <w:p>
      <w:pPr>
        <w:spacing w:after="0" w:line="17" w:lineRule="exact"/>
        <w:rPr>
          <w:sz w:val="20"/>
          <w:szCs w:val="20"/>
          <w:color w:val="auto"/>
        </w:rPr>
      </w:pPr>
    </w:p>
    <w:p>
      <w:pPr>
        <w:ind w:right="200"/>
        <w:spacing w:after="0" w:line="220" w:lineRule="auto"/>
        <w:rPr>
          <w:sz w:val="20"/>
          <w:szCs w:val="20"/>
          <w:color w:val="auto"/>
        </w:rPr>
      </w:pPr>
      <w:r>
        <w:rPr>
          <w:rFonts w:ascii="Arial" w:cs="Arial" w:eastAsia="Arial" w:hAnsi="Arial"/>
          <w:sz w:val="17"/>
          <w:szCs w:val="17"/>
          <w:color w:val="auto"/>
        </w:rPr>
        <w:t>Issuer or the Lenders, as collateral for L/C Obligations or obligations of the Lenders to fund participations in respect of L/C Obligations, cash or deposit account balances or, if the Administrative Agent and the Letter of Credit Issuer shall agree in their sole discretion, other credit support. “</w:t>
      </w:r>
      <w:r>
        <w:rPr>
          <w:rFonts w:ascii="Arial" w:cs="Arial" w:eastAsia="Arial" w:hAnsi="Arial"/>
          <w:sz w:val="17"/>
          <w:szCs w:val="17"/>
          <w:b w:val="1"/>
          <w:bCs w:val="1"/>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shall mean:</w:t>
      </w:r>
    </w:p>
    <w:p>
      <w:pPr>
        <w:spacing w:after="0" w:line="184" w:lineRule="exact"/>
        <w:rPr>
          <w:sz w:val="20"/>
          <w:szCs w:val="20"/>
          <w:color w:val="auto"/>
        </w:rPr>
      </w:pPr>
    </w:p>
    <w:p>
      <w:pPr>
        <w:ind w:left="1120" w:hanging="326"/>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Dollars,</w:t>
      </w:r>
    </w:p>
    <w:p>
      <w:pPr>
        <w:spacing w:after="0" w:line="178" w:lineRule="exact"/>
        <w:rPr>
          <w:rFonts w:ascii="Arial" w:cs="Arial" w:eastAsia="Arial" w:hAnsi="Arial"/>
          <w:sz w:val="17"/>
          <w:szCs w:val="17"/>
          <w:color w:val="auto"/>
        </w:rPr>
      </w:pPr>
    </w:p>
    <w:p>
      <w:pPr>
        <w:ind w:left="620" w:right="460" w:firstLine="174"/>
        <w:spacing w:after="0" w:line="248" w:lineRule="auto"/>
        <w:tabs>
          <w:tab w:leader="none" w:pos="11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Euro, Pounds Sterling, Canadian Dollars, or any national currency of any Participating Member State in the European Union or (b) local currencies held from time to time in the ordinary course of business,</w:t>
      </w:r>
    </w:p>
    <w:p>
      <w:pPr>
        <w:spacing w:after="0" w:line="150" w:lineRule="exact"/>
        <w:rPr>
          <w:rFonts w:ascii="Arial" w:cs="Arial" w:eastAsia="Arial" w:hAnsi="Arial"/>
          <w:sz w:val="17"/>
          <w:szCs w:val="17"/>
          <w:color w:val="auto"/>
        </w:rPr>
      </w:pPr>
    </w:p>
    <w:p>
      <w:pPr>
        <w:ind w:left="620" w:right="20" w:firstLine="174"/>
        <w:spacing w:after="0" w:line="231" w:lineRule="auto"/>
        <w:tabs>
          <w:tab w:leader="none" w:pos="1221"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spacing w:after="0" w:line="157" w:lineRule="exact"/>
        <w:rPr>
          <w:rFonts w:ascii="Arial" w:cs="Arial" w:eastAsia="Arial" w:hAnsi="Arial"/>
          <w:sz w:val="17"/>
          <w:szCs w:val="17"/>
          <w:color w:val="auto"/>
        </w:rPr>
      </w:pPr>
    </w:p>
    <w:p>
      <w:pPr>
        <w:ind w:left="620" w:firstLine="174"/>
        <w:spacing w:after="0" w:line="273" w:lineRule="auto"/>
        <w:tabs>
          <w:tab w:leader="none" w:pos="1212" w:val="left"/>
        </w:tabs>
        <w:numPr>
          <w:ilvl w:val="0"/>
          <w:numId w:val="12"/>
        </w:numPr>
        <w:rPr>
          <w:rFonts w:ascii="Arial" w:cs="Arial" w:eastAsia="Arial" w:hAnsi="Arial"/>
          <w:sz w:val="15"/>
          <w:szCs w:val="15"/>
          <w:color w:val="auto"/>
        </w:rPr>
      </w:pPr>
      <w:r>
        <w:rPr>
          <w:rFonts w:ascii="Arial" w:cs="Arial" w:eastAsia="Arial" w:hAnsi="Arial"/>
          <w:sz w:val="15"/>
          <w:szCs w:val="15"/>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$250,000,000 in the case of U.S. banks and $100,000,000 (or the Dollar Equivalent as of the date of determination) in the case of foreign banks,</w:t>
      </w:r>
    </w:p>
    <w:p>
      <w:pPr>
        <w:spacing w:after="0" w:line="133" w:lineRule="exact"/>
        <w:rPr>
          <w:rFonts w:ascii="Arial" w:cs="Arial" w:eastAsia="Arial" w:hAnsi="Arial"/>
          <w:sz w:val="15"/>
          <w:szCs w:val="15"/>
          <w:color w:val="auto"/>
        </w:rPr>
      </w:pPr>
    </w:p>
    <w:p>
      <w:pPr>
        <w:ind w:left="620" w:right="400" w:firstLine="174"/>
        <w:spacing w:after="0" w:line="236" w:lineRule="auto"/>
        <w:tabs>
          <w:tab w:leader="none" w:pos="11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repurchase obligations for underlying securities of the types described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entered into with any financial institution meeting the qualifications specified in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w:t>
      </w:r>
    </w:p>
    <w:p>
      <w:pPr>
        <w:spacing w:after="0" w:line="167" w:lineRule="exact"/>
        <w:rPr>
          <w:rFonts w:ascii="Arial" w:cs="Arial" w:eastAsia="Arial" w:hAnsi="Arial"/>
          <w:sz w:val="17"/>
          <w:szCs w:val="17"/>
          <w:color w:val="auto"/>
        </w:rPr>
      </w:pPr>
    </w:p>
    <w:p>
      <w:pPr>
        <w:ind w:left="1220" w:hanging="426"/>
        <w:spacing w:after="0"/>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commercial paper rated at least P-2 by Moody’s or at least A-2 by S&amp;P and in each case maturing within 24 months after the date of creation</w:t>
      </w:r>
    </w:p>
    <w:p>
      <w:pPr>
        <w:ind w:left="620"/>
        <w:spacing w:after="0"/>
        <w:rPr>
          <w:rFonts w:ascii="Arial" w:cs="Arial" w:eastAsia="Arial" w:hAnsi="Arial"/>
          <w:sz w:val="16"/>
          <w:szCs w:val="16"/>
          <w:color w:val="auto"/>
        </w:rPr>
      </w:pPr>
      <w:r>
        <w:rPr>
          <w:rFonts w:ascii="Arial" w:cs="Arial" w:eastAsia="Arial" w:hAnsi="Arial"/>
          <w:sz w:val="17"/>
          <w:szCs w:val="17"/>
          <w:color w:val="auto"/>
        </w:rPr>
        <w:t>thereof,</w:t>
      </w:r>
    </w:p>
    <w:p>
      <w:pPr>
        <w:spacing w:after="0" w:line="164" w:lineRule="exact"/>
        <w:rPr>
          <w:rFonts w:ascii="Arial" w:cs="Arial" w:eastAsia="Arial" w:hAnsi="Arial"/>
          <w:sz w:val="16"/>
          <w:szCs w:val="16"/>
          <w:color w:val="auto"/>
        </w:rPr>
      </w:pPr>
    </w:p>
    <w:p>
      <w:pPr>
        <w:jc w:val="both"/>
        <w:ind w:left="620" w:right="20" w:firstLine="174"/>
        <w:spacing w:after="0" w:line="231" w:lineRule="auto"/>
        <w:tabs>
          <w:tab w:leader="none" w:pos="1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maturing within 24 months after the date of creation or acquisition thereof,</w:t>
      </w:r>
    </w:p>
    <w:p>
      <w:pPr>
        <w:spacing w:after="0" w:line="157" w:lineRule="exact"/>
        <w:rPr>
          <w:rFonts w:ascii="Arial" w:cs="Arial" w:eastAsia="Arial" w:hAnsi="Arial"/>
          <w:sz w:val="17"/>
          <w:szCs w:val="17"/>
          <w:color w:val="auto"/>
        </w:rPr>
      </w:pPr>
    </w:p>
    <w:p>
      <w:pPr>
        <w:ind w:left="620" w:right="120" w:firstLine="174"/>
        <w:spacing w:after="0" w:line="231" w:lineRule="auto"/>
        <w:tabs>
          <w:tab w:leader="none" w:pos="1307"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24 months or less from the date of acquisition,</w:t>
      </w:r>
    </w:p>
    <w:p>
      <w:pPr>
        <w:spacing w:after="0" w:line="157" w:lineRule="exact"/>
        <w:rPr>
          <w:rFonts w:ascii="Arial" w:cs="Arial" w:eastAsia="Arial" w:hAnsi="Arial"/>
          <w:sz w:val="17"/>
          <w:szCs w:val="17"/>
          <w:color w:val="auto"/>
        </w:rPr>
      </w:pPr>
    </w:p>
    <w:p>
      <w:pPr>
        <w:ind w:left="620" w:firstLine="174"/>
        <w:spacing w:after="0" w:line="248" w:lineRule="auto"/>
        <w:tabs>
          <w:tab w:leader="none" w:pos="12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Indebtedness or preferred stock issued by Persons with a rating of “A” or higher from S&amp;P or “A2” or higher from Moody’s with maturities of 24 months or less from the date of acquisition,</w:t>
      </w:r>
    </w:p>
    <w:p>
      <w:pPr>
        <w:spacing w:after="0" w:line="150" w:lineRule="exact"/>
        <w:rPr>
          <w:rFonts w:ascii="Arial" w:cs="Arial" w:eastAsia="Arial" w:hAnsi="Arial"/>
          <w:sz w:val="17"/>
          <w:szCs w:val="17"/>
          <w:color w:val="auto"/>
        </w:rPr>
      </w:pPr>
    </w:p>
    <w:p>
      <w:pPr>
        <w:ind w:left="620" w:right="60" w:firstLine="174"/>
        <w:spacing w:after="0" w:line="221" w:lineRule="auto"/>
        <w:tabs>
          <w:tab w:leader="none" w:pos="120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solely with respect to any Foreign Subsidiary: (a) obligations of the national government of the country in which such Foreign Subsidiary maintains its chief executive office and principal place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and principal place of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such country is a member of the Organization for Economic Cooperation and Development, and whose short-</w:t>
      </w:r>
    </w:p>
    <w:p>
      <w:pPr>
        <w:spacing w:after="0" w:line="22" w:lineRule="exact"/>
        <w:rPr>
          <w:sz w:val="20"/>
          <w:szCs w:val="20"/>
          <w:color w:val="auto"/>
        </w:rPr>
      </w:pPr>
    </w:p>
    <w:p>
      <w:pPr>
        <w:ind w:left="620" w:right="200"/>
        <w:spacing w:after="0" w:line="239" w:lineRule="auto"/>
        <w:rPr>
          <w:sz w:val="20"/>
          <w:szCs w:val="20"/>
          <w:color w:val="auto"/>
        </w:rPr>
      </w:pPr>
      <w:r>
        <w:rPr>
          <w:rFonts w:ascii="Arial" w:cs="Arial" w:eastAsia="Arial" w:hAnsi="Arial"/>
          <w:sz w:val="15"/>
          <w:szCs w:val="15"/>
          <w:color w:val="auto"/>
        </w:rPr>
        <w:t>term commercial paper rating from S&amp;P is at least “A-2” or the equivalent thereof or from Moody’s is at least “P-2” or the equivalent thereof (any such bank being an “</w:t>
      </w:r>
      <w:r>
        <w:rPr>
          <w:rFonts w:ascii="Arial" w:cs="Arial" w:eastAsia="Arial" w:hAnsi="Arial"/>
          <w:sz w:val="15"/>
          <w:szCs w:val="15"/>
          <w:b w:val="1"/>
          <w:bCs w:val="1"/>
          <w:color w:val="auto"/>
        </w:rPr>
        <w:t>Approved Foreign Bank</w:t>
      </w:r>
      <w:r>
        <w:rPr>
          <w:rFonts w:ascii="Arial" w:cs="Arial" w:eastAsia="Arial" w:hAnsi="Arial"/>
          <w:sz w:val="15"/>
          <w:szCs w:val="15"/>
          <w:color w:val="auto"/>
        </w:rPr>
        <w:t>”), and in each case with maturities of not more than 24 months from the date of acquisition, and (c) the equivalent of demand deposit accounts which are maintained with an Approved Foreign Bank, in each case, customarily used by corporations for cash</w:t>
      </w:r>
    </w:p>
    <w:p>
      <w:pPr>
        <w:ind w:left="620" w:right="180"/>
        <w:spacing w:after="0" w:line="227" w:lineRule="auto"/>
        <w:rPr>
          <w:sz w:val="20"/>
          <w:szCs w:val="20"/>
          <w:color w:val="auto"/>
        </w:rPr>
      </w:pPr>
      <w:r>
        <w:rPr>
          <w:rFonts w:ascii="Arial" w:cs="Arial" w:eastAsia="Arial" w:hAnsi="Arial"/>
          <w:sz w:val="17"/>
          <w:szCs w:val="17"/>
          <w:color w:val="auto"/>
        </w:rPr>
        <w:t>management purposes in any jurisdiction outside the United States to the extent reasonably required in connection with any business conducted by such Foreign Subsidiary organized in such jurisdiction,</w:t>
      </w:r>
    </w:p>
    <w:p>
      <w:pPr>
        <w:spacing w:after="0" w:line="158" w:lineRule="exact"/>
        <w:rPr>
          <w:sz w:val="20"/>
          <w:szCs w:val="20"/>
          <w:color w:val="auto"/>
        </w:rPr>
      </w:pPr>
    </w:p>
    <w:p>
      <w:pPr>
        <w:ind w:left="620" w:right="120" w:firstLine="174"/>
        <w:spacing w:after="0" w:line="231" w:lineRule="auto"/>
        <w:tabs>
          <w:tab w:leader="none" w:pos="1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of foreign obligors, which investments have ratings, described in such clauses or equivalent ratings from comparable foreign rating agencies, and</w:t>
      </w:r>
    </w:p>
    <w:p>
      <w:pPr>
        <w:spacing w:after="0" w:line="157" w:lineRule="exact"/>
        <w:rPr>
          <w:rFonts w:ascii="Arial" w:cs="Arial" w:eastAsia="Arial" w:hAnsi="Arial"/>
          <w:sz w:val="17"/>
          <w:szCs w:val="17"/>
          <w:color w:val="auto"/>
        </w:rPr>
      </w:pPr>
    </w:p>
    <w:p>
      <w:pPr>
        <w:ind w:left="1260" w:hanging="466"/>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investment funds investing 90% of their assets in securities of the types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w:t>
      </w:r>
    </w:p>
    <w:p>
      <w:pPr>
        <w:spacing w:after="0" w:line="191" w:lineRule="exact"/>
        <w:rPr>
          <w:sz w:val="20"/>
          <w:szCs w:val="20"/>
          <w:color w:val="auto"/>
        </w:rPr>
      </w:pPr>
    </w:p>
    <w:p>
      <w:pPr>
        <w:ind w:right="120" w:firstLine="619"/>
        <w:spacing w:after="0" w:line="226" w:lineRule="auto"/>
        <w:rPr>
          <w:sz w:val="20"/>
          <w:szCs w:val="20"/>
          <w:color w:val="auto"/>
        </w:rPr>
      </w:pPr>
      <w:r>
        <w:rPr>
          <w:rFonts w:ascii="Arial" w:cs="Arial" w:eastAsia="Arial" w:hAnsi="Arial"/>
          <w:sz w:val="17"/>
          <w:szCs w:val="17"/>
          <w:color w:val="auto"/>
        </w:rPr>
        <w:t xml:space="preserve">Notwithstanding the foregoing, Cash Equivalents shall include amounts denominated in currencies other than those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amounts are converted into any currency listed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as promptly as practicable and in any event within ten Business Days following the receipt of such amounts.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Management Agreement</w:t>
      </w:r>
      <w:r>
        <w:rPr>
          <w:rFonts w:ascii="Arial" w:cs="Arial" w:eastAsia="Arial" w:hAnsi="Arial"/>
          <w:sz w:val="17"/>
          <w:szCs w:val="17"/>
          <w:color w:val="auto"/>
        </w:rPr>
        <w:t>” shall mean any agreement or arrangement to provide Cash Management Services.</w:t>
      </w:r>
    </w:p>
    <w:p>
      <w:pPr>
        <w:spacing w:after="0" w:line="178" w:lineRule="exact"/>
        <w:rPr>
          <w:sz w:val="20"/>
          <w:szCs w:val="20"/>
          <w:color w:val="auto"/>
        </w:rPr>
      </w:pPr>
    </w:p>
    <w:p>
      <w:pPr>
        <w:ind w:right="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Management Bank</w:t>
      </w:r>
      <w:r>
        <w:rPr>
          <w:rFonts w:ascii="Arial" w:cs="Arial" w:eastAsia="Arial" w:hAnsi="Arial"/>
          <w:sz w:val="15"/>
          <w:szCs w:val="15"/>
          <w:color w:val="auto"/>
        </w:rPr>
        <w:t>” shall mean (i) any Person that, at the time it enters into a Cash Management Agreement, is an Agent or a Lender or an Affiliate of an Agent or a Lender or (ii) with respect to any Cash Management Agreement entered into prior to the Second Restatement Effective Date, any Person</w:t>
      </w:r>
    </w:p>
    <w:p>
      <w:pPr>
        <w:spacing w:after="0"/>
        <w:rPr>
          <w:sz w:val="20"/>
          <w:szCs w:val="20"/>
          <w:color w:val="auto"/>
        </w:rPr>
      </w:pPr>
      <w:r>
        <w:rPr>
          <w:rFonts w:ascii="Arial" w:cs="Arial" w:eastAsia="Arial" w:hAnsi="Arial"/>
          <w:sz w:val="17"/>
          <w:szCs w:val="17"/>
          <w:color w:val="auto"/>
        </w:rPr>
        <w:t>that is a Lender or an Affiliate of a Lender on the Second Restatement Effective Date.</w:t>
      </w:r>
    </w:p>
    <w:p>
      <w:pPr>
        <w:spacing w:after="0" w:line="158" w:lineRule="exact"/>
        <w:rPr>
          <w:sz w:val="20"/>
          <w:szCs w:val="20"/>
          <w:color w:val="auto"/>
        </w:rPr>
      </w:pPr>
    </w:p>
    <w:p>
      <w:pPr>
        <w:ind w:right="3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Management Services</w:t>
      </w:r>
      <w:r>
        <w:rPr>
          <w:rFonts w:ascii="Arial" w:cs="Arial" w:eastAsia="Arial" w:hAnsi="Arial"/>
          <w:sz w:val="15"/>
          <w:szCs w:val="15"/>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w:t>
      </w:r>
    </w:p>
    <w:p>
      <w:pPr>
        <w:ind w:right="360"/>
        <w:spacing w:after="0" w:line="243" w:lineRule="auto"/>
        <w:rPr>
          <w:sz w:val="20"/>
          <w:szCs w:val="20"/>
          <w:color w:val="auto"/>
        </w:rPr>
      </w:pPr>
      <w:r>
        <w:rPr>
          <w:rFonts w:ascii="Arial" w:cs="Arial" w:eastAsia="Arial" w:hAnsi="Arial"/>
          <w:sz w:val="16"/>
          <w:szCs w:val="16"/>
          <w:color w:val="auto"/>
        </w:rPr>
        <w:t>controlled disbursement, overdraft automatic clearing house fund transfer services, return items, and interstate depository network services) and (iii) any other demand deposit or operating account relationships or other cash management services, including pursuant to any Cash Management Agreements.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Casualty Event</w:t>
      </w:r>
      <w:r>
        <w:rPr>
          <w:rFonts w:ascii="Arial" w:cs="Arial" w:eastAsia="Arial" w:hAnsi="Arial"/>
          <w:sz w:val="16"/>
          <w:szCs w:val="16"/>
          <w:color w:val="auto"/>
        </w:rPr>
        <w:t>” shall mean, with respect to any property of any Person, any loss of or damage to, or any condemnation or other taking by a</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Governmental Authority of, such property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with respect to any Casualty Event, the Borrower shall not be obligated to make any prepayment otherwise required by </w:t>
      </w:r>
      <w:r>
        <w:rPr>
          <w:rFonts w:ascii="Arial" w:cs="Arial" w:eastAsia="Arial" w:hAnsi="Arial"/>
          <w:sz w:val="15"/>
          <w:szCs w:val="15"/>
          <w:u w:val="single" w:color="auto"/>
          <w:color w:val="auto"/>
        </w:rPr>
        <w:t>Section 5.2</w:t>
      </w:r>
    </w:p>
    <w:p>
      <w:pPr>
        <w:ind w:right="180"/>
        <w:spacing w:after="0" w:line="220" w:lineRule="auto"/>
        <w:rPr>
          <w:sz w:val="20"/>
          <w:szCs w:val="20"/>
          <w:color w:val="auto"/>
        </w:rPr>
      </w:pPr>
      <w:r>
        <w:rPr>
          <w:rFonts w:ascii="Arial" w:cs="Arial" w:eastAsia="Arial" w:hAnsi="Arial"/>
          <w:sz w:val="17"/>
          <w:szCs w:val="17"/>
          <w:color w:val="auto"/>
        </w:rPr>
        <w:t>unless and until the aggregate amount of Net Cash Proceeds from all such Casualty Events, after giving effect to the reinvestment rights set forth herein, exceeds $10,000,000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Holdings, but then from all such Net Cash Proceeds (excluding amounts below the Casualty Prepayment Trigger).</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w:t>
      </w:r>
      <w:r>
        <w:rPr>
          <w:rFonts w:ascii="Arial" w:cs="Arial" w:eastAsia="Arial" w:hAnsi="Arial"/>
          <w:sz w:val="17"/>
          <w:szCs w:val="17"/>
          <w:color w:val="auto"/>
        </w:rPr>
        <w:t>” shall mean a Subsidiary of the Borrower that is a “controlled foreign corporation” within the meaning of Section 957 of the Code.</w:t>
      </w:r>
    </w:p>
    <w:p>
      <w:pPr>
        <w:spacing w:after="0" w:line="178"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 Holding Company</w:t>
      </w:r>
      <w:r>
        <w:rPr>
          <w:rFonts w:ascii="Arial" w:cs="Arial" w:eastAsia="Arial" w:hAnsi="Arial"/>
          <w:sz w:val="17"/>
          <w:szCs w:val="17"/>
          <w:color w:val="auto"/>
        </w:rPr>
        <w:t>” shall mean a Domestic Subsidiary of the Borrower substantially all of the assets of which consist of equity or debt of one or more Foreign Subsidiaries that are CFCs.</w:t>
      </w:r>
    </w:p>
    <w:p>
      <w:pPr>
        <w:spacing w:after="0" w:line="165" w:lineRule="exact"/>
        <w:rPr>
          <w:sz w:val="20"/>
          <w:szCs w:val="20"/>
          <w:color w:val="auto"/>
        </w:rPr>
      </w:pPr>
    </w:p>
    <w:p>
      <w:pPr>
        <w:ind w:right="22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Law</w:t>
      </w:r>
      <w:r>
        <w:rPr>
          <w:rFonts w:ascii="Arial" w:cs="Arial" w:eastAsia="Arial" w:hAnsi="Arial"/>
          <w:sz w:val="15"/>
          <w:szCs w:val="15"/>
          <w:color w:val="auto"/>
        </w:rPr>
        <w:t>” shall mean (i) the adoption of any law, treaty, order, policy, rule, or regulation after the Second Restatement Effective Date, (ii) any change in any law, treaty, order, policy, rule, or regulation or in the administration, implementation, interpretation or application thereof by any Governmental Authority after the Second Restatement Effective Date or (iii) compliance by any Lender with any guideline, request, directive, or order issued or made after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Second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06"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requests, rules, guidelines, requirements, or directives promulgated by the Bank for International Settlements, the Basel Committee on Banking Supervision (or any successor or similar authority), or the United States or foreign regulatory authorities pursuant to Basel III.</w:t>
      </w:r>
    </w:p>
    <w:p>
      <w:pPr>
        <w:spacing w:after="0" w:line="144" w:lineRule="exact"/>
        <w:rPr>
          <w:sz w:val="20"/>
          <w:szCs w:val="20"/>
          <w:color w:val="auto"/>
        </w:rPr>
      </w:pPr>
    </w:p>
    <w:p>
      <w:pPr>
        <w:ind w:right="1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w:t>
      </w:r>
      <w:r>
        <w:rPr>
          <w:rFonts w:ascii="Arial" w:cs="Arial" w:eastAsia="Arial" w:hAnsi="Arial"/>
          <w:sz w:val="15"/>
          <w:szCs w:val="15"/>
          <w:color w:val="auto"/>
        </w:rPr>
        <w:t>” shall mean and be deemed to have occurred if any Person, entity, or “group” (within the meaning of Section 13(d) or 14(d) of the Securities Exchange Act of 1934, as amended), other than the Permitted Holders, shall at any time have acquired direct or indirect beneficial ownership of a</w:t>
      </w:r>
    </w:p>
    <w:p>
      <w:pPr>
        <w:ind w:right="40"/>
        <w:spacing w:after="0" w:line="243" w:lineRule="auto"/>
        <w:rPr>
          <w:sz w:val="20"/>
          <w:szCs w:val="20"/>
          <w:color w:val="auto"/>
        </w:rPr>
      </w:pPr>
      <w:r>
        <w:rPr>
          <w:rFonts w:ascii="Arial" w:cs="Arial" w:eastAsia="Arial" w:hAnsi="Arial"/>
          <w:sz w:val="16"/>
          <w:szCs w:val="16"/>
          <w:color w:val="auto"/>
        </w:rPr>
        <w:t>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Class</w:t>
      </w:r>
      <w:r>
        <w:rPr>
          <w:rFonts w:ascii="Arial" w:cs="Arial" w:eastAsia="Arial" w:hAnsi="Arial"/>
          <w:sz w:val="15"/>
          <w:szCs w:val="15"/>
          <w:color w:val="auto"/>
        </w:rPr>
        <w:t>” (i) when used in reference to any Loan or Borrowing, shall refer to whether such Loan, or the Loans comprising such Borrowing, are Revolving</w:t>
      </w:r>
    </w:p>
    <w:p>
      <w:pPr>
        <w:spacing w:after="0" w:line="28" w:lineRule="exact"/>
        <w:rPr>
          <w:sz w:val="20"/>
          <w:szCs w:val="20"/>
          <w:color w:val="auto"/>
        </w:rPr>
      </w:pPr>
    </w:p>
    <w:p>
      <w:pPr>
        <w:ind w:right="400"/>
        <w:spacing w:after="0" w:line="239" w:lineRule="auto"/>
        <w:rPr>
          <w:sz w:val="20"/>
          <w:szCs w:val="20"/>
          <w:color w:val="auto"/>
        </w:rPr>
      </w:pPr>
      <w:r>
        <w:rPr>
          <w:rFonts w:ascii="Arial" w:cs="Arial" w:eastAsia="Arial" w:hAnsi="Arial"/>
          <w:sz w:val="15"/>
          <w:szCs w:val="15"/>
          <w:color w:val="auto"/>
        </w:rPr>
        <w:t>Credit Loans, Term A Loans, New Term Loans (of each Series), Extended Term Loans (of the same Extension Series), Replacement Term Loans (of the same Series), Extended Revolving Credit Loans (of the same Extension Series), or Swingline Loans and (ii) when used in reference to any Commitment, refers to whether such Commitment is a Revolving Credit Commitment, an Extended Revolving Credit Commitment (of the same Extension Series), a Term A Loan</w:t>
      </w:r>
    </w:p>
    <w:p>
      <w:pPr>
        <w:spacing w:after="0"/>
        <w:rPr>
          <w:sz w:val="20"/>
          <w:szCs w:val="20"/>
          <w:color w:val="auto"/>
        </w:rPr>
      </w:pPr>
      <w:r>
        <w:rPr>
          <w:rFonts w:ascii="Arial" w:cs="Arial" w:eastAsia="Arial" w:hAnsi="Arial"/>
          <w:sz w:val="17"/>
          <w:szCs w:val="17"/>
          <w:color w:val="auto"/>
        </w:rPr>
        <w:t>Commitment or a New Term Loan Commitment.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shall mean March 13, 2014.</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CME</w:t>
      </w:r>
      <w:r>
        <w:rPr>
          <w:rFonts w:ascii="Arial" w:cs="Arial" w:eastAsia="Arial" w:hAnsi="Arial"/>
          <w:sz w:val="17"/>
          <w:szCs w:val="17"/>
          <w:color w:val="auto"/>
        </w:rPr>
        <w:t>” shall mean CME Group Benchmark Administration Limited.</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shall mean the Internal Revenue Code of 1986, as amended from time to time.</w:t>
      </w:r>
    </w:p>
    <w:p>
      <w:pPr>
        <w:spacing w:after="0" w:line="178" w:lineRule="exact"/>
        <w:rPr>
          <w:sz w:val="20"/>
          <w:szCs w:val="20"/>
          <w:color w:val="auto"/>
        </w:rPr>
      </w:pPr>
    </w:p>
    <w:p>
      <w:pPr>
        <w:ind w:right="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shall mean all property pledged or mortgaged or purported to be pledged or mortgaged pursuant to the Security Documents, excluding in all events Excluded Property.</w:t>
      </w:r>
    </w:p>
    <w:p>
      <w:pPr>
        <w:spacing w:after="0" w:line="165" w:lineRule="exact"/>
        <w:rPr>
          <w:sz w:val="20"/>
          <w:szCs w:val="20"/>
          <w:color w:val="auto"/>
        </w:rPr>
      </w:pPr>
    </w:p>
    <w:p>
      <w:pPr>
        <w:jc w:val="both"/>
        <w:ind w:right="220" w:firstLine="619"/>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Collateral Agent</w:t>
      </w:r>
      <w:r>
        <w:rPr>
          <w:rFonts w:ascii="Arial" w:cs="Arial" w:eastAsia="Arial" w:hAnsi="Arial"/>
          <w:sz w:val="15"/>
          <w:szCs w:val="15"/>
          <w:color w:val="auto"/>
        </w:rPr>
        <w:t xml:space="preserve">” shall mean Bank of America, N.A., as collateral agent under the Security Documents, or any successor collateral agent pursuant to </w:t>
      </w:r>
      <w:r>
        <w:rPr>
          <w:rFonts w:ascii="Arial" w:cs="Arial" w:eastAsia="Arial" w:hAnsi="Arial"/>
          <w:sz w:val="15"/>
          <w:szCs w:val="15"/>
          <w:u w:val="single" w:color="auto"/>
          <w:color w:val="auto"/>
        </w:rPr>
        <w:t>Section 12.9</w:t>
      </w:r>
      <w:r>
        <w:rPr>
          <w:rFonts w:ascii="Arial" w:cs="Arial" w:eastAsia="Arial" w:hAnsi="Arial"/>
          <w:sz w:val="15"/>
          <w:szCs w:val="15"/>
          <w:color w:val="auto"/>
        </w:rPr>
        <w:t xml:space="preserve">, and any Affiliate or designee of Bank of America, N.A. may act as the Collateral Agent under any Credit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matters relating to the Original Credit Agreement or periods prior to the Restatement Effective Date, such term shall refer to the Former Agent.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4.1(a)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 Fee Rate</w:t>
      </w:r>
      <w:r>
        <w:rPr>
          <w:rFonts w:ascii="Arial" w:cs="Arial" w:eastAsia="Arial" w:hAnsi="Arial"/>
          <w:sz w:val="16"/>
          <w:szCs w:val="16"/>
          <w:color w:val="auto"/>
        </w:rPr>
        <w:t>” shall mean the rate per annum for Commitment Fees determined in accordance with the definition of “Applicable Margin”.</w:t>
      </w:r>
    </w:p>
    <w:p>
      <w:pPr>
        <w:spacing w:after="0" w:line="190" w:lineRule="exact"/>
        <w:rPr>
          <w:sz w:val="20"/>
          <w:szCs w:val="20"/>
          <w:color w:val="auto"/>
        </w:rPr>
      </w:pPr>
    </w:p>
    <w:p>
      <w:pPr>
        <w:ind w:right="16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Commitments</w:t>
      </w:r>
      <w:r>
        <w:rPr>
          <w:rFonts w:ascii="Arial" w:cs="Arial" w:eastAsia="Arial" w:hAnsi="Arial"/>
          <w:sz w:val="17"/>
          <w:szCs w:val="17"/>
          <w:color w:val="auto"/>
        </w:rPr>
        <w:t>” shall mean, with respect to each Lender (to the extent applicable), such Lender’s Revolving Credit Commitment, Extended Revolving Credit Commitment, New Revolving Credit Commitment, Term A Loan Commitment or New Term Loan Commitment.</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Commodity Exchange Act</w:t>
      </w:r>
      <w:r>
        <w:rPr>
          <w:rFonts w:ascii="Arial" w:cs="Arial" w:eastAsia="Arial" w:hAnsi="Arial"/>
          <w:sz w:val="15"/>
          <w:szCs w:val="15"/>
          <w:color w:val="auto"/>
        </w:rPr>
        <w:t>” shall mean the Commodity Exchange Act (7 U.S.C. § 1 et seq.), as amended from time to time, and any successor statute.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Communications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13.17</w:t>
      </w:r>
      <w:r>
        <w:rPr>
          <w:rFonts w:ascii="Arial" w:cs="Arial" w:eastAsia="Arial" w:hAnsi="Arial"/>
          <w:sz w:val="17"/>
          <w:szCs w:val="17"/>
          <w:color w:val="auto"/>
        </w:rPr>
        <w:t>.</w:t>
      </w:r>
    </w:p>
    <w:p>
      <w:pPr>
        <w:spacing w:after="0" w:line="191" w:lineRule="exact"/>
        <w:rPr>
          <w:sz w:val="20"/>
          <w:szCs w:val="20"/>
          <w:color w:val="auto"/>
        </w:rPr>
      </w:pPr>
    </w:p>
    <w:p>
      <w:pPr>
        <w:ind w:right="3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shall mean a certificate of a responsible financial or accounting officer of Holdings or the Borrower delivered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for the applicable Test Period.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13.16</w:t>
      </w:r>
      <w:r>
        <w:rPr>
          <w:rFonts w:ascii="Arial" w:cs="Arial" w:eastAsia="Arial" w:hAnsi="Arial"/>
          <w:sz w:val="17"/>
          <w:szCs w:val="17"/>
          <w:color w:val="auto"/>
        </w:rPr>
        <w:t>.</w:t>
      </w:r>
    </w:p>
    <w:p>
      <w:pPr>
        <w:spacing w:after="0" w:line="191" w:lineRule="exact"/>
        <w:rPr>
          <w:sz w:val="20"/>
          <w:szCs w:val="20"/>
          <w:color w:val="auto"/>
        </w:rPr>
      </w:pPr>
    </w:p>
    <w:p>
      <w:pPr>
        <w:ind w:right="4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Conforming Changes</w:t>
      </w:r>
      <w:r>
        <w:rPr>
          <w:rFonts w:ascii="Arial" w:cs="Arial" w:eastAsia="Arial" w:hAnsi="Arial"/>
          <w:sz w:val="15"/>
          <w:szCs w:val="15"/>
          <w:color w:val="auto"/>
        </w:rPr>
        <w:t>” shall mean, with respect to the use, administration of or any conventions associated with SOFR or any proposed Successor Rate or Term SOFR, as applicable, any conforming changes to the definitions of “ABR”, “SOFR”, “Term SOFR” and “Interest Period”, timing and frequency of determining rates and making payments of interest and other technical, administrative or operational matters (including, for the avoidance of doubt, the definitions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and to permit the administration thereof by the Administrative Agent in a manner substantially consistent with market practice (or, if the Administrative Agent</w:t>
      </w:r>
    </w:p>
    <w:p>
      <w:pPr>
        <w:spacing w:after="0" w:line="11"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Credit Document).</w:t>
      </w:r>
    </w:p>
    <w:p>
      <w:pPr>
        <w:spacing w:after="0" w:line="164" w:lineRule="exact"/>
        <w:rPr>
          <w:sz w:val="20"/>
          <w:szCs w:val="20"/>
          <w:color w:val="auto"/>
        </w:rPr>
      </w:pPr>
    </w:p>
    <w:p>
      <w:pPr>
        <w:ind w:right="28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Consolidated Depreciation and Amortization Expense</w:t>
      </w:r>
      <w:r>
        <w:rPr>
          <w:rFonts w:ascii="Arial" w:cs="Arial" w:eastAsia="Arial" w:hAnsi="Arial"/>
          <w:sz w:val="15"/>
          <w:szCs w:val="15"/>
          <w:color w:val="auto"/>
        </w:rPr>
        <w:t>” shall mean with respect to any Person for any period, the total amount of depreciation and amortization expense, including the amortization of deferred financing fees or costs, debt issuance costs, commissions, fees, and expenses, capitalized expenditures, customer acquisition costs, the amortization of original issue discount resulting from the issuance of Indebtedness at less than par and incentive</w:t>
      </w:r>
    </w:p>
    <w:p>
      <w:pPr>
        <w:spacing w:after="0" w:line="1" w:lineRule="exact"/>
        <w:rPr>
          <w:sz w:val="20"/>
          <w:szCs w:val="20"/>
          <w:color w:val="auto"/>
        </w:rPr>
      </w:pPr>
    </w:p>
    <w:p>
      <w:pPr>
        <w:ind w:right="320"/>
        <w:spacing w:after="0" w:line="227" w:lineRule="auto"/>
        <w:rPr>
          <w:sz w:val="20"/>
          <w:szCs w:val="20"/>
          <w:color w:val="auto"/>
        </w:rPr>
      </w:pPr>
      <w:r>
        <w:rPr>
          <w:rFonts w:ascii="Arial" w:cs="Arial" w:eastAsia="Arial" w:hAnsi="Arial"/>
          <w:sz w:val="17"/>
          <w:szCs w:val="17"/>
          <w:color w:val="auto"/>
        </w:rPr>
        <w:t>payments, conversion costs, and contract acquisition costs of such Person and its Restricted Subsidiaries for such period on a consolidated basis and otherwise determined in accordance with GAAP.</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EBITDA</w:t>
      </w:r>
      <w:r>
        <w:rPr>
          <w:rFonts w:ascii="Arial" w:cs="Arial" w:eastAsia="Arial" w:hAnsi="Arial"/>
          <w:sz w:val="16"/>
          <w:szCs w:val="16"/>
          <w:color w:val="auto"/>
        </w:rPr>
        <w:t>” shall mean, with respect to any Person for any period, the Consolidated Net Income of such Person for such period:</w:t>
      </w:r>
    </w:p>
    <w:p>
      <w:pPr>
        <w:spacing w:after="0" w:line="209" w:lineRule="exact"/>
        <w:rPr>
          <w:sz w:val="20"/>
          <w:szCs w:val="20"/>
          <w:color w:val="auto"/>
        </w:rPr>
      </w:pPr>
    </w:p>
    <w:p>
      <w:pPr>
        <w:ind w:left="1120" w:hanging="326"/>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(without duplication) by:</w:t>
      </w:r>
    </w:p>
    <w:p>
      <w:pPr>
        <w:spacing w:after="0" w:line="178" w:lineRule="exact"/>
        <w:rPr>
          <w:rFonts w:ascii="Arial" w:cs="Arial" w:eastAsia="Arial" w:hAnsi="Arial"/>
          <w:sz w:val="17"/>
          <w:szCs w:val="17"/>
          <w:color w:val="auto"/>
        </w:rPr>
      </w:pPr>
    </w:p>
    <w:p>
      <w:pPr>
        <w:ind w:left="1240" w:right="120" w:firstLine="620"/>
        <w:spacing w:after="0" w:line="224" w:lineRule="auto"/>
        <w:tabs>
          <w:tab w:leader="none" w:pos="2221"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provision for taxes based on income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w:t>
      </w:r>
      <w:r>
        <w:rPr>
          <w:rFonts w:ascii="Arial" w:cs="Arial" w:eastAsia="Arial" w:hAnsi="Arial"/>
          <w:sz w:val="17"/>
          <w:szCs w:val="17"/>
          <w:i w:val="1"/>
          <w:iCs w:val="1"/>
          <w:color w:val="auto"/>
        </w:rPr>
        <w:t>plus</w:t>
      </w:r>
    </w:p>
    <w:p>
      <w:pPr>
        <w:spacing w:after="0" w:line="159" w:lineRule="exact"/>
        <w:rPr>
          <w:rFonts w:ascii="Arial" w:cs="Arial" w:eastAsia="Arial" w:hAnsi="Arial"/>
          <w:sz w:val="17"/>
          <w:szCs w:val="17"/>
          <w:color w:val="auto"/>
        </w:rPr>
      </w:pPr>
    </w:p>
    <w:p>
      <w:pPr>
        <w:ind w:left="1240" w:right="60" w:firstLine="620"/>
        <w:spacing w:after="0" w:line="238" w:lineRule="auto"/>
        <w:tabs>
          <w:tab w:leader="none" w:pos="2231"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to the extent the same were deducted (and not added back) in calculating such Consolidated Net Income, </w:t>
      </w:r>
      <w:r>
        <w:rPr>
          <w:rFonts w:ascii="Arial" w:cs="Arial" w:eastAsia="Arial" w:hAnsi="Arial"/>
          <w:sz w:val="16"/>
          <w:szCs w:val="16"/>
          <w:i w:val="1"/>
          <w:iCs w:val="1"/>
          <w:color w:val="auto"/>
        </w:rPr>
        <w:t>plus</w:t>
      </w:r>
    </w:p>
    <w:p>
      <w:pPr>
        <w:spacing w:after="0" w:line="172" w:lineRule="exact"/>
        <w:rPr>
          <w:rFonts w:ascii="Arial" w:cs="Arial" w:eastAsia="Arial" w:hAnsi="Arial"/>
          <w:sz w:val="16"/>
          <w:szCs w:val="16"/>
          <w:color w:val="auto"/>
        </w:rPr>
      </w:pPr>
    </w:p>
    <w:p>
      <w:pPr>
        <w:ind w:left="1240" w:right="400" w:firstLine="620"/>
        <w:spacing w:after="0" w:line="236" w:lineRule="auto"/>
        <w:tabs>
          <w:tab w:leader="none" w:pos="2221"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Consolidated Depreciation and Amortization Expense of such Person for such period to the extent the same were deducted in computing Consolidated Net Income, </w:t>
      </w:r>
      <w:r>
        <w:rPr>
          <w:rFonts w:ascii="Arial" w:cs="Arial" w:eastAsia="Arial" w:hAnsi="Arial"/>
          <w:sz w:val="17"/>
          <w:szCs w:val="17"/>
          <w:i w:val="1"/>
          <w:iCs w:val="1"/>
          <w:color w:val="auto"/>
        </w:rPr>
        <w:t>plus</w:t>
      </w:r>
    </w:p>
    <w:p>
      <w:pPr>
        <w:spacing w:after="0" w:line="157" w:lineRule="exact"/>
        <w:rPr>
          <w:rFonts w:ascii="Arial" w:cs="Arial" w:eastAsia="Arial" w:hAnsi="Arial"/>
          <w:sz w:val="17"/>
          <w:szCs w:val="17"/>
          <w:color w:val="auto"/>
        </w:rPr>
      </w:pPr>
    </w:p>
    <w:p>
      <w:pPr>
        <w:ind w:left="1240" w:right="120" w:firstLine="620"/>
        <w:spacing w:after="0" w:line="218" w:lineRule="auto"/>
        <w:tabs>
          <w:tab w:leader="none" w:pos="2231"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Second Restatement Effective Date), including (1) such fees, expenses, or charges related to the incurrence of the Loans hereunder and all Transaction Expenses, (2) such fees, expenses, or charges related to the offering of the Credit Documents and any other credit facilities, and (3) any amendment or other modification of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175" w:lineRule="exact"/>
        <w:rPr>
          <w:rFonts w:ascii="Arial" w:cs="Arial" w:eastAsia="Arial" w:hAnsi="Arial"/>
          <w:sz w:val="17"/>
          <w:szCs w:val="17"/>
          <w:color w:val="auto"/>
        </w:rPr>
      </w:pPr>
    </w:p>
    <w:p>
      <w:pPr>
        <w:ind w:left="1240" w:firstLine="620"/>
        <w:spacing w:after="0" w:line="238" w:lineRule="auto"/>
        <w:tabs>
          <w:tab w:leader="none" w:pos="222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159" w:lineRule="exact"/>
        <w:rPr>
          <w:rFonts w:ascii="Arial" w:cs="Arial" w:eastAsia="Arial" w:hAnsi="Arial"/>
          <w:sz w:val="16"/>
          <w:szCs w:val="16"/>
          <w:color w:val="auto"/>
        </w:rPr>
      </w:pPr>
    </w:p>
    <w:p>
      <w:pPr>
        <w:ind w:left="1240" w:right="460" w:firstLine="620"/>
        <w:spacing w:after="0" w:line="295" w:lineRule="auto"/>
        <w:tabs>
          <w:tab w:leader="none" w:pos="2202" w:val="left"/>
        </w:tabs>
        <w:numPr>
          <w:ilvl w:val="1"/>
          <w:numId w:val="14"/>
        </w:numPr>
        <w:rPr>
          <w:rFonts w:ascii="Arial" w:cs="Arial" w:eastAsia="Arial" w:hAnsi="Arial"/>
          <w:sz w:val="15"/>
          <w:szCs w:val="15"/>
          <w:color w:val="auto"/>
        </w:rPr>
      </w:pPr>
      <w:r>
        <w:rPr>
          <w:rFonts w:ascii="Arial" w:cs="Arial" w:eastAsia="Arial" w:hAnsi="Arial"/>
          <w:sz w:val="15"/>
          <w:szCs w:val="15"/>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5"/>
          <w:szCs w:val="15"/>
          <w:i w:val="1"/>
          <w:iCs w:val="1"/>
          <w:color w:val="auto"/>
        </w:rPr>
        <w:t>plus</w:t>
      </w:r>
    </w:p>
    <w:p>
      <w:pPr>
        <w:spacing w:after="0" w:line="130" w:lineRule="exact"/>
        <w:rPr>
          <w:rFonts w:ascii="Arial" w:cs="Arial" w:eastAsia="Arial" w:hAnsi="Arial"/>
          <w:sz w:val="15"/>
          <w:szCs w:val="15"/>
          <w:color w:val="auto"/>
        </w:rPr>
      </w:pPr>
    </w:p>
    <w:p>
      <w:pPr>
        <w:ind w:left="1240" w:right="280" w:firstLine="620"/>
        <w:spacing w:after="0" w:line="236" w:lineRule="auto"/>
        <w:tabs>
          <w:tab w:leader="none" w:pos="2231"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7"/>
          <w:szCs w:val="17"/>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06" w:lineRule="exact"/>
        <w:rPr>
          <w:sz w:val="20"/>
          <w:szCs w:val="20"/>
          <w:color w:val="auto"/>
        </w:rPr>
      </w:pPr>
    </w:p>
    <w:p>
      <w:pPr>
        <w:ind w:left="1120" w:hanging="380"/>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costs of surety bonds incurred in such period in connection with financing activities, </w:t>
      </w:r>
      <w:r>
        <w:rPr>
          <w:rFonts w:ascii="Arial" w:cs="Arial" w:eastAsia="Arial" w:hAnsi="Arial"/>
          <w:sz w:val="17"/>
          <w:szCs w:val="17"/>
          <w:i w:val="1"/>
          <w:iCs w:val="1"/>
          <w:color w:val="auto"/>
        </w:rPr>
        <w:t>plus</w:t>
      </w:r>
    </w:p>
    <w:p>
      <w:pPr>
        <w:spacing w:after="0" w:line="191" w:lineRule="exact"/>
        <w:rPr>
          <w:rFonts w:ascii="Arial" w:cs="Arial" w:eastAsia="Arial" w:hAnsi="Arial"/>
          <w:sz w:val="17"/>
          <w:szCs w:val="17"/>
          <w:color w:val="auto"/>
        </w:rPr>
      </w:pPr>
    </w:p>
    <w:p>
      <w:pPr>
        <w:ind w:left="120" w:right="40" w:firstLine="620"/>
        <w:spacing w:after="0" w:line="217" w:lineRule="auto"/>
        <w:tabs>
          <w:tab w:leader="none" w:pos="10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amount of reasonably identifiable and factually supportable “run-rate” cost savings, operating expense reductions, and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and synergies shall be calculated on a Pro Forma Basis as though such cost savings, operating expense reductions, or synergies had been realized on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(i), clause (q) below, clause (r) below and the definition of “Pro Forma Adjustment” shall not exceed 25% of Consolidated EBITDA for such period (after giving effect to any increase in Consolidated EBITDA pursuant to the definition of “Acquired EBITDA”), </w:t>
      </w:r>
      <w:r>
        <w:rPr>
          <w:rFonts w:ascii="Arial" w:cs="Arial" w:eastAsia="Arial" w:hAnsi="Arial"/>
          <w:sz w:val="17"/>
          <w:szCs w:val="17"/>
          <w:i w:val="1"/>
          <w:iCs w:val="1"/>
          <w:color w:val="auto"/>
        </w:rPr>
        <w:t>plus</w:t>
      </w:r>
    </w:p>
    <w:p>
      <w:pPr>
        <w:spacing w:after="0" w:line="158" w:lineRule="exact"/>
        <w:rPr>
          <w:rFonts w:ascii="Arial" w:cs="Arial" w:eastAsia="Arial" w:hAnsi="Arial"/>
          <w:sz w:val="17"/>
          <w:szCs w:val="17"/>
          <w:color w:val="auto"/>
        </w:rPr>
      </w:pPr>
    </w:p>
    <w:p>
      <w:pPr>
        <w:ind w:left="120" w:right="660" w:firstLine="620"/>
        <w:spacing w:after="0" w:line="248" w:lineRule="auto"/>
        <w:tabs>
          <w:tab w:leader="none" w:pos="10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amount of loss or discount on sale of receivables and related assets to the Receivables Subsidiary in connection with a Receivables Facility, </w:t>
      </w:r>
      <w:r>
        <w:rPr>
          <w:rFonts w:ascii="Arial" w:cs="Arial" w:eastAsia="Arial" w:hAnsi="Arial"/>
          <w:sz w:val="17"/>
          <w:szCs w:val="17"/>
          <w:i w:val="1"/>
          <w:iCs w:val="1"/>
          <w:color w:val="auto"/>
        </w:rPr>
        <w:t>plus</w:t>
      </w:r>
    </w:p>
    <w:p>
      <w:pPr>
        <w:spacing w:after="0" w:line="150" w:lineRule="exact"/>
        <w:rPr>
          <w:rFonts w:ascii="Arial" w:cs="Arial" w:eastAsia="Arial" w:hAnsi="Arial"/>
          <w:sz w:val="17"/>
          <w:szCs w:val="17"/>
          <w:color w:val="auto"/>
        </w:rPr>
      </w:pPr>
    </w:p>
    <w:p>
      <w:pPr>
        <w:ind w:left="120" w:firstLine="620"/>
        <w:spacing w:after="0" w:line="253" w:lineRule="auto"/>
        <w:tabs>
          <w:tab w:leader="none" w:pos="1111"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any costs or expense incurred by Holdings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Stock) solely to the extent that such net cash proceeds are excluded from the calculation set forth in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10.5(a)(4)</w:t>
      </w:r>
      <w:r>
        <w:rPr>
          <w:rFonts w:ascii="Arial" w:cs="Arial" w:eastAsia="Arial" w:hAnsi="Arial"/>
          <w:sz w:val="15"/>
          <w:szCs w:val="15"/>
          <w:color w:val="auto"/>
        </w:rPr>
        <w:t xml:space="preserve"> and have not been relied on for purposes of any incurrence of Indebtedness pursuant to </w:t>
      </w:r>
      <w:r>
        <w:rPr>
          <w:rFonts w:ascii="Arial" w:cs="Arial" w:eastAsia="Arial" w:hAnsi="Arial"/>
          <w:sz w:val="15"/>
          <w:szCs w:val="15"/>
          <w:u w:val="single" w:color="auto"/>
          <w:color w:val="auto"/>
        </w:rPr>
        <w:t>clause (l)(i)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w:t>
      </w:r>
      <w:r>
        <w:rPr>
          <w:rFonts w:ascii="Arial" w:cs="Arial" w:eastAsia="Arial" w:hAnsi="Arial"/>
          <w:sz w:val="15"/>
          <w:szCs w:val="15"/>
          <w:i w:val="1"/>
          <w:iCs w:val="1"/>
          <w:color w:val="auto"/>
        </w:rPr>
        <w:t>plus</w:t>
      </w:r>
    </w:p>
    <w:p>
      <w:pPr>
        <w:spacing w:after="0" w:line="160" w:lineRule="exact"/>
        <w:rPr>
          <w:rFonts w:ascii="Arial" w:cs="Arial" w:eastAsia="Arial" w:hAnsi="Arial"/>
          <w:sz w:val="15"/>
          <w:szCs w:val="15"/>
          <w:color w:val="auto"/>
        </w:rPr>
      </w:pPr>
    </w:p>
    <w:p>
      <w:pPr>
        <w:ind w:left="120" w:firstLine="620"/>
        <w:spacing w:after="0" w:line="238" w:lineRule="auto"/>
        <w:tabs>
          <w:tab w:leader="none" w:pos="10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holders of any direct or indirect parent company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cs="Arial" w:eastAsia="Arial" w:hAnsi="Arial"/>
          <w:sz w:val="16"/>
          <w:szCs w:val="16"/>
          <w:i w:val="1"/>
          <w:iCs w:val="1"/>
          <w:color w:val="auto"/>
        </w:rPr>
        <w:t>plus</w:t>
      </w:r>
    </w:p>
    <w:p>
      <w:pPr>
        <w:spacing w:after="0" w:line="159" w:lineRule="exact"/>
        <w:rPr>
          <w:rFonts w:ascii="Arial" w:cs="Arial" w:eastAsia="Arial" w:hAnsi="Arial"/>
          <w:sz w:val="16"/>
          <w:szCs w:val="16"/>
          <w:color w:val="auto"/>
        </w:rPr>
      </w:pPr>
    </w:p>
    <w:p>
      <w:pPr>
        <w:ind w:left="120" w:right="80" w:firstLine="620"/>
        <w:spacing w:after="0" w:line="248" w:lineRule="auto"/>
        <w:tabs>
          <w:tab w:leader="none" w:pos="11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with respect to any joint venture that is not a Restricted Subsidiary, an amount equal to the proportion of those items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relating to such joint venture corresponding to Holdings’ and the Restricted Subsidiaries’ proportionate share of such joint venture’s Consolidated Net Income (determined as if such joint venture were a Restricted Subsidiary), </w:t>
      </w:r>
      <w:r>
        <w:rPr>
          <w:rFonts w:ascii="Arial" w:cs="Arial" w:eastAsia="Arial" w:hAnsi="Arial"/>
          <w:sz w:val="16"/>
          <w:szCs w:val="16"/>
          <w:i w:val="1"/>
          <w:iCs w:val="1"/>
          <w:color w:val="auto"/>
        </w:rPr>
        <w:t>plus</w:t>
      </w:r>
    </w:p>
    <w:p>
      <w:pPr>
        <w:spacing w:after="0" w:line="151" w:lineRule="exact"/>
        <w:rPr>
          <w:rFonts w:ascii="Arial" w:cs="Arial" w:eastAsia="Arial" w:hAnsi="Arial"/>
          <w:sz w:val="16"/>
          <w:szCs w:val="16"/>
          <w:color w:val="auto"/>
        </w:rPr>
      </w:pPr>
    </w:p>
    <w:p>
      <w:pPr>
        <w:ind w:left="120" w:right="340" w:firstLine="620"/>
        <w:spacing w:after="0" w:line="236" w:lineRule="auto"/>
        <w:tabs>
          <w:tab w:leader="none" w:pos="11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costs associated with, or in anticipation of, or preparation for, compliance with the requirements of the Sarbanes-Oxley Act of 2002 and the rules and regulations promulgated in connection therewith and Public Company Costs, </w:t>
      </w:r>
      <w:r>
        <w:rPr>
          <w:rFonts w:ascii="Arial" w:cs="Arial" w:eastAsia="Arial" w:hAnsi="Arial"/>
          <w:sz w:val="17"/>
          <w:szCs w:val="17"/>
          <w:i w:val="1"/>
          <w:iCs w:val="1"/>
          <w:color w:val="auto"/>
        </w:rPr>
        <w:t>plus</w:t>
      </w:r>
    </w:p>
    <w:p>
      <w:pPr>
        <w:spacing w:after="0" w:line="169" w:lineRule="exact"/>
        <w:rPr>
          <w:rFonts w:ascii="Arial" w:cs="Arial" w:eastAsia="Arial" w:hAnsi="Arial"/>
          <w:sz w:val="17"/>
          <w:szCs w:val="17"/>
          <w:color w:val="auto"/>
        </w:rPr>
      </w:pPr>
    </w:p>
    <w:p>
      <w:pPr>
        <w:jc w:val="both"/>
        <w:ind w:left="120" w:right="460" w:firstLine="620"/>
        <w:spacing w:after="0" w:line="226" w:lineRule="auto"/>
        <w:tabs>
          <w:tab w:leader="none" w:pos="11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(2) below for any previous period and not added back, </w:t>
      </w:r>
      <w:r>
        <w:rPr>
          <w:rFonts w:ascii="Arial" w:cs="Arial" w:eastAsia="Arial" w:hAnsi="Arial"/>
          <w:sz w:val="17"/>
          <w:szCs w:val="17"/>
          <w:i w:val="1"/>
          <w:iCs w:val="1"/>
          <w:color w:val="auto"/>
        </w:rPr>
        <w:t>plus</w:t>
      </w:r>
    </w:p>
    <w:p>
      <w:pPr>
        <w:spacing w:after="0" w:line="169" w:lineRule="exact"/>
        <w:rPr>
          <w:rFonts w:ascii="Arial" w:cs="Arial" w:eastAsia="Arial" w:hAnsi="Arial"/>
          <w:sz w:val="17"/>
          <w:szCs w:val="17"/>
          <w:color w:val="auto"/>
        </w:rPr>
      </w:pPr>
    </w:p>
    <w:p>
      <w:pPr>
        <w:ind w:left="120" w:firstLine="620"/>
        <w:spacing w:after="0" w:line="232" w:lineRule="auto"/>
        <w:tabs>
          <w:tab w:leader="none" w:pos="11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6"/>
          <w:szCs w:val="16"/>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100"/>
          </w:cols>
          <w:pgMar w:left="1440" w:top="1440" w:right="359" w:bottom="1440" w:gutter="0" w:footer="0" w:header="0"/>
        </w:sectPr>
      </w:pPr>
    </w:p>
    <w:bookmarkStart w:id="37" w:name="page38"/>
    <w:bookmarkEnd w:id="37"/>
    <w:p>
      <w:pPr>
        <w:spacing w:after="0" w:line="106" w:lineRule="exact"/>
        <w:rPr>
          <w:sz w:val="20"/>
          <w:szCs w:val="20"/>
          <w:color w:val="auto"/>
        </w:rPr>
      </w:pPr>
    </w:p>
    <w:p>
      <w:pPr>
        <w:ind w:left="620" w:firstLine="620"/>
        <w:spacing w:after="0" w:line="219" w:lineRule="auto"/>
        <w:tabs>
          <w:tab w:leader="none" w:pos="1611"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for any Test Period,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(q), clause (i) above, clause (r) below and the definition of “Pro Forma Adjustment” shall not exceed 25% of Consolidated EBITDA for such period (after giving effect to any increase in Consolidated EBITDA pursuant to such provision), </w:t>
      </w:r>
      <w:r>
        <w:rPr>
          <w:rFonts w:ascii="Arial" w:cs="Arial" w:eastAsia="Arial" w:hAnsi="Arial"/>
          <w:sz w:val="17"/>
          <w:szCs w:val="17"/>
          <w:i w:val="1"/>
          <w:iCs w:val="1"/>
          <w:color w:val="auto"/>
        </w:rPr>
        <w:t>plus</w:t>
      </w:r>
    </w:p>
    <w:p>
      <w:pPr>
        <w:spacing w:after="0" w:line="158" w:lineRule="exact"/>
        <w:rPr>
          <w:rFonts w:ascii="Arial" w:cs="Arial" w:eastAsia="Arial" w:hAnsi="Arial"/>
          <w:sz w:val="17"/>
          <w:szCs w:val="17"/>
          <w:color w:val="auto"/>
        </w:rPr>
      </w:pPr>
    </w:p>
    <w:p>
      <w:pPr>
        <w:ind w:left="620" w:firstLine="620"/>
        <w:spacing w:after="0" w:line="248" w:lineRule="auto"/>
        <w:tabs>
          <w:tab w:leader="none" w:pos="15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New Store Consolidated EBITDA Adjustments;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increase to Consolidated EBITDA for any period pursuant to this clause (r), clause (i) above, clause (q) above and the definition of “Pro Forma Adjustment” shall not exceed 25% of Consolidated EBITDA for such period (after giving effect to any increase in Consolidated EBITDA pursuant to any such provision), </w:t>
      </w:r>
      <w:r>
        <w:rPr>
          <w:rFonts w:ascii="Arial" w:cs="Arial" w:eastAsia="Arial" w:hAnsi="Arial"/>
          <w:sz w:val="16"/>
          <w:szCs w:val="16"/>
          <w:i w:val="1"/>
          <w:iCs w:val="1"/>
          <w:color w:val="auto"/>
        </w:rPr>
        <w:t>plus</w:t>
      </w:r>
    </w:p>
    <w:p>
      <w:pPr>
        <w:spacing w:after="0" w:line="151" w:lineRule="exact"/>
        <w:rPr>
          <w:rFonts w:ascii="Arial" w:cs="Arial" w:eastAsia="Arial" w:hAnsi="Arial"/>
          <w:sz w:val="16"/>
          <w:szCs w:val="16"/>
          <w:color w:val="auto"/>
        </w:rPr>
      </w:pPr>
    </w:p>
    <w:p>
      <w:pPr>
        <w:ind w:left="1600" w:hanging="360"/>
        <w:spacing w:after="0"/>
        <w:tabs>
          <w:tab w:leader="none" w:pos="16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 xml:space="preserve">pre-opening costs and expenses incurred during the Test Period for Stores or facilities opened during or after the Test Period, </w:t>
      </w:r>
      <w:r>
        <w:rPr>
          <w:rFonts w:ascii="Arial" w:cs="Arial" w:eastAsia="Arial" w:hAnsi="Arial"/>
          <w:sz w:val="15"/>
          <w:szCs w:val="15"/>
          <w:i w:val="1"/>
          <w:iCs w:val="1"/>
          <w:color w:val="auto"/>
        </w:rPr>
        <w:t>plus</w:t>
      </w:r>
    </w:p>
    <w:p>
      <w:pPr>
        <w:spacing w:after="0" w:line="201" w:lineRule="exact"/>
        <w:rPr>
          <w:rFonts w:ascii="Arial" w:cs="Arial" w:eastAsia="Arial" w:hAnsi="Arial"/>
          <w:sz w:val="15"/>
          <w:szCs w:val="15"/>
          <w:color w:val="auto"/>
        </w:rPr>
      </w:pPr>
    </w:p>
    <w:p>
      <w:pPr>
        <w:ind w:left="1580" w:hanging="340"/>
        <w:spacing w:after="0"/>
        <w:tabs>
          <w:tab w:leader="none" w:pos="15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charges, expenses, and other items described in the Lender Presentation,</w:t>
      </w:r>
    </w:p>
    <w:p>
      <w:pPr>
        <w:spacing w:after="0" w:line="191" w:lineRule="exact"/>
        <w:rPr>
          <w:rFonts w:ascii="Arial" w:cs="Arial" w:eastAsia="Arial" w:hAnsi="Arial"/>
          <w:sz w:val="17"/>
          <w:szCs w:val="17"/>
          <w:color w:val="auto"/>
        </w:rPr>
      </w:pPr>
    </w:p>
    <w:p>
      <w:pPr>
        <w:ind w:left="560" w:hanging="386"/>
        <w:spacing w:after="0"/>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decreased by (without duplication):</w:t>
      </w:r>
    </w:p>
    <w:p>
      <w:pPr>
        <w:spacing w:after="0" w:line="178" w:lineRule="exact"/>
        <w:rPr>
          <w:rFonts w:ascii="Arial" w:cs="Arial" w:eastAsia="Arial" w:hAnsi="Arial"/>
          <w:sz w:val="17"/>
          <w:szCs w:val="17"/>
          <w:color w:val="auto"/>
        </w:rPr>
      </w:pPr>
    </w:p>
    <w:p>
      <w:pPr>
        <w:ind w:left="620" w:right="20" w:firstLine="620"/>
        <w:spacing w:after="0" w:line="218" w:lineRule="auto"/>
        <w:tabs>
          <w:tab w:leader="none" w:pos="1601"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(formerly Financial Accounting Standards Board Statement No.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 cash gains are deducted pursuant to this </w:t>
      </w:r>
      <w:r>
        <w:rPr>
          <w:rFonts w:ascii="Arial" w:cs="Arial" w:eastAsia="Arial" w:hAnsi="Arial"/>
          <w:sz w:val="17"/>
          <w:szCs w:val="17"/>
          <w:u w:val="single" w:color="auto"/>
          <w:color w:val="auto"/>
        </w:rPr>
        <w:t>clause (ii)(a)</w:t>
      </w:r>
      <w:r>
        <w:rPr>
          <w:rFonts w:ascii="Arial" w:cs="Arial" w:eastAsia="Arial" w:hAnsi="Arial"/>
          <w:sz w:val="17"/>
          <w:szCs w:val="17"/>
          <w:color w:val="auto"/>
        </w:rPr>
        <w:t xml:space="preserve"> for any previous period and not otherwise added back to Consolidated EBITDA, Consolidated EBITDA shall be increased by the amount of any cash receipts (or any netting arrangements resulting in reduced cash expenses) in respect of such non cash gains received in subsequent periods to the extent not already included therein, </w:t>
      </w:r>
      <w:r>
        <w:rPr>
          <w:rFonts w:ascii="Arial" w:cs="Arial" w:eastAsia="Arial" w:hAnsi="Arial"/>
          <w:sz w:val="17"/>
          <w:szCs w:val="17"/>
          <w:i w:val="1"/>
          <w:iCs w:val="1"/>
          <w:color w:val="auto"/>
        </w:rPr>
        <w:t>plus</w:t>
      </w:r>
    </w:p>
    <w:p>
      <w:pPr>
        <w:spacing w:after="0" w:line="162" w:lineRule="exact"/>
        <w:rPr>
          <w:rFonts w:ascii="Arial" w:cs="Arial" w:eastAsia="Arial" w:hAnsi="Arial"/>
          <w:sz w:val="17"/>
          <w:szCs w:val="17"/>
          <w:color w:val="auto"/>
        </w:rPr>
      </w:pPr>
    </w:p>
    <w:p>
      <w:pPr>
        <w:ind w:left="620" w:firstLine="620"/>
        <w:spacing w:after="0" w:line="238" w:lineRule="auto"/>
        <w:tabs>
          <w:tab w:leader="none" w:pos="1611"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for any Test Period,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(which amount shall be calculated on a Pro Forma Basis so as to eliminate the full annual amount of such Consolidated Net Income attributable to such Terminated Contracts during such Test Period), </w:t>
      </w:r>
      <w:r>
        <w:rPr>
          <w:rFonts w:ascii="Arial" w:cs="Arial" w:eastAsia="Arial" w:hAnsi="Arial"/>
          <w:sz w:val="16"/>
          <w:szCs w:val="16"/>
          <w:i w:val="1"/>
          <w:iCs w:val="1"/>
          <w:color w:val="auto"/>
        </w:rPr>
        <w:t>plus</w:t>
      </w:r>
    </w:p>
    <w:p>
      <w:pPr>
        <w:spacing w:after="0" w:line="173" w:lineRule="exact"/>
        <w:rPr>
          <w:sz w:val="20"/>
          <w:szCs w:val="20"/>
          <w:color w:val="auto"/>
        </w:rPr>
      </w:pPr>
    </w:p>
    <w:p>
      <w:pPr>
        <w:ind w:left="600" w:hanging="426"/>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or decreased by (without duplication):</w:t>
      </w:r>
    </w:p>
    <w:p>
      <w:pPr>
        <w:spacing w:after="0" w:line="178" w:lineRule="exact"/>
        <w:rPr>
          <w:rFonts w:ascii="Arial" w:cs="Arial" w:eastAsia="Arial" w:hAnsi="Arial"/>
          <w:sz w:val="17"/>
          <w:szCs w:val="17"/>
          <w:color w:val="auto"/>
        </w:rPr>
      </w:pPr>
    </w:p>
    <w:p>
      <w:pPr>
        <w:ind w:left="620" w:right="300" w:firstLine="620"/>
        <w:spacing w:after="0" w:line="236" w:lineRule="auto"/>
        <w:tabs>
          <w:tab w:leader="none" w:pos="160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net gain or loss resulting in such period from currency gains or losses related to Indebtedness, intercompany balances, and other balance sheet items, plus or minus, as the case may be, and</w:t>
      </w:r>
    </w:p>
    <w:p>
      <w:pPr>
        <w:spacing w:after="0" w:line="169" w:lineRule="exact"/>
        <w:rPr>
          <w:rFonts w:ascii="Arial" w:cs="Arial" w:eastAsia="Arial" w:hAnsi="Arial"/>
          <w:sz w:val="17"/>
          <w:szCs w:val="17"/>
          <w:color w:val="auto"/>
        </w:rPr>
      </w:pPr>
    </w:p>
    <w:p>
      <w:pPr>
        <w:jc w:val="both"/>
        <w:ind w:left="620" w:right="160" w:firstLine="620"/>
        <w:spacing w:after="0" w:line="224" w:lineRule="auto"/>
        <w:tabs>
          <w:tab w:leader="none" w:pos="161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w:t>
      </w:r>
    </w:p>
    <w:p>
      <w:pPr>
        <w:spacing w:after="0" w:line="178" w:lineRule="exact"/>
        <w:rPr>
          <w:sz w:val="20"/>
          <w:szCs w:val="20"/>
          <w:color w:val="auto"/>
        </w:rPr>
      </w:pPr>
    </w:p>
    <w:p>
      <w:pPr>
        <w:ind w:right="140" w:firstLine="174"/>
        <w:spacing w:after="0" w:line="231" w:lineRule="auto"/>
        <w:tabs>
          <w:tab w:leader="none" w:pos="50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00"/>
          </w:cols>
          <w:pgMar w:left="940" w:top="1440" w:right="359" w:bottom="1440" w:gutter="0" w:footer="0" w:header="0"/>
        </w:sectPr>
      </w:pPr>
    </w:p>
    <w:bookmarkStart w:id="38" w:name="page39"/>
    <w:bookmarkEnd w:id="38"/>
    <w:p>
      <w:pPr>
        <w:spacing w:after="0" w:line="106" w:lineRule="exact"/>
        <w:rPr>
          <w:sz w:val="20"/>
          <w:szCs w:val="20"/>
          <w:color w:val="auto"/>
        </w:rPr>
      </w:pPr>
    </w:p>
    <w:p>
      <w:pPr>
        <w:ind w:left="620" w:right="20" w:firstLine="174"/>
        <w:spacing w:after="0" w:line="247" w:lineRule="auto"/>
        <w:tabs>
          <w:tab w:leader="none" w:pos="1174"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there shall be included in determining Consolidated EBITDA for any period, without duplication, (1) the Acquired EBITDA of any Person or business, or attributable to any property or asset acquired by Holdings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Holdings or such Restricted Subsidiary during such period (each such Person, business, property, or asset acquired and not subsequently so disposed of, an “</w:t>
      </w:r>
      <w:r>
        <w:rPr>
          <w:rFonts w:ascii="Arial" w:cs="Arial" w:eastAsia="Arial" w:hAnsi="Arial"/>
          <w:sz w:val="15"/>
          <w:szCs w:val="15"/>
          <w:b w:val="1"/>
          <w:bCs w:val="1"/>
          <w:color w:val="auto"/>
        </w:rPr>
        <w:t>Acquired Entity or Business</w:t>
      </w:r>
      <w:r>
        <w:rPr>
          <w:rFonts w:ascii="Arial" w:cs="Arial" w:eastAsia="Arial" w:hAnsi="Arial"/>
          <w:sz w:val="15"/>
          <w:szCs w:val="15"/>
          <w:color w:val="auto"/>
        </w:rPr>
        <w:t>”) and the Acquired EBITDA of any Unrestricted Subsidiary that is converted into a Restricted Subsidiary during such period (each, a “</w:t>
      </w:r>
      <w:r>
        <w:rPr>
          <w:rFonts w:ascii="Arial" w:cs="Arial" w:eastAsia="Arial" w:hAnsi="Arial"/>
          <w:sz w:val="15"/>
          <w:szCs w:val="15"/>
          <w:b w:val="1"/>
          <w:bCs w:val="1"/>
          <w:color w:val="auto"/>
        </w:rPr>
        <w:t>Converted Restricted Subsidiary</w:t>
      </w:r>
      <w:r>
        <w:rPr>
          <w:rFonts w:ascii="Arial" w:cs="Arial" w:eastAsia="Arial" w:hAnsi="Arial"/>
          <w:sz w:val="15"/>
          <w:szCs w:val="15"/>
          <w:color w:val="auto"/>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155" w:lineRule="exact"/>
        <w:rPr>
          <w:rFonts w:ascii="Arial" w:cs="Arial" w:eastAsia="Arial" w:hAnsi="Arial"/>
          <w:sz w:val="15"/>
          <w:szCs w:val="15"/>
          <w:color w:val="auto"/>
        </w:rPr>
      </w:pPr>
    </w:p>
    <w:p>
      <w:pPr>
        <w:ind w:left="620" w:right="20" w:firstLine="174"/>
        <w:spacing w:after="0" w:line="231" w:lineRule="auto"/>
        <w:tabs>
          <w:tab w:leader="none" w:pos="122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Holdings or any Restricted Subsidiary during such period (each such Person, property, business, or asset so sold or disposed of, a “</w:t>
      </w:r>
      <w:r>
        <w:rPr>
          <w:rFonts w:ascii="Arial" w:cs="Arial" w:eastAsia="Arial" w:hAnsi="Arial"/>
          <w:sz w:val="16"/>
          <w:szCs w:val="16"/>
          <w:b w:val="1"/>
          <w:bCs w:val="1"/>
          <w:color w:val="auto"/>
        </w:rPr>
        <w:t>Sold Entity or</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w:t>
      </w:r>
      <w:r>
        <w:rPr>
          <w:rFonts w:ascii="Arial" w:cs="Arial" w:eastAsia="Arial" w:hAnsi="Arial"/>
          <w:sz w:val="16"/>
          <w:szCs w:val="16"/>
          <w:color w:val="auto"/>
        </w:rPr>
        <w:t>”), and the Disposed EBITDA of any Restricted Subsidiary that is converted into an Unrestricted Subsidiary during such period (each,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54" w:lineRule="exact"/>
        <w:rPr>
          <w:sz w:val="20"/>
          <w:szCs w:val="20"/>
          <w:color w:val="auto"/>
        </w:rPr>
      </w:pPr>
    </w:p>
    <w:p>
      <w:pPr>
        <w:ind w:right="34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Coverage Ratio</w:t>
      </w:r>
      <w:r>
        <w:rPr>
          <w:rFonts w:ascii="Arial" w:cs="Arial" w:eastAsia="Arial" w:hAnsi="Arial"/>
          <w:sz w:val="17"/>
          <w:szCs w:val="17"/>
          <w:color w:val="auto"/>
        </w:rPr>
        <w:t>” shall mean, as of any date of determination, the ratio of (i) Consolidated EBITDA of Holdings for the Test Period then last ended to (ii) Consolidated Interest Expense of Holdings for such Test Period.</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Expense</w:t>
      </w:r>
      <w:r>
        <w:rPr>
          <w:rFonts w:ascii="Arial" w:cs="Arial" w:eastAsia="Arial" w:hAnsi="Arial"/>
          <w:sz w:val="17"/>
          <w:szCs w:val="17"/>
          <w:color w:val="auto"/>
        </w:rPr>
        <w:t>” shall mean, with respect to any Person for any period, the sum, without duplication, of:</w:t>
      </w:r>
    </w:p>
    <w:p>
      <w:pPr>
        <w:spacing w:after="0" w:line="184" w:lineRule="exact"/>
        <w:rPr>
          <w:sz w:val="20"/>
          <w:szCs w:val="20"/>
          <w:color w:val="auto"/>
        </w:rPr>
      </w:pPr>
    </w:p>
    <w:p>
      <w:pPr>
        <w:ind w:left="620" w:firstLine="174"/>
        <w:spacing w:after="0" w:line="230" w:lineRule="auto"/>
        <w:tabs>
          <w:tab w:leader="none" w:pos="112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consolidated cash interest expense of such Person and its Restricted Subsidiaries for such period, to the extent such expense was deducted (and not added back) in computing Consolidated Net Income (including (a) all commissions, discounts, and other fees and charges owed with respect to letters of credit or bankers acceptances, (b) capitalized interest to the extent paid in cash, and (c) net payments, if any, pursuant to interest rate Hedging Obligations with respect to Indebtedness, and excluding (1) any one-time cash costs associated with breakage in respect of hedging agreements for interest rates, (2) all non-recurring cash interest expense consisting of liquidated damages for failure to timely comply with registration rights obligations, all as calculated on a consolidated basis in accordance with GAAP, (3) any “additional interest” owing pursuant to a registration rights agreement, (4) non-cash interest expense attributable to a parent entity resulting from push-down accounting, but solely to the extent not reducing consolidated cash interest expense in any prior period, (5) any non-cash expensing of bridge, commitment, and other financing fees that have been previously paid in cash, but solely to the extent not reducing consolidated cash interest expense in any prior period, and (6) commissions, discounts, yield, and other fees and charges (including any interest expense) related to any Receivables Facility); less</w:t>
      </w:r>
    </w:p>
    <w:p>
      <w:pPr>
        <w:spacing w:after="0" w:line="170" w:lineRule="exact"/>
        <w:rPr>
          <w:rFonts w:ascii="Arial" w:cs="Arial" w:eastAsia="Arial" w:hAnsi="Arial"/>
          <w:sz w:val="16"/>
          <w:szCs w:val="16"/>
          <w:color w:val="auto"/>
        </w:rPr>
      </w:pPr>
    </w:p>
    <w:p>
      <w:pPr>
        <w:ind w:left="1180" w:hanging="3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cash interest income for such period.</w:t>
      </w:r>
    </w:p>
    <w:p>
      <w:pPr>
        <w:spacing w:after="0" w:line="178" w:lineRule="exact"/>
        <w:rPr>
          <w:sz w:val="20"/>
          <w:szCs w:val="20"/>
          <w:color w:val="auto"/>
        </w:rPr>
      </w:pPr>
    </w:p>
    <w:p>
      <w:pPr>
        <w:ind w:right="320" w:firstLine="619"/>
        <w:spacing w:after="0" w:line="236" w:lineRule="auto"/>
        <w:rPr>
          <w:sz w:val="20"/>
          <w:szCs w:val="20"/>
          <w:color w:val="auto"/>
        </w:rPr>
      </w:pPr>
      <w:r>
        <w:rPr>
          <w:rFonts w:ascii="Arial" w:cs="Arial" w:eastAsia="Arial" w:hAnsi="Arial"/>
          <w:sz w:val="17"/>
          <w:szCs w:val="17"/>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4" w:lineRule="exact"/>
        <w:rPr>
          <w:sz w:val="20"/>
          <w:szCs w:val="20"/>
          <w:color w:val="auto"/>
        </w:rPr>
      </w:pPr>
    </w:p>
    <w:p>
      <w:pPr>
        <w:ind w:right="260" w:firstLine="61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w:t>
      </w:r>
    </w:p>
    <w:p>
      <w:pPr>
        <w:spacing w:after="0" w:line="135" w:lineRule="exact"/>
        <w:rPr>
          <w:sz w:val="20"/>
          <w:szCs w:val="20"/>
          <w:color w:val="auto"/>
        </w:rPr>
      </w:pPr>
    </w:p>
    <w:p>
      <w:pPr>
        <w:ind w:left="620" w:right="180" w:firstLine="174"/>
        <w:spacing w:after="0" w:line="313" w:lineRule="auto"/>
        <w:tabs>
          <w:tab w:leader="none" w:pos="1126"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after-tax effect of extraordinary, non-recurring, or unusual gains or losses (less all fees and expenses relating thereto) or expenses (including relating to the Transactions), severance, relocation costs, curtailments, or modifications to pension and post-retirement employee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start-up, transition, integration, and other restructuring and business optimization costs, charges, reserves, or expenses (including related to acquisitions</w:t>
      </w:r>
    </w:p>
    <w:p>
      <w:pPr>
        <w:spacing w:after="0" w:line="22" w:lineRule="exact"/>
        <w:rPr>
          <w:sz w:val="20"/>
          <w:szCs w:val="20"/>
          <w:color w:val="auto"/>
        </w:rPr>
      </w:pPr>
    </w:p>
    <w:p>
      <w:pPr>
        <w:ind w:right="440"/>
        <w:spacing w:after="0" w:line="227" w:lineRule="auto"/>
        <w:rPr>
          <w:sz w:val="20"/>
          <w:szCs w:val="20"/>
          <w:color w:val="auto"/>
        </w:rPr>
      </w:pPr>
      <w:r>
        <w:rPr>
          <w:rFonts w:ascii="Arial" w:cs="Arial" w:eastAsia="Arial" w:hAnsi="Arial"/>
          <w:sz w:val="17"/>
          <w:szCs w:val="17"/>
          <w:color w:val="auto"/>
        </w:rPr>
        <w:t>after the Second Restatement Effective Date and to the start-up, closure, and/or consolidation of facilities), new product introductions, and one-time compensation charges shall be excluded,</w:t>
      </w:r>
    </w:p>
    <w:p>
      <w:pPr>
        <w:spacing w:after="0" w:line="158" w:lineRule="exact"/>
        <w:rPr>
          <w:sz w:val="20"/>
          <w:szCs w:val="20"/>
          <w:color w:val="auto"/>
        </w:rPr>
      </w:pPr>
    </w:p>
    <w:p>
      <w:pPr>
        <w:ind w:firstLine="174"/>
        <w:spacing w:after="0" w:line="248" w:lineRule="auto"/>
        <w:tabs>
          <w:tab w:leader="none" w:pos="554"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Net Income for such period shall not include the cumulative effect of a change in accounting principles and changes as a result of the adoption or modification of accounting policies during such period,</w:t>
      </w:r>
    </w:p>
    <w:p>
      <w:pPr>
        <w:spacing w:after="0" w:line="150" w:lineRule="exact"/>
        <w:rPr>
          <w:rFonts w:ascii="Arial" w:cs="Arial" w:eastAsia="Arial" w:hAnsi="Arial"/>
          <w:sz w:val="17"/>
          <w:szCs w:val="17"/>
          <w:color w:val="auto"/>
        </w:rPr>
      </w:pPr>
    </w:p>
    <w:p>
      <w:pPr>
        <w:ind w:left="600" w:hanging="426"/>
        <w:spacing w:after="0"/>
        <w:tabs>
          <w:tab w:leader="none" w:pos="6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any net after-tax gains or losses on disposal of disposed, abandoned, transferred, closed, or discontinued operations or Stores shall be excluded,</w:t>
      </w:r>
    </w:p>
    <w:p>
      <w:pPr>
        <w:spacing w:after="0" w:line="201" w:lineRule="exact"/>
        <w:rPr>
          <w:rFonts w:ascii="Arial" w:cs="Arial" w:eastAsia="Arial" w:hAnsi="Arial"/>
          <w:sz w:val="15"/>
          <w:szCs w:val="15"/>
          <w:color w:val="auto"/>
        </w:rPr>
      </w:pPr>
    </w:p>
    <w:p>
      <w:pPr>
        <w:ind w:right="100" w:firstLine="174"/>
        <w:spacing w:after="0" w:line="278" w:lineRule="auto"/>
        <w:tabs>
          <w:tab w:leader="none" w:pos="5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other than in the ordinary course of business, as determined in good faith by the board of directors of Holdings, shall be excluded,</w:t>
      </w:r>
    </w:p>
    <w:p>
      <w:pPr>
        <w:spacing w:after="0" w:line="128" w:lineRule="exact"/>
        <w:rPr>
          <w:rFonts w:ascii="Arial" w:cs="Arial" w:eastAsia="Arial" w:hAnsi="Arial"/>
          <w:sz w:val="16"/>
          <w:szCs w:val="16"/>
          <w:color w:val="auto"/>
        </w:rPr>
      </w:pPr>
    </w:p>
    <w:p>
      <w:pPr>
        <w:ind w:right="460" w:firstLine="174"/>
        <w:spacing w:after="0" w:line="224" w:lineRule="auto"/>
        <w:tabs>
          <w:tab w:leader="none" w:pos="544"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of Holdings shall be increased by the amount of dividends or distributions or other payments that are actually paid in cash (or to the extent converted into cash or Cash Equivalents) to the referent Person or a Restricted Subsidiary thereof in respect of such period,</w:t>
      </w:r>
    </w:p>
    <w:p>
      <w:pPr>
        <w:spacing w:after="0" w:line="159" w:lineRule="exact"/>
        <w:rPr>
          <w:rFonts w:ascii="Arial" w:cs="Arial" w:eastAsia="Arial" w:hAnsi="Arial"/>
          <w:sz w:val="17"/>
          <w:szCs w:val="17"/>
          <w:color w:val="auto"/>
        </w:rPr>
      </w:pPr>
    </w:p>
    <w:p>
      <w:pPr>
        <w:ind w:firstLine="174"/>
        <w:spacing w:after="0" w:line="246" w:lineRule="auto"/>
        <w:tabs>
          <w:tab w:leader="none" w:pos="592" w:val="left"/>
        </w:tabs>
        <w:numPr>
          <w:ilvl w:val="1"/>
          <w:numId w:val="23"/>
        </w:numPr>
        <w:rPr>
          <w:rFonts w:ascii="Arial" w:cs="Arial" w:eastAsia="Arial" w:hAnsi="Arial"/>
          <w:sz w:val="15"/>
          <w:szCs w:val="15"/>
          <w:color w:val="auto"/>
        </w:rPr>
      </w:pPr>
      <w:r>
        <w:rPr>
          <w:rFonts w:ascii="Arial" w:cs="Arial" w:eastAsia="Arial" w:hAnsi="Arial"/>
          <w:sz w:val="15"/>
          <w:szCs w:val="15"/>
          <w:color w:val="auto"/>
        </w:rPr>
        <w:t xml:space="preserve">solely for the purpose of determining the amount available for Restricted Payments under </w:t>
      </w:r>
      <w:r>
        <w:rPr>
          <w:rFonts w:ascii="Arial" w:cs="Arial" w:eastAsia="Arial" w:hAnsi="Arial"/>
          <w:sz w:val="15"/>
          <w:szCs w:val="15"/>
          <w:u w:val="single" w:color="auto"/>
          <w:color w:val="auto"/>
        </w:rPr>
        <w:t>clause (a)(4)(iii)(A)</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w:t>
      </w:r>
      <w:r>
        <w:rPr>
          <w:rFonts w:ascii="Arial" w:cs="Arial" w:eastAsia="Arial" w:hAnsi="Arial"/>
          <w:sz w:val="15"/>
          <w:szCs w:val="15"/>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Incremental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w:t>
      </w:r>
    </w:p>
    <w:p>
      <w:pPr>
        <w:spacing w:after="0" w:line="156" w:lineRule="exact"/>
        <w:rPr>
          <w:rFonts w:ascii="Arial" w:cs="Arial" w:eastAsia="Arial" w:hAnsi="Arial"/>
          <w:sz w:val="15"/>
          <w:szCs w:val="15"/>
          <w:color w:val="auto"/>
        </w:rPr>
      </w:pPr>
    </w:p>
    <w:p>
      <w:pPr>
        <w:ind w:firstLine="174"/>
        <w:spacing w:after="0" w:line="234" w:lineRule="auto"/>
        <w:tabs>
          <w:tab w:leader="none" w:pos="63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effects of adjustments (including the effects of such adjustments pushed down to Holdings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Original Transactions and any acquisition that is consummated after the Closing Date or the amortization or write-off of any amounts thereof, net of taxes, shall be excluded,</w:t>
      </w:r>
    </w:p>
    <w:p>
      <w:pPr>
        <w:spacing w:after="0" w:line="173" w:lineRule="exact"/>
        <w:rPr>
          <w:rFonts w:ascii="Arial" w:cs="Arial" w:eastAsia="Arial" w:hAnsi="Arial"/>
          <w:sz w:val="16"/>
          <w:szCs w:val="16"/>
          <w:color w:val="auto"/>
        </w:rPr>
      </w:pPr>
    </w:p>
    <w:p>
      <w:pPr>
        <w:ind w:right="120" w:firstLine="174"/>
        <w:spacing w:after="0" w:line="245" w:lineRule="auto"/>
        <w:tabs>
          <w:tab w:leader="none" w:pos="687" w:val="left"/>
        </w:tabs>
        <w:numPr>
          <w:ilvl w:val="1"/>
          <w:numId w:val="23"/>
        </w:numPr>
        <w:rPr>
          <w:rFonts w:ascii="Arial" w:cs="Arial" w:eastAsia="Arial" w:hAnsi="Arial"/>
          <w:sz w:val="15"/>
          <w:szCs w:val="15"/>
          <w:color w:val="auto"/>
        </w:rPr>
      </w:pPr>
      <w:r>
        <w:rPr>
          <w:rFonts w:ascii="Arial" w:cs="Arial" w:eastAsia="Arial" w:hAnsi="Arial"/>
          <w:sz w:val="15"/>
          <w:szCs w:val="15"/>
          <w:color w:val="auto"/>
        </w:rPr>
        <w:t>(a) any after-tax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w:t>
      </w:r>
    </w:p>
    <w:p>
      <w:pPr>
        <w:spacing w:after="0" w:line="1" w:lineRule="exact"/>
        <w:rPr>
          <w:rFonts w:ascii="Arial" w:cs="Arial" w:eastAsia="Arial" w:hAnsi="Arial"/>
          <w:sz w:val="15"/>
          <w:szCs w:val="15"/>
          <w:color w:val="auto"/>
        </w:rPr>
      </w:pPr>
    </w:p>
    <w:p>
      <w:pPr>
        <w:ind w:right="340" w:firstLine="2"/>
        <w:spacing w:after="0" w:line="227" w:lineRule="auto"/>
        <w:tabs>
          <w:tab w:leader="none" w:pos="2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non-cash expense, income, or loss attributable to the movement in mark to market valuation of foreign currencies, Indebtedness, or derivative instruments pursuant to GAAP, shall be excluded,</w:t>
      </w:r>
    </w:p>
    <w:p>
      <w:pPr>
        <w:spacing w:after="0" w:line="157" w:lineRule="exact"/>
        <w:rPr>
          <w:rFonts w:ascii="Arial" w:cs="Arial" w:eastAsia="Arial" w:hAnsi="Arial"/>
          <w:sz w:val="17"/>
          <w:szCs w:val="17"/>
          <w:color w:val="auto"/>
        </w:rPr>
      </w:pPr>
    </w:p>
    <w:p>
      <w:pPr>
        <w:ind w:right="180" w:firstLine="174"/>
        <w:spacing w:after="0" w:line="231" w:lineRule="auto"/>
        <w:tabs>
          <w:tab w:leader="none" w:pos="592"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impairment charge, asset write-off, or write-down pursuant to ASC 350 and Financial Accounting Standards Codification Topic 360 – Impairment and Disposal of Long-Lived Assets (ASC 360) (formerly Financial Accounting Standards Board Statement Nos. 142 and 144, respectively) and the amortization of intangibles arising pursuant to ASC 805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00"/>
          </w:cols>
          <w:pgMar w:left="940" w:top="1440" w:right="359" w:bottom="1440" w:gutter="0" w:footer="0" w:header="0"/>
        </w:sectPr>
      </w:pPr>
    </w:p>
    <w:bookmarkStart w:id="40" w:name="page41"/>
    <w:bookmarkEnd w:id="40"/>
    <w:p>
      <w:pPr>
        <w:spacing w:after="0" w:line="106" w:lineRule="exact"/>
        <w:rPr>
          <w:sz w:val="20"/>
          <w:szCs w:val="20"/>
          <w:color w:val="auto"/>
        </w:rPr>
      </w:pPr>
    </w:p>
    <w:p>
      <w:pPr>
        <w:ind w:left="1160" w:hanging="366"/>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any non-cash compensation expense recorded from grants of stock appreciation or similar rights, phantom equity, stock options units,</w:t>
      </w:r>
    </w:p>
    <w:p>
      <w:pPr>
        <w:spacing w:after="0" w:line="10" w:lineRule="exact"/>
        <w:rPr>
          <w:rFonts w:ascii="Arial" w:cs="Arial" w:eastAsia="Arial" w:hAnsi="Arial"/>
          <w:sz w:val="16"/>
          <w:szCs w:val="16"/>
          <w:color w:val="auto"/>
        </w:rPr>
      </w:pPr>
    </w:p>
    <w:p>
      <w:pPr>
        <w:ind w:left="620" w:right="140"/>
        <w:spacing w:after="0" w:line="227" w:lineRule="auto"/>
        <w:rPr>
          <w:rFonts w:ascii="Arial" w:cs="Arial" w:eastAsia="Arial" w:hAnsi="Arial"/>
          <w:sz w:val="16"/>
          <w:szCs w:val="16"/>
          <w:color w:val="auto"/>
        </w:rPr>
      </w:pPr>
      <w:r>
        <w:rPr>
          <w:rFonts w:ascii="Arial" w:cs="Arial" w:eastAsia="Arial" w:hAnsi="Arial"/>
          <w:sz w:val="17"/>
          <w:szCs w:val="17"/>
          <w:color w:val="auto"/>
        </w:rPr>
        <w:t>restricted stock, or other rights to officers, directors, managers, or employees and (b) non-cash income (loss) attributable to deferred compensation plans or trusts, shall be excluded,</w:t>
      </w:r>
    </w:p>
    <w:p>
      <w:pPr>
        <w:spacing w:after="0" w:line="157" w:lineRule="exact"/>
        <w:rPr>
          <w:rFonts w:ascii="Arial" w:cs="Arial" w:eastAsia="Arial" w:hAnsi="Arial"/>
          <w:sz w:val="16"/>
          <w:szCs w:val="16"/>
          <w:color w:val="auto"/>
        </w:rPr>
      </w:pPr>
    </w:p>
    <w:p>
      <w:pPr>
        <w:ind w:left="620" w:firstLine="174"/>
        <w:spacing w:after="0" w:line="224" w:lineRule="auto"/>
        <w:tabs>
          <w:tab w:leader="none" w:pos="12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Second Restatement Effective Date and any such transaction undertaken but not completed) and any charges or non-recurring merger costs incurred during such period as a result of any such transaction shall be excluded,</w:t>
      </w:r>
    </w:p>
    <w:p>
      <w:pPr>
        <w:spacing w:after="0" w:line="157" w:lineRule="exact"/>
        <w:rPr>
          <w:rFonts w:ascii="Arial" w:cs="Arial" w:eastAsia="Arial" w:hAnsi="Arial"/>
          <w:sz w:val="17"/>
          <w:szCs w:val="17"/>
          <w:color w:val="auto"/>
        </w:rPr>
      </w:pPr>
    </w:p>
    <w:p>
      <w:pPr>
        <w:ind w:left="620" w:right="20" w:firstLine="174"/>
        <w:spacing w:after="0" w:line="231" w:lineRule="auto"/>
        <w:tabs>
          <w:tab w:leader="none" w:pos="1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accruals and reserves (including contingent liabilities) that were established or adjusted within twelve months after the Closing Date that were so required to be established as a result of the Original Transactions in accordance with GAAP, or changes as a result of adoption or modification of accounting policies, shall be excluded,</w:t>
      </w:r>
    </w:p>
    <w:p>
      <w:pPr>
        <w:spacing w:after="0" w:line="157" w:lineRule="exact"/>
        <w:rPr>
          <w:rFonts w:ascii="Arial" w:cs="Arial" w:eastAsia="Arial" w:hAnsi="Arial"/>
          <w:sz w:val="17"/>
          <w:szCs w:val="17"/>
          <w:color w:val="auto"/>
        </w:rPr>
      </w:pPr>
    </w:p>
    <w:p>
      <w:pPr>
        <w:ind w:left="620" w:right="100" w:firstLine="174"/>
        <w:spacing w:after="0" w:line="234" w:lineRule="auto"/>
        <w:tabs>
          <w:tab w:leader="none" w:pos="13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173" w:lineRule="exact"/>
        <w:rPr>
          <w:rFonts w:ascii="Arial" w:cs="Arial" w:eastAsia="Arial" w:hAnsi="Arial"/>
          <w:sz w:val="16"/>
          <w:szCs w:val="16"/>
          <w:color w:val="auto"/>
        </w:rPr>
      </w:pPr>
    </w:p>
    <w:p>
      <w:pPr>
        <w:ind w:left="620" w:right="440" w:firstLine="174"/>
        <w:spacing w:after="0" w:line="236" w:lineRule="auto"/>
        <w:tabs>
          <w:tab w:leader="none" w:pos="12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deferred tax expense associated with tax deductions or net operating losses arising as a result of the Transactions, or the release of any valuation allowance related to such items, shall be excluded,</w:t>
      </w:r>
    </w:p>
    <w:p>
      <w:pPr>
        <w:spacing w:after="0" w:line="157" w:lineRule="exact"/>
        <w:rPr>
          <w:rFonts w:ascii="Arial" w:cs="Arial" w:eastAsia="Arial" w:hAnsi="Arial"/>
          <w:sz w:val="17"/>
          <w:szCs w:val="17"/>
          <w:color w:val="auto"/>
        </w:rPr>
      </w:pPr>
    </w:p>
    <w:p>
      <w:pPr>
        <w:ind w:left="620" w:right="320" w:firstLine="174"/>
        <w:spacing w:after="0" w:line="248" w:lineRule="auto"/>
        <w:tabs>
          <w:tab w:leader="none" w:pos="12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costs or expenses incurred during such period relating to environmental remediation, litigation, or other disputes in respect of events and exposures that occurred prior to the Closing Date shall be excluded, and</w:t>
      </w:r>
    </w:p>
    <w:p>
      <w:pPr>
        <w:spacing w:after="0" w:line="150" w:lineRule="exact"/>
        <w:rPr>
          <w:sz w:val="20"/>
          <w:szCs w:val="20"/>
          <w:color w:val="auto"/>
        </w:rPr>
      </w:pPr>
    </w:p>
    <w:p>
      <w:pPr>
        <w:ind w:left="620" w:right="60" w:firstLine="174"/>
        <w:spacing w:after="0" w:line="236" w:lineRule="auto"/>
        <w:tabs>
          <w:tab w:leader="none" w:pos="13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net increase or decrease in deferred revenue from the sale of Eye Care Club memberships, product warranty programs and other programs providing deferred revenue shall be excluded.</w:t>
      </w:r>
    </w:p>
    <w:p>
      <w:pPr>
        <w:spacing w:after="0" w:line="164" w:lineRule="exact"/>
        <w:rPr>
          <w:sz w:val="20"/>
          <w:szCs w:val="20"/>
          <w:color w:val="auto"/>
        </w:rPr>
      </w:pPr>
    </w:p>
    <w:p>
      <w:pPr>
        <w:ind w:right="360" w:firstLine="61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shall mean, as of any date of determination, the amount that would, in conformity with GAAP, be set forth opposite the caption “total assets” (or any like caption) on the most recent consolidated balance sheet of Holdings and the Restricted Subsidiaries at such date.</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shall mean, as at any date of determination, an amount equal to the sum of the aggregate amount of all outstanding</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Indebtedness of Holdings and the Restricted Subsidiaries on a consolidated basis consisting of third-party Indebtedness for borrowed money, Capitalized Lease Obligations and debt obligations evidenced by promissory notes and similar instruments (and excluding, for the avoidance of doubt, Hedging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Consolidated Total Debt shall not include Letters of Credit, except to the extent of Unpaid Drawings thereunder and (y) notwithstanding anything</w:t>
      </w:r>
    </w:p>
    <w:p>
      <w:pPr>
        <w:ind w:right="360"/>
        <w:spacing w:after="0" w:line="243" w:lineRule="auto"/>
        <w:rPr>
          <w:sz w:val="20"/>
          <w:szCs w:val="20"/>
          <w:color w:val="auto"/>
        </w:rPr>
      </w:pPr>
      <w:r>
        <w:rPr>
          <w:rFonts w:ascii="Arial" w:cs="Arial" w:eastAsia="Arial" w:hAnsi="Arial"/>
          <w:sz w:val="16"/>
          <w:szCs w:val="16"/>
          <w:color w:val="auto"/>
        </w:rPr>
        <w:t>to the contrary herein, Consolidated Total Debt shall include the aggregate amount of all outstanding Indebtedness of any Parent Entity of Holdings, including Indebtedness in the form of equity-linked securities and convertible securities, incurred after the Second Restatement Effective Date.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 to Consolidated EBITDA Ratio</w:t>
      </w:r>
      <w:r>
        <w:rPr>
          <w:rFonts w:ascii="Arial" w:cs="Arial" w:eastAsia="Arial" w:hAnsi="Arial"/>
          <w:sz w:val="16"/>
          <w:szCs w:val="16"/>
          <w:color w:val="auto"/>
        </w:rPr>
        <w:t>” shall mean, as of any date of determination, the ratio of (i) Consolidated Total Debt as of</w:t>
      </w:r>
    </w:p>
    <w:p>
      <w:pPr>
        <w:spacing w:after="0" w:line="17"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 xml:space="preserve">such date of determination, </w:t>
      </w:r>
      <w:r>
        <w:rPr>
          <w:rFonts w:ascii="Arial" w:cs="Arial" w:eastAsia="Arial" w:hAnsi="Arial"/>
          <w:sz w:val="15"/>
          <w:szCs w:val="15"/>
          <w:i w:val="1"/>
          <w:iCs w:val="1"/>
          <w:color w:val="auto"/>
        </w:rPr>
        <w:t>minus</w:t>
      </w:r>
      <w:r>
        <w:rPr>
          <w:rFonts w:ascii="Arial" w:cs="Arial" w:eastAsia="Arial" w:hAnsi="Arial"/>
          <w:sz w:val="15"/>
          <w:szCs w:val="15"/>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Total Debt to Consolidated EBITDA Ratio) to (ii) Consolidated EBITDA of Holdings for the Test Period then</w:t>
      </w:r>
    </w:p>
    <w:p>
      <w:pPr>
        <w:ind w:right="220"/>
        <w:spacing w:after="0" w:line="239" w:lineRule="auto"/>
        <w:rPr>
          <w:sz w:val="20"/>
          <w:szCs w:val="20"/>
          <w:color w:val="auto"/>
        </w:rPr>
      </w:pPr>
      <w:r>
        <w:rPr>
          <w:rFonts w:ascii="Arial" w:cs="Arial" w:eastAsia="Arial" w:hAnsi="Arial"/>
          <w:sz w:val="15"/>
          <w:szCs w:val="15"/>
          <w:color w:val="auto"/>
        </w:rPr>
        <w:t>last ended.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Consolidated Total Debt to Consolidated EBITDA Ratio shall be calculated giving Pro Forma Effect to such incurrence, assumption, guarantee,</w:t>
      </w:r>
    </w:p>
    <w:p>
      <w:pPr>
        <w:spacing w:after="0"/>
        <w:rPr>
          <w:sz w:val="20"/>
          <w:szCs w:val="20"/>
          <w:color w:val="auto"/>
        </w:rPr>
      </w:pPr>
      <w:r>
        <w:rPr>
          <w:rFonts w:ascii="Arial" w:cs="Arial" w:eastAsia="Arial" w:hAnsi="Arial"/>
          <w:sz w:val="17"/>
          <w:szCs w:val="17"/>
          <w:color w:val="auto"/>
        </w:rPr>
        <w:t>redemption, retirement,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extinguishment of Indebtedness, or such issuance or redemption of Disqualified Stock or preferred stock (in each case, including a pro forma application of the net</w:t>
      </w:r>
    </w:p>
    <w:p>
      <w:pPr>
        <w:spacing w:after="0" w:line="22" w:lineRule="exact"/>
        <w:rPr>
          <w:sz w:val="20"/>
          <w:szCs w:val="20"/>
          <w:color w:val="auto"/>
        </w:rPr>
      </w:pPr>
    </w:p>
    <w:p>
      <w:pPr>
        <w:ind w:right="620"/>
        <w:spacing w:after="0" w:line="243" w:lineRule="auto"/>
        <w:rPr>
          <w:sz w:val="20"/>
          <w:szCs w:val="20"/>
          <w:color w:val="auto"/>
        </w:rPr>
      </w:pPr>
      <w:r>
        <w:rPr>
          <w:rFonts w:ascii="Arial" w:cs="Arial" w:eastAsia="Arial" w:hAnsi="Arial"/>
          <w:sz w:val="16"/>
          <w:szCs w:val="16"/>
          <w:color w:val="auto"/>
        </w:rPr>
        <w:t xml:space="preserve">proceeds therefrom), as if the same had occurred at the beginning of the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Pro Forma Effect shall not give effect to any Indebtedness incurred on the date of such determination (except pursuant to the first paragraph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10.1(n)</w:t>
      </w:r>
      <w:r>
        <w:rPr>
          <w:rFonts w:ascii="Arial" w:cs="Arial" w:eastAsia="Arial" w:hAnsi="Arial"/>
          <w:sz w:val="16"/>
          <w:szCs w:val="16"/>
          <w:color w:val="auto"/>
        </w:rPr>
        <w:t>).</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Obligations</w:t>
      </w:r>
      <w:r>
        <w:rPr>
          <w:rFonts w:ascii="Arial" w:cs="Arial" w:eastAsia="Arial" w:hAnsi="Arial"/>
          <w:sz w:val="15"/>
          <w:szCs w:val="15"/>
          <w:color w:val="auto"/>
        </w:rPr>
        <w:t>” shall mean, with respect to any Person, any obligation of such Person guaranteeing any leases, dividends, or other obligations</w:t>
      </w:r>
    </w:p>
    <w:p>
      <w:pPr>
        <w:spacing w:after="0" w:line="28"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that do not constitute Indebtedness (“</w:t>
      </w:r>
      <w:r>
        <w:rPr>
          <w:rFonts w:ascii="Arial" w:cs="Arial" w:eastAsia="Arial" w:hAnsi="Arial"/>
          <w:sz w:val="15"/>
          <w:szCs w:val="15"/>
          <w:b w:val="1"/>
          <w:bCs w:val="1"/>
          <w:color w:val="auto"/>
        </w:rPr>
        <w:t>primary obligations</w:t>
      </w:r>
      <w:r>
        <w:rPr>
          <w:rFonts w:ascii="Arial" w:cs="Arial" w:eastAsia="Arial" w:hAnsi="Arial"/>
          <w:sz w:val="15"/>
          <w:szCs w:val="15"/>
          <w:color w:val="auto"/>
        </w:rPr>
        <w:t xml:space="preserve"> ”) of any other Person (the “</w:t>
      </w:r>
      <w:r>
        <w:rPr>
          <w:rFonts w:ascii="Arial" w:cs="Arial" w:eastAsia="Arial" w:hAnsi="Arial"/>
          <w:sz w:val="15"/>
          <w:szCs w:val="15"/>
          <w:b w:val="1"/>
          <w:bCs w:val="1"/>
          <w:color w:val="auto"/>
        </w:rPr>
        <w:t>primary obligor</w:t>
      </w:r>
      <w:r>
        <w:rPr>
          <w:rFonts w:ascii="Arial" w:cs="Arial" w:eastAsia="Arial" w:hAnsi="Arial"/>
          <w:sz w:val="15"/>
          <w:szCs w:val="15"/>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w:t>
      </w:r>
    </w:p>
    <w:p>
      <w:pPr>
        <w:ind w:right="100"/>
        <w:spacing w:after="0" w:line="220" w:lineRule="auto"/>
        <w:rPr>
          <w:sz w:val="20"/>
          <w:szCs w:val="20"/>
          <w:color w:val="auto"/>
        </w:rPr>
      </w:pPr>
      <w:r>
        <w:rPr>
          <w:rFonts w:ascii="Arial" w:cs="Arial" w:eastAsia="Arial" w:hAnsi="Arial"/>
          <w:sz w:val="17"/>
          <w:szCs w:val="17"/>
          <w:color w:val="auto"/>
        </w:rPr>
        <w:t>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Requirement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shall have the meaning provided in the definition of “Consolidated EBITDA”.</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Unrestricted Subsidiary</w:t>
      </w:r>
      <w:r>
        <w:rPr>
          <w:rFonts w:ascii="Arial" w:cs="Arial" w:eastAsia="Arial" w:hAnsi="Arial"/>
          <w:sz w:val="17"/>
          <w:szCs w:val="17"/>
          <w:color w:val="auto"/>
        </w:rPr>
        <w:t>” shall have the meaning provided in the definition of “Consolidated EBITDA”.</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Counterparty</w:t>
      </w:r>
      <w:r>
        <w:rPr>
          <w:rFonts w:ascii="Arial" w:cs="Arial" w:eastAsia="Arial" w:hAnsi="Arial"/>
          <w:sz w:val="17"/>
          <w:szCs w:val="17"/>
          <w:color w:val="auto"/>
        </w:rPr>
        <w:t>” shall mean a Person other than a retail customer.</w:t>
      </w:r>
    </w:p>
    <w:p>
      <w:pPr>
        <w:spacing w:after="0" w:line="178" w:lineRule="exact"/>
        <w:rPr>
          <w:sz w:val="20"/>
          <w:szCs w:val="20"/>
          <w:color w:val="auto"/>
        </w:rPr>
      </w:pPr>
    </w:p>
    <w:p>
      <w:pPr>
        <w:ind w:right="6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Documents</w:t>
      </w:r>
      <w:r>
        <w:rPr>
          <w:rFonts w:ascii="Arial" w:cs="Arial" w:eastAsia="Arial" w:hAnsi="Arial"/>
          <w:sz w:val="17"/>
          <w:szCs w:val="17"/>
          <w:color w:val="auto"/>
        </w:rPr>
        <w:t>” shall mean this Agreement, the Second Restatement Agreement, the Restatement Agreement, each Joinder Agreement, the Guarantees, the Security Documents, and any promissory notes issued by the Borrower pursuant hereto.</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Facilities</w:t>
      </w:r>
      <w:r>
        <w:rPr>
          <w:rFonts w:ascii="Arial" w:cs="Arial" w:eastAsia="Arial" w:hAnsi="Arial"/>
          <w:sz w:val="17"/>
          <w:szCs w:val="17"/>
          <w:color w:val="auto"/>
        </w:rPr>
        <w:t>” shall mean, collectively, each category of Commitments and each extension of credit hereunder.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Facility</w:t>
      </w:r>
      <w:r>
        <w:rPr>
          <w:rFonts w:ascii="Arial" w:cs="Arial" w:eastAsia="Arial" w:hAnsi="Arial"/>
          <w:sz w:val="17"/>
          <w:szCs w:val="17"/>
          <w:color w:val="auto"/>
        </w:rPr>
        <w:t>” shall mean a category of Commitments and extensions of credit thereunder.</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Party</w:t>
      </w:r>
      <w:r>
        <w:rPr>
          <w:rFonts w:ascii="Arial" w:cs="Arial" w:eastAsia="Arial" w:hAnsi="Arial"/>
          <w:sz w:val="17"/>
          <w:szCs w:val="17"/>
          <w:color w:val="auto"/>
        </w:rPr>
        <w:t>” shall mean Holdings, the Borrower, and the other Guarantors.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Creditor Party</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12.15</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Amount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11.14</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Right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11.14</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Simple SOFR</w:t>
      </w:r>
      <w:r>
        <w:rPr>
          <w:rFonts w:ascii="Arial" w:cs="Arial" w:eastAsia="Arial" w:hAnsi="Arial"/>
          <w:sz w:val="16"/>
          <w:szCs w:val="16"/>
          <w:color w:val="auto"/>
        </w:rPr>
        <w:t>” means the rate per annum equal to SOFR determined for any day pursuant to the definition thereof plus the SOFR Adjustment.</w:t>
      </w:r>
    </w:p>
    <w:p>
      <w:pPr>
        <w:spacing w:after="0" w:line="190" w:lineRule="exact"/>
        <w:rPr>
          <w:sz w:val="20"/>
          <w:szCs w:val="20"/>
          <w:color w:val="auto"/>
        </w:rPr>
      </w:pPr>
    </w:p>
    <w:p>
      <w:pPr>
        <w:ind w:right="32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Incurrence Prepayment Event</w:t>
      </w:r>
      <w:r>
        <w:rPr>
          <w:rFonts w:ascii="Arial" w:cs="Arial" w:eastAsia="Arial" w:hAnsi="Arial"/>
          <w:sz w:val="17"/>
          <w:szCs w:val="17"/>
          <w:color w:val="auto"/>
        </w:rPr>
        <w:t xml:space="preserve">” shall mean any issuance or incurrence by Holdings or any of the Restricted Subsidiaries of any Indebtedness (excluding any Indebtedness permitted to be issued or incurred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10.1(w)(i))</w:t>
      </w:r>
      <w:r>
        <w:rPr>
          <w:rFonts w:ascii="Arial" w:cs="Arial" w:eastAsia="Arial" w:hAnsi="Arial"/>
          <w:sz w:val="17"/>
          <w:szCs w:val="17"/>
          <w:color w:val="auto"/>
        </w:rPr>
        <w:t>.</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Declined Proceeds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5.2(f)</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shall mean any event, act, or condition that with notice or lapse of time, or both, would constitute an Event of Default.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2.8(c)</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00" w:lineRule="exact"/>
        <w:rPr>
          <w:sz w:val="20"/>
          <w:szCs w:val="20"/>
          <w:color w:val="auto"/>
        </w:rPr>
      </w:pPr>
    </w:p>
    <w:p>
      <w:pPr>
        <w:ind w:right="42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shall mean any Lender whose acts or failure to act, whether directly or indirectly, cause it to meet any part of the definition of “Lender Default”.</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Net Cash Proceeds</w:t>
      </w:r>
      <w:r>
        <w:rPr>
          <w:rFonts w:ascii="Arial" w:cs="Arial" w:eastAsia="Arial" w:hAnsi="Arial"/>
          <w:sz w:val="17"/>
          <w:szCs w:val="17"/>
          <w:color w:val="auto"/>
        </w:rPr>
        <w:t>” shall have the meaning provided such term in the definition of “Net Cash Proceeds”.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shall have the meaning provided such term in the definition of “Net Cash Proceeds”.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Jurisdiction</w:t>
      </w:r>
      <w:r>
        <w:rPr>
          <w:rFonts w:ascii="Arial" w:cs="Arial" w:eastAsia="Arial" w:hAnsi="Arial"/>
          <w:sz w:val="16"/>
          <w:szCs w:val="16"/>
          <w:color w:val="auto"/>
        </w:rPr>
        <w:t>” shall mean any country, region or territory to the extent that such country or territory itself is the subject of any Sanction.</w:t>
      </w:r>
    </w:p>
    <w:p>
      <w:pPr>
        <w:spacing w:after="0" w:line="190" w:lineRule="exact"/>
        <w:rPr>
          <w:sz w:val="20"/>
          <w:szCs w:val="20"/>
          <w:color w:val="auto"/>
        </w:rPr>
      </w:pPr>
    </w:p>
    <w:p>
      <w:pPr>
        <w:ind w:right="1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Designated Non-Cash Consideration</w:t>
      </w:r>
      <w:r>
        <w:rPr>
          <w:rFonts w:ascii="Arial" w:cs="Arial" w:eastAsia="Arial" w:hAnsi="Arial"/>
          <w:sz w:val="15"/>
          <w:szCs w:val="15"/>
          <w:color w:val="auto"/>
        </w:rPr>
        <w:t>” shall mean the Fair Market Value of non-cash consideration received by Holdings or a Restricted Subsidiary in connection with an Asset Sale that is so designated as Designated Non-Cash Consideration pursuant to a certificate of an Authorized Officer of Holdings or the</w:t>
      </w:r>
    </w:p>
    <w:p>
      <w:pPr>
        <w:ind w:right="20"/>
        <w:spacing w:after="0" w:line="239" w:lineRule="auto"/>
        <w:rPr>
          <w:sz w:val="20"/>
          <w:szCs w:val="20"/>
          <w:color w:val="auto"/>
        </w:rPr>
      </w:pPr>
      <w:r>
        <w:rPr>
          <w:rFonts w:ascii="Arial" w:cs="Arial" w:eastAsia="Arial" w:hAnsi="Arial"/>
          <w:sz w:val="15"/>
          <w:szCs w:val="15"/>
          <w:color w:val="auto"/>
        </w:rPr>
        <w:t>Borrower, setting forth the basis of such valuation, executed by either a senior vice president or the principal financial officer of Holdings or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w:t>
      </w:r>
    </w:p>
    <w:p>
      <w:pPr>
        <w:spacing w:after="0"/>
        <w:rPr>
          <w:sz w:val="20"/>
          <w:szCs w:val="20"/>
          <w:color w:val="auto"/>
        </w:rPr>
      </w:pPr>
      <w:r>
        <w:rPr>
          <w:rFonts w:ascii="Arial" w:cs="Arial" w:eastAsia="Arial" w:hAnsi="Arial"/>
          <w:sz w:val="17"/>
          <w:szCs w:val="17"/>
          <w:color w:val="auto"/>
        </w:rPr>
        <w:t xml:space="preserve">redeemed or otherwise retired or sold or otherwise disposed of in compliance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58" w:lineRule="exact"/>
        <w:rPr>
          <w:sz w:val="20"/>
          <w:szCs w:val="20"/>
          <w:color w:val="auto"/>
        </w:rPr>
      </w:pPr>
    </w:p>
    <w:p>
      <w:pPr>
        <w:ind w:right="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Designated Preferred Stock</w:t>
      </w:r>
      <w:r>
        <w:rPr>
          <w:rFonts w:ascii="Arial" w:cs="Arial" w:eastAsia="Arial" w:hAnsi="Arial"/>
          <w:sz w:val="15"/>
          <w:szCs w:val="15"/>
          <w:color w:val="auto"/>
        </w:rPr>
        <w:t>” shall mean preferred stock of Holdings or any direct or indirect parent company of Holdings (in each case other than Disqualified Stock) that is issued for cash (other than to a Restricted Subsidiary or an employee stock ownership plan or trust established by Holdings or any of its</w:t>
      </w:r>
    </w:p>
    <w:p>
      <w:pPr>
        <w:jc w:val="both"/>
        <w:ind w:right="160"/>
        <w:spacing w:after="0" w:line="220" w:lineRule="auto"/>
        <w:rPr>
          <w:sz w:val="20"/>
          <w:szCs w:val="20"/>
          <w:color w:val="auto"/>
        </w:rPr>
      </w:pPr>
      <w:r>
        <w:rPr>
          <w:rFonts w:ascii="Arial" w:cs="Arial" w:eastAsia="Arial" w:hAnsi="Arial"/>
          <w:sz w:val="17"/>
          <w:szCs w:val="17"/>
          <w:color w:val="auto"/>
        </w:rPr>
        <w:t xml:space="preserve">Subsidiaries) and is so designated as Designated Preferred Stock, pursuant to an officer’s certificate executed by the principal financial officer of Holdings or the parent company thereof, as the case may be, on the issuance date thereof, the cash proceeds of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w:t>
      </w:r>
    </w:p>
    <w:p>
      <w:pPr>
        <w:spacing w:after="0" w:line="164" w:lineRule="exact"/>
        <w:rPr>
          <w:sz w:val="20"/>
          <w:szCs w:val="20"/>
          <w:color w:val="auto"/>
        </w:rPr>
      </w:pPr>
    </w:p>
    <w:p>
      <w:pPr>
        <w:ind w:right="10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Disposed EBITDA</w:t>
      </w:r>
      <w:r>
        <w:rPr>
          <w:rFonts w:ascii="Arial" w:cs="Arial" w:eastAsia="Arial" w:hAnsi="Arial"/>
          <w:sz w:val="15"/>
          <w:szCs w:val="15"/>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Holdings and the Restricted Subsidiaries in the definition of “Consolidated EBITDA” were references to such Sold Entity or Business or Converted Unrestricted Subsidiary and its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respective Subsidiaries), all as determined on a consolidated basis for such Sold Entity or Business or Converted Unrestricted Subsidiary, as the case may be.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xml:space="preserve">” shall have the meaning assigned such term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“Asset Sale”.</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Lenders</w:t>
      </w:r>
      <w:r>
        <w:rPr>
          <w:rFonts w:ascii="Arial" w:cs="Arial" w:eastAsia="Arial" w:hAnsi="Arial"/>
          <w:sz w:val="16"/>
          <w:szCs w:val="16"/>
          <w:color w:val="auto"/>
        </w:rPr>
        <w:t>” shall mean such Persons (i) that have been specified in writing to the Administrative Agent and the Joint Lead Arrangers and</w:t>
      </w:r>
    </w:p>
    <w:p>
      <w:pPr>
        <w:spacing w:after="0" w:line="1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 xml:space="preserve">Bookrunners prior to the commencement of “primary syndication” as being Disqualified Lenders, (ii) who are competitors of Holdings and its Subsidiaries that are separately identified in writing by the Borrower to the Administrative Agent from time to time, and (iii)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any of their Affiliates (other than any such Affiliate that is affiliated with a financial investor in such Person and that is not itself an operating company or otherwise an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Affiliate of an operating company so long as such Affiliate is a bona fide Fund) that are either (a) identified in writing by the Borrower to the Administrative Agent from time to time or (b) clearly identifiable on the basis of such Affiliate’s name. The Administrative Agent shall have the right, and the Borrower hereby expressly authorizes the Administrative Agent, to (A) post the list of Disqualified Lenders provided by the Borrower and any updates thereto from time to time (collectively,</w:t>
      </w:r>
    </w:p>
    <w:p>
      <w:pPr>
        <w:ind w:right="60"/>
        <w:spacing w:after="0" w:line="22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the Platform, including that portion of the Platform that is designated for “public side” Lenders or (B) provide the DQ List to each Lender requesting the same, it being understood that the DQ List may be disclosed to any assignee or Participant or prospective assignee or Participant, subject to Section </w:t>
      </w:r>
      <w:r>
        <w:rPr>
          <w:rFonts w:ascii="Arial" w:cs="Arial" w:eastAsia="Arial" w:hAnsi="Arial"/>
          <w:sz w:val="17"/>
          <w:szCs w:val="17"/>
          <w:u w:val="single" w:color="auto"/>
          <w:color w:val="auto"/>
        </w:rPr>
        <w:t>13.16</w:t>
      </w:r>
      <w:r>
        <w:rPr>
          <w:rFonts w:ascii="Arial" w:cs="Arial" w:eastAsia="Arial" w:hAnsi="Arial"/>
          <w:sz w:val="17"/>
          <w:szCs w:val="17"/>
          <w:color w:val="auto"/>
        </w:rPr>
        <w:t>.</w:t>
      </w:r>
    </w:p>
    <w:p>
      <w:pPr>
        <w:spacing w:after="0" w:line="164" w:lineRule="exact"/>
        <w:rPr>
          <w:sz w:val="20"/>
          <w:szCs w:val="20"/>
          <w:color w:val="auto"/>
        </w:rPr>
      </w:pPr>
    </w:p>
    <w:p>
      <w:pPr>
        <w:ind w:right="10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Disqualified Stock</w:t>
      </w:r>
      <w:r>
        <w:rPr>
          <w:rFonts w:ascii="Arial" w:cs="Arial" w:eastAsia="Arial" w:hAnsi="Arial"/>
          <w:sz w:val="15"/>
          <w:szCs w:val="15"/>
          <w:color w:val="auto"/>
        </w:rPr>
        <w:t>”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or similar event, pursuant to a sinking fund obligation or otherwise, or is redeemable at</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 xml:space="preserve">the option of the holder thereof (other than solely for Qualified Stock), other than as a result of a change of control, asset sale, or similar event, in whole or in part, in each case, prior to the date that is 91 days after the Latest Term Loan Maturity Date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Capital Stock is issued to any plan for the benefit of employees of Holdings or its Subsidiaries or by any such plan to such employees, such Capital Stock shall not constitute Disqualified Stock solely</w:t>
      </w:r>
    </w:p>
    <w:p>
      <w:pPr>
        <w:spacing w:after="0"/>
        <w:rPr>
          <w:sz w:val="20"/>
          <w:szCs w:val="20"/>
          <w:color w:val="auto"/>
        </w:rPr>
      </w:pPr>
      <w:r>
        <w:rPr>
          <w:rFonts w:ascii="Arial" w:cs="Arial" w:eastAsia="Arial" w:hAnsi="Arial"/>
          <w:sz w:val="17"/>
          <w:szCs w:val="17"/>
          <w:color w:val="auto"/>
        </w:rPr>
        <w:t>because it may be required to be repurchased by Holdings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in order to satisfy applicable statutory or regulatory obligations or as a result of such employee’s termination, death, or disability.</w:t>
      </w:r>
    </w:p>
    <w:p>
      <w:pPr>
        <w:spacing w:after="0" w:line="185" w:lineRule="exact"/>
        <w:rPr>
          <w:sz w:val="20"/>
          <w:szCs w:val="20"/>
          <w:color w:val="auto"/>
        </w:rPr>
      </w:pPr>
    </w:p>
    <w:p>
      <w:pPr>
        <w:ind w:right="4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Documentation Agents</w:t>
      </w:r>
      <w:r>
        <w:rPr>
          <w:rFonts w:ascii="Arial" w:cs="Arial" w:eastAsia="Arial" w:hAnsi="Arial"/>
          <w:sz w:val="17"/>
          <w:szCs w:val="17"/>
          <w:color w:val="auto"/>
        </w:rPr>
        <w:t>” shall mean Fifth Third Bank, National Association and PNC Bank, National Association, as documentation agents for the Lenders under this Agreement and the other Credit Documents.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shall mean, at any time, (i) with respect to any amount denominated in Dollars, such amount, and (ii) with respect to any amount</w:t>
      </w:r>
    </w:p>
    <w:p>
      <w:pPr>
        <w:spacing w:after="0" w:line="17"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and “</w:t>
      </w:r>
      <w:r>
        <w:rPr>
          <w:rFonts w:ascii="Arial" w:cs="Arial" w:eastAsia="Arial" w:hAnsi="Arial"/>
          <w:sz w:val="17"/>
          <w:szCs w:val="17"/>
          <w:b w:val="1"/>
          <w:bCs w:val="1"/>
          <w:color w:val="auto"/>
        </w:rPr>
        <w:t>$</w:t>
      </w:r>
      <w:r>
        <w:rPr>
          <w:rFonts w:ascii="Arial" w:cs="Arial" w:eastAsia="Arial" w:hAnsi="Arial"/>
          <w:sz w:val="17"/>
          <w:szCs w:val="17"/>
          <w:color w:val="auto"/>
        </w:rPr>
        <w:t>” shall mean dollars in lawful currency of the United States.</w:t>
      </w:r>
    </w:p>
    <w:p>
      <w:pPr>
        <w:spacing w:after="0" w:line="191" w:lineRule="exact"/>
        <w:rPr>
          <w:sz w:val="20"/>
          <w:szCs w:val="20"/>
          <w:color w:val="auto"/>
        </w:rPr>
      </w:pPr>
    </w:p>
    <w:p>
      <w:pPr>
        <w:ind w:right="1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Domestic Subsidiary</w:t>
      </w:r>
      <w:r>
        <w:rPr>
          <w:rFonts w:ascii="Arial" w:cs="Arial" w:eastAsia="Arial" w:hAnsi="Arial"/>
          <w:sz w:val="17"/>
          <w:szCs w:val="17"/>
          <w:color w:val="auto"/>
        </w:rPr>
        <w:t>” shall mean each Subsidiary of Holdings that is organized under the laws of the United States, any state thereof, or the District of Columbia.</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“EEA Financial Institution</w:t>
      </w:r>
      <w:r>
        <w:rPr>
          <w:rFonts w:ascii="Arial" w:cs="Arial" w:eastAsia="Arial" w:hAnsi="Arial"/>
          <w:sz w:val="16"/>
          <w:szCs w:val="16"/>
          <w:color w:val="auto"/>
        </w:rPr>
        <w:t>” shall mean (a) any credit institution or investment firm established in any EEA Member Country which is subject to the</w:t>
      </w:r>
    </w:p>
    <w:p>
      <w:pPr>
        <w:spacing w:after="0" w:line="17"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Member Country</w:t>
      </w:r>
      <w:r>
        <w:rPr>
          <w:rFonts w:ascii="Arial" w:cs="Arial" w:eastAsia="Arial" w:hAnsi="Arial"/>
          <w:sz w:val="17"/>
          <w:szCs w:val="17"/>
          <w:color w:val="auto"/>
        </w:rPr>
        <w:t>” shall mean any of the member states of the European Union, Iceland, Liechtenstein, and Norway.</w:t>
      </w:r>
    </w:p>
    <w:p>
      <w:pPr>
        <w:spacing w:after="0" w:line="178" w:lineRule="exact"/>
        <w:rPr>
          <w:sz w:val="20"/>
          <w:szCs w:val="20"/>
          <w:color w:val="auto"/>
        </w:rPr>
      </w:pPr>
    </w:p>
    <w:p>
      <w:pPr>
        <w:ind w:right="2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Resolution Authority</w:t>
      </w:r>
      <w:r>
        <w:rPr>
          <w:rFonts w:ascii="Arial" w:cs="Arial" w:eastAsia="Arial" w:hAnsi="Arial"/>
          <w:sz w:val="17"/>
          <w:szCs w:val="17"/>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ind w:right="28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Environmental Claims</w:t>
      </w:r>
      <w:r>
        <w:rPr>
          <w:rFonts w:ascii="Arial" w:cs="Arial" w:eastAsia="Arial" w:hAnsi="Arial"/>
          <w:sz w:val="15"/>
          <w:szCs w:val="15"/>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5"/>
          <w:szCs w:val="15"/>
          <w:b w:val="1"/>
          <w:bCs w:val="1"/>
          <w:color w:val="auto"/>
        </w:rPr>
        <w:t>Claims</w:t>
      </w:r>
      <w:r>
        <w:rPr>
          <w:rFonts w:ascii="Arial" w:cs="Arial" w:eastAsia="Arial" w:hAnsi="Arial"/>
          <w:sz w:val="15"/>
          <w:szCs w:val="15"/>
          <w:color w:val="auto"/>
        </w:rPr>
        <w:t>”), including, without limitation, (i) any and all Claims by governmental or regulatory authorities for enforcement, cleanup, removal,</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w:t>
      </w:r>
    </w:p>
    <w:p>
      <w:pPr>
        <w:spacing w:after="0"/>
        <w:rPr>
          <w:sz w:val="20"/>
          <w:szCs w:val="20"/>
          <w:color w:val="auto"/>
        </w:rPr>
      </w:pPr>
      <w:r>
        <w:rPr>
          <w:rFonts w:ascii="Arial" w:cs="Arial" w:eastAsia="Arial" w:hAnsi="Arial"/>
          <w:sz w:val="17"/>
          <w:szCs w:val="17"/>
          <w:color w:val="auto"/>
        </w:rPr>
        <w:t>limitation, ambient air, indoor air, surface water, groundwater, soil, land surface and subsurface strata, and natural resources such as wetlands.</w:t>
      </w:r>
    </w:p>
    <w:p>
      <w:pPr>
        <w:spacing w:after="0" w:line="158" w:lineRule="exact"/>
        <w:rPr>
          <w:sz w:val="20"/>
          <w:szCs w:val="20"/>
          <w:color w:val="auto"/>
        </w:rPr>
      </w:pPr>
    </w:p>
    <w:p>
      <w:pPr>
        <w:ind w:right="180" w:firstLine="6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w:t>
      </w:r>
    </w:p>
    <w:p>
      <w:pPr>
        <w:ind w:right="80"/>
        <w:spacing w:after="0" w:line="239" w:lineRule="auto"/>
        <w:rPr>
          <w:sz w:val="20"/>
          <w:szCs w:val="20"/>
          <w:color w:val="auto"/>
        </w:rPr>
      </w:pPr>
      <w:r>
        <w:rPr>
          <w:rFonts w:ascii="Arial" w:cs="Arial" w:eastAsia="Arial" w:hAnsi="Arial"/>
          <w:sz w:val="15"/>
          <w:szCs w:val="15"/>
          <w:color w:val="auto"/>
        </w:rPr>
        <w:t>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w:t>
      </w:r>
    </w:p>
    <w:p>
      <w:pPr>
        <w:spacing w:after="0"/>
        <w:rPr>
          <w:sz w:val="20"/>
          <w:szCs w:val="20"/>
          <w:color w:val="auto"/>
        </w:rPr>
      </w:pPr>
      <w:r>
        <w:rPr>
          <w:rFonts w:ascii="Arial" w:cs="Arial" w:eastAsia="Arial" w:hAnsi="Arial"/>
          <w:sz w:val="17"/>
          <w:szCs w:val="17"/>
          <w:color w:val="auto"/>
        </w:rPr>
        <w:t>Release of Hazardous Materials.</w:t>
      </w:r>
    </w:p>
    <w:p>
      <w:pPr>
        <w:spacing w:after="0" w:line="158" w:lineRule="exact"/>
        <w:rPr>
          <w:sz w:val="20"/>
          <w:szCs w:val="20"/>
          <w:color w:val="auto"/>
        </w:rPr>
      </w:pPr>
    </w:p>
    <w:p>
      <w:pPr>
        <w:ind w:right="4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w:t>
      </w:r>
      <w:r>
        <w:rPr>
          <w:rFonts w:ascii="Arial" w:cs="Arial" w:eastAsia="Arial" w:hAnsi="Arial"/>
          <w:sz w:val="17"/>
          <w:szCs w:val="17"/>
          <w:color w:val="auto"/>
        </w:rPr>
        <w:t>” shall mean Capital Stock and all warrants, options, or other rights to acquire Capital Stock, but excluding any debt security that is convertible into, or exchangeable for, Capital Stock.</w:t>
      </w:r>
    </w:p>
    <w:p>
      <w:pPr>
        <w:spacing w:after="0" w:line="165" w:lineRule="exact"/>
        <w:rPr>
          <w:sz w:val="20"/>
          <w:szCs w:val="20"/>
          <w:color w:val="auto"/>
        </w:rPr>
      </w:pPr>
    </w:p>
    <w:p>
      <w:pPr>
        <w:ind w:right="20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Equity Offering</w:t>
      </w:r>
      <w:r>
        <w:rPr>
          <w:rFonts w:ascii="Arial" w:cs="Arial" w:eastAsia="Arial" w:hAnsi="Arial"/>
          <w:sz w:val="15"/>
          <w:szCs w:val="15"/>
          <w:color w:val="auto"/>
        </w:rPr>
        <w:t>” shall mean any public or private sale of common stock or preferred stock of Holdings or any direct or indirect parent company of Holdings (excluding Disqualified Stock), other than: (i) public offerings with respect to the Borrower or any of its direct or indirect parent company’s (including Holdings’) common stock registered on Form S-8, (ii) issuances to any Subsidiary of Holdings, (iii) any such public or private sale that constitutes an Excluded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Contribution, and (iv) any Cure Amount.</w:t>
      </w:r>
    </w:p>
    <w:p>
      <w:pPr>
        <w:spacing w:after="0" w:line="158" w:lineRule="exact"/>
        <w:rPr>
          <w:sz w:val="20"/>
          <w:szCs w:val="20"/>
          <w:color w:val="auto"/>
        </w:rPr>
      </w:pPr>
    </w:p>
    <w:p>
      <w:pPr>
        <w:ind w:right="2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shall mean the Employee Retirement Income Security Act of 1974, as amended from time to time,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00" w:lineRule="exact"/>
        <w:rPr>
          <w:sz w:val="20"/>
          <w:szCs w:val="20"/>
          <w:color w:val="auto"/>
        </w:rPr>
      </w:pPr>
    </w:p>
    <w:p>
      <w:pPr>
        <w:ind w:right="360" w:firstLine="619"/>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93" w:lineRule="exact"/>
        <w:rPr>
          <w:sz w:val="20"/>
          <w:szCs w:val="20"/>
          <w:color w:val="auto"/>
        </w:rPr>
      </w:pPr>
    </w:p>
    <w:p>
      <w:pPr>
        <w:ind w:right="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Event</w:t>
      </w:r>
      <w:r>
        <w:rPr>
          <w:rFonts w:ascii="Arial" w:cs="Arial" w:eastAsia="Arial" w:hAnsi="Arial"/>
          <w:sz w:val="15"/>
          <w:szCs w:val="15"/>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w:t>
      </w:r>
    </w:p>
    <w:p>
      <w:pPr>
        <w:jc w:val="both"/>
        <w:ind w:right="140"/>
        <w:spacing w:after="0" w:line="239" w:lineRule="auto"/>
        <w:rPr>
          <w:sz w:val="20"/>
          <w:szCs w:val="20"/>
          <w:color w:val="auto"/>
        </w:rPr>
      </w:pPr>
      <w:r>
        <w:rPr>
          <w:rFonts w:ascii="Arial" w:cs="Arial" w:eastAsia="Arial" w:hAnsi="Arial"/>
          <w:sz w:val="15"/>
          <w:szCs w:val="15"/>
          <w:color w:val="auto"/>
        </w:rPr>
        <w:t>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w:t>
      </w:r>
    </w:p>
    <w:p>
      <w:pPr>
        <w:ind w:right="40"/>
        <w:spacing w:after="0" w:line="239" w:lineRule="auto"/>
        <w:rPr>
          <w:sz w:val="20"/>
          <w:szCs w:val="20"/>
          <w:color w:val="auto"/>
        </w:rPr>
      </w:pPr>
      <w:r>
        <w:rPr>
          <w:rFonts w:ascii="Arial" w:cs="Arial" w:eastAsia="Arial" w:hAnsi="Arial"/>
          <w:sz w:val="15"/>
          <w:szCs w:val="15"/>
          <w:color w:val="auto"/>
        </w:rPr>
        <w:t>ERISA); (vi) the filing pursuant to Section 412(c) of the Code or Section 302(c) of ERISA of an application for a waiver of the minimum funding standard with respect to any Pension Plan; (vii) the termination of, or the appointment of a trustee to administer, any Pension Plan or the incurrence by any Credit Party or any of its ERISA Affiliates of any liability under Title IV of ERISA with respect to the termination of any Pension Plan, including but not limited to the imposition of any</w:t>
      </w:r>
    </w:p>
    <w:p>
      <w:pPr>
        <w:ind w:right="40"/>
        <w:spacing w:after="0" w:line="239" w:lineRule="auto"/>
        <w:rPr>
          <w:sz w:val="20"/>
          <w:szCs w:val="20"/>
          <w:color w:val="auto"/>
        </w:rPr>
      </w:pPr>
      <w:r>
        <w:rPr>
          <w:rFonts w:ascii="Arial" w:cs="Arial" w:eastAsia="Arial" w:hAnsi="Arial"/>
          <w:sz w:val="15"/>
          <w:szCs w:val="15"/>
          <w:color w:val="auto"/>
        </w:rPr>
        <w:t>Lien in favor of the PBGC or any Pension Plan; (viii) the receipt by any Credit Party or any of its ERISA Affiliates from the PBGC or a plan administrator of any notice to terminate any Pension Plan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w:t>
      </w:r>
    </w:p>
    <w:p>
      <w:pPr>
        <w:ind w:right="80"/>
        <w:spacing w:after="0" w:line="224" w:lineRule="auto"/>
        <w:rPr>
          <w:sz w:val="20"/>
          <w:szCs w:val="20"/>
          <w:color w:val="auto"/>
        </w:rPr>
      </w:pPr>
      <w:r>
        <w:rPr>
          <w:rFonts w:ascii="Arial" w:cs="Arial" w:eastAsia="Arial" w:hAnsi="Arial"/>
          <w:sz w:val="16"/>
          <w:szCs w:val="16"/>
          <w:color w:val="auto"/>
        </w:rPr>
        <w:t>liability with respect to the withdrawal or partial withdrawal from any Pension Plan (or a cessation of operations that is treated as such a withdrawal under Section 4062(e) of ERISA) or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17"/>
          <w:szCs w:val="17"/>
          <w:color w:val="auto"/>
        </w:rPr>
        <w:t>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164" w:lineRule="exact"/>
        <w:rPr>
          <w:sz w:val="20"/>
          <w:szCs w:val="20"/>
          <w:color w:val="auto"/>
        </w:rPr>
      </w:pPr>
    </w:p>
    <w:p>
      <w:pPr>
        <w:ind w:right="6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 Bail-In Legislation Schedule</w:t>
      </w:r>
      <w:r>
        <w:rPr>
          <w:rFonts w:ascii="Arial" w:cs="Arial" w:eastAsia="Arial" w:hAnsi="Arial"/>
          <w:sz w:val="17"/>
          <w:szCs w:val="17"/>
          <w:color w:val="auto"/>
        </w:rPr>
        <w:t>” shall mean the EU Bail-In Legislation Schedule published by the Loan Market Association (or any successor person), as in effect from time to time.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191" w:lineRule="exact"/>
        <w:rPr>
          <w:sz w:val="20"/>
          <w:szCs w:val="20"/>
          <w:color w:val="auto"/>
        </w:rPr>
      </w:pPr>
    </w:p>
    <w:p>
      <w:pPr>
        <w:ind w:right="16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Contribution</w:t>
      </w:r>
      <w:r>
        <w:rPr>
          <w:rFonts w:ascii="Arial" w:cs="Arial" w:eastAsia="Arial" w:hAnsi="Arial"/>
          <w:sz w:val="15"/>
          <w:szCs w:val="15"/>
          <w:color w:val="auto"/>
        </w:rPr>
        <w:t>” shall mean net cash proceeds, the Fair Market Value of marketable securities, or the Fair Market Value of Qualified Proceeds received by Holdings from (i) contributions to its common equity capital, and (ii) the sale (other than to a Subsidiary of Holdings or to any management equity plan or stock option plan or any other management or employee benefit plan or agreement of Holdings) of Capital Stock (other than Disqualified Stock and</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 xml:space="preserve">Designated Preferred Stock) of Holdings,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10.5(a)(4)</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non-cash assets shall qualify only if acquired by</w:t>
      </w:r>
    </w:p>
    <w:p>
      <w:pPr>
        <w:ind w:right="700"/>
        <w:spacing w:after="0" w:line="227" w:lineRule="auto"/>
        <w:rPr>
          <w:sz w:val="20"/>
          <w:szCs w:val="20"/>
          <w:color w:val="auto"/>
        </w:rPr>
      </w:pPr>
      <w:r>
        <w:rPr>
          <w:rFonts w:ascii="Arial" w:cs="Arial" w:eastAsia="Arial" w:hAnsi="Arial"/>
          <w:sz w:val="17"/>
          <w:szCs w:val="17"/>
          <w:color w:val="auto"/>
        </w:rPr>
        <w:t>a parent of Holdings in an arm’s-length transaction within the six months prior to such contribution and (ii) no Cure Amount shall constitute an Excluded Contribution.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Property</w:t>
      </w:r>
      <w:r>
        <w:rPr>
          <w:rFonts w:ascii="Arial" w:cs="Arial" w:eastAsia="Arial" w:hAnsi="Arial"/>
          <w:sz w:val="17"/>
          <w:szCs w:val="17"/>
          <w:color w:val="auto"/>
        </w:rPr>
        <w:t>” shall have the meaning set forth in the Security Agreement.</w:t>
      </w:r>
    </w:p>
    <w:p>
      <w:pPr>
        <w:spacing w:after="0" w:line="191" w:lineRule="exact"/>
        <w:rPr>
          <w:sz w:val="20"/>
          <w:szCs w:val="20"/>
          <w:color w:val="auto"/>
        </w:rPr>
      </w:pPr>
    </w:p>
    <w:p>
      <w:pPr>
        <w:ind w:right="2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Stock and Stock Equivalents</w:t>
      </w:r>
      <w:r>
        <w:rPr>
          <w:rFonts w:ascii="Arial" w:cs="Arial" w:eastAsia="Arial" w:hAnsi="Arial"/>
          <w:sz w:val="15"/>
          <w:szCs w:val="15"/>
          <w:color w:val="auto"/>
        </w:rPr>
        <w:t>”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w:t>
      </w:r>
    </w:p>
    <w:p>
      <w:pPr>
        <w:spacing w:after="0" w:line="1" w:lineRule="exact"/>
        <w:rPr>
          <w:sz w:val="20"/>
          <w:szCs w:val="20"/>
          <w:color w:val="auto"/>
        </w:rPr>
      </w:pPr>
    </w:p>
    <w:p>
      <w:pPr>
        <w:jc w:val="both"/>
        <w:ind w:right="480"/>
        <w:spacing w:after="0" w:line="239" w:lineRule="auto"/>
        <w:rPr>
          <w:sz w:val="20"/>
          <w:szCs w:val="20"/>
          <w:color w:val="auto"/>
        </w:rPr>
      </w:pPr>
      <w:r>
        <w:rPr>
          <w:rFonts w:ascii="Arial" w:cs="Arial" w:eastAsia="Arial" w:hAnsi="Arial"/>
          <w:sz w:val="15"/>
          <w:szCs w:val="15"/>
          <w:color w:val="auto"/>
        </w:rPr>
        <w:t>pledge of Capital Stock and Stock Equivalents of any Foreign Subsidiary or any CFC Holding Company, any Voting Stock or Stock Equivalents of any such Foreign Subsidiary or such CFC Holding Company in excess of 66% of the total voting power of all outstanding Voting Stock or Stock Equivalents of such Foreign Subsidiary or CFC Holding Company, (iii) any Capital Stock or Stock Equivalents to the extent the pledge thereof would violate any applicable</w:t>
      </w:r>
    </w:p>
    <w:p>
      <w:pPr>
        <w:spacing w:after="0" w:line="219" w:lineRule="auto"/>
        <w:rPr>
          <w:sz w:val="20"/>
          <w:szCs w:val="20"/>
          <w:color w:val="auto"/>
        </w:rPr>
      </w:pPr>
      <w:r>
        <w:rPr>
          <w:rFonts w:ascii="Arial" w:cs="Arial" w:eastAsia="Arial" w:hAnsi="Arial"/>
          <w:sz w:val="16"/>
          <w:szCs w:val="16"/>
          <w:color w:val="auto"/>
        </w:rPr>
        <w:t>Requirement of Law (including any legally effective requirement to obtain the consent of any Governmental Authority unless such consent has been obtained),</w:t>
      </w:r>
    </w:p>
    <w:p>
      <w:pPr>
        <w:ind w:right="260" w:firstLine="3"/>
        <w:spacing w:after="0" w:line="217" w:lineRule="auto"/>
        <w:tabs>
          <w:tab w:leader="none" w:pos="2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in the case of (A) any Capital Stock or Stock Equivalents of any Subsidiary to the extent such Capital Stock or Stock Equivalents are subject to a Lien permitted by </w:t>
      </w:r>
      <w:r>
        <w:rPr>
          <w:rFonts w:ascii="Arial" w:cs="Arial" w:eastAsia="Arial" w:hAnsi="Arial"/>
          <w:sz w:val="17"/>
          <w:szCs w:val="17"/>
          <w:u w:val="single" w:color="auto"/>
          <w:color w:val="auto"/>
        </w:rPr>
        <w:t>clause (ix)</w:t>
      </w:r>
      <w:r>
        <w:rPr>
          <w:rFonts w:ascii="Arial" w:cs="Arial" w:eastAsia="Arial" w:hAnsi="Arial"/>
          <w:sz w:val="17"/>
          <w:szCs w:val="17"/>
          <w:color w:val="auto"/>
        </w:rPr>
        <w:t xml:space="preserve"> of the definition of “Permitted Liens” or (B) any Capital Stock or Stock Equivalents of any Subsidiary that is not Wholly-Owned by Holdings and its Subsidiaries at the time such Subsidiary becomes a Subsidiary, any Capital Stock or Stock Equivalents of each such Subsidiary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extent (I) that a pledge thereof to secure the Obligations is prohibited by any applicable Contractual Requirement (other than customary non-assignment provisions which are ineffective under the Uniform Commercial Code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law and other than proceeds thereof the assignment of which is expressly deemed effective under the Uniform Commercial Code or other</w:t>
      </w:r>
    </w:p>
    <w:p>
      <w:pPr>
        <w:spacing w:after="0" w:line="11"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 xml:space="preserve">applicable law notwithstanding such prohibition or restriction), (II) any Contractual Requirement prohibits such a pledge without the consent of any other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shall not apply if (x) such other party is a Credit Party or Wholly-Owned Subsidiary or (y) consent has been obtained to consummate such pledge (it being understood that the foregoing shall not be deemed to obligate Holdings or any Subsidiary to obtain any such consent) and for so long as such</w:t>
      </w:r>
    </w:p>
    <w:p>
      <w:pPr>
        <w:ind w:right="100"/>
        <w:spacing w:after="0" w:line="239" w:lineRule="auto"/>
        <w:rPr>
          <w:sz w:val="20"/>
          <w:szCs w:val="20"/>
          <w:color w:val="auto"/>
        </w:rPr>
      </w:pPr>
      <w:r>
        <w:rPr>
          <w:rFonts w:ascii="Arial" w:cs="Arial" w:eastAsia="Arial" w:hAnsi="Arial"/>
          <w:sz w:val="15"/>
          <w:szCs w:val="15"/>
          <w:color w:val="auto"/>
        </w:rPr>
        <w:t>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w:t>
      </w:r>
    </w:p>
    <w:p>
      <w:pPr>
        <w:jc w:val="both"/>
        <w:spacing w:after="0" w:line="239" w:lineRule="auto"/>
        <w:rPr>
          <w:sz w:val="20"/>
          <w:szCs w:val="20"/>
          <w:color w:val="auto"/>
        </w:rPr>
      </w:pPr>
      <w:r>
        <w:rPr>
          <w:rFonts w:ascii="Arial" w:cs="Arial" w:eastAsia="Arial" w:hAnsi="Arial"/>
          <w:sz w:val="15"/>
          <w:szCs w:val="15"/>
          <w:color w:val="auto"/>
        </w:rPr>
        <w:t>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as reasonably determined by the Borrower in consultation</w:t>
      </w:r>
    </w:p>
    <w:p>
      <w:pPr>
        <w:ind w:right="60"/>
        <w:spacing w:after="0" w:line="220" w:lineRule="auto"/>
        <w:rPr>
          <w:sz w:val="20"/>
          <w:szCs w:val="20"/>
          <w:color w:val="auto"/>
        </w:rPr>
      </w:pPr>
      <w:r>
        <w:rPr>
          <w:rFonts w:ascii="Arial" w:cs="Arial" w:eastAsia="Arial" w:hAnsi="Arial"/>
          <w:sz w:val="17"/>
          <w:szCs w:val="17"/>
          <w:color w:val="auto"/>
        </w:rPr>
        <w:t>with the Administrative Agent, (vi) any Capital Stock or Stock Equivalents that are margin stock, and (vii) any Capital Stock and Stock Equivalents of any Subsidiary that is not a Material Subsidiary or is an Unrestricted Subsidiary, a captive insurance Subsidiary, an SPV, any special purpose entity or a Managed Care Subsidiary.</w:t>
      </w:r>
    </w:p>
    <w:p>
      <w:pPr>
        <w:spacing w:after="0" w:line="164" w:lineRule="exact"/>
        <w:rPr>
          <w:sz w:val="20"/>
          <w:szCs w:val="20"/>
          <w:color w:val="auto"/>
        </w:rPr>
      </w:pPr>
    </w:p>
    <w:p>
      <w:pPr>
        <w:ind w:right="6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Subsidiary</w:t>
      </w:r>
      <w:r>
        <w:rPr>
          <w:rFonts w:ascii="Arial" w:cs="Arial" w:eastAsia="Arial" w:hAnsi="Arial"/>
          <w:sz w:val="15"/>
          <w:szCs w:val="15"/>
          <w:color w:val="auto"/>
        </w:rPr>
        <w:t xml:space="preserve">” shall mean (i) each Subsidiary, in each case, for so long as any such Subsidiary does not (on a consolidated basis with its Restricted Subsidiaries) constitute a Material Subsidiary, (ii) each Subsidiary that is not a Wholly-Owned Subsidiary on any date such Subsidiary would otherwise be required to become a Guarantor pursuant to the requirements of </w:t>
      </w:r>
      <w:r>
        <w:rPr>
          <w:rFonts w:ascii="Arial" w:cs="Arial" w:eastAsia="Arial" w:hAnsi="Arial"/>
          <w:sz w:val="15"/>
          <w:szCs w:val="15"/>
          <w:u w:val="single" w:color="auto"/>
          <w:color w:val="auto"/>
        </w:rPr>
        <w:t>Section 9.11</w:t>
      </w:r>
      <w:r>
        <w:rPr>
          <w:rFonts w:ascii="Arial" w:cs="Arial" w:eastAsia="Arial" w:hAnsi="Arial"/>
          <w:sz w:val="15"/>
          <w:szCs w:val="15"/>
          <w:color w:val="auto"/>
        </w:rPr>
        <w:t xml:space="preserve"> (for so long as such Subsidiary remains a non Wholly-Owned Restricted</w:t>
      </w:r>
    </w:p>
    <w:p>
      <w:pPr>
        <w:spacing w:after="0" w:line="234" w:lineRule="auto"/>
        <w:rPr>
          <w:sz w:val="20"/>
          <w:szCs w:val="20"/>
          <w:color w:val="auto"/>
        </w:rPr>
      </w:pPr>
      <w:r>
        <w:rPr>
          <w:rFonts w:ascii="Arial" w:cs="Arial" w:eastAsia="Arial" w:hAnsi="Arial"/>
          <w:sz w:val="15"/>
          <w:szCs w:val="15"/>
          <w:color w:val="auto"/>
        </w:rPr>
        <w:t>Subsidiary), (iii) any CFC Holding Company, (iv) any Domestic Subsidiary that is a Subsidiary of a Foreign Subsidiary that is a CFC, (v) any Foreign Subsidiary,</w:t>
      </w:r>
    </w:p>
    <w:p>
      <w:pPr>
        <w:ind w:right="300" w:firstLine="3"/>
        <w:spacing w:after="0" w:line="242" w:lineRule="auto"/>
        <w:tabs>
          <w:tab w:leader="none" w:pos="291" w:val="left"/>
        </w:tabs>
        <w:numPr>
          <w:ilvl w:val="0"/>
          <w:numId w:val="28"/>
        </w:numPr>
        <w:rPr>
          <w:rFonts w:ascii="Arial" w:cs="Arial" w:eastAsia="Arial" w:hAnsi="Arial"/>
          <w:sz w:val="15"/>
          <w:szCs w:val="15"/>
          <w:color w:val="auto"/>
        </w:rPr>
      </w:pPr>
      <w:r>
        <w:rPr>
          <w:rFonts w:ascii="Arial" w:cs="Arial" w:eastAsia="Arial" w:hAnsi="Arial"/>
          <w:sz w:val="15"/>
          <w:szCs w:val="15"/>
          <w:color w:val="auto"/>
        </w:rPr>
        <w:t>each Subsidiary that is prohibited by any applicable Contractual Requirement or Requirement of Law from guaranteeing or granting Liens to secure the Obligations at the time such Subsidiary becomes a Restricted Subsidiary (and for so long as such restriction or any replacement or renewal thereof is in effect),</w:t>
      </w:r>
    </w:p>
    <w:p>
      <w:pPr>
        <w:ind w:right="40" w:firstLine="3"/>
        <w:spacing w:after="0" w:line="228" w:lineRule="auto"/>
        <w:tabs>
          <w:tab w:leader="none" w:pos="3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Subsidiary with respect to which, as reasonably determined by Holdings, the consequence of providing a Guarantee of the Obligations would adversely affect the ability of Holdings and its Subsidiaries to satisfy applicable Requirements of Law, (viii) any other Subsidiary with respect to which, (a) in the reasonable judgment of the Administrative Agent and Borrower, as agreed in writing, the cost or other consequences of providing a Guarantee of the Obligations shall be excessive in view of the benefits to be obtained by the Lenders therefrom or (b) providing such a Guarantee would result in material adverse tax consequences as reasonably determined by the Borrower in consultation with the Administrative Agent, (ix) each Unrestricted Subsidiary, (x) any Receivables Subsidiary, (xi)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 each SPV or not-for-profit Subsidiary and (xiii) any Managed Care Subsidiary.</w:t>
      </w:r>
    </w:p>
    <w:p>
      <w:pPr>
        <w:spacing w:after="0" w:line="153" w:lineRule="exact"/>
        <w:rPr>
          <w:sz w:val="20"/>
          <w:szCs w:val="20"/>
          <w:color w:val="auto"/>
        </w:rPr>
      </w:pPr>
    </w:p>
    <w:p>
      <w:pPr>
        <w:ind w:right="4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Swap Obligation</w:t>
      </w:r>
      <w:r>
        <w:rPr>
          <w:rFonts w:ascii="Arial" w:cs="Arial" w:eastAsia="Arial" w:hAnsi="Arial"/>
          <w:sz w:val="15"/>
          <w:szCs w:val="15"/>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w:t>
      </w:r>
    </w:p>
    <w:p>
      <w:pPr>
        <w:ind w:right="60"/>
        <w:spacing w:after="0" w:line="239" w:lineRule="auto"/>
        <w:rPr>
          <w:sz w:val="20"/>
          <w:szCs w:val="20"/>
          <w:color w:val="auto"/>
        </w:rPr>
      </w:pPr>
      <w:r>
        <w:rPr>
          <w:rFonts w:ascii="Arial" w:cs="Arial" w:eastAsia="Arial" w:hAnsi="Arial"/>
          <w:sz w:val="15"/>
          <w:szCs w:val="15"/>
          <w:color w:val="auto"/>
        </w:rPr>
        <w:t>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w:t>
      </w:r>
    </w:p>
    <w:p>
      <w:pPr>
        <w:ind w:right="200"/>
        <w:spacing w:after="0" w:line="227" w:lineRule="auto"/>
        <w:rPr>
          <w:sz w:val="20"/>
          <w:szCs w:val="20"/>
          <w:color w:val="auto"/>
        </w:rPr>
      </w:pPr>
      <w:r>
        <w:rPr>
          <w:rFonts w:ascii="Arial" w:cs="Arial" w:eastAsia="Arial" w:hAnsi="Arial"/>
          <w:sz w:val="17"/>
          <w:szCs w:val="17"/>
          <w:color w:val="auto"/>
        </w:rPr>
        <w:t>governing more than one swap, such exclusion shall apply only to the portion of such Swap Obligation that is attributable to swaps for which such Obligation or security interest is or becomes illegal or unlawful.</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Taxes</w:t>
      </w:r>
      <w:r>
        <w:rPr>
          <w:rFonts w:ascii="Arial" w:cs="Arial" w:eastAsia="Arial" w:hAnsi="Arial"/>
          <w:sz w:val="15"/>
          <w:szCs w:val="15"/>
          <w:color w:val="auto"/>
        </w:rPr>
        <w:t>” shall mean, with respect to the Administrative Agent, any Lender, or any other recipient of any payment to be made by or on account</w:t>
      </w:r>
    </w:p>
    <w:p>
      <w:pPr>
        <w:spacing w:after="0" w:line="28"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color w:val="auto"/>
        </w:rPr>
        <w:t>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w:t>
      </w:r>
    </w:p>
    <w:p>
      <w:pPr>
        <w:spacing w:after="0" w:line="3" w:lineRule="exact"/>
        <w:rPr>
          <w:sz w:val="20"/>
          <w:szCs w:val="20"/>
          <w:color w:val="auto"/>
        </w:rPr>
      </w:pPr>
    </w:p>
    <w:p>
      <w:pPr>
        <w:ind w:right="300"/>
        <w:spacing w:after="0" w:line="220" w:lineRule="auto"/>
        <w:rPr>
          <w:sz w:val="20"/>
          <w:szCs w:val="20"/>
          <w:color w:val="auto"/>
        </w:rPr>
      </w:pPr>
      <w:r>
        <w:rPr>
          <w:rFonts w:ascii="Arial" w:cs="Arial" w:eastAsia="Arial" w:hAnsi="Arial"/>
          <w:sz w:val="17"/>
          <w:szCs w:val="17"/>
          <w:color w:val="auto"/>
        </w:rPr>
        <w:t>applicable lending office in, such jurisdiction, or as a result of any other present or former connection with such jurisdiction (other than any such connection arising solely from this Agreement or any other Credit Documents or any transactions contemplated thereunder), (ii) any United States federal withholding Tax imposed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payment by or on account of any obligation of any Credit Party hereunder or under any other Credit Document that is required to be imposed on amounts payable</w:t>
      </w:r>
    </w:p>
    <w:p>
      <w:pPr>
        <w:spacing w:after="0" w:line="22" w:lineRule="exact"/>
        <w:rPr>
          <w:sz w:val="20"/>
          <w:szCs w:val="20"/>
          <w:color w:val="auto"/>
        </w:rPr>
      </w:pPr>
    </w:p>
    <w:p>
      <w:pPr>
        <w:ind w:right="240"/>
        <w:spacing w:after="0" w:line="239" w:lineRule="auto"/>
        <w:rPr>
          <w:sz w:val="20"/>
          <w:szCs w:val="20"/>
          <w:color w:val="auto"/>
        </w:rPr>
      </w:pPr>
      <w:r>
        <w:rPr>
          <w:rFonts w:ascii="Arial" w:cs="Arial" w:eastAsia="Arial" w:hAnsi="Arial"/>
          <w:sz w:val="15"/>
          <w:szCs w:val="15"/>
          <w:color w:val="auto"/>
        </w:rPr>
        <w:t xml:space="preserve">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Arial" w:cs="Arial" w:eastAsia="Arial" w:hAnsi="Arial"/>
          <w:sz w:val="15"/>
          <w:szCs w:val="15"/>
          <w:u w:val="single" w:color="auto"/>
          <w:color w:val="auto"/>
        </w:rPr>
        <w:t>Section 13.7</w:t>
      </w:r>
      <w:r>
        <w:rPr>
          <w:rFonts w:ascii="Arial" w:cs="Arial" w:eastAsia="Arial" w:hAnsi="Arial"/>
          <w:sz w:val="15"/>
          <w:szCs w:val="15"/>
          <w:color w:val="auto"/>
        </w:rPr>
        <w:t xml:space="preserve"> (or that designates a new lending office pursuant to a request by the Borrower), except to the extent that such Lender (or its assignor, if any) was entitled, immediately prior to the designation of a new</w:t>
      </w:r>
    </w:p>
    <w:p>
      <w:pPr>
        <w:ind w:right="560"/>
        <w:spacing w:after="0" w:line="243" w:lineRule="auto"/>
        <w:rPr>
          <w:sz w:val="20"/>
          <w:szCs w:val="20"/>
          <w:color w:val="auto"/>
        </w:rPr>
      </w:pPr>
      <w:r>
        <w:rPr>
          <w:rFonts w:ascii="Arial" w:cs="Arial" w:eastAsia="Arial" w:hAnsi="Arial"/>
          <w:sz w:val="16"/>
          <w:szCs w:val="16"/>
          <w:color w:val="auto"/>
        </w:rPr>
        <w:t xml:space="preserve">lending office (or assignment), to receive additional amounts from the Credit Parties with respect to such withholding Tax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(iii) any withholding Taxes attributable to a recipient’s failure to comply with </w:t>
      </w:r>
      <w:r>
        <w:rPr>
          <w:rFonts w:ascii="Arial" w:cs="Arial" w:eastAsia="Arial" w:hAnsi="Arial"/>
          <w:sz w:val="16"/>
          <w:szCs w:val="16"/>
          <w:u w:val="single" w:color="auto"/>
          <w:color w:val="auto"/>
        </w:rPr>
        <w:t>Section 5.4(e)</w:t>
      </w:r>
      <w:r>
        <w:rPr>
          <w:rFonts w:ascii="Arial" w:cs="Arial" w:eastAsia="Arial" w:hAnsi="Arial"/>
          <w:sz w:val="16"/>
          <w:szCs w:val="16"/>
          <w:color w:val="auto"/>
        </w:rPr>
        <w:t>, or (iv) any withholding Tax imposed under FATCA.</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Class</w:t>
      </w:r>
      <w:r>
        <w:rPr>
          <w:rFonts w:ascii="Arial" w:cs="Arial" w:eastAsia="Arial" w:hAnsi="Arial"/>
          <w:sz w:val="17"/>
          <w:szCs w:val="17"/>
          <w:color w:val="auto"/>
        </w:rPr>
        <w:t>” shall mean any Existing Term Loan Class and any Existing Revolving Credit Class.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Letters of Credit</w:t>
      </w:r>
      <w:r>
        <w:rPr>
          <w:rFonts w:ascii="Arial" w:cs="Arial" w:eastAsia="Arial" w:hAnsi="Arial"/>
          <w:sz w:val="17"/>
          <w:szCs w:val="17"/>
          <w:color w:val="auto"/>
        </w:rPr>
        <w:t xml:space="preserve">” shall mean those certain letters of credit listed on </w:t>
      </w:r>
      <w:r>
        <w:rPr>
          <w:rFonts w:ascii="Arial" w:cs="Arial" w:eastAsia="Arial" w:hAnsi="Arial"/>
          <w:sz w:val="17"/>
          <w:szCs w:val="17"/>
          <w:u w:val="single" w:color="auto"/>
          <w:color w:val="auto"/>
        </w:rPr>
        <w:t>Schedule 1.1(c)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Revolving Credit Class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Revolving Credit Commitment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Revolving Credit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Term Loan Class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Expiring Credit Commitment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2.1(e)</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shall have the meaning provided in the preamble to this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Extended Repayment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2.5(c)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Extended Revolving Credit Commitments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Extended Revolving Credit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2.5(c)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Extended Term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Extending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Amendment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2.14(g)(iv)</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2.14(g)(v)</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Election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Request</w:t>
      </w:r>
      <w:r>
        <w:rPr>
          <w:rFonts w:ascii="Arial" w:cs="Arial" w:eastAsia="Arial" w:hAnsi="Arial"/>
          <w:sz w:val="17"/>
          <w:szCs w:val="17"/>
          <w:color w:val="auto"/>
        </w:rPr>
        <w:t>” shall mean a Term Loan Extension Request.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Series</w:t>
      </w:r>
      <w:r>
        <w:rPr>
          <w:rFonts w:ascii="Arial" w:cs="Arial" w:eastAsia="Arial" w:hAnsi="Arial"/>
          <w:sz w:val="17"/>
          <w:szCs w:val="17"/>
          <w:color w:val="auto"/>
        </w:rPr>
        <w:t>” shall mean all Extended Term Loans and Extended Revolving Credit Commitments that are established pursuant to the same</w:t>
      </w:r>
    </w:p>
    <w:p>
      <w:pPr>
        <w:spacing w:after="0" w:line="5" w:lineRule="exact"/>
        <w:rPr>
          <w:sz w:val="20"/>
          <w:szCs w:val="20"/>
          <w:color w:val="auto"/>
        </w:rPr>
      </w:pPr>
    </w:p>
    <w:p>
      <w:pPr>
        <w:jc w:val="both"/>
        <w:ind w:right="180"/>
        <w:spacing w:after="0" w:line="220" w:lineRule="auto"/>
        <w:rPr>
          <w:sz w:val="20"/>
          <w:szCs w:val="20"/>
          <w:color w:val="auto"/>
        </w:rPr>
      </w:pPr>
      <w:r>
        <w:rPr>
          <w:rFonts w:ascii="Arial" w:cs="Arial" w:eastAsia="Arial" w:hAnsi="Arial"/>
          <w:sz w:val="17"/>
          <w:szCs w:val="17"/>
          <w:color w:val="auto"/>
        </w:rPr>
        <w:t>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164" w:lineRule="exact"/>
        <w:rPr>
          <w:sz w:val="20"/>
          <w:szCs w:val="20"/>
          <w:color w:val="auto"/>
        </w:rPr>
      </w:pPr>
    </w:p>
    <w:p>
      <w:pPr>
        <w:ind w:right="1080" w:firstLine="61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Eye Care Club</w:t>
      </w:r>
      <w:r>
        <w:rPr>
          <w:rFonts w:ascii="Arial" w:cs="Arial" w:eastAsia="Arial" w:hAnsi="Arial"/>
          <w:sz w:val="16"/>
          <w:szCs w:val="16"/>
          <w:color w:val="auto"/>
        </w:rPr>
        <w:t>” shall mean the multi-year programs offered from locations operated by Holdings or its Subsidiaries pursuant to which a purchaser/customer obtains the right to obtain multiple eye examinations and discounts on eyewear during the program period.</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Fair Market Value</w:t>
      </w:r>
      <w:r>
        <w:rPr>
          <w:rFonts w:ascii="Arial" w:cs="Arial" w:eastAsia="Arial" w:hAnsi="Arial"/>
          <w:sz w:val="15"/>
          <w:szCs w:val="15"/>
          <w:color w:val="auto"/>
        </w:rPr>
        <w:t>” shall mean with respect to any asset or group of assets on any date of determination, the value of the consideration obtainable in a</w:t>
      </w:r>
    </w:p>
    <w:p>
      <w:pPr>
        <w:spacing w:after="0" w:line="28"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sale of such asset at such date of determination assuming a sale by a willing seller to a willing purchaser dealing at arm’s length and arranged in an orderly manner over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00"/>
          </w:cols>
          <w:pgMar w:left="320" w:top="1440" w:right="379" w:bottom="1440" w:gutter="0" w:footer="0" w:header="0"/>
        </w:sectPr>
      </w:pPr>
    </w:p>
    <w:bookmarkStart w:id="47" w:name="page48"/>
    <w:bookmarkEnd w:id="47"/>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period of time having regard to the nature and characteristics of such asset, as determined in good faith by the Borrower.</w:t>
      </w:r>
    </w:p>
    <w:p>
      <w:pPr>
        <w:spacing w:after="0" w:line="185" w:lineRule="exact"/>
        <w:rPr>
          <w:sz w:val="20"/>
          <w:szCs w:val="20"/>
          <w:color w:val="auto"/>
        </w:rPr>
      </w:pPr>
    </w:p>
    <w:p>
      <w:pPr>
        <w:ind w:right="26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FATCA</w:t>
      </w:r>
      <w:r>
        <w:rPr>
          <w:rFonts w:ascii="Arial" w:cs="Arial" w:eastAsia="Arial" w:hAnsi="Arial"/>
          <w:sz w:val="15"/>
          <w:szCs w:val="15"/>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above), and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intergovernmental agreements (or related legislation or official administrative rules or practices) implementing the foregoing.</w:t>
      </w:r>
    </w:p>
    <w:p>
      <w:pPr>
        <w:spacing w:after="0" w:line="158" w:lineRule="exact"/>
        <w:rPr>
          <w:sz w:val="20"/>
          <w:szCs w:val="20"/>
          <w:color w:val="auto"/>
        </w:rPr>
      </w:pPr>
    </w:p>
    <w:p>
      <w:pPr>
        <w:ind w:right="6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Federal Funds Effective Rate</w:t>
      </w:r>
      <w:r>
        <w:rPr>
          <w:rFonts w:ascii="Arial" w:cs="Arial" w:eastAsia="Arial" w:hAnsi="Arial"/>
          <w:sz w:val="15"/>
          <w:szCs w:val="15"/>
          <w:color w:val="auto"/>
        </w:rPr>
        <w:t xml:space="preserve">” shall mean, for any day, the weighted average of the per annum rates on overnight federal funds transactions with members of the Federal Reserve System on such day, as published on the next succeeding Business Day by the Federal Reserve Bank of New York;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ind w:firstLine="3"/>
        <w:spacing w:after="0" w:line="220" w:lineRule="auto"/>
        <w:tabs>
          <w:tab w:leader="none" w:pos="2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Fees</w:t>
      </w:r>
      <w:r>
        <w:rPr>
          <w:rFonts w:ascii="Arial" w:cs="Arial" w:eastAsia="Arial" w:hAnsi="Arial"/>
          <w:sz w:val="17"/>
          <w:szCs w:val="17"/>
          <w:color w:val="auto"/>
        </w:rPr>
        <w:t xml:space="preserve">” shall mean all amounts payable pursuant to, or referred to in,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First Lien Intercreditor Agreement</w:t>
      </w:r>
      <w:r>
        <w:rPr>
          <w:rFonts w:ascii="Arial" w:cs="Arial" w:eastAsia="Arial" w:hAnsi="Arial"/>
          <w:sz w:val="15"/>
          <w:szCs w:val="15"/>
          <w:color w:val="auto"/>
        </w:rPr>
        <w:t xml:space="preserve">” shall mean an Intercreditor Agreement substantially in the form of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(with such changes to such form as</w:t>
      </w:r>
    </w:p>
    <w:p>
      <w:pPr>
        <w:spacing w:after="0" w:line="28" w:lineRule="exact"/>
        <w:rPr>
          <w:sz w:val="20"/>
          <w:szCs w:val="20"/>
          <w:color w:val="auto"/>
        </w:rPr>
      </w:pPr>
    </w:p>
    <w:p>
      <w:pPr>
        <w:ind w:right="220"/>
        <w:spacing w:after="0" w:line="227" w:lineRule="auto"/>
        <w:rPr>
          <w:sz w:val="20"/>
          <w:szCs w:val="20"/>
          <w:color w:val="auto"/>
        </w:rPr>
      </w:pPr>
      <w:r>
        <w:rPr>
          <w:rFonts w:ascii="Arial" w:cs="Arial" w:eastAsia="Arial" w:hAnsi="Arial"/>
          <w:sz w:val="17"/>
          <w:szCs w:val="17"/>
          <w:color w:val="auto"/>
        </w:rPr>
        <w:t>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2" w:lineRule="exact"/>
        <w:rPr>
          <w:sz w:val="20"/>
          <w:szCs w:val="20"/>
          <w:color w:val="auto"/>
        </w:rPr>
      </w:pPr>
    </w:p>
    <w:p>
      <w:pPr>
        <w:ind w:right="2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Obligations</w:t>
      </w:r>
      <w:r>
        <w:rPr>
          <w:rFonts w:ascii="Arial" w:cs="Arial" w:eastAsia="Arial" w:hAnsi="Arial"/>
          <w:sz w:val="17"/>
          <w:szCs w:val="17"/>
          <w:color w:val="auto"/>
        </w:rPr>
        <w:t>” shall mean the Obligations and the Permitted Other Indebtedness Obligations that are secured by the Collateral on an equal priority basis (but without regard to the control of remedies) with liens on the Collateral securing the Obligations.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FirstSight</w:t>
      </w:r>
      <w:r>
        <w:rPr>
          <w:rFonts w:ascii="Arial" w:cs="Arial" w:eastAsia="Arial" w:hAnsi="Arial"/>
          <w:sz w:val="17"/>
          <w:szCs w:val="17"/>
          <w:color w:val="auto"/>
        </w:rPr>
        <w:t>” shall mean FirstSight Vision Services, Inc., a California corporation.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Charges</w:t>
      </w:r>
      <w:r>
        <w:rPr>
          <w:rFonts w:ascii="Arial" w:cs="Arial" w:eastAsia="Arial" w:hAnsi="Arial"/>
          <w:sz w:val="17"/>
          <w:szCs w:val="17"/>
          <w:color w:val="auto"/>
        </w:rPr>
        <w:t>” shall mean, with respect to any Person for any period, the sum of:</w:t>
      </w:r>
    </w:p>
    <w:p>
      <w:pPr>
        <w:spacing w:after="0" w:line="197" w:lineRule="exact"/>
        <w:rPr>
          <w:sz w:val="20"/>
          <w:szCs w:val="20"/>
          <w:color w:val="auto"/>
        </w:rPr>
      </w:pPr>
    </w:p>
    <w:p>
      <w:pPr>
        <w:ind w:left="1120" w:hanging="326"/>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Consolidated Interest Expense of such Person for such period,</w:t>
      </w:r>
    </w:p>
    <w:p>
      <w:pPr>
        <w:spacing w:after="0" w:line="178" w:lineRule="exact"/>
        <w:rPr>
          <w:rFonts w:ascii="Arial" w:cs="Arial" w:eastAsia="Arial" w:hAnsi="Arial"/>
          <w:sz w:val="17"/>
          <w:szCs w:val="17"/>
          <w:color w:val="auto"/>
        </w:rPr>
      </w:pPr>
    </w:p>
    <w:p>
      <w:pPr>
        <w:ind w:left="620" w:right="240" w:firstLine="174"/>
        <w:spacing w:after="0" w:line="236" w:lineRule="auto"/>
        <w:tabs>
          <w:tab w:leader="none" w:pos="117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69" w:lineRule="exact"/>
        <w:rPr>
          <w:rFonts w:ascii="Arial" w:cs="Arial" w:eastAsia="Arial" w:hAnsi="Arial"/>
          <w:sz w:val="17"/>
          <w:szCs w:val="17"/>
          <w:color w:val="auto"/>
        </w:rPr>
      </w:pPr>
    </w:p>
    <w:p>
      <w:pPr>
        <w:ind w:left="1220" w:hanging="426"/>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cash dividend payments (excluding items eliminated in consolidation) on any series of Disqualified Stock made during such period.</w:t>
      </w:r>
    </w:p>
    <w:p>
      <w:pPr>
        <w:spacing w:after="0" w:line="184" w:lineRule="exact"/>
        <w:rPr>
          <w:sz w:val="20"/>
          <w:szCs w:val="20"/>
          <w:color w:val="auto"/>
        </w:rPr>
      </w:pPr>
    </w:p>
    <w:p>
      <w:pPr>
        <w:ind w:right="2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Benefit Arrangement</w:t>
      </w:r>
      <w:r>
        <w:rPr>
          <w:rFonts w:ascii="Arial" w:cs="Arial" w:eastAsia="Arial" w:hAnsi="Arial"/>
          <w:sz w:val="17"/>
          <w:szCs w:val="17"/>
          <w:color w:val="auto"/>
        </w:rPr>
        <w:t>” shall mean any employee benefit arrangement mandated by non-U.S. law that is maintained or contributed to by any Credit Party or any of its Subsidiaries.</w:t>
      </w:r>
    </w:p>
    <w:p>
      <w:pPr>
        <w:spacing w:after="0" w:line="165" w:lineRule="exact"/>
        <w:rPr>
          <w:sz w:val="20"/>
          <w:szCs w:val="20"/>
          <w:color w:val="auto"/>
        </w:rPr>
      </w:pPr>
    </w:p>
    <w:p>
      <w:pPr>
        <w:ind w:right="4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Plan</w:t>
      </w:r>
      <w:r>
        <w:rPr>
          <w:rFonts w:ascii="Arial" w:cs="Arial" w:eastAsia="Arial" w:hAnsi="Arial"/>
          <w:sz w:val="17"/>
          <w:szCs w:val="17"/>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Plan Event</w:t>
      </w:r>
      <w:r>
        <w:rPr>
          <w:rFonts w:ascii="Arial" w:cs="Arial" w:eastAsia="Arial" w:hAnsi="Arial"/>
          <w:sz w:val="16"/>
          <w:szCs w:val="16"/>
          <w:color w:val="auto"/>
        </w:rPr>
        <w:t>” shall mean, with respect to any Foreign Plan or Foreign Benefit Arrangement, (i) the failure to make or, if applicable, accrue in</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w:t>
      </w:r>
    </w:p>
    <w:p>
      <w:pPr>
        <w:spacing w:after="0"/>
        <w:rPr>
          <w:sz w:val="20"/>
          <w:szCs w:val="20"/>
          <w:color w:val="auto"/>
        </w:rPr>
      </w:pPr>
      <w:r>
        <w:rPr>
          <w:rFonts w:ascii="Arial" w:cs="Arial" w:eastAsia="Arial" w:hAnsi="Arial"/>
          <w:sz w:val="17"/>
          <w:szCs w:val="17"/>
          <w:color w:val="auto"/>
        </w:rPr>
        <w:t>law or regulations or with the terms of such Foreign Plan or Foreign Benefit Arrangement.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shall mean each Subsidiary of Holdings that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180"/>
          </w:cols>
          <w:pgMar w:left="320" w:top="1440" w:right="399" w:bottom="1440" w:gutter="0" w:footer="0" w:header="0"/>
        </w:sectPr>
      </w:pPr>
    </w:p>
    <w:bookmarkStart w:id="48" w:name="page49"/>
    <w:bookmarkEnd w:id="48"/>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Former Agent</w:t>
      </w:r>
      <w:r>
        <w:rPr>
          <w:rFonts w:ascii="Arial" w:cs="Arial" w:eastAsia="Arial" w:hAnsi="Arial"/>
          <w:sz w:val="17"/>
          <w:szCs w:val="17"/>
          <w:color w:val="auto"/>
        </w:rPr>
        <w:t>” shall have the meaning provided in the recitals to this Agreement.</w:t>
      </w:r>
    </w:p>
    <w:p>
      <w:pPr>
        <w:spacing w:after="0" w:line="191" w:lineRule="exact"/>
        <w:rPr>
          <w:sz w:val="20"/>
          <w:szCs w:val="20"/>
          <w:color w:val="auto"/>
        </w:rPr>
      </w:pPr>
    </w:p>
    <w:p>
      <w:pPr>
        <w:ind w:right="28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Fronting Exposure</w:t>
      </w:r>
      <w:r>
        <w:rPr>
          <w:rFonts w:ascii="Arial" w:cs="Arial" w:eastAsia="Arial" w:hAnsi="Arial"/>
          <w:sz w:val="15"/>
          <w:szCs w:val="15"/>
          <w:color w:val="auto"/>
        </w:rPr>
        <w:t>” shall mean, at any time there is a Defaulting Lender, (i) with respect to a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and (ii) with respect to the Swingline Lender, such</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Defaulting Lender’s Revolving Credit Commitment Percentage of Swingline Loans other than Swingline Loans as to which such Defaulting Lender’s participation obligation has been reallocated to other Lenders in accordance with the terms hereof.</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Fee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4.1(d)</w:t>
      </w:r>
      <w:r>
        <w:rPr>
          <w:rFonts w:ascii="Arial" w:cs="Arial" w:eastAsia="Arial" w:hAnsi="Arial"/>
          <w:sz w:val="17"/>
          <w:szCs w:val="17"/>
          <w:color w:val="auto"/>
        </w:rPr>
        <w:t>.</w:t>
      </w:r>
    </w:p>
    <w:p>
      <w:pPr>
        <w:spacing w:after="0" w:line="191" w:lineRule="exact"/>
        <w:rPr>
          <w:sz w:val="20"/>
          <w:szCs w:val="20"/>
          <w:color w:val="auto"/>
        </w:rPr>
      </w:pPr>
    </w:p>
    <w:p>
      <w:pPr>
        <w:ind w:right="3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w:t>
      </w:r>
      <w:r>
        <w:rPr>
          <w:rFonts w:ascii="Arial" w:cs="Arial" w:eastAsia="Arial" w:hAnsi="Arial"/>
          <w:sz w:val="17"/>
          <w:szCs w:val="17"/>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Funded Debt</w:t>
      </w:r>
      <w:r>
        <w:rPr>
          <w:rFonts w:ascii="Arial" w:cs="Arial" w:eastAsia="Arial" w:hAnsi="Arial"/>
          <w:sz w:val="15"/>
          <w:szCs w:val="15"/>
          <w:color w:val="auto"/>
        </w:rPr>
        <w:t>” shall mean all Indebtedness of Holdings and the Restricted Subsidiaries for borrowed money that matures more than one year from the</w:t>
      </w:r>
    </w:p>
    <w:p>
      <w:pPr>
        <w:spacing w:after="0" w:line="28"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date of its creation or matures within one year from such date that is renewable or extendable, at the option of Holdings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w:t>
      </w:r>
    </w:p>
    <w:p>
      <w:pPr>
        <w:spacing w:after="0"/>
        <w:rPr>
          <w:sz w:val="20"/>
          <w:szCs w:val="20"/>
          <w:color w:val="auto"/>
        </w:rPr>
      </w:pPr>
      <w:r>
        <w:rPr>
          <w:rFonts w:ascii="Arial" w:cs="Arial" w:eastAsia="Arial" w:hAnsi="Arial"/>
          <w:sz w:val="17"/>
          <w:szCs w:val="17"/>
          <w:color w:val="auto"/>
        </w:rPr>
        <w:t>creation), and, in the case of the Credit Parties, Indebtedness in respect of the Loans.</w:t>
      </w:r>
    </w:p>
    <w:p>
      <w:pPr>
        <w:spacing w:after="0" w:line="158" w:lineRule="exact"/>
        <w:rPr>
          <w:sz w:val="20"/>
          <w:szCs w:val="20"/>
          <w:color w:val="auto"/>
        </w:rPr>
      </w:pPr>
    </w:p>
    <w:p>
      <w:pPr>
        <w:ind w:right="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xml:space="preserve">” shall mean generally accepted accounting principles in the United States, as in effect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Borrower notifies the Administrative Agent that the Borrower requests an amendment to any provision hereof to eliminate the effect of any change occurring after the</w:t>
      </w:r>
    </w:p>
    <w:p>
      <w:pPr>
        <w:ind w:right="20"/>
        <w:spacing w:after="0" w:line="239" w:lineRule="auto"/>
        <w:rPr>
          <w:sz w:val="20"/>
          <w:szCs w:val="20"/>
          <w:color w:val="auto"/>
        </w:rPr>
      </w:pPr>
      <w:r>
        <w:rPr>
          <w:rFonts w:ascii="Arial" w:cs="Arial" w:eastAsia="Arial" w:hAnsi="Arial"/>
          <w:sz w:val="15"/>
          <w:szCs w:val="15"/>
          <w:color w:val="auto"/>
        </w:rPr>
        <w:t>Second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w:t>
      </w:r>
    </w:p>
    <w:p>
      <w:pPr>
        <w:jc w:val="both"/>
        <w:ind w:right="60"/>
        <w:spacing w:after="0" w:line="239" w:lineRule="auto"/>
        <w:rPr>
          <w:sz w:val="20"/>
          <w:szCs w:val="20"/>
          <w:color w:val="auto"/>
        </w:rPr>
      </w:pPr>
      <w:r>
        <w:rPr>
          <w:rFonts w:ascii="Arial" w:cs="Arial" w:eastAsia="Arial" w:hAnsi="Arial"/>
          <w:sz w:val="15"/>
          <w:szCs w:val="15"/>
          <w:color w:val="auto"/>
        </w:rPr>
        <w:t>any time after the Second Restatement Effective Date, Holdings may elect to apply International Financial Reporting Standards (“</w:t>
      </w:r>
      <w:r>
        <w:rPr>
          <w:rFonts w:ascii="Arial" w:cs="Arial" w:eastAsia="Arial" w:hAnsi="Arial"/>
          <w:sz w:val="15"/>
          <w:szCs w:val="15"/>
          <w:b w:val="1"/>
          <w:bCs w:val="1"/>
          <w:color w:val="auto"/>
        </w:rPr>
        <w:t>IFRS</w:t>
      </w:r>
      <w:r>
        <w:rPr>
          <w:rFonts w:ascii="Arial" w:cs="Arial" w:eastAsia="Arial" w:hAnsi="Arial"/>
          <w:sz w:val="15"/>
          <w:szCs w:val="15"/>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any such election, once made, shall be irrevocable;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calculation or</w:t>
      </w:r>
    </w:p>
    <w:p>
      <w:pPr>
        <w:jc w:val="both"/>
        <w:spacing w:after="0" w:line="239" w:lineRule="auto"/>
        <w:rPr>
          <w:sz w:val="20"/>
          <w:szCs w:val="20"/>
          <w:color w:val="auto"/>
        </w:rPr>
      </w:pPr>
      <w:r>
        <w:rPr>
          <w:rFonts w:ascii="Arial" w:cs="Arial" w:eastAsia="Arial" w:hAnsi="Arial"/>
          <w:sz w:val="15"/>
          <w:szCs w:val="15"/>
          <w:color w:val="auto"/>
        </w:rPr>
        <w:t>determination in this Agreement that requires the application of GAAP for periods that include fiscal quarters ended prior to Holdings’ election to apply IFRS shall remain as previously calculated or determined in accordance with GAAP. The Borrower shall give written notice of any such election made in accordance with this definition to the Administrative Agent. For the avoidance of doubt, solely making an election (without any other action) referred to in this definition will not be</w:t>
      </w:r>
    </w:p>
    <w:p>
      <w:pPr>
        <w:ind w:right="400"/>
        <w:spacing w:after="0" w:line="227" w:lineRule="auto"/>
        <w:rPr>
          <w:sz w:val="20"/>
          <w:szCs w:val="20"/>
          <w:color w:val="auto"/>
        </w:rPr>
      </w:pPr>
      <w:r>
        <w:rPr>
          <w:rFonts w:ascii="Arial" w:cs="Arial" w:eastAsia="Arial" w:hAnsi="Arial"/>
          <w:sz w:val="17"/>
          <w:szCs w:val="17"/>
          <w:color w:val="auto"/>
        </w:rPr>
        <w:t>treated as an incurrence of Indebtedness. Notwithstanding any other provision contained herein, the amount of any Indebtedness under GAAP with respect to Capitalized Lease Obligations shall be determined in accordance with the definition of “Capitalized Lease Obligations”.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Authority</w:t>
      </w:r>
      <w:r>
        <w:rPr>
          <w:rFonts w:ascii="Arial" w:cs="Arial" w:eastAsia="Arial" w:hAnsi="Arial"/>
          <w:sz w:val="15"/>
          <w:szCs w:val="15"/>
          <w:color w:val="auto"/>
        </w:rPr>
        <w:t>” shall mean the government of the United States or any other nation, or of any political subdivision thereof, whether state or</w:t>
      </w:r>
    </w:p>
    <w:p>
      <w:pPr>
        <w:spacing w:after="0" w:line="28"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Granting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13.6(g)</w:t>
      </w:r>
      <w:r>
        <w:rPr>
          <w:rFonts w:ascii="Arial" w:cs="Arial" w:eastAsia="Arial" w:hAnsi="Arial"/>
          <w:sz w:val="17"/>
          <w:szCs w:val="17"/>
          <w:color w:val="auto"/>
        </w:rPr>
        <w:t>.</w:t>
      </w:r>
    </w:p>
    <w:p>
      <w:pPr>
        <w:spacing w:after="0" w:line="178" w:lineRule="exact"/>
        <w:rPr>
          <w:sz w:val="20"/>
          <w:szCs w:val="20"/>
          <w:color w:val="auto"/>
        </w:rPr>
      </w:pPr>
    </w:p>
    <w:p>
      <w:pPr>
        <w:ind w:right="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Guarantee</w:t>
      </w:r>
      <w:r>
        <w:rPr>
          <w:rFonts w:ascii="Arial" w:cs="Arial" w:eastAsia="Arial" w:hAnsi="Arial"/>
          <w:sz w:val="15"/>
          <w:szCs w:val="15"/>
          <w:color w:val="auto"/>
        </w:rPr>
        <w:t>” shall mean (i) the Guarantee made by Holdings and each other Guarantor in favor of the Collateral Agent for the benefit of the Secured Parties, dated as of the Closing Date, and (ii) any other guarantee of the Obligations made by a Restricted Subsidiary in form and substance reasonably acceptable</w:t>
      </w:r>
    </w:p>
    <w:p>
      <w:pPr>
        <w:spacing w:after="0"/>
        <w:rPr>
          <w:sz w:val="20"/>
          <w:szCs w:val="20"/>
          <w:color w:val="auto"/>
        </w:rPr>
      </w:pPr>
      <w:r>
        <w:rPr>
          <w:rFonts w:ascii="Arial" w:cs="Arial" w:eastAsia="Arial" w:hAnsi="Arial"/>
          <w:sz w:val="17"/>
          <w:szCs w:val="17"/>
          <w:color w:val="auto"/>
        </w:rPr>
        <w:t>to the Administrative Agent.</w:t>
      </w:r>
    </w:p>
    <w:p>
      <w:pPr>
        <w:spacing w:after="0" w:line="158" w:lineRule="exact"/>
        <w:rPr>
          <w:sz w:val="20"/>
          <w:szCs w:val="20"/>
          <w:color w:val="auto"/>
        </w:rPr>
      </w:pPr>
    </w:p>
    <w:p>
      <w:pPr>
        <w:ind w:right="40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guarantee obligations</w:t>
      </w:r>
      <w:r>
        <w:rPr>
          <w:rFonts w:ascii="Arial" w:cs="Arial" w:eastAsia="Arial" w:hAnsi="Arial"/>
          <w:sz w:val="15"/>
          <w:szCs w:val="15"/>
          <w:color w:val="auto"/>
        </w:rPr>
        <w:t>” shall mean, as to any Person, any obligation of such Person guaranteeing or intended to guarantee any Indebtedness of any primary obligor in any manner, whether directly or indirectly, including any obligation of such Person, whether or not contingent, (i) to purchase any such</w:t>
      </w:r>
    </w:p>
    <w:p>
      <w:pPr>
        <w:spacing w:after="0"/>
        <w:rPr>
          <w:sz w:val="20"/>
          <w:szCs w:val="20"/>
          <w:color w:val="auto"/>
        </w:rPr>
      </w:pPr>
      <w:r>
        <w:rPr>
          <w:rFonts w:ascii="Arial" w:cs="Arial" w:eastAsia="Arial" w:hAnsi="Arial"/>
          <w:sz w:val="17"/>
          <w:szCs w:val="17"/>
          <w:color w:val="auto"/>
        </w:rPr>
        <w:t>Indebtedness or any property constituting direct or indirect security therefor, (ii) to advance or supply funds (a) for the 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payment of any such Indebtedness or (b) to maintain working capital or equity capital of the primary obligor or otherwise to maintain the net worth or solvency of</w:t>
      </w:r>
    </w:p>
    <w:p>
      <w:pPr>
        <w:spacing w:after="0" w:line="22"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 xml:space="preserve">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term guarantee obligations shall not include endorsements of instruments for deposit or collection in the ordinary course of business or</w:t>
      </w:r>
    </w:p>
    <w:p>
      <w:pPr>
        <w:ind w:right="160"/>
        <w:spacing w:after="0" w:line="239" w:lineRule="auto"/>
        <w:rPr>
          <w:sz w:val="20"/>
          <w:szCs w:val="20"/>
          <w:color w:val="auto"/>
        </w:rPr>
      </w:pPr>
      <w:r>
        <w:rPr>
          <w:rFonts w:ascii="Arial" w:cs="Arial" w:eastAsia="Arial" w:hAnsi="Arial"/>
          <w:sz w:val="15"/>
          <w:szCs w:val="15"/>
          <w:color w:val="auto"/>
        </w:rPr>
        <w:t>customary and reasonable indemnity obligations or product warranties in effect on the Second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w:t>
      </w:r>
    </w:p>
    <w:p>
      <w:pPr>
        <w:ind w:right="460"/>
        <w:spacing w:after="0" w:line="227" w:lineRule="auto"/>
        <w:rPr>
          <w:sz w:val="20"/>
          <w:szCs w:val="20"/>
          <w:color w:val="auto"/>
        </w:rPr>
      </w:pPr>
      <w:r>
        <w:rPr>
          <w:rFonts w:ascii="Arial" w:cs="Arial" w:eastAsia="Arial" w:hAnsi="Arial"/>
          <w:sz w:val="17"/>
          <w:szCs w:val="17"/>
          <w:color w:val="auto"/>
        </w:rPr>
        <w:t>or, if not stated or determinable, the maximum reasonably anticipated liability in respect thereof (assuming such Person is required to perform thereunder) as determined by such Person in good faith.</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Guarantors</w:t>
      </w:r>
      <w:r>
        <w:rPr>
          <w:rFonts w:ascii="Arial" w:cs="Arial" w:eastAsia="Arial" w:hAnsi="Arial"/>
          <w:sz w:val="15"/>
          <w:szCs w:val="15"/>
          <w:color w:val="auto"/>
        </w:rPr>
        <w:t>” shall mean (i) each Subsidiary of Holdings that is party to the Guarantee on the Second Restatement Effective Date, (ii) each Subsidiary of</w:t>
      </w:r>
    </w:p>
    <w:p>
      <w:pPr>
        <w:spacing w:after="0" w:line="28" w:lineRule="exact"/>
        <w:rPr>
          <w:sz w:val="20"/>
          <w:szCs w:val="20"/>
          <w:color w:val="auto"/>
        </w:rPr>
      </w:pPr>
    </w:p>
    <w:p>
      <w:pPr>
        <w:jc w:val="both"/>
        <w:ind w:right="260"/>
        <w:spacing w:after="0" w:line="243" w:lineRule="auto"/>
        <w:rPr>
          <w:sz w:val="20"/>
          <w:szCs w:val="20"/>
          <w:color w:val="auto"/>
        </w:rPr>
      </w:pPr>
      <w:r>
        <w:rPr>
          <w:rFonts w:ascii="Arial" w:cs="Arial" w:eastAsia="Arial" w:hAnsi="Arial"/>
          <w:sz w:val="16"/>
          <w:szCs w:val="16"/>
          <w:color w:val="auto"/>
        </w:rPr>
        <w:t xml:space="preserve">Holdings that becomes a party to the Guarantee after the Second Restatement Effective Date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otherwise, and (iii)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Excluded Subsidiary be required to be a Guarantor (unless such Subsidiary is no longer an Excluded Subsidiary).</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Hazardous Materials</w:t>
      </w:r>
      <w:r>
        <w:rPr>
          <w:rFonts w:ascii="Arial" w:cs="Arial" w:eastAsia="Arial" w:hAnsi="Arial"/>
          <w:sz w:val="15"/>
          <w:szCs w:val="15"/>
          <w:color w:val="auto"/>
        </w:rPr>
        <w:t>” shall mean (i) any petroleum or petroleum products, radioactive materials, friable asbestos, polychlorinated biphenyls, and radon</w:t>
      </w:r>
    </w:p>
    <w:p>
      <w:pPr>
        <w:spacing w:after="0" w:line="28" w:lineRule="exact"/>
        <w:rPr>
          <w:sz w:val="20"/>
          <w:szCs w:val="20"/>
          <w:color w:val="auto"/>
        </w:rPr>
      </w:pPr>
    </w:p>
    <w:p>
      <w:pPr>
        <w:ind w:right="260"/>
        <w:spacing w:after="0" w:line="239" w:lineRule="auto"/>
        <w:rPr>
          <w:sz w:val="20"/>
          <w:szCs w:val="20"/>
          <w:color w:val="auto"/>
        </w:rPr>
      </w:pPr>
      <w:r>
        <w:rPr>
          <w:rFonts w:ascii="Arial" w:cs="Arial" w:eastAsia="Arial" w:hAnsi="Arial"/>
          <w:sz w:val="15"/>
          <w:szCs w:val="15"/>
          <w:color w:val="auto"/>
        </w:rPr>
        <w:t>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w:t>
      </w:r>
    </w:p>
    <w:p>
      <w:pPr>
        <w:spacing w:after="0"/>
        <w:rPr>
          <w:sz w:val="20"/>
          <w:szCs w:val="20"/>
          <w:color w:val="auto"/>
        </w:rPr>
      </w:pPr>
      <w:r>
        <w:rPr>
          <w:rFonts w:ascii="Arial" w:cs="Arial" w:eastAsia="Arial" w:hAnsi="Arial"/>
          <w:sz w:val="17"/>
          <w:szCs w:val="17"/>
          <w:color w:val="auto"/>
        </w:rPr>
        <w:t>properties or characteristics by, any Environmental Law.</w:t>
      </w:r>
    </w:p>
    <w:p>
      <w:pPr>
        <w:spacing w:after="0" w:line="158" w:lineRule="exact"/>
        <w:rPr>
          <w:sz w:val="20"/>
          <w:szCs w:val="20"/>
          <w:color w:val="auto"/>
        </w:rPr>
      </w:pPr>
    </w:p>
    <w:p>
      <w:pPr>
        <w:ind w:right="1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Hedge Agreements</w:t>
      </w:r>
      <w:r>
        <w:rPr>
          <w:rFonts w:ascii="Arial" w:cs="Arial" w:eastAsia="Arial" w:hAnsi="Arial"/>
          <w:sz w:val="15"/>
          <w:szCs w:val="15"/>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w:t>
      </w:r>
    </w:p>
    <w:p>
      <w:pPr>
        <w:ind w:right="20"/>
        <w:spacing w:after="0" w:line="239" w:lineRule="auto"/>
        <w:rPr>
          <w:sz w:val="20"/>
          <w:szCs w:val="20"/>
          <w:color w:val="auto"/>
        </w:rPr>
      </w:pPr>
      <w:r>
        <w:rPr>
          <w:rFonts w:ascii="Arial" w:cs="Arial" w:eastAsia="Arial" w:hAnsi="Arial"/>
          <w:sz w:val="15"/>
          <w:szCs w:val="15"/>
          <w:color w:val="auto"/>
        </w:rPr>
        <w:t>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w:t>
      </w:r>
    </w:p>
    <w:p>
      <w:pPr>
        <w:ind w:right="20"/>
        <w:spacing w:after="0" w:line="239" w:lineRule="auto"/>
        <w:rPr>
          <w:sz w:val="20"/>
          <w:szCs w:val="20"/>
          <w:color w:val="auto"/>
        </w:rPr>
      </w:pPr>
      <w:r>
        <w:rPr>
          <w:rFonts w:ascii="Arial" w:cs="Arial" w:eastAsia="Arial" w:hAnsi="Arial"/>
          <w:sz w:val="15"/>
          <w:szCs w:val="15"/>
          <w:color w:val="auto"/>
        </w:rPr>
        <w:t>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5"/>
          <w:szCs w:val="15"/>
          <w:b w:val="1"/>
          <w:bCs w:val="1"/>
          <w:color w:val="auto"/>
        </w:rPr>
        <w:t>Master Agreement</w:t>
      </w:r>
      <w:r>
        <w:rPr>
          <w:rFonts w:ascii="Arial" w:cs="Arial" w:eastAsia="Arial" w:hAnsi="Arial"/>
          <w:sz w:val="15"/>
          <w:szCs w:val="15"/>
          <w:color w:val="auto"/>
        </w:rPr>
        <w:t>”), including any such obligations or liabilities</w:t>
      </w:r>
    </w:p>
    <w:p>
      <w:pPr>
        <w:spacing w:after="0"/>
        <w:rPr>
          <w:sz w:val="20"/>
          <w:szCs w:val="20"/>
          <w:color w:val="auto"/>
        </w:rPr>
      </w:pPr>
      <w:r>
        <w:rPr>
          <w:rFonts w:ascii="Arial" w:cs="Arial" w:eastAsia="Arial" w:hAnsi="Arial"/>
          <w:sz w:val="17"/>
          <w:szCs w:val="17"/>
          <w:color w:val="auto"/>
        </w:rPr>
        <w:t>under any Master Agreement.</w:t>
      </w:r>
    </w:p>
    <w:p>
      <w:pPr>
        <w:spacing w:after="0" w:line="158" w:lineRule="exact"/>
        <w:rPr>
          <w:sz w:val="20"/>
          <w:szCs w:val="20"/>
          <w:color w:val="auto"/>
        </w:rPr>
      </w:pPr>
    </w:p>
    <w:p>
      <w:pPr>
        <w:ind w:right="3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Hedge Bank</w:t>
      </w:r>
      <w:r>
        <w:rPr>
          <w:rFonts w:ascii="Arial" w:cs="Arial" w:eastAsia="Arial" w:hAnsi="Arial"/>
          <w:sz w:val="15"/>
          <w:szCs w:val="15"/>
          <w:color w:val="auto"/>
        </w:rPr>
        <w:t>” shall mean (i) (a) any Person that, at the time it enters into a Hedge Agreement, is a Lender, an Agent or an Affiliate of a Lender or an Agent and (b) with respect to any Hedge Agreement entered into prior to the Second Restatement Effective Date, any Person that is a Lender or an Agent or an</w:t>
      </w:r>
    </w:p>
    <w:p>
      <w:pPr>
        <w:ind w:right="320"/>
        <w:spacing w:after="0" w:line="275" w:lineRule="auto"/>
        <w:rPr>
          <w:sz w:val="20"/>
          <w:szCs w:val="20"/>
          <w:color w:val="auto"/>
        </w:rPr>
      </w:pPr>
      <w:r>
        <w:rPr>
          <w:rFonts w:ascii="Arial" w:cs="Arial" w:eastAsia="Arial" w:hAnsi="Arial"/>
          <w:sz w:val="15"/>
          <w:szCs w:val="15"/>
          <w:color w:val="auto"/>
        </w:rPr>
        <w:t xml:space="preserve">Affiliate of a Lender or an Agent on the Second Restatement Effective Date and (ii) any other Person that is designated by the Borrower as a “Hedge Bank” by written notice to the Administrative Agent substantially in the form of </w:t>
      </w:r>
      <w:r>
        <w:rPr>
          <w:rFonts w:ascii="Arial" w:cs="Arial" w:eastAsia="Arial" w:hAnsi="Arial"/>
          <w:sz w:val="15"/>
          <w:szCs w:val="15"/>
          <w:u w:val="single" w:color="auto"/>
          <w:color w:val="auto"/>
        </w:rPr>
        <w:t>Exhibit M</w:t>
      </w:r>
      <w:r>
        <w:rPr>
          <w:rFonts w:ascii="Arial" w:cs="Arial" w:eastAsia="Arial" w:hAnsi="Arial"/>
          <w:sz w:val="15"/>
          <w:szCs w:val="15"/>
          <w:color w:val="auto"/>
        </w:rPr>
        <w:t xml:space="preserve"> or such other form reasonably acceptable to the Administrative Agent.</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Obligations</w:t>
      </w:r>
      <w:r>
        <w:rPr>
          <w:rFonts w:ascii="Arial" w:cs="Arial" w:eastAsia="Arial" w:hAnsi="Arial"/>
          <w:sz w:val="17"/>
          <w:szCs w:val="17"/>
          <w:color w:val="auto"/>
        </w:rPr>
        <w:t>” shall mean, with respect to any Person, the obligations of such Person under any Hedge Agreements.</w:t>
      </w:r>
    </w:p>
    <w:p>
      <w:pPr>
        <w:spacing w:after="0" w:line="191" w:lineRule="exact"/>
        <w:rPr>
          <w:sz w:val="20"/>
          <w:szCs w:val="20"/>
          <w:color w:val="auto"/>
        </w:rPr>
      </w:pPr>
    </w:p>
    <w:p>
      <w:pPr>
        <w:jc w:val="both"/>
        <w:ind w:right="14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Historical Financial Statements</w:t>
      </w:r>
      <w:r>
        <w:rPr>
          <w:rFonts w:ascii="Arial" w:cs="Arial" w:eastAsia="Arial" w:hAnsi="Arial"/>
          <w:sz w:val="15"/>
          <w:szCs w:val="15"/>
          <w:color w:val="auto"/>
        </w:rPr>
        <w:t xml:space="preserve"> ” shall mean (i) the audited consolidated balance sheets of Holdings and its Subsidiaries as at December 31, 2021 and December 31, 2022, and the related audited consolidated statements of income and cash flow of Holdings and its Subsidiaries for the years ended December 31, 2021 and December 31, 2022 and (ii) the unaudited interim consolidated balance sheets of Holdings and its Subsidiaries for the fiscal quarters ending September</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30, 2022, December 31, 2022 and March 31, 2023 and the related unaudited consolidated statements of income and cash flow of Holdings and its Subsidiaries for fiscal quarters ending September 30, 2022, December 31, 2022 and March 31, 2023.</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Holdings</w:t>
      </w:r>
      <w:r>
        <w:rPr>
          <w:rFonts w:ascii="Arial" w:cs="Arial" w:eastAsia="Arial" w:hAnsi="Arial"/>
          <w:sz w:val="15"/>
          <w:szCs w:val="15"/>
          <w:color w:val="auto"/>
        </w:rPr>
        <w:t>” shall mean (i) Holdings (as defined in the preamble to this Agreement) or (ii) after the Second Restatement Effective Date any other Person or</w:t>
      </w:r>
    </w:p>
    <w:p>
      <w:pPr>
        <w:spacing w:after="0" w:line="28"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Persons (“</w:t>
      </w:r>
      <w:r>
        <w:rPr>
          <w:rFonts w:ascii="Arial" w:cs="Arial" w:eastAsia="Arial" w:hAnsi="Arial"/>
          <w:sz w:val="17"/>
          <w:szCs w:val="17"/>
          <w:b w:val="1"/>
          <w:bCs w:val="1"/>
          <w:color w:val="auto"/>
        </w:rPr>
        <w:t>New Holdings</w:t>
      </w:r>
      <w:r>
        <w:rPr>
          <w:rFonts w:ascii="Arial" w:cs="Arial" w:eastAsia="Arial" w:hAnsi="Arial"/>
          <w:sz w:val="17"/>
          <w:szCs w:val="17"/>
          <w:color w:val="auto"/>
        </w:rPr>
        <w:t>”) that is a Subsidiary of (or are Subsidiaries of) Holdings or of any Parent Entity of Holdings (or the previous New Holdings, as the case may be) but not the Borrower (“</w:t>
      </w:r>
      <w:r>
        <w:rPr>
          <w:rFonts w:ascii="Arial" w:cs="Arial" w:eastAsia="Arial" w:hAnsi="Arial"/>
          <w:sz w:val="17"/>
          <w:szCs w:val="17"/>
          <w:b w:val="1"/>
          <w:bCs w:val="1"/>
          <w:color w:val="auto"/>
        </w:rPr>
        <w:t>Previous Holdings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New Holdings directly owns (i) 100%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Equity Interests of the Borrower and (ii) 100% of the Equity Interests of each other direct Subsidiary of Previous Holdings which were owned by Previous</w:t>
      </w:r>
    </w:p>
    <w:p>
      <w:pPr>
        <w:spacing w:after="0" w:line="1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Holdings immediately prior thereto,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w:t>
      </w:r>
    </w:p>
    <w:p>
      <w:pPr>
        <w:ind w:right="80"/>
        <w:spacing w:after="0" w:line="239" w:lineRule="auto"/>
        <w:rPr>
          <w:sz w:val="20"/>
          <w:szCs w:val="20"/>
          <w:color w:val="auto"/>
        </w:rPr>
      </w:pPr>
      <w:r>
        <w:rPr>
          <w:rFonts w:ascii="Arial" w:cs="Arial" w:eastAsia="Arial" w:hAnsi="Arial"/>
          <w:sz w:val="15"/>
          <w:szCs w:val="15"/>
          <w:color w:val="auto"/>
        </w:rPr>
        <w:t>does not violate this Agreement or any other Credit Document, (d) all Capital Stock of the Borrower and each other direct Subsidiary of Previous Holdings and substantially all of the other assets of Previous Holdings are contributed or otherwise transferred, directly or indirectly, to such New Holdings and pledged to secure the Obligations, (f) (i) no Event of Default has occurred and is continuing at the time of such substitution and such substitution does not result in any Event</w:t>
      </w:r>
    </w:p>
    <w:p>
      <w:pPr>
        <w:ind w:right="260"/>
        <w:spacing w:after="0" w:line="239" w:lineRule="auto"/>
        <w:rPr>
          <w:sz w:val="20"/>
          <w:szCs w:val="20"/>
          <w:color w:val="auto"/>
        </w:rPr>
      </w:pPr>
      <w:r>
        <w:rPr>
          <w:rFonts w:ascii="Arial" w:cs="Arial" w:eastAsia="Arial" w:hAnsi="Arial"/>
          <w:sz w:val="15"/>
          <w:szCs w:val="15"/>
          <w:color w:val="auto"/>
        </w:rPr>
        <w:t xml:space="preserve">of Default, (ii) such substitution does not result in any material adverse tax consequences to any Credit Party and (iii) such substitution does not result in any adverse tax consequences to any Lender (unless reimbursed hereunder) or to the Administrative Agent (unless reimbursed hereunder), (g) no Change of Control shall occur;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each of the foregoing is satisfied, Previous Holdings shall be automatically released of all its obligations under the Credit</w:t>
      </w:r>
    </w:p>
    <w:p>
      <w:pPr>
        <w:ind w:right="20"/>
        <w:spacing w:after="0" w:line="227" w:lineRule="auto"/>
        <w:rPr>
          <w:sz w:val="20"/>
          <w:szCs w:val="20"/>
          <w:color w:val="auto"/>
        </w:rPr>
      </w:pPr>
      <w:r>
        <w:rPr>
          <w:rFonts w:ascii="Arial" w:cs="Arial" w:eastAsia="Arial" w:hAnsi="Arial"/>
          <w:sz w:val="17"/>
          <w:szCs w:val="17"/>
          <w:color w:val="auto"/>
        </w:rPr>
        <w:t>Documents and any reference to Holdings in the Credit Documents shall be meant to refer to New Holdings and (h) New Holdings shall be organized in the United States, any state thereof or the District of Columbia.</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IFRS</w:t>
      </w:r>
      <w:r>
        <w:rPr>
          <w:rFonts w:ascii="Arial" w:cs="Arial" w:eastAsia="Arial" w:hAnsi="Arial"/>
          <w:sz w:val="17"/>
          <w:szCs w:val="17"/>
          <w:color w:val="auto"/>
        </w:rPr>
        <w:t>” shall have the meaning given such term in the definition of “GAAP”.</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Increased Amount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incur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shall mean, with respect to any Person, (i) any indebtedness (including principal and premium) of such Person, whether or not contingent</w:t>
      </w:r>
    </w:p>
    <w:p>
      <w:pPr>
        <w:spacing w:after="0" w:line="15" w:lineRule="exact"/>
        <w:rPr>
          <w:sz w:val="20"/>
          <w:szCs w:val="20"/>
          <w:color w:val="auto"/>
        </w:rPr>
      </w:pPr>
    </w:p>
    <w:p>
      <w:pPr>
        <w:ind w:right="20" w:firstLine="3"/>
        <w:spacing w:after="0" w:line="226" w:lineRule="auto"/>
        <w:tabs>
          <w:tab w:leader="none" w:pos="2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and (e) representing Permitted Convertible Indebtedness pursuant to clause (ii) of the definition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of any direct or indirect parent company appearing upon the balance sheet of Holdings solely by reason of push down accounting under GAAP shall be excluded, (ii) to the extent not otherwise included, any obligation by such Person to be liable for, or to pay, as obligor, guarantor or otherwise, on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or (6) any earn-out obligation until such obligation, within 60 days of becoming due and payable, has not been paid and such obligation is reflected as a liability on the balance sheet of such Person in accordance with GAAP. The amount of Indebtedness of any Person for purposes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168"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For all purposes hereof, the Indebtedness of Holdings, the Borrower and the other Restricted Subsidiaries, shall exclude all intercompany Indebtedness having a term not exceeding 365 days (inclusive of any roll-over or extensions of terms) and made in the ordinary course of business consistent with past practice.</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Liabilities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13.5</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“Indemnified Person</w:t>
      </w:r>
      <w:r>
        <w:rPr>
          <w:rFonts w:ascii="Arial" w:cs="Arial" w:eastAsia="Arial" w:hAnsi="Arial"/>
          <w:sz w:val="17"/>
          <w:szCs w:val="17"/>
          <w:color w:val="auto"/>
        </w:rPr>
        <w:t>” shall have the meaning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13.5</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00" w:lineRule="exact"/>
        <w:rPr>
          <w:sz w:val="20"/>
          <w:szCs w:val="20"/>
          <w:color w:val="auto"/>
        </w:rPr>
      </w:pPr>
    </w:p>
    <w:p>
      <w:pPr>
        <w:ind w:right="16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shall mean all Taxes imposed on or with respect to any payment by or on account of any obligation of any Credit Party hereunder or under any other Credit Document, other than Excluded Taxes or Other Taxes.</w:t>
      </w:r>
    </w:p>
    <w:p>
      <w:pPr>
        <w:spacing w:after="0" w:line="139" w:lineRule="exact"/>
        <w:rPr>
          <w:sz w:val="20"/>
          <w:szCs w:val="20"/>
          <w:color w:val="auto"/>
        </w:rPr>
      </w:pPr>
    </w:p>
    <w:p>
      <w:pPr>
        <w:ind w:right="240" w:firstLine="6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Investors</w:t>
      </w:r>
      <w:r>
        <w:rPr>
          <w:rFonts w:ascii="Arial" w:cs="Arial" w:eastAsia="Arial" w:hAnsi="Arial"/>
          <w:sz w:val="16"/>
          <w:szCs w:val="16"/>
          <w:color w:val="auto"/>
        </w:rPr>
        <w:t>” shall mean Kohlberg Kravis Roberts &amp; Co. L.P., KKR North America Fund XI L.P., KKR North America Fund XI ESC L.P., KKR North America Fund XI SBS L.P., KKR Partners III, L.P. KKR CIS Global Investor L.P., CPS Managers Fund L.P., KKR Principal Opportunities Partnership</w:t>
      </w:r>
    </w:p>
    <w:p>
      <w:pPr>
        <w:ind w:right="420"/>
        <w:spacing w:after="0" w:line="227" w:lineRule="auto"/>
        <w:rPr>
          <w:sz w:val="20"/>
          <w:szCs w:val="20"/>
          <w:color w:val="auto"/>
        </w:rPr>
      </w:pPr>
      <w:r>
        <w:rPr>
          <w:rFonts w:ascii="Arial" w:cs="Arial" w:eastAsia="Arial" w:hAnsi="Arial"/>
          <w:sz w:val="17"/>
          <w:szCs w:val="17"/>
          <w:color w:val="auto"/>
        </w:rPr>
        <w:t>(Domestic) L.P., KKR Principal Opportunities Partnership (Domestic) L.P., Berkshire Fund VI, Limited Partnership, Berkshire Investors LLC and Berkshire Investors III LLC, and each of their respective Affiliates and successors.</w:t>
      </w:r>
    </w:p>
    <w:p>
      <w:pPr>
        <w:spacing w:after="0" w:line="152" w:lineRule="exact"/>
        <w:rPr>
          <w:sz w:val="20"/>
          <w:szCs w:val="20"/>
          <w:color w:val="auto"/>
        </w:rPr>
      </w:pPr>
    </w:p>
    <w:p>
      <w:pPr>
        <w:ind w:right="16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Insolvent</w:t>
      </w:r>
      <w:r>
        <w:rPr>
          <w:rFonts w:ascii="Arial" w:cs="Arial" w:eastAsia="Arial" w:hAnsi="Arial"/>
          <w:sz w:val="17"/>
          <w:szCs w:val="17"/>
          <w:color w:val="auto"/>
        </w:rPr>
        <w:t>” shall mean, with respect to any Multiemployer Plan, the condition that such Multiemployer Plan is insolvent within the meaning of Section 4245 of ERISA.</w:t>
      </w:r>
    </w:p>
    <w:p>
      <w:pPr>
        <w:spacing w:after="0" w:line="139" w:lineRule="exact"/>
        <w:rPr>
          <w:sz w:val="20"/>
          <w:szCs w:val="20"/>
          <w:color w:val="auto"/>
        </w:rPr>
      </w:pPr>
    </w:p>
    <w:p>
      <w:pPr>
        <w:ind w:right="1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shall mean U.S. and foreign intellectual property, including all (i) (a) patents, inventions, processes, developments, technology, and know-how; (b) copyrights and works of authorship in any media, including graphics, advertising materials, labels, package designs, and photographs; (c)</w:t>
      </w:r>
    </w:p>
    <w:p>
      <w:pPr>
        <w:ind w:right="60"/>
        <w:spacing w:after="0" w:line="239" w:lineRule="auto"/>
        <w:rPr>
          <w:sz w:val="20"/>
          <w:szCs w:val="20"/>
          <w:color w:val="auto"/>
        </w:rPr>
      </w:pPr>
      <w:r>
        <w:rPr>
          <w:rFonts w:ascii="Arial" w:cs="Arial" w:eastAsia="Arial" w:hAnsi="Arial"/>
          <w:sz w:val="15"/>
          <w:szCs w:val="15"/>
          <w:color w:val="auto"/>
        </w:rPr>
        <w:t>trademarks, service marks, trade names, brand names, corporate names,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divisions, re-issues, re-examinations, foreign counterparts, or similar legal protections related to the</w:t>
      </w:r>
    </w:p>
    <w:p>
      <w:pPr>
        <w:spacing w:after="0"/>
        <w:rPr>
          <w:sz w:val="20"/>
          <w:szCs w:val="20"/>
          <w:color w:val="auto"/>
        </w:rPr>
      </w:pPr>
      <w:r>
        <w:rPr>
          <w:rFonts w:ascii="Arial" w:cs="Arial" w:eastAsia="Arial" w:hAnsi="Arial"/>
          <w:sz w:val="17"/>
          <w:szCs w:val="17"/>
          <w:color w:val="auto"/>
        </w:rPr>
        <w:t>foregoing.</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shall mean, with respect to any Loan, the interest period applicable thereto, as determined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shall mean, with respect to any Person, all investments by such Person in other Persons (including Affiliates) in the form of loans</w:t>
      </w:r>
    </w:p>
    <w:p>
      <w:pPr>
        <w:spacing w:after="0" w:line="17" w:lineRule="exact"/>
        <w:rPr>
          <w:sz w:val="20"/>
          <w:szCs w:val="20"/>
          <w:color w:val="auto"/>
        </w:rPr>
      </w:pPr>
    </w:p>
    <w:p>
      <w:pPr>
        <w:ind w:right="360"/>
        <w:spacing w:after="0" w:line="239" w:lineRule="auto"/>
        <w:rPr>
          <w:sz w:val="20"/>
          <w:szCs w:val="20"/>
          <w:color w:val="auto"/>
        </w:rPr>
      </w:pPr>
      <w:r>
        <w:rPr>
          <w:rFonts w:ascii="Arial" w:cs="Arial" w:eastAsia="Arial" w:hAnsi="Arial"/>
          <w:sz w:val="15"/>
          <w:szCs w:val="15"/>
          <w:color w:val="auto"/>
        </w:rPr>
        <w:t>(including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w:t>
      </w:r>
    </w:p>
    <w:p>
      <w:pPr>
        <w:jc w:val="both"/>
        <w:ind w:right="120"/>
        <w:spacing w:after="0" w:line="239" w:lineRule="auto"/>
        <w:rPr>
          <w:sz w:val="20"/>
          <w:szCs w:val="20"/>
          <w:color w:val="auto"/>
        </w:rPr>
      </w:pPr>
      <w:r>
        <w:rPr>
          <w:rFonts w:ascii="Arial" w:cs="Arial" w:eastAsia="Arial" w:hAnsi="Arial"/>
          <w:sz w:val="15"/>
          <w:szCs w:val="15"/>
          <w:color w:val="auto"/>
        </w:rPr>
        <w:t xml:space="preserve">footnotes) of Holdings in the same manner as the other investments included in this definition to the extent such transactions involve the transfer of cash or other property;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Investments shall not include, in the case of Holdings, the Borrower, and the other Restricted Subsidiaries, intercompany loans, advances, or Indebtedness either (i) having a term not exceeding 364 days (inclusive of any roll-over or extensions of terms) and made in the ordinary course of business or</w:t>
      </w:r>
    </w:p>
    <w:p>
      <w:pPr>
        <w:spacing w:after="0"/>
        <w:rPr>
          <w:sz w:val="20"/>
          <w:szCs w:val="20"/>
          <w:color w:val="auto"/>
        </w:rPr>
      </w:pPr>
      <w:r>
        <w:rPr>
          <w:rFonts w:ascii="Arial" w:cs="Arial" w:eastAsia="Arial" w:hAnsi="Arial"/>
          <w:sz w:val="17"/>
          <w:szCs w:val="17"/>
          <w:color w:val="auto"/>
        </w:rPr>
        <w:t>(ii) arising from cash management, tax and/or accounting operations.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For purposes of the definition of “Unrestricted Subsidiary” and </w:t>
      </w:r>
      <w:r>
        <w:rPr>
          <w:rFonts w:ascii="Arial" w:cs="Arial" w:eastAsia="Arial" w:hAnsi="Arial"/>
          <w:sz w:val="17"/>
          <w:szCs w:val="17"/>
          <w:u w:val="single" w:color="auto"/>
          <w:color w:val="auto"/>
        </w:rPr>
        <w:t>Section 10.5</w:t>
      </w:r>
      <w:r>
        <w:rPr>
          <w:rFonts w:ascii="Arial" w:cs="Arial" w:eastAsia="Arial" w:hAnsi="Arial"/>
          <w:sz w:val="17"/>
          <w:szCs w:val="17"/>
          <w:color w:val="auto"/>
        </w:rPr>
        <w:t>,</w:t>
      </w:r>
    </w:p>
    <w:p>
      <w:pPr>
        <w:spacing w:after="0" w:line="178" w:lineRule="exact"/>
        <w:rPr>
          <w:sz w:val="20"/>
          <w:szCs w:val="20"/>
          <w:color w:val="auto"/>
        </w:rPr>
      </w:pPr>
    </w:p>
    <w:p>
      <w:pPr>
        <w:ind w:left="620" w:firstLine="174"/>
        <w:spacing w:after="0" w:line="238" w:lineRule="auto"/>
        <w:tabs>
          <w:tab w:leader="none" w:pos="1126"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Investments shall include the portion (proportionate to Holdings’ equity interest in such Subsidiary) of the Fair Market Value of the net assets of a Subsidiary of Holdings at the time that such Subsidiary is designated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 redesignation of such Subsidiary as a Restricted Subsidiary, Holdings shall be deemed to continue to have a permanent Investment in an Unrestricted Subsidiary in an amount (if positive) equal to (a) Holdings’ Investment in such Subsidiary at the time of such redesignation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portion (proportionate to Holdings’ equity interest in such Subsidiary) of the Fair Market Value of the net assets of such Subsidiary at the time of such redesignation; and</w:t>
      </w:r>
    </w:p>
    <w:p>
      <w:pPr>
        <w:spacing w:after="0" w:line="157" w:lineRule="exact"/>
        <w:rPr>
          <w:rFonts w:ascii="Arial" w:cs="Arial" w:eastAsia="Arial" w:hAnsi="Arial"/>
          <w:sz w:val="16"/>
          <w:szCs w:val="16"/>
          <w:color w:val="auto"/>
        </w:rPr>
      </w:pPr>
    </w:p>
    <w:p>
      <w:pPr>
        <w:ind w:left="1180" w:hanging="386"/>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property transferred to or from an Unrestricted Subsidiary shall be valued at its Fair Market Value at the time of such transfer.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w:t>
      </w:r>
    </w:p>
    <w:p>
      <w:pPr>
        <w:spacing w:after="0" w:line="11"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payment, return of capital, repayment, or other amount received by Holdings or a Restricted Subsidiary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amounts received other than in the form of Cash Equivalents, such amount shall be equal to the Fair Market Value of such consideration).</w:t>
      </w:r>
    </w:p>
    <w:p>
      <w:pPr>
        <w:spacing w:after="0" w:line="149"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Rating</w:t>
      </w:r>
      <w:r>
        <w:rPr>
          <w:rFonts w:ascii="Arial" w:cs="Arial" w:eastAsia="Arial" w:hAnsi="Arial"/>
          <w:sz w:val="17"/>
          <w:szCs w:val="17"/>
          <w:color w:val="auto"/>
        </w:rPr>
        <w:t>” shall mean a rating equal to or higher than Baa3 (or the equivalent) by Moody’s and BBB- (or the equivalent) by S&amp;P, or an equivalent rating by any other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Securities</w:t>
      </w:r>
      <w:r>
        <w:rPr>
          <w:rFonts w:ascii="Arial" w:cs="Arial" w:eastAsia="Arial" w:hAnsi="Arial"/>
          <w:sz w:val="17"/>
          <w:szCs w:val="17"/>
          <w:color w:val="auto"/>
        </w:rPr>
        <w:t>” shall mean:</w:t>
      </w:r>
    </w:p>
    <w:p>
      <w:pPr>
        <w:spacing w:after="0" w:line="197" w:lineRule="exact"/>
        <w:rPr>
          <w:sz w:val="20"/>
          <w:szCs w:val="20"/>
          <w:color w:val="auto"/>
        </w:rPr>
      </w:pPr>
    </w:p>
    <w:p>
      <w:pPr>
        <w:ind w:left="620" w:right="160" w:firstLine="174"/>
        <w:spacing w:after="0" w:line="236" w:lineRule="auto"/>
        <w:tabs>
          <w:tab w:leader="none" w:pos="112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securities issued or directly and fully guaranteed or insured by the United States government or any agency or instrumentality thereof (other than Cash Equivalents),</w:t>
      </w:r>
    </w:p>
    <w:p>
      <w:pPr>
        <w:spacing w:after="0" w:line="157" w:lineRule="exact"/>
        <w:rPr>
          <w:rFonts w:ascii="Arial" w:cs="Arial" w:eastAsia="Arial" w:hAnsi="Arial"/>
          <w:sz w:val="17"/>
          <w:szCs w:val="17"/>
          <w:color w:val="auto"/>
        </w:rPr>
      </w:pPr>
    </w:p>
    <w:p>
      <w:pPr>
        <w:ind w:left="620" w:right="560" w:firstLine="174"/>
        <w:spacing w:after="0" w:line="248" w:lineRule="auto"/>
        <w:tabs>
          <w:tab w:leader="none" w:pos="1174"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debt securities or debt instruments with an Investment Grade Rating, but excluding any debt securities or instruments constituting loans or advances among Holdings and its Subsidiaries,</w:t>
      </w:r>
    </w:p>
    <w:p>
      <w:pPr>
        <w:spacing w:after="0" w:line="150" w:lineRule="exact"/>
        <w:rPr>
          <w:rFonts w:ascii="Arial" w:cs="Arial" w:eastAsia="Arial" w:hAnsi="Arial"/>
          <w:sz w:val="17"/>
          <w:szCs w:val="17"/>
          <w:color w:val="auto"/>
        </w:rPr>
      </w:pPr>
    </w:p>
    <w:p>
      <w:pPr>
        <w:ind w:left="620" w:right="140" w:firstLine="174"/>
        <w:spacing w:after="0" w:line="236" w:lineRule="auto"/>
        <w:tabs>
          <w:tab w:leader="none" w:pos="12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investments in any fund that invest at least 90% in investments of the type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which fund may also hold immaterial amounts of cash pending investment or distribution, and</w:t>
      </w:r>
    </w:p>
    <w:p>
      <w:pPr>
        <w:spacing w:after="0" w:line="169" w:lineRule="exact"/>
        <w:rPr>
          <w:rFonts w:ascii="Arial" w:cs="Arial" w:eastAsia="Arial" w:hAnsi="Arial"/>
          <w:sz w:val="17"/>
          <w:szCs w:val="17"/>
          <w:color w:val="auto"/>
        </w:rPr>
      </w:pPr>
    </w:p>
    <w:p>
      <w:pPr>
        <w:ind w:left="1220" w:hanging="426"/>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corresponding instruments in countries other than the United States customarily utilized for high-quality investments.</w:t>
      </w:r>
    </w:p>
    <w:p>
      <w:pPr>
        <w:spacing w:after="0" w:line="172" w:lineRule="exact"/>
        <w:rPr>
          <w:sz w:val="20"/>
          <w:szCs w:val="20"/>
          <w:color w:val="auto"/>
        </w:rPr>
      </w:pPr>
    </w:p>
    <w:p>
      <w:pPr>
        <w:ind w:right="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ISP</w:t>
      </w:r>
      <w:r>
        <w:rPr>
          <w:rFonts w:ascii="Arial" w:cs="Arial" w:eastAsia="Arial" w:hAnsi="Arial"/>
          <w:sz w:val="17"/>
          <w:szCs w:val="17"/>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65" w:lineRule="exact"/>
        <w:rPr>
          <w:sz w:val="20"/>
          <w:szCs w:val="20"/>
          <w:color w:val="auto"/>
        </w:rPr>
      </w:pPr>
    </w:p>
    <w:p>
      <w:pPr>
        <w:ind w:right="14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Documents</w:t>
      </w:r>
      <w:r>
        <w:rPr>
          <w:rFonts w:ascii="Arial" w:cs="Arial" w:eastAsia="Arial" w:hAnsi="Arial"/>
          <w:sz w:val="17"/>
          <w:szCs w:val="17"/>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Joinder Agreement</w:t>
      </w:r>
      <w:r>
        <w:rPr>
          <w:rFonts w:ascii="Arial" w:cs="Arial" w:eastAsia="Arial" w:hAnsi="Arial"/>
          <w:sz w:val="17"/>
          <w:szCs w:val="17"/>
          <w:color w:val="auto"/>
        </w:rPr>
        <w:t xml:space="preserve">” shall mean an agreement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8" w:lineRule="exact"/>
        <w:rPr>
          <w:sz w:val="20"/>
          <w:szCs w:val="20"/>
          <w:color w:val="auto"/>
        </w:rPr>
      </w:pPr>
    </w:p>
    <w:p>
      <w:pPr>
        <w:ind w:right="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Joint Lead Arrangers and Bookrunners</w:t>
      </w:r>
      <w:r>
        <w:rPr>
          <w:rFonts w:ascii="Arial" w:cs="Arial" w:eastAsia="Arial" w:hAnsi="Arial"/>
          <w:sz w:val="15"/>
          <w:szCs w:val="15"/>
          <w:color w:val="auto"/>
        </w:rPr>
        <w:t>” shall mean BofA Securities, Inc., JPMorgan Chase Bank, N.A., Wells Fargo Securities, LLC and, for purposes of the protections and indemnification provisions hereof, the “Joint Lead Arrangers and Bookrunners” (as defined in the Existing Credit Agreement prior</w:t>
      </w:r>
    </w:p>
    <w:p>
      <w:pPr>
        <w:spacing w:after="0"/>
        <w:rPr>
          <w:sz w:val="20"/>
          <w:szCs w:val="20"/>
          <w:color w:val="auto"/>
        </w:rPr>
      </w:pPr>
      <w:r>
        <w:rPr>
          <w:rFonts w:ascii="Arial" w:cs="Arial" w:eastAsia="Arial" w:hAnsi="Arial"/>
          <w:sz w:val="17"/>
          <w:szCs w:val="17"/>
          <w:color w:val="auto"/>
        </w:rPr>
        <w:t>to the Second Restatement Effective Date).</w:t>
      </w:r>
    </w:p>
    <w:p>
      <w:pPr>
        <w:spacing w:after="0" w:line="158" w:lineRule="exact"/>
        <w:rPr>
          <w:sz w:val="20"/>
          <w:szCs w:val="20"/>
          <w:color w:val="auto"/>
        </w:rPr>
      </w:pPr>
    </w:p>
    <w:p>
      <w:pPr>
        <w:ind w:right="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Debt</w:t>
      </w:r>
      <w:r>
        <w:rPr>
          <w:rFonts w:ascii="Arial" w:cs="Arial" w:eastAsia="Arial" w:hAnsi="Arial"/>
          <w:sz w:val="17"/>
          <w:szCs w:val="17"/>
          <w:color w:val="auto"/>
        </w:rPr>
        <w:t>” shall mean any Indebtedness (other than any permitted intercompany indebtedness owing to the Borrower or any Restricted Subsidiary) in respect of Subordinated Indebtedness.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KKR</w:t>
      </w:r>
      <w:r>
        <w:rPr>
          <w:rFonts w:ascii="Arial" w:cs="Arial" w:eastAsia="Arial" w:hAnsi="Arial"/>
          <w:sz w:val="17"/>
          <w:szCs w:val="17"/>
          <w:color w:val="auto"/>
        </w:rPr>
        <w:t>” shall mean each of Kohlberg Kravis Roberts &amp; Co. L.P. and KKR North America Fund XI L.P.</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Latest Term Loan Maturity Date</w:t>
      </w:r>
      <w:r>
        <w:rPr>
          <w:rFonts w:ascii="Arial" w:cs="Arial" w:eastAsia="Arial" w:hAnsi="Arial"/>
          <w:sz w:val="16"/>
          <w:szCs w:val="16"/>
          <w:color w:val="auto"/>
        </w:rPr>
        <w:t>” shall mean, at any date of determination, the latest maturity or expiration date applicable to any Term Loan</w:t>
      </w:r>
    </w:p>
    <w:p>
      <w:pPr>
        <w:spacing w:after="0" w:line="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hereunder at such time, including the latest maturity or expiration date of any New Term Loan or any Extended Term Loan, in each case as extended in accordance with this Agreement from time to time.</w:t>
      </w:r>
    </w:p>
    <w:p>
      <w:pPr>
        <w:spacing w:after="0" w:line="152" w:lineRule="exact"/>
        <w:rPr>
          <w:sz w:val="20"/>
          <w:szCs w:val="20"/>
          <w:color w:val="auto"/>
        </w:rPr>
      </w:pPr>
    </w:p>
    <w:p>
      <w:pPr>
        <w:ind w:right="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Borrowing</w:t>
      </w:r>
      <w:r>
        <w:rPr>
          <w:rFonts w:ascii="Arial" w:cs="Arial" w:eastAsia="Arial" w:hAnsi="Arial"/>
          <w:sz w:val="17"/>
          <w:szCs w:val="17"/>
          <w:color w:val="auto"/>
        </w:rPr>
        <w:t>” shall mean an extension of credit resulting from a drawing under any Letter of Credit which has not been reimbursed on the date when made or refinanced as a Borrowing.</w:t>
      </w:r>
    </w:p>
    <w:p>
      <w:pPr>
        <w:spacing w:after="0" w:line="165" w:lineRule="exact"/>
        <w:rPr>
          <w:sz w:val="20"/>
          <w:szCs w:val="20"/>
          <w:color w:val="auto"/>
        </w:rPr>
      </w:pPr>
    </w:p>
    <w:p>
      <w:pPr>
        <w:ind w:right="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Facility Maturity Date</w:t>
      </w:r>
      <w:r>
        <w:rPr>
          <w:rFonts w:ascii="Arial" w:cs="Arial" w:eastAsia="Arial" w:hAnsi="Arial"/>
          <w:sz w:val="17"/>
          <w:szCs w:val="17"/>
          <w:color w:val="auto"/>
        </w:rPr>
        <w:t xml:space="preserve">” shall mean the date that is three Business Days prior to the Revolving Credit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L/C Facility Maturity Date may be extended beyond such date with the consent of the Letter of Credit Issuer.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L/C Obligations</w:t>
      </w:r>
      <w:r>
        <w:rPr>
          <w:rFonts w:ascii="Arial" w:cs="Arial" w:eastAsia="Arial" w:hAnsi="Arial"/>
          <w:sz w:val="15"/>
          <w:szCs w:val="15"/>
          <w:color w:val="auto"/>
        </w:rPr>
        <w:t xml:space="preserve">” shall mean, as at any date of determination, the aggregate amount available to be drawn under all outstanding Letters of Credit </w:t>
      </w:r>
      <w:r>
        <w:rPr>
          <w:rFonts w:ascii="Arial" w:cs="Arial" w:eastAsia="Arial" w:hAnsi="Arial"/>
          <w:sz w:val="15"/>
          <w:szCs w:val="15"/>
          <w:i w:val="1"/>
          <w:iCs w:val="1"/>
          <w:color w:val="auto"/>
        </w:rPr>
        <w:t>plus</w:t>
      </w:r>
    </w:p>
    <w:p>
      <w:pPr>
        <w:spacing w:after="0" w:line="28"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aggregate of all Unpaid Drawings, including all L/C Borrowings.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w:t>
      </w:r>
    </w:p>
    <w:p>
      <w:pPr>
        <w:spacing w:after="0"/>
        <w:rPr>
          <w:sz w:val="20"/>
          <w:szCs w:val="20"/>
          <w:color w:val="auto"/>
        </w:rPr>
      </w:pPr>
      <w:r>
        <w:rPr>
          <w:rFonts w:ascii="Arial" w:cs="Arial" w:eastAsia="Arial" w:hAnsi="Arial"/>
          <w:sz w:val="17"/>
          <w:szCs w:val="17"/>
          <w:color w:val="auto"/>
        </w:rPr>
        <w:t>Credit at any time shall be deemed to be the stated amount of such Letter of Credit in effect at such time.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Participant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3.3(a)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Participation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3.3(a)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LCT Election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1.12(b)</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LCT Test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1.12(b)</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shall have the meaning provided in the preamble to this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Default</w:t>
      </w:r>
      <w:r>
        <w:rPr>
          <w:rFonts w:ascii="Arial" w:cs="Arial" w:eastAsia="Arial" w:hAnsi="Arial"/>
          <w:sz w:val="16"/>
          <w:szCs w:val="16"/>
          <w:color w:val="auto"/>
        </w:rPr>
        <w:t>” shall mean (i) the refusal or failure of any Lender to make available its portion of any incurrence of Loans or Reimbursement</w:t>
      </w:r>
    </w:p>
    <w:p>
      <w:pPr>
        <w:spacing w:after="0" w:line="1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Obligations,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w:t>
      </w:r>
    </w:p>
    <w:p>
      <w:pPr>
        <w:ind w:right="20"/>
        <w:spacing w:after="0" w:line="239" w:lineRule="auto"/>
        <w:rPr>
          <w:sz w:val="20"/>
          <w:szCs w:val="20"/>
          <w:color w:val="auto"/>
        </w:rPr>
      </w:pPr>
      <w:r>
        <w:rPr>
          <w:rFonts w:ascii="Arial" w:cs="Arial" w:eastAsia="Arial" w:hAnsi="Arial"/>
          <w:sz w:val="15"/>
          <w:szCs w:val="15"/>
          <w:color w:val="auto"/>
        </w:rPr>
        <w:t>over to the Administrative Agent, any Swingline Lender, any Letter of Credit Issuer or any other Lender any other amount required to be paid by it hereunder within one business day of the date when due, unless the subject of a good faith dispute, (iii) a Lender has notified, in writing, the Borrower or the Administrative Agent in writing that it does not intend to comply with its funding obligations under this Agreement or has made a public statement to that effect with respect to its</w:t>
      </w:r>
    </w:p>
    <w:p>
      <w:pPr>
        <w:ind w:right="100"/>
        <w:spacing w:after="0" w:line="239" w:lineRule="auto"/>
        <w:rPr>
          <w:sz w:val="20"/>
          <w:szCs w:val="20"/>
          <w:color w:val="auto"/>
        </w:rPr>
      </w:pPr>
      <w:r>
        <w:rPr>
          <w:rFonts w:ascii="Arial" w:cs="Arial" w:eastAsia="Arial" w:hAnsi="Arial"/>
          <w:sz w:val="15"/>
          <w:szCs w:val="15"/>
          <w:color w:val="auto"/>
        </w:rPr>
        <w:t>funding obligations under this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w:t>
      </w:r>
    </w:p>
    <w:p>
      <w:pPr>
        <w:spacing w:after="0"/>
        <w:rPr>
          <w:sz w:val="20"/>
          <w:szCs w:val="20"/>
          <w:color w:val="auto"/>
        </w:rPr>
      </w:pPr>
      <w:r>
        <w:rPr>
          <w:rFonts w:ascii="Arial" w:cs="Arial" w:eastAsia="Arial" w:hAnsi="Arial"/>
          <w:sz w:val="17"/>
          <w:szCs w:val="17"/>
          <w:color w:val="auto"/>
        </w:rPr>
        <w:t>becomes subject to a Lender-Related Distress Event or (vi) a Lender has become the subject of a Bail-In Action.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Presentation</w:t>
      </w:r>
      <w:r>
        <w:rPr>
          <w:rFonts w:ascii="Arial" w:cs="Arial" w:eastAsia="Arial" w:hAnsi="Arial"/>
          <w:sz w:val="17"/>
          <w:szCs w:val="17"/>
          <w:color w:val="auto"/>
        </w:rPr>
        <w:t>” shall mean the Lender Presentation of Holdings dated May 17, 2023.</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w:t>
      </w:r>
    </w:p>
    <w:p>
      <w:pPr>
        <w:spacing w:after="0" w:line="17"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Distressed Person</w:t>
      </w:r>
      <w:r>
        <w:rPr>
          <w:rFonts w:ascii="Arial" w:cs="Arial" w:eastAsia="Arial" w:hAnsi="Arial"/>
          <w:sz w:val="15"/>
          <w:szCs w:val="15"/>
          <w:color w:val="auto"/>
        </w:rPr>
        <w:t>”),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w:t>
      </w:r>
    </w:p>
    <w:p>
      <w:pPr>
        <w:ind w:right="160"/>
        <w:spacing w:after="0" w:line="239" w:lineRule="auto"/>
        <w:rPr>
          <w:sz w:val="20"/>
          <w:szCs w:val="20"/>
          <w:color w:val="auto"/>
        </w:rPr>
      </w:pPr>
      <w:r>
        <w:rPr>
          <w:rFonts w:ascii="Arial" w:cs="Arial" w:eastAsia="Arial" w:hAnsi="Arial"/>
          <w:sz w:val="15"/>
          <w:szCs w:val="15"/>
          <w:color w:val="auto"/>
        </w:rPr>
        <w:t xml:space="preserve">creditors or is otherwise adjudicated as, or determined by any governmental authority having regulatory authority over such Distressed Person to be, insolvent or bankrupt;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w:t>
      </w:r>
    </w:p>
    <w:p>
      <w:pPr>
        <w:ind w:right="240"/>
        <w:spacing w:after="0" w:line="220" w:lineRule="auto"/>
        <w:rPr>
          <w:sz w:val="20"/>
          <w:szCs w:val="20"/>
          <w:color w:val="auto"/>
        </w:rPr>
      </w:pPr>
      <w:r>
        <w:rPr>
          <w:rFonts w:ascii="Arial" w:cs="Arial" w:eastAsia="Arial" w:hAnsi="Arial"/>
          <w:sz w:val="17"/>
          <w:szCs w:val="17"/>
          <w:color w:val="auto"/>
        </w:rPr>
        <w:t>equity interest does not result in or provide such Lender with immunity from the jurisdiction of courts within the United States or from the enforcement of judgments or writs of attachment on its assets or permit such Lender (or such governmental authority or instrumentality thereof) to reject, repudiate, disavow or disaffirm any contracts or agreements made with such Lender.</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xml:space="preserve">” shall mean each letter of credit issued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includes the Existing Letters of Credit.</w:t>
      </w:r>
    </w:p>
    <w:p>
      <w:pPr>
        <w:spacing w:after="0" w:line="178" w:lineRule="exact"/>
        <w:rPr>
          <w:sz w:val="20"/>
          <w:szCs w:val="20"/>
          <w:color w:val="auto"/>
        </w:rPr>
      </w:pPr>
    </w:p>
    <w:p>
      <w:pPr>
        <w:ind w:right="3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Letter of Credit Commitment</w:t>
      </w:r>
      <w:r>
        <w:rPr>
          <w:rFonts w:ascii="Arial" w:cs="Arial" w:eastAsia="Arial" w:hAnsi="Arial"/>
          <w:sz w:val="15"/>
          <w:szCs w:val="15"/>
          <w:color w:val="auto"/>
        </w:rPr>
        <w:t>” shall mean $20,000,000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Letter of Credit Commitment of (i) Bank of America, N.A. shall not exceed $6,666,666.67, (ii) JPMorgan Chase Bank, N.A. shall not exceed $6,666,666.67 and (iii) Wells Fargo Bank, N.A. shall not exceed $6,666,666.66, in each case</w:t>
      </w:r>
    </w:p>
    <w:p>
      <w:pPr>
        <w:spacing w:after="0"/>
        <w:rPr>
          <w:sz w:val="20"/>
          <w:szCs w:val="20"/>
          <w:color w:val="auto"/>
        </w:rPr>
      </w:pPr>
      <w:r>
        <w:rPr>
          <w:rFonts w:ascii="Arial" w:cs="Arial" w:eastAsia="Arial" w:hAnsi="Arial"/>
          <w:sz w:val="16"/>
          <w:szCs w:val="16"/>
          <w:color w:val="auto"/>
        </w:rPr>
        <w:t xml:space="preserve">unless otherwise agreed to by such Letter of Credit Issuer in its sole discretion), as the same may be reduced from time to time pursuant to </w:t>
      </w:r>
      <w:r>
        <w:rPr>
          <w:rFonts w:ascii="Arial" w:cs="Arial" w:eastAsia="Arial" w:hAnsi="Arial"/>
          <w:sz w:val="16"/>
          <w:szCs w:val="16"/>
          <w:u w:val="single" w:color="auto"/>
          <w:color w:val="auto"/>
        </w:rPr>
        <w:t>Section3.1</w:t>
      </w:r>
      <w:r>
        <w:rPr>
          <w:rFonts w:ascii="Arial" w:cs="Arial" w:eastAsia="Arial" w:hAnsi="Arial"/>
          <w:sz w:val="16"/>
          <w:szCs w:val="16"/>
          <w:color w:val="auto"/>
        </w:rPr>
        <w:t>.</w:t>
      </w:r>
    </w:p>
    <w:p>
      <w:pPr>
        <w:spacing w:after="0" w:line="170" w:lineRule="exact"/>
        <w:rPr>
          <w:sz w:val="20"/>
          <w:szCs w:val="20"/>
          <w:color w:val="auto"/>
        </w:rPr>
      </w:pPr>
    </w:p>
    <w:p>
      <w:pPr>
        <w:ind w:right="1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Expiration Date</w:t>
      </w:r>
      <w:r>
        <w:rPr>
          <w:rFonts w:ascii="Arial" w:cs="Arial" w:eastAsia="Arial" w:hAnsi="Arial"/>
          <w:sz w:val="17"/>
          <w:szCs w:val="17"/>
          <w:color w:val="auto"/>
        </w:rPr>
        <w:t>” shall mean the day that is three Business Days prior to the scheduled Maturity Date then in effect for the Revolving Credit Facility.</w:t>
      </w:r>
    </w:p>
    <w:p>
      <w:pPr>
        <w:spacing w:after="0" w:line="165" w:lineRule="exact"/>
        <w:rPr>
          <w:sz w:val="20"/>
          <w:szCs w:val="20"/>
          <w:color w:val="auto"/>
        </w:rPr>
      </w:pPr>
    </w:p>
    <w:p>
      <w:pPr>
        <w:ind w:right="20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Letter of Credit Exposure</w:t>
      </w:r>
      <w:r>
        <w:rPr>
          <w:rFonts w:ascii="Arial" w:cs="Arial" w:eastAsia="Arial" w:hAnsi="Arial"/>
          <w:sz w:val="15"/>
          <w:szCs w:val="15"/>
          <w:color w:val="auto"/>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at such time and (ii) such Lender’s Revolving Credit Commitment Percentage of the Letters of Credit Outstanding at such time (excluding the portion thereof consisting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Unpaid Drawings in respect of which the Lenders have made (or are required to have made) payments to the Letter of Credit Issuer pursuant to </w:t>
      </w:r>
      <w:r>
        <w:rPr>
          <w:rFonts w:ascii="Arial" w:cs="Arial" w:eastAsia="Arial" w:hAnsi="Arial"/>
          <w:sz w:val="15"/>
          <w:szCs w:val="15"/>
          <w:u w:val="single" w:color="auto"/>
          <w:color w:val="auto"/>
        </w:rPr>
        <w:t>Section 3.4(a)</w:t>
      </w:r>
      <w:r>
        <w:rPr>
          <w:rFonts w:ascii="Arial" w:cs="Arial" w:eastAsia="Arial" w:hAnsi="Arial"/>
          <w:sz w:val="15"/>
          <w:szCs w:val="15"/>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Fee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0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Letter of Credit Issuer</w:t>
      </w:r>
      <w:r>
        <w:rPr>
          <w:rFonts w:ascii="Arial" w:cs="Arial" w:eastAsia="Arial" w:hAnsi="Arial"/>
          <w:sz w:val="15"/>
          <w:szCs w:val="15"/>
          <w:color w:val="auto"/>
        </w:rPr>
        <w:t xml:space="preserve"> “ shall mean (i) in the case of standby Letters of Credit only, (a) as applicable, each of Bank of America, N.A., JPMorgan Chase</w:t>
      </w:r>
    </w:p>
    <w:p>
      <w:pPr>
        <w:spacing w:after="0" w:line="28"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Bank, N.A. and Wells Fargo Bank, N.A. and (b) any of their respective Affiliates or branches, (ii) any replacement, additional issuer, or successor pursuant to Section 3.6, (iii) solely with respect to the Existing Letter of Credit issued by it and outstanding on a date prior to the Restatement Effective Date, Goldman Sachs Bank USA and (iv) solely with respect to the Existing Letter of Credit issued by it and outstanding on the Second Restatement Effective Date, Bank of America,</w:t>
      </w:r>
    </w:p>
    <w:p>
      <w:pPr>
        <w:jc w:val="both"/>
        <w:ind w:right="120"/>
        <w:spacing w:after="0" w:line="275" w:lineRule="auto"/>
        <w:rPr>
          <w:sz w:val="20"/>
          <w:szCs w:val="20"/>
          <w:color w:val="auto"/>
        </w:rPr>
      </w:pPr>
      <w:r>
        <w:rPr>
          <w:rFonts w:ascii="Arial" w:cs="Arial" w:eastAsia="Arial" w:hAnsi="Arial"/>
          <w:sz w:val="15"/>
          <w:szCs w:val="15"/>
          <w:color w:val="auto"/>
        </w:rPr>
        <w:t>N.A.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26" w:lineRule="exact"/>
        <w:rPr>
          <w:sz w:val="20"/>
          <w:szCs w:val="20"/>
          <w:color w:val="auto"/>
        </w:rPr>
      </w:pPr>
    </w:p>
    <w:p>
      <w:pPr>
        <w:ind w:right="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Request</w:t>
      </w:r>
      <w:r>
        <w:rPr>
          <w:rFonts w:ascii="Arial" w:cs="Arial" w:eastAsia="Arial" w:hAnsi="Arial"/>
          <w:sz w:val="17"/>
          <w:szCs w:val="17"/>
          <w:color w:val="auto"/>
        </w:rPr>
        <w:t xml:space="preserve">” shall mean a notice executed and delivered by the Borrower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substantially in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or another form which is acceptable to the Letter of Credit Issuer in its reasonable discretion.</w:t>
      </w:r>
    </w:p>
    <w:p>
      <w:pPr>
        <w:spacing w:after="0" w:line="139" w:lineRule="exact"/>
        <w:rPr>
          <w:sz w:val="20"/>
          <w:szCs w:val="20"/>
          <w:color w:val="auto"/>
        </w:rPr>
      </w:pPr>
    </w:p>
    <w:p>
      <w:pPr>
        <w:ind w:right="2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Letters of Credit Outstanding</w:t>
      </w:r>
      <w:r>
        <w:rPr>
          <w:rFonts w:ascii="Arial" w:cs="Arial" w:eastAsia="Arial" w:hAnsi="Arial"/>
          <w:sz w:val="17"/>
          <w:szCs w:val="17"/>
          <w:color w:val="auto"/>
        </w:rPr>
        <w:t>” shall mean, at any time the sum of, without duplication, (i) the aggregate Stated Amount of all outstanding Letters of Credit and (ii) the aggregate amount of the principal amount of all Unpaid Drawings.</w:t>
      </w:r>
    </w:p>
    <w:p>
      <w:pPr>
        <w:spacing w:after="0" w:line="165" w:lineRule="exact"/>
        <w:rPr>
          <w:sz w:val="20"/>
          <w:szCs w:val="20"/>
          <w:color w:val="auto"/>
        </w:rPr>
      </w:pPr>
    </w:p>
    <w:p>
      <w:pPr>
        <w:jc w:val="both"/>
        <w:ind w:right="12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w:t>
      </w:r>
    </w:p>
    <w:p>
      <w:pPr>
        <w:spacing w:after="0" w:line="1" w:lineRule="exact"/>
        <w:rPr>
          <w:sz w:val="20"/>
          <w:szCs w:val="20"/>
          <w:color w:val="auto"/>
        </w:rPr>
      </w:pPr>
    </w:p>
    <w:p>
      <w:pPr>
        <w:ind w:right="560"/>
        <w:spacing w:after="0" w:line="227" w:lineRule="auto"/>
        <w:rPr>
          <w:sz w:val="20"/>
          <w:szCs w:val="20"/>
          <w:color w:val="auto"/>
        </w:rPr>
      </w:pPr>
      <w:r>
        <w:rPr>
          <w:rFonts w:ascii="Arial" w:cs="Arial" w:eastAsia="Arial" w:hAnsi="Arial"/>
          <w:sz w:val="17"/>
          <w:szCs w:val="17"/>
          <w:color w:val="auto"/>
        </w:rPr>
        <w:t xml:space="preserve">statement under the Uniform Commercial Code (or equivalent statutes) of any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 operating lease or a license to Intellectual Property be deemed to constitute a Lien.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Limited Condition Transaction</w:t>
      </w:r>
      <w:r>
        <w:rPr>
          <w:rFonts w:ascii="Arial" w:cs="Arial" w:eastAsia="Arial" w:hAnsi="Arial"/>
          <w:sz w:val="15"/>
          <w:szCs w:val="15"/>
          <w:color w:val="auto"/>
        </w:rPr>
        <w:t>” shall mean (a) the consummation of any acquisition (including by way of merger), Investment, Disposition, Restricted</w:t>
      </w:r>
    </w:p>
    <w:p>
      <w:pPr>
        <w:spacing w:after="0" w:line="28"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Payment requiring declaration (as determined by Borrower) by one or more of Holdings, the Borrower and the Restricted Subsidiaries and whose consummation is not conditioned on the availability of, or on obtaining, third party financing and/or (b) any prepayment, repurchase or redemption of Indebtedness requiring irrevocable notice in advance of such prepayment, repurchase or redemption.</w:t>
      </w:r>
    </w:p>
    <w:p>
      <w:pPr>
        <w:spacing w:after="0" w:line="164" w:lineRule="exact"/>
        <w:rPr>
          <w:sz w:val="20"/>
          <w:szCs w:val="20"/>
          <w:color w:val="auto"/>
        </w:rPr>
      </w:pPr>
    </w:p>
    <w:p>
      <w:pPr>
        <w:ind w:right="3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w:t>
      </w:r>
      <w:r>
        <w:rPr>
          <w:rFonts w:ascii="Arial" w:cs="Arial" w:eastAsia="Arial" w:hAnsi="Arial"/>
          <w:sz w:val="17"/>
          <w:szCs w:val="17"/>
          <w:color w:val="auto"/>
        </w:rPr>
        <w:t xml:space="preserve"> ” shall mean any Revolving Loan, Swingline Loan, Term Loan, Extended Term Loan, New Term Loan, or any other loan made by any Lender pursuant to this Agreement.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Managed Care Subsidiary</w:t>
      </w:r>
      <w:r>
        <w:rPr>
          <w:rFonts w:ascii="Arial" w:cs="Arial" w:eastAsia="Arial" w:hAnsi="Arial"/>
          <w:sz w:val="16"/>
          <w:szCs w:val="16"/>
          <w:color w:val="auto"/>
        </w:rPr>
        <w:t>” shall mean FirstSight and any other Subsidiary of the Borrower (i) whose financial condition or activities are regulated</w:t>
      </w:r>
    </w:p>
    <w:p>
      <w:pPr>
        <w:spacing w:after="0" w:line="17" w:lineRule="exact"/>
        <w:rPr>
          <w:sz w:val="20"/>
          <w:szCs w:val="20"/>
          <w:color w:val="auto"/>
        </w:rPr>
      </w:pPr>
    </w:p>
    <w:p>
      <w:pPr>
        <w:ind w:right="280"/>
        <w:spacing w:after="0" w:line="220" w:lineRule="auto"/>
        <w:rPr>
          <w:sz w:val="20"/>
          <w:szCs w:val="20"/>
          <w:color w:val="auto"/>
        </w:rPr>
      </w:pPr>
      <w:r>
        <w:rPr>
          <w:rFonts w:ascii="Arial" w:cs="Arial" w:eastAsia="Arial" w:hAnsi="Arial"/>
          <w:sz w:val="17"/>
          <w:szCs w:val="17"/>
          <w:color w:val="auto"/>
        </w:rPr>
        <w:t>under laws of any state in connection with the provision of health or vision care products or services (or related administrative services) and (ii) a pledge of the Capital Stock of whom, or whose guaranty of the Obligations or granting of a lien on its assets to secure the Obligations would violate any applicable law or regulation or require a consent of a Governmental Authority which has not been obtained.</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Mandatory Borrowing</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2.1(d)</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Master Agreement</w:t>
      </w:r>
      <w:r>
        <w:rPr>
          <w:rFonts w:ascii="Arial" w:cs="Arial" w:eastAsia="Arial" w:hAnsi="Arial"/>
          <w:sz w:val="17"/>
          <w:szCs w:val="17"/>
          <w:color w:val="auto"/>
        </w:rPr>
        <w:t>” shall have the meaning provided in the definition of “Hedge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 circumstance or condition affecting the business, assets, operations, properties, or financial condition of</w:t>
      </w:r>
    </w:p>
    <w:p>
      <w:pPr>
        <w:spacing w:after="0" w:line="17"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Holdings and its Subsidiaries, taken as a whole, that would, individually or in the aggregate, materially adversely affect (i) the ability of Holdings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64" w:lineRule="exact"/>
        <w:rPr>
          <w:sz w:val="20"/>
          <w:szCs w:val="20"/>
          <w:color w:val="auto"/>
        </w:rPr>
      </w:pPr>
    </w:p>
    <w:p>
      <w:pPr>
        <w:ind w:right="12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Acquisition</w:t>
      </w:r>
      <w:r>
        <w:rPr>
          <w:rFonts w:ascii="Arial" w:cs="Arial" w:eastAsia="Arial" w:hAnsi="Arial"/>
          <w:sz w:val="15"/>
          <w:szCs w:val="15"/>
          <w:color w:val="auto"/>
        </w:rPr>
        <w:t>” shall mean any Permitted Acquisition or Investment, or the last to occur of a group of no greater than three Permitted Acquisitions and/or Investments (whether or not related to each other) consummated within a period of one year, if the aggregate amount of consideration paid in respect of, and liabilities incurred or assumed to finance, such Permitted Acquisition and/or Investment (or, if applicable, such group of Permitted Acquisitions</w:t>
      </w:r>
    </w:p>
    <w:p>
      <w:pPr>
        <w:spacing w:after="0" w:line="1" w:lineRule="exact"/>
        <w:rPr>
          <w:sz w:val="20"/>
          <w:szCs w:val="20"/>
          <w:color w:val="auto"/>
        </w:rPr>
      </w:pPr>
    </w:p>
    <w:p>
      <w:pPr>
        <w:ind w:right="500"/>
        <w:spacing w:after="0" w:line="227" w:lineRule="auto"/>
        <w:rPr>
          <w:sz w:val="20"/>
          <w:szCs w:val="20"/>
          <w:color w:val="auto"/>
        </w:rPr>
      </w:pPr>
      <w:r>
        <w:rPr>
          <w:rFonts w:ascii="Arial" w:cs="Arial" w:eastAsia="Arial" w:hAnsi="Arial"/>
          <w:sz w:val="17"/>
          <w:szCs w:val="17"/>
          <w:color w:val="auto"/>
        </w:rPr>
        <w:t>and/or Investments) is in the aggregate at least $50,000,000 and the Borrower has designated such Permitted Acquisitions and/or Investments as a “Material Acquisition”.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Subsidiary</w:t>
      </w:r>
      <w:r>
        <w:rPr>
          <w:rFonts w:ascii="Arial" w:cs="Arial" w:eastAsia="Arial" w:hAnsi="Arial"/>
          <w:sz w:val="15"/>
          <w:szCs w:val="15"/>
          <w:color w:val="auto"/>
        </w:rPr>
        <w:t>” shall mean, at any date of determination, each Restricted Subsidiary (i) whose total assets at the last day of the Test Period ending</w:t>
      </w:r>
    </w:p>
    <w:p>
      <w:pPr>
        <w:spacing w:after="0" w:line="28" w:lineRule="exact"/>
        <w:rPr>
          <w:sz w:val="20"/>
          <w:szCs w:val="20"/>
          <w:color w:val="auto"/>
        </w:rPr>
      </w:pPr>
    </w:p>
    <w:p>
      <w:pPr>
        <w:ind w:right="160"/>
        <w:spacing w:after="0" w:line="227" w:lineRule="auto"/>
        <w:rPr>
          <w:sz w:val="20"/>
          <w:szCs w:val="20"/>
          <w:color w:val="auto"/>
        </w:rPr>
      </w:pPr>
      <w:r>
        <w:rPr>
          <w:rFonts w:ascii="Arial" w:cs="Arial" w:eastAsia="Arial" w:hAnsi="Arial"/>
          <w:sz w:val="17"/>
          <w:szCs w:val="17"/>
          <w:color w:val="auto"/>
        </w:rPr>
        <w:t>on the last day of the most recent fiscal period for which Section 9.1 Financials have been delivered were equal to or greater than 5.0% of the Consolidated Total Assets of Holdings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Restricted Subsidiaries at such date or (ii) whose revenues during such Test Period were equal to or greater than 5.0% of the consolidated revenues of Holdings</w:t>
      </w:r>
    </w:p>
    <w:p>
      <w:pPr>
        <w:spacing w:after="0" w:line="22"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color w:val="auto"/>
        </w:rPr>
        <w:t xml:space="preserve">and the Restricted Subsidiaries for such period, in each case determined in accordance with GAAP;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at any time and from time to time after the Second Restatement Effective Date, Restricted Subsidiaries that are not Material Subsidiaries (other than Subsidiaries that are Excluded Subsidiaries by virtue of any of clauses (ii) through (xii) of the definition of “Excluded Subsidiary”) have, in the aggregate, (a) total assets at the last day of such Test Period equal to or</w:t>
      </w:r>
    </w:p>
    <w:p>
      <w:pPr>
        <w:ind w:right="40"/>
        <w:spacing w:after="0" w:line="239" w:lineRule="auto"/>
        <w:rPr>
          <w:sz w:val="20"/>
          <w:szCs w:val="20"/>
          <w:color w:val="auto"/>
        </w:rPr>
      </w:pPr>
      <w:r>
        <w:rPr>
          <w:rFonts w:ascii="Arial" w:cs="Arial" w:eastAsia="Arial" w:hAnsi="Arial"/>
          <w:sz w:val="15"/>
          <w:szCs w:val="15"/>
          <w:color w:val="auto"/>
        </w:rPr>
        <w:t>greater than 7.5% of the Consolidated Total Assets of Holdings and the Restricted Subsidiaries at such date or (b) revenues during such Test Period equal to or greater than 7.5% of the consolidated revenues of Holdings and the Restricted Subsidiaries for such period, in each case determined in accordance with GAAP, then Holdings shall, on the date on which financial statements for such quarter are delivered pursuant to this Agreement, designate in writing to the Administrative</w:t>
      </w:r>
    </w:p>
    <w:p>
      <w:pPr>
        <w:spacing w:after="0"/>
        <w:rPr>
          <w:sz w:val="20"/>
          <w:szCs w:val="20"/>
          <w:color w:val="auto"/>
        </w:rPr>
      </w:pPr>
      <w:r>
        <w:rPr>
          <w:rFonts w:ascii="Arial" w:cs="Arial" w:eastAsia="Arial" w:hAnsi="Arial"/>
          <w:sz w:val="17"/>
          <w:szCs w:val="17"/>
          <w:color w:val="auto"/>
        </w:rPr>
        <w:t>Agent one or more of such Restricted Subsidiaries as Material Subsidiaries for each fiscal period until this proviso is no longer applicable.</w:t>
      </w:r>
    </w:p>
    <w:p>
      <w:pPr>
        <w:spacing w:after="0" w:line="158" w:lineRule="exact"/>
        <w:rPr>
          <w:sz w:val="20"/>
          <w:szCs w:val="20"/>
          <w:color w:val="auto"/>
        </w:rPr>
      </w:pPr>
    </w:p>
    <w:p>
      <w:pPr>
        <w:ind w:right="1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shall mean the Term A Loan Maturity Date, the New Term Loan Maturity Date, the Revolving Credit Maturity Date, the maturity date of an Extended Term Loan or the maturity date of an Extended Revolving Credit Loan, as applicable.</w:t>
      </w:r>
    </w:p>
    <w:p>
      <w:pPr>
        <w:spacing w:after="0" w:line="165" w:lineRule="exact"/>
        <w:rPr>
          <w:sz w:val="20"/>
          <w:szCs w:val="20"/>
          <w:color w:val="auto"/>
        </w:rPr>
      </w:pPr>
    </w:p>
    <w:p>
      <w:pPr>
        <w:ind w:right="6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Maximum Incremental Facilities Amount</w:t>
      </w:r>
      <w:r>
        <w:rPr>
          <w:rFonts w:ascii="Arial" w:cs="Arial" w:eastAsia="Arial" w:hAnsi="Arial"/>
          <w:sz w:val="15"/>
          <w:szCs w:val="15"/>
          <w:color w:val="auto"/>
        </w:rPr>
        <w:t>” shall mean, at any date of determination, (i) the amount such that, after giving effect to the incurrence of such amount Holdings would be in compliance on a Pro Forma Basis (including any adjustments required by such definition as a result of a contemplated Permitted Acquisition and, only in the case of a simultaneous incurrence of the maximum amount permitted to be incurred under this clause (i) on the date of such</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 xml:space="preserve">incurrence together with an incurrence in reliance on clause (ii) below on such date, without giving pro forma effect to such simultaneous incurrence in reliance on clause (ii) below or under the Revolving Credit Facility) with the Total Leverage Test,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$100,000,000.</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Minimum Borrowing Amount</w:t>
      </w:r>
      <w:r>
        <w:rPr>
          <w:rFonts w:ascii="Arial" w:cs="Arial" w:eastAsia="Arial" w:hAnsi="Arial"/>
          <w:sz w:val="16"/>
          <w:szCs w:val="16"/>
          <w:color w:val="auto"/>
        </w:rPr>
        <w:t>” shall mean (i) with respect to a Borrowing of Term SOFR Loans, $1,000,000 (or, if less, the entire remaining</w:t>
      </w:r>
    </w:p>
    <w:p>
      <w:pPr>
        <w:spacing w:after="0" w:line="1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applicable Commitments at the time of such Borrowing) and (ii) with respect to a Borrowing of ABR Loans, $1,000,000 (or, if less, the entire remaining applicable Commitments at the time of such Borrowing).</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Minimum Collateral Amount</w:t>
      </w:r>
      <w:r>
        <w:rPr>
          <w:rFonts w:ascii="Arial" w:cs="Arial" w:eastAsia="Arial" w:hAnsi="Arial"/>
          <w:sz w:val="16"/>
          <w:szCs w:val="16"/>
          <w:color w:val="auto"/>
        </w:rPr>
        <w:t>” shall mean, at any time, (i) with respect to Cash Collateral consisting of cash or Cash Equivalents or deposit account</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5"/>
          <w:szCs w:val="15"/>
          <w:u w:val="single" w:color="auto"/>
          <w:color w:val="auto"/>
        </w:rPr>
        <w:t>Section 3.8(a)(i)</w:t>
      </w:r>
      <w:r>
        <w:rPr>
          <w:rFonts w:ascii="Arial" w:cs="Arial" w:eastAsia="Arial" w:hAnsi="Arial"/>
          <w:sz w:val="15"/>
          <w:szCs w:val="15"/>
          <w:color w:val="auto"/>
        </w:rPr>
        <w:t xml:space="preserve">, </w:t>
      </w:r>
      <w:r>
        <w:rPr>
          <w:rFonts w:ascii="Arial" w:cs="Arial" w:eastAsia="Arial" w:hAnsi="Arial"/>
          <w:sz w:val="15"/>
          <w:szCs w:val="15"/>
          <w:u w:val="single" w:color="auto"/>
          <w:color w:val="auto"/>
        </w:rPr>
        <w:t>(a)(ii)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(a)(iii)</w:t>
      </w:r>
      <w:r>
        <w:rPr>
          <w:rFonts w:ascii="Arial" w:cs="Arial" w:eastAsia="Arial" w:hAnsi="Arial"/>
          <w:sz w:val="15"/>
          <w:szCs w:val="15"/>
          <w:color w:val="auto"/>
        </w:rPr>
        <w:t>, an amount equal to 101% of the</w:t>
      </w:r>
    </w:p>
    <w:p>
      <w:pPr>
        <w:spacing w:after="0"/>
        <w:rPr>
          <w:sz w:val="20"/>
          <w:szCs w:val="20"/>
          <w:color w:val="auto"/>
        </w:rPr>
      </w:pPr>
      <w:r>
        <w:rPr>
          <w:rFonts w:ascii="Arial" w:cs="Arial" w:eastAsia="Arial" w:hAnsi="Arial"/>
          <w:sz w:val="17"/>
          <w:szCs w:val="17"/>
          <w:color w:val="auto"/>
        </w:rPr>
        <w:t>outstanding amount of all L/C Obligations.</w:t>
      </w:r>
    </w:p>
    <w:p>
      <w:pPr>
        <w:spacing w:after="0" w:line="158" w:lineRule="exact"/>
        <w:rPr>
          <w:sz w:val="20"/>
          <w:szCs w:val="20"/>
          <w:color w:val="auto"/>
        </w:rPr>
      </w:pPr>
    </w:p>
    <w:p>
      <w:pPr>
        <w:ind w:right="400" w:firstLine="6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Minimum Liquidity</w:t>
      </w:r>
      <w:r>
        <w:rPr>
          <w:rFonts w:ascii="Arial" w:cs="Arial" w:eastAsia="Arial" w:hAnsi="Arial"/>
          <w:sz w:val="16"/>
          <w:szCs w:val="16"/>
          <w:color w:val="auto"/>
        </w:rPr>
        <w:t>” shall mean, as of any date of determination, an amount equal to the sum of (a) unrestricted cash and Cash Equivalents of the Borrower and its Subsidiaries as of such date plus (b) the aggregate amount of unused Revolving Credit Commitments (excluding the portion of such</w:t>
      </w:r>
    </w:p>
    <w:p>
      <w:pPr>
        <w:spacing w:after="0"/>
        <w:rPr>
          <w:sz w:val="20"/>
          <w:szCs w:val="20"/>
          <w:color w:val="auto"/>
        </w:rPr>
      </w:pPr>
      <w:r>
        <w:rPr>
          <w:rFonts w:ascii="Arial" w:cs="Arial" w:eastAsia="Arial" w:hAnsi="Arial"/>
          <w:sz w:val="17"/>
          <w:szCs w:val="17"/>
          <w:color w:val="auto"/>
        </w:rPr>
        <w:t>commitments held by any Defaulting Lender, if any) as of such date.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Moody’s</w:t>
      </w:r>
      <w:r>
        <w:rPr>
          <w:rFonts w:ascii="Arial" w:cs="Arial" w:eastAsia="Arial" w:hAnsi="Arial"/>
          <w:sz w:val="17"/>
          <w:szCs w:val="17"/>
          <w:color w:val="auto"/>
        </w:rPr>
        <w:t>” shall mean Moody’s Investors Service, Inc. or any successor by merger or consolidation to its business.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Mortgage</w:t>
      </w:r>
      <w:r>
        <w:rPr>
          <w:rFonts w:ascii="Arial" w:cs="Arial" w:eastAsia="Arial" w:hAnsi="Arial"/>
          <w:sz w:val="15"/>
          <w:szCs w:val="15"/>
          <w:color w:val="auto"/>
        </w:rPr>
        <w:t>” shall mean a mortgage, deed of trust, deed to secure debt, trust deed, or other security document entered into by the owner of a Mortgaged</w:t>
      </w:r>
    </w:p>
    <w:p>
      <w:pPr>
        <w:spacing w:after="0" w:line="28"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149" w:lineRule="exact"/>
        <w:rPr>
          <w:sz w:val="20"/>
          <w:szCs w:val="20"/>
          <w:color w:val="auto"/>
        </w:rPr>
      </w:pPr>
    </w:p>
    <w:p>
      <w:pPr>
        <w:ind w:right="320" w:firstLine="619"/>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Mortgaged Property</w:t>
      </w:r>
      <w:r>
        <w:rPr>
          <w:rFonts w:ascii="Arial" w:cs="Arial" w:eastAsia="Arial" w:hAnsi="Arial"/>
          <w:sz w:val="15"/>
          <w:szCs w:val="15"/>
          <w:color w:val="auto"/>
        </w:rPr>
        <w:t xml:space="preserve">” shall mean, initially, each parcel of real estate and the improvements thereto owned in fee by a Credit Party and identified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and each other parcel of real property and improvements thereto with respect to which a Mortgage is granted pursuant to </w:t>
      </w:r>
      <w:r>
        <w:rPr>
          <w:rFonts w:ascii="Arial" w:cs="Arial" w:eastAsia="Arial" w:hAnsi="Arial"/>
          <w:sz w:val="15"/>
          <w:szCs w:val="15"/>
          <w:u w:val="single" w:color="auto"/>
          <w:color w:val="auto"/>
        </w:rPr>
        <w:t>Section 9.14</w:t>
      </w:r>
      <w:r>
        <w:rPr>
          <w:rFonts w:ascii="Arial" w:cs="Arial" w:eastAsia="Arial" w:hAnsi="Arial"/>
          <w:sz w:val="15"/>
          <w:szCs w:val="15"/>
          <w:color w:val="auto"/>
        </w:rPr>
        <w:t>.</w:t>
      </w:r>
    </w:p>
    <w:p>
      <w:pPr>
        <w:spacing w:after="0" w:line="93" w:lineRule="exact"/>
        <w:rPr>
          <w:sz w:val="20"/>
          <w:szCs w:val="20"/>
          <w:color w:val="auto"/>
        </w:rPr>
      </w:pPr>
    </w:p>
    <w:p>
      <w:pPr>
        <w:ind w:right="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65" w:lineRule="exact"/>
        <w:rPr>
          <w:sz w:val="20"/>
          <w:szCs w:val="20"/>
          <w:color w:val="auto"/>
        </w:rPr>
      </w:pPr>
    </w:p>
    <w:p>
      <w:pPr>
        <w:jc w:val="both"/>
        <w:ind w:right="6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 Proceeds</w:t>
      </w:r>
      <w:r>
        <w:rPr>
          <w:rFonts w:ascii="Arial" w:cs="Arial" w:eastAsia="Arial" w:hAnsi="Arial"/>
          <w:sz w:val="17"/>
          <w:szCs w:val="17"/>
          <w:color w:val="auto"/>
        </w:rPr>
        <w:t>” shall mean, with respect to any Prepayment Event and any incurrence of Permitted Other Indebtedness, (i) the gross cash proceeds (including payments from time to time in respect of installment obligations, if applicable, but only as and when received) received by or on behalf of Holdings 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Restricted Subsidiaries in respect of such Prepayment Event or incurrence of Permitted Other Indebtedness, as the case may be, less (ii) the sum of:</w:t>
      </w:r>
    </w:p>
    <w:p>
      <w:pPr>
        <w:spacing w:after="0" w:line="191" w:lineRule="exact"/>
        <w:rPr>
          <w:sz w:val="20"/>
          <w:szCs w:val="20"/>
          <w:color w:val="auto"/>
        </w:rPr>
      </w:pPr>
    </w:p>
    <w:p>
      <w:pPr>
        <w:ind w:left="620" w:right="140" w:firstLine="621"/>
        <w:spacing w:after="0" w:line="236" w:lineRule="auto"/>
        <w:tabs>
          <w:tab w:leader="none" w:pos="16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if any, of all taxes (including in connection with any repatriation of funds) paid or estimated to be payable by Holdings or any of the Restricted Subsidiaries in connection with such Prepayment Event or incurrence of Permitted Other Indebtedness,</w:t>
      </w:r>
    </w:p>
    <w:p>
      <w:pPr>
        <w:spacing w:after="0" w:line="157" w:lineRule="exact"/>
        <w:rPr>
          <w:rFonts w:ascii="Arial" w:cs="Arial" w:eastAsia="Arial" w:hAnsi="Arial"/>
          <w:sz w:val="17"/>
          <w:szCs w:val="17"/>
          <w:color w:val="auto"/>
        </w:rPr>
      </w:pPr>
    </w:p>
    <w:p>
      <w:pPr>
        <w:ind w:left="620" w:right="140" w:firstLine="621"/>
        <w:spacing w:after="0" w:line="238" w:lineRule="auto"/>
        <w:tabs>
          <w:tab w:leader="none" w:pos="16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amount of any reasonable reserve established in accordance with GAAP against any liabilities (other than any taxes deducted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(1) associated with the assets that are the subject of such Prepayment Event and (2) retained by Holdings or any of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72" w:lineRule="exact"/>
        <w:rPr>
          <w:rFonts w:ascii="Arial" w:cs="Arial" w:eastAsia="Arial" w:hAnsi="Arial"/>
          <w:sz w:val="16"/>
          <w:szCs w:val="16"/>
          <w:color w:val="auto"/>
        </w:rPr>
      </w:pPr>
    </w:p>
    <w:p>
      <w:pPr>
        <w:ind w:left="620" w:firstLine="621"/>
        <w:spacing w:after="0" w:line="226" w:lineRule="auto"/>
        <w:tabs>
          <w:tab w:leader="none" w:pos="16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69" w:lineRule="exact"/>
        <w:rPr>
          <w:rFonts w:ascii="Arial" w:cs="Arial" w:eastAsia="Arial" w:hAnsi="Arial"/>
          <w:sz w:val="17"/>
          <w:szCs w:val="17"/>
          <w:color w:val="auto"/>
        </w:rPr>
      </w:pPr>
    </w:p>
    <w:p>
      <w:pPr>
        <w:ind w:left="620" w:right="60" w:firstLine="621"/>
        <w:spacing w:after="0" w:line="241" w:lineRule="auto"/>
        <w:tabs>
          <w:tab w:leader="none" w:pos="1611"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in the case of any Asset Sale Prepayment Event or Casualty Event or Permitted Sale Leaseback, the amount of any proceeds of such Prepayment Event that Holdings or any Restricted Subsidiary has reinvested (or intends to reinvest within the Reinvestment Period or has entered into a binding commitment prior to the last day of the Reinvestment Period to reinvest) in the business of Holdings or any of the Restricted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portion of such proceeds that has not been so reinvested within such Reinvestment Period (with respect to such Prepayment Event, the “</w:t>
      </w:r>
      <w:r>
        <w:rPr>
          <w:rFonts w:ascii="Arial" w:cs="Arial" w:eastAsia="Arial" w:hAnsi="Arial"/>
          <w:sz w:val="15"/>
          <w:szCs w:val="15"/>
          <w:b w:val="1"/>
          <w:bCs w:val="1"/>
          <w:color w:val="auto"/>
        </w:rPr>
        <w:t>Deferred Net Cash Proceeds</w:t>
      </w:r>
      <w:r>
        <w:rPr>
          <w:rFonts w:ascii="Arial" w:cs="Arial" w:eastAsia="Arial" w:hAnsi="Arial"/>
          <w:sz w:val="15"/>
          <w:szCs w:val="15"/>
          <w:color w:val="auto"/>
        </w:rPr>
        <w:t>”) shall, unless Holdings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Holdings or such Restricted Subsidiary has entered into such binding commitment, as applicable (such last day or 180th day, as applicable, the “</w:t>
      </w:r>
      <w:r>
        <w:rPr>
          <w:rFonts w:ascii="Arial" w:cs="Arial" w:eastAsia="Arial" w:hAnsi="Arial"/>
          <w:sz w:val="15"/>
          <w:szCs w:val="15"/>
          <w:b w:val="1"/>
          <w:bCs w:val="1"/>
          <w:color w:val="auto"/>
        </w:rPr>
        <w:t>Deferred Net Cash Proceeds Payment Date</w:t>
      </w:r>
      <w:r>
        <w:rPr>
          <w:rFonts w:ascii="Arial" w:cs="Arial" w:eastAsia="Arial" w:hAnsi="Arial"/>
          <w:sz w:val="15"/>
          <w:szCs w:val="15"/>
          <w:color w:val="auto"/>
        </w:rPr>
        <w:t xml:space="preserve">”), and (2) be applied to the repayment of Term Loans in accordance with </w:t>
      </w:r>
      <w:r>
        <w:rPr>
          <w:rFonts w:ascii="Arial" w:cs="Arial" w:eastAsia="Arial" w:hAnsi="Arial"/>
          <w:sz w:val="15"/>
          <w:szCs w:val="15"/>
          <w:u w:val="single" w:color="auto"/>
          <w:color w:val="auto"/>
        </w:rPr>
        <w:t>Section 5.2(a)</w:t>
      </w:r>
    </w:p>
    <w:p>
      <w:pPr>
        <w:spacing w:after="0" w:line="2"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u w:val="single" w:color="auto"/>
          <w:color w:val="auto"/>
        </w:rPr>
        <w:t>(i)</w:t>
      </w:r>
      <w:r>
        <w:rPr>
          <w:rFonts w:ascii="Arial" w:cs="Arial" w:eastAsia="Arial" w:hAnsi="Arial"/>
          <w:sz w:val="17"/>
          <w:szCs w:val="17"/>
          <w:color w:val="auto"/>
        </w:rPr>
        <w:t>,</w:t>
      </w:r>
    </w:p>
    <w:p>
      <w:pPr>
        <w:spacing w:after="0" w:line="164" w:lineRule="exact"/>
        <w:rPr>
          <w:rFonts w:ascii="Arial" w:cs="Arial" w:eastAsia="Arial" w:hAnsi="Arial"/>
          <w:sz w:val="15"/>
          <w:szCs w:val="15"/>
          <w:color w:val="auto"/>
        </w:rPr>
      </w:pPr>
    </w:p>
    <w:p>
      <w:pPr>
        <w:ind w:left="620" w:right="300" w:firstLine="621"/>
        <w:spacing w:after="0" w:line="248" w:lineRule="auto"/>
        <w:tabs>
          <w:tab w:leader="none" w:pos="16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minority interests and not available for distribution to or for the account of Holdings or a Wholly-Owned Restricted Subsidiary as a result thereof,</w:t>
      </w:r>
    </w:p>
    <w:p>
      <w:pPr>
        <w:spacing w:after="0" w:line="151" w:lineRule="exact"/>
        <w:rPr>
          <w:rFonts w:ascii="Arial" w:cs="Arial" w:eastAsia="Arial" w:hAnsi="Arial"/>
          <w:sz w:val="16"/>
          <w:szCs w:val="16"/>
          <w:color w:val="auto"/>
        </w:rPr>
      </w:pPr>
    </w:p>
    <w:p>
      <w:pPr>
        <w:ind w:left="620" w:right="120" w:firstLine="621"/>
        <w:spacing w:after="0" w:line="234" w:lineRule="auto"/>
        <w:tabs>
          <w:tab w:leader="none" w:pos="15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Holdings and/or any Restricted Subsidiaries receives cash in an amount equal to the amount of such reduction, and</w:t>
      </w:r>
    </w:p>
    <w:p>
      <w:pPr>
        <w:spacing w:after="0" w:line="173" w:lineRule="exact"/>
        <w:rPr>
          <w:rFonts w:ascii="Arial" w:cs="Arial" w:eastAsia="Arial" w:hAnsi="Arial"/>
          <w:sz w:val="16"/>
          <w:szCs w:val="16"/>
          <w:color w:val="auto"/>
        </w:rPr>
      </w:pPr>
    </w:p>
    <w:p>
      <w:pPr>
        <w:ind w:left="620" w:right="120" w:firstLine="621"/>
        <w:spacing w:after="0" w:line="221" w:lineRule="auto"/>
        <w:tabs>
          <w:tab w:leader="none" w:pos="16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fees and out of pocket expenses paid by Holdings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each case only to the extent not already deducted in arriving at the amount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85" w:lineRule="exact"/>
        <w:rPr>
          <w:sz w:val="20"/>
          <w:szCs w:val="20"/>
          <w:color w:val="auto"/>
        </w:rPr>
      </w:pPr>
    </w:p>
    <w:p>
      <w:pPr>
        <w:ind w:right="6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Income</w:t>
      </w:r>
      <w:r>
        <w:rPr>
          <w:rFonts w:ascii="Arial" w:cs="Arial" w:eastAsia="Arial" w:hAnsi="Arial"/>
          <w:sz w:val="17"/>
          <w:szCs w:val="17"/>
          <w:color w:val="auto"/>
        </w:rPr>
        <w:t>” shall mean, with respect to any Person, the net income (loss) of such Person, determined in accordance with GAAP and before any reduction in respect of preferred stock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Contracts</w:t>
      </w:r>
      <w:r>
        <w:rPr>
          <w:rFonts w:ascii="Arial" w:cs="Arial" w:eastAsia="Arial" w:hAnsi="Arial"/>
          <w:sz w:val="17"/>
          <w:szCs w:val="17"/>
          <w:color w:val="auto"/>
        </w:rPr>
        <w:t>” shall mean binding contracts or purchase orders (i) entered with new Counterparties or (ii) for new business with existing</w:t>
      </w:r>
    </w:p>
    <w:p>
      <w:pPr>
        <w:spacing w:after="0" w:line="5" w:lineRule="exact"/>
        <w:rPr>
          <w:sz w:val="20"/>
          <w:szCs w:val="20"/>
          <w:color w:val="auto"/>
        </w:rPr>
      </w:pPr>
    </w:p>
    <w:p>
      <w:pPr>
        <w:ind w:right="860"/>
        <w:spacing w:after="0" w:line="227" w:lineRule="auto"/>
        <w:rPr>
          <w:sz w:val="20"/>
          <w:szCs w:val="20"/>
          <w:color w:val="auto"/>
        </w:rPr>
      </w:pPr>
      <w:r>
        <w:rPr>
          <w:rFonts w:ascii="Arial" w:cs="Arial" w:eastAsia="Arial" w:hAnsi="Arial"/>
          <w:sz w:val="17"/>
          <w:szCs w:val="17"/>
          <w:color w:val="auto"/>
        </w:rPr>
        <w:t>Counterparties, in each case, under which Holdings and/or its Subsidiaries have begun to provide goods or services, which are expected to increase the Consolidated Net Income of Holdings.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Loan Commitments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Revolving Credit Commitments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Revolving Credit Loan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Revolving Loan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91" w:lineRule="exact"/>
        <w:rPr>
          <w:sz w:val="20"/>
          <w:szCs w:val="20"/>
          <w:color w:val="auto"/>
        </w:rPr>
      </w:pPr>
    </w:p>
    <w:p>
      <w:pPr>
        <w:ind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Store Consolidated EBITDA Adjustment</w:t>
      </w:r>
      <w:r>
        <w:rPr>
          <w:rFonts w:ascii="Arial" w:cs="Arial" w:eastAsia="Arial" w:hAnsi="Arial"/>
          <w:sz w:val="17"/>
          <w:szCs w:val="17"/>
          <w:color w:val="auto"/>
        </w:rPr>
        <w:t>” shall mean, for any applicable Test Period, the excess (not to be less than zero) of (i) aggregate amount derived from the product of (a) the aggregate number of New Stores and (b) Average New Store Consolidated EBITDA during the previous Test Period over (ii) the actual Consolidated EBITDA generated by New Stores during the Test Period.</w:t>
      </w:r>
    </w:p>
    <w:p>
      <w:pPr>
        <w:spacing w:after="0" w:line="165"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Stores</w:t>
      </w:r>
      <w:r>
        <w:rPr>
          <w:rFonts w:ascii="Arial" w:cs="Arial" w:eastAsia="Arial" w:hAnsi="Arial"/>
          <w:sz w:val="17"/>
          <w:szCs w:val="17"/>
          <w:color w:val="auto"/>
        </w:rPr>
        <w:t>” shall mean, with respect to any Test Period, the number of Stores opened within the last 24 months, measured from and including the last month in such Test Period.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Term Loan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2.14(c)</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Term Loan Commitments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Term Loan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Term Loan Maturity Date</w:t>
      </w:r>
      <w:r>
        <w:rPr>
          <w:rFonts w:ascii="Arial" w:cs="Arial" w:eastAsia="Arial" w:hAnsi="Arial"/>
          <w:sz w:val="17"/>
          <w:szCs w:val="17"/>
          <w:color w:val="auto"/>
        </w:rPr>
        <w:t>” shall mean the date on which a New Term Loan matures.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2.5(c)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2.5(c)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Non-Bank Tax Certificate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5.4(e)(ii)(B)(3)</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Non-Consenting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13.7(b)</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Non-Defaulting Lender</w:t>
      </w:r>
      <w:r>
        <w:rPr>
          <w:rFonts w:ascii="Arial" w:cs="Arial" w:eastAsia="Arial" w:hAnsi="Arial"/>
          <w:sz w:val="17"/>
          <w:szCs w:val="17"/>
          <w:color w:val="auto"/>
        </w:rPr>
        <w:t>” shall mean and include each Lender other than a Defaulting Lender.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Non-Expiring Credit Commitment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2.1(e)</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Non-Extension Notice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3.2(d)</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Non-U.S. Lender</w:t>
      </w:r>
      <w:r>
        <w:rPr>
          <w:rFonts w:ascii="Arial" w:cs="Arial" w:eastAsia="Arial" w:hAnsi="Arial"/>
          <w:sz w:val="17"/>
          <w:szCs w:val="17"/>
          <w:color w:val="auto"/>
        </w:rPr>
        <w:t>” shall mean any Lender that is not a “United States person” as defined by Section 7701(a)(30) of the Code.</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Notice of Borrowing</w:t>
      </w:r>
      <w:r>
        <w:rPr>
          <w:rFonts w:ascii="Arial" w:cs="Arial" w:eastAsia="Arial" w:hAnsi="Arial"/>
          <w:sz w:val="15"/>
          <w:szCs w:val="15"/>
          <w:color w:val="auto"/>
        </w:rPr>
        <w:t xml:space="preserve">” shall mean a notice of Borrowing of Term A Loans or Revolving Credit Loans, which shall be substantially in the form of </w:t>
      </w:r>
      <w:r>
        <w:rPr>
          <w:rFonts w:ascii="Arial" w:cs="Arial" w:eastAsia="Arial" w:hAnsi="Arial"/>
          <w:sz w:val="15"/>
          <w:szCs w:val="15"/>
          <w:u w:val="single" w:color="auto"/>
          <w:color w:val="auto"/>
        </w:rPr>
        <w:t>Exhibit</w:t>
      </w:r>
    </w:p>
    <w:p>
      <w:pPr>
        <w:spacing w:after="0" w:line="28"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u w:val="single" w:color="auto"/>
          <w:color w:val="auto"/>
        </w:rPr>
        <w:t>K</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Notice of Conversion or Continuation</w:t>
      </w:r>
      <w:r>
        <w:rPr>
          <w:rFonts w:ascii="Arial" w:cs="Arial" w:eastAsia="Arial" w:hAnsi="Arial"/>
          <w:sz w:val="15"/>
          <w:szCs w:val="15"/>
          <w:color w:val="auto"/>
        </w:rPr>
        <w:t>” shall mean a notice of conversion of Loans from one Type to the other, or a continuation of Term SOFR Loans,</w:t>
      </w:r>
    </w:p>
    <w:p>
      <w:pPr>
        <w:spacing w:after="0" w:line="28"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w:t>
      </w:r>
    </w:p>
    <w:p>
      <w:pPr>
        <w:spacing w:after="0" w:line="164" w:lineRule="exact"/>
        <w:rPr>
          <w:sz w:val="20"/>
          <w:szCs w:val="20"/>
          <w:color w:val="auto"/>
        </w:rPr>
      </w:pPr>
    </w:p>
    <w:p>
      <w:pPr>
        <w:ind w:right="2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Revolving Credit Commitment, Loan, or Letter of Credit or under any Secured Cash Management Agreement, Secured Hedge Agreement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than with respect to any Credit Party’s obligations that constitute Excluded Swap Obligations solely with respect to such Credit Party), in each case, entered into</w:t>
      </w:r>
    </w:p>
    <w:p>
      <w:pPr>
        <w:spacing w:after="0" w:line="22" w:lineRule="exact"/>
        <w:rPr>
          <w:sz w:val="20"/>
          <w:szCs w:val="20"/>
          <w:color w:val="auto"/>
        </w:rPr>
      </w:pPr>
    </w:p>
    <w:p>
      <w:pPr>
        <w:jc w:val="both"/>
        <w:ind w:right="60"/>
        <w:spacing w:after="0" w:line="239" w:lineRule="auto"/>
        <w:rPr>
          <w:sz w:val="20"/>
          <w:szCs w:val="20"/>
          <w:color w:val="auto"/>
        </w:rPr>
      </w:pPr>
      <w:r>
        <w:rPr>
          <w:rFonts w:ascii="Arial" w:cs="Arial" w:eastAsia="Arial" w:hAnsi="Arial"/>
          <w:sz w:val="15"/>
          <w:szCs w:val="15"/>
          <w:color w:val="auto"/>
        </w:rPr>
        <w:t>with Holdings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w:t>
      </w:r>
    </w:p>
    <w:p>
      <w:pPr>
        <w:ind w:right="100"/>
        <w:spacing w:after="0" w:line="234" w:lineRule="auto"/>
        <w:rPr>
          <w:sz w:val="20"/>
          <w:szCs w:val="20"/>
          <w:color w:val="auto"/>
        </w:rPr>
      </w:pPr>
      <w:r>
        <w:rPr>
          <w:rFonts w:ascii="Arial" w:cs="Arial" w:eastAsia="Arial" w:hAnsi="Arial"/>
          <w:sz w:val="16"/>
          <w:szCs w:val="16"/>
          <w:color w:val="auto"/>
        </w:rPr>
        <w:t>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OFAC</w:t>
      </w:r>
      <w:r>
        <w:rPr>
          <w:rFonts w:ascii="Arial" w:cs="Arial" w:eastAsia="Arial" w:hAnsi="Arial"/>
          <w:sz w:val="17"/>
          <w:szCs w:val="17"/>
          <w:color w:val="auto"/>
        </w:rPr>
        <w:t>” shall have the meaning provided in Section 8.11.</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Credit Agreement</w:t>
      </w:r>
      <w:r>
        <w:rPr>
          <w:rFonts w:ascii="Arial" w:cs="Arial" w:eastAsia="Arial" w:hAnsi="Arial"/>
          <w:sz w:val="17"/>
          <w:szCs w:val="17"/>
          <w:color w:val="auto"/>
        </w:rPr>
        <w:t>” shall have the meaning provided in the preamble to this Agreement.</w:t>
      </w:r>
    </w:p>
    <w:p>
      <w:pPr>
        <w:spacing w:after="0" w:line="178" w:lineRule="exact"/>
        <w:rPr>
          <w:sz w:val="20"/>
          <w:szCs w:val="20"/>
          <w:color w:val="auto"/>
        </w:rPr>
      </w:pPr>
    </w:p>
    <w:p>
      <w:pPr>
        <w:ind w:right="260" w:firstLine="619"/>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Original Revolving Credit Commitments</w:t>
      </w:r>
      <w:r>
        <w:rPr>
          <w:rFonts w:ascii="Arial" w:cs="Arial" w:eastAsia="Arial" w:hAnsi="Arial"/>
          <w:sz w:val="15"/>
          <w:szCs w:val="15"/>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Transactions</w:t>
      </w:r>
      <w:r>
        <w:rPr>
          <w:rFonts w:ascii="Arial" w:cs="Arial" w:eastAsia="Arial" w:hAnsi="Arial"/>
          <w:sz w:val="17"/>
          <w:szCs w:val="17"/>
          <w:color w:val="auto"/>
        </w:rPr>
        <w:t>” shall mean the “Transactions” (as defined in the Original Credit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shall mean all present or future stamp, registration, court or documentary Taxes or any other excise, property, intangible, mortgage</w:t>
      </w:r>
    </w:p>
    <w:p>
      <w:pPr>
        <w:spacing w:after="0" w:line="17"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 xml:space="preserve">recording, filing or similar Taxes arising from any payment made hereunder or under any other Credit Document or from the execution, delivery, performance, enforcement or registration of, or otherwise with respect to, this Agreement or any other Credit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term shall not include (i) any Taxes that result from an assignment, grant of a participation pursuant to </w:t>
      </w:r>
      <w:r>
        <w:rPr>
          <w:rFonts w:ascii="Arial" w:cs="Arial" w:eastAsia="Arial" w:hAnsi="Arial"/>
          <w:sz w:val="15"/>
          <w:szCs w:val="15"/>
          <w:u w:val="single" w:color="auto"/>
          <w:color w:val="auto"/>
        </w:rPr>
        <w:t>Section 13.6(c)</w:t>
      </w:r>
      <w:r>
        <w:rPr>
          <w:rFonts w:ascii="Arial" w:cs="Arial" w:eastAsia="Arial" w:hAnsi="Arial"/>
          <w:sz w:val="15"/>
          <w:szCs w:val="15"/>
          <w:color w:val="auto"/>
        </w:rPr>
        <w:t xml:space="preserve"> or transfer or assignment to or designation of a new lending office or other</w:t>
      </w:r>
    </w:p>
    <w:p>
      <w:pPr>
        <w:ind w:right="360"/>
        <w:spacing w:after="0" w:line="239" w:lineRule="auto"/>
        <w:rPr>
          <w:sz w:val="20"/>
          <w:szCs w:val="20"/>
          <w:color w:val="auto"/>
        </w:rPr>
      </w:pPr>
      <w:r>
        <w:rPr>
          <w:rFonts w:ascii="Arial" w:cs="Arial" w:eastAsia="Arial" w:hAnsi="Arial"/>
          <w:sz w:val="15"/>
          <w:szCs w:val="15"/>
          <w:color w:val="auto"/>
        </w:rPr>
        <w:t>office for receiving payments under any Credit Document (“</w:t>
      </w:r>
      <w:r>
        <w:rPr>
          <w:rFonts w:ascii="Arial" w:cs="Arial" w:eastAsia="Arial" w:hAnsi="Arial"/>
          <w:sz w:val="15"/>
          <w:szCs w:val="15"/>
          <w:b w:val="1"/>
          <w:bCs w:val="1"/>
          <w:color w:val="auto"/>
        </w:rPr>
        <w:t>Assignment Taxes</w:t>
      </w:r>
      <w:r>
        <w:rPr>
          <w:rFonts w:ascii="Arial" w:cs="Arial" w:eastAsia="Arial" w:hAnsi="Arial"/>
          <w:sz w:val="15"/>
          <w:szCs w:val="15"/>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w:t>
      </w:r>
    </w:p>
    <w:p>
      <w:pPr>
        <w:spacing w:after="0"/>
        <w:rPr>
          <w:sz w:val="20"/>
          <w:szCs w:val="20"/>
          <w:color w:val="auto"/>
        </w:rPr>
      </w:pPr>
      <w:r>
        <w:rPr>
          <w:rFonts w:ascii="Arial" w:cs="Arial" w:eastAsia="Arial" w:hAnsi="Arial"/>
          <w:sz w:val="17"/>
          <w:szCs w:val="17"/>
          <w:color w:val="auto"/>
        </w:rPr>
        <w:t>Borrower or Holdings or (ii) Excluded Taxes.</w:t>
      </w:r>
    </w:p>
    <w:p>
      <w:pPr>
        <w:spacing w:after="0" w:line="158" w:lineRule="exact"/>
        <w:rPr>
          <w:sz w:val="20"/>
          <w:szCs w:val="20"/>
          <w:color w:val="auto"/>
        </w:rPr>
      </w:pPr>
    </w:p>
    <w:p>
      <w:pPr>
        <w:ind w:right="40" w:firstLine="61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Overnight Rate</w:t>
      </w:r>
      <w:r>
        <w:rPr>
          <w:rFonts w:ascii="Arial" w:cs="Arial" w:eastAsia="Arial" w:hAnsi="Arial"/>
          <w:sz w:val="15"/>
          <w:szCs w:val="15"/>
          <w:color w:val="auto"/>
        </w:rPr>
        <w:t>” shall mean, for any day, the greater of (a) the Federal Funds Effective Rate and (b) an overnight rate determined by the Administrative Agent, the Letter of Credit Issuer, or the Swingline Lender, as the case may be, in accordance with banking industry rules on interbank compensation.</w:t>
      </w:r>
    </w:p>
    <w:p>
      <w:pPr>
        <w:spacing w:after="0" w:line="119" w:lineRule="exact"/>
        <w:rPr>
          <w:sz w:val="20"/>
          <w:szCs w:val="20"/>
          <w:color w:val="auto"/>
        </w:rPr>
      </w:pPr>
    </w:p>
    <w:p>
      <w:pPr>
        <w:ind w:right="2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shall mean National Vision Holdings, Inc. or any other Person that is a direct or indirect parent company (which may be organized as, among other things, a partnership) of Holdings and/or the Borrower.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13.6(c)(i)</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13.6(c)(ii)</w:t>
      </w:r>
      <w:r>
        <w:rPr>
          <w:rFonts w:ascii="Arial" w:cs="Arial" w:eastAsia="Arial" w:hAnsi="Arial"/>
          <w:sz w:val="17"/>
          <w:szCs w:val="17"/>
          <w:color w:val="auto"/>
        </w:rPr>
        <w:t>.</w:t>
      </w:r>
    </w:p>
    <w:p>
      <w:pPr>
        <w:spacing w:after="0" w:line="178" w:lineRule="exact"/>
        <w:rPr>
          <w:sz w:val="20"/>
          <w:szCs w:val="20"/>
          <w:color w:val="auto"/>
        </w:rPr>
      </w:pPr>
    </w:p>
    <w:p>
      <w:pPr>
        <w:ind w:right="5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Member State</w:t>
      </w:r>
      <w:r>
        <w:rPr>
          <w:rFonts w:ascii="Arial" w:cs="Arial" w:eastAsia="Arial" w:hAnsi="Arial"/>
          <w:sz w:val="17"/>
          <w:szCs w:val="17"/>
          <w:color w:val="auto"/>
        </w:rPr>
        <w:t>” shall mean any member state of the European Union that adopts or has adopted the Euro as its lawful currency in accordance with legislation of the European Union relating to economic and monetary union.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Patriot Act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13.18</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PBGC</w:t>
      </w:r>
      <w:r>
        <w:rPr>
          <w:rFonts w:ascii="Arial" w:cs="Arial" w:eastAsia="Arial" w:hAnsi="Arial"/>
          <w:sz w:val="15"/>
          <w:szCs w:val="15"/>
          <w:color w:val="auto"/>
        </w:rPr>
        <w:t>” shall mean the Pension Benefit Guaranty Corporation referred to and defined in ERISA and any successor entity performing similar functions.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Pension Plan</w:t>
      </w:r>
      <w:r>
        <w:rPr>
          <w:rFonts w:ascii="Arial" w:cs="Arial" w:eastAsia="Arial" w:hAnsi="Arial"/>
          <w:sz w:val="15"/>
          <w:szCs w:val="15"/>
          <w:color w:val="auto"/>
        </w:rPr>
        <w:t>” shall mean any employee benefit pension plan (as defined in Section 3(2) of ERISA, but excluding any Multiemployer Plan) in respect of</w:t>
      </w:r>
    </w:p>
    <w:p>
      <w:pPr>
        <w:spacing w:after="0" w:line="28" w:lineRule="exact"/>
        <w:rPr>
          <w:sz w:val="20"/>
          <w:szCs w:val="20"/>
          <w:color w:val="auto"/>
        </w:rPr>
      </w:pPr>
    </w:p>
    <w:p>
      <w:pPr>
        <w:ind w:right="400"/>
        <w:spacing w:after="0" w:line="227" w:lineRule="auto"/>
        <w:rPr>
          <w:sz w:val="20"/>
          <w:szCs w:val="20"/>
          <w:color w:val="auto"/>
        </w:rPr>
      </w:pPr>
      <w:r>
        <w:rPr>
          <w:rFonts w:ascii="Arial" w:cs="Arial" w:eastAsia="Arial" w:hAnsi="Arial"/>
          <w:sz w:val="17"/>
          <w:szCs w:val="17"/>
          <w:color w:val="auto"/>
        </w:rPr>
        <w:t>which any Credit Party or any ERISA Affiliate is (or, if such plan were terminated, would under Section 4062 or Section 4069 of ERISA be deemed to be) an “employer” as defined in Section 3(5) of ERISA.</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the definition of “Permitted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0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Asset Swap</w:t>
      </w:r>
      <w:r>
        <w:rPr>
          <w:rFonts w:ascii="Arial" w:cs="Arial" w:eastAsia="Arial" w:hAnsi="Arial"/>
          <w:sz w:val="15"/>
          <w:szCs w:val="15"/>
          <w:color w:val="auto"/>
        </w:rPr>
        <w:t>” shall mean the concurrent purchase and sale or exchange of Related Business Assets or a combination of Related Business</w:t>
      </w:r>
    </w:p>
    <w:p>
      <w:pPr>
        <w:spacing w:after="0" w:line="28"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 xml:space="preserve">Assets and cash or Cash Equivalents between Holdings or a Restricted Subsidiary and another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cash or Cash Equivalents received must be applied in accordance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Convertible Indebtedness</w:t>
      </w:r>
      <w:r>
        <w:rPr>
          <w:rFonts w:ascii="Arial" w:cs="Arial" w:eastAsia="Arial" w:hAnsi="Arial"/>
          <w:sz w:val="17"/>
          <w:szCs w:val="17"/>
          <w:color w:val="auto"/>
        </w:rPr>
        <w:t>” shall mean (i) National Vision Holdings, Inc.’s 2.50% convertible senior notes due 2025 (the “</w:t>
      </w:r>
      <w:r>
        <w:rPr>
          <w:rFonts w:ascii="Arial" w:cs="Arial" w:eastAsia="Arial" w:hAnsi="Arial"/>
          <w:sz w:val="17"/>
          <w:szCs w:val="17"/>
          <w:b w:val="1"/>
          <w:bCs w:val="1"/>
          <w:color w:val="auto"/>
        </w:rPr>
        <w:t>Existing</w:t>
      </w:r>
    </w:p>
    <w:p>
      <w:pPr>
        <w:spacing w:after="0" w:line="5"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b w:val="1"/>
          <w:bCs w:val="1"/>
          <w:color w:val="auto"/>
        </w:rPr>
        <w:t>Convertible Notes</w:t>
      </w:r>
      <w:r>
        <w:rPr>
          <w:rFonts w:ascii="Arial" w:cs="Arial" w:eastAsia="Arial" w:hAnsi="Arial"/>
          <w:sz w:val="15"/>
          <w:szCs w:val="15"/>
          <w:color w:val="auto"/>
        </w:rPr>
        <w:t>”) outstanding prior to the Second Restatement Effective Date and (ii) any refinancing, refunding, renewal or extension of any Indebtedness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specified in </w:t>
      </w:r>
      <w:r>
        <w:rPr>
          <w:rFonts w:ascii="Arial" w:cs="Arial" w:eastAsia="Arial" w:hAnsi="Arial"/>
          <w:sz w:val="15"/>
          <w:szCs w:val="15"/>
          <w:u w:val="single" w:color="auto"/>
          <w:color w:val="auto"/>
        </w:rPr>
        <w:t>subclause (i)</w:t>
      </w:r>
      <w:r>
        <w:rPr>
          <w:rFonts w:ascii="Arial" w:cs="Arial" w:eastAsia="Arial" w:hAnsi="Arial"/>
          <w:sz w:val="15"/>
          <w:szCs w:val="15"/>
          <w:color w:val="auto"/>
        </w:rPr>
        <w:t xml:space="preserve">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principal amount of any such Indebtedness is not increased above the principal amount thereof outstanding immediately prior to such refinancing, refunding, renewal or extension (except for any original issue discount thereon and the amount of fees, expenses, and</w:t>
      </w:r>
    </w:p>
    <w:p>
      <w:pPr>
        <w:ind w:right="80"/>
        <w:spacing w:after="0" w:line="239" w:lineRule="auto"/>
        <w:rPr>
          <w:sz w:val="20"/>
          <w:szCs w:val="20"/>
          <w:color w:val="auto"/>
        </w:rPr>
      </w:pPr>
      <w:r>
        <w:rPr>
          <w:rFonts w:ascii="Arial" w:cs="Arial" w:eastAsia="Arial" w:hAnsi="Arial"/>
          <w:sz w:val="15"/>
          <w:szCs w:val="15"/>
          <w:color w:val="auto"/>
        </w:rPr>
        <w:t>premium and accrued and unpaid interest in connection with such refinancing), (B) such Indebtedness constitutes Indebtedness of any Parent Entity that is convertible, at the option of the holder, into Equity Interests (other than Disqualified Equity Interests) of such Parent Entity, cash or a combination of such Equity Interests and cash, (C) such Indebtedness has no scheduled principal payments prior to the date that is five years following the date of issuance (</w:t>
      </w:r>
      <w:r>
        <w:rPr>
          <w:rFonts w:ascii="Arial" w:cs="Arial" w:eastAsia="Arial" w:hAnsi="Arial"/>
          <w:sz w:val="15"/>
          <w:szCs w:val="15"/>
          <w:u w:val="single" w:color="auto"/>
          <w:color w:val="auto"/>
        </w:rPr>
        <w:t>provided</w:t>
      </w:r>
      <w:r>
        <w:rPr>
          <w:rFonts w:ascii="Arial" w:cs="Arial" w:eastAsia="Arial" w:hAnsi="Arial"/>
          <w:sz w:val="15"/>
          <w:szCs w:val="15"/>
          <w:color w:val="auto"/>
        </w:rPr>
        <w:t>,</w:t>
      </w:r>
    </w:p>
    <w:p>
      <w:pPr>
        <w:jc w:val="both"/>
        <w:ind w:right="160"/>
        <w:spacing w:after="0" w:line="239" w:lineRule="auto"/>
        <w:rPr>
          <w:sz w:val="20"/>
          <w:szCs w:val="20"/>
          <w:color w:val="auto"/>
        </w:rPr>
      </w:pPr>
      <w:r>
        <w:rPr>
          <w:rFonts w:ascii="Arial" w:cs="Arial" w:eastAsia="Arial" w:hAnsi="Arial"/>
          <w:sz w:val="15"/>
          <w:szCs w:val="15"/>
          <w:color w:val="auto"/>
        </w:rPr>
        <w:t>however, this clause (C) shall not limit payments and deliveries due upon conversion of such Indebtedness (including, for the avoidance of doubt, if such Parent Entity has the right to elect to pay, or elects to pay, the principal amount of any such Indebtedness in cash upon a holder’s exercise of its conversion or exchange right under such Indebtedness, such right or payment) and payments due upon required repurchase of such Indebtedness) and (D) such Indebtedness is not</w:t>
      </w:r>
    </w:p>
    <w:p>
      <w:pPr>
        <w:spacing w:after="0"/>
        <w:rPr>
          <w:sz w:val="20"/>
          <w:szCs w:val="20"/>
          <w:color w:val="auto"/>
        </w:rPr>
      </w:pPr>
      <w:r>
        <w:rPr>
          <w:rFonts w:ascii="Arial" w:cs="Arial" w:eastAsia="Arial" w:hAnsi="Arial"/>
          <w:sz w:val="17"/>
          <w:szCs w:val="17"/>
          <w:color w:val="auto"/>
        </w:rPr>
        <w:t>guaranteed by Holdings or any of its Restricted Subsidiaries.</w:t>
      </w:r>
    </w:p>
    <w:p>
      <w:pPr>
        <w:spacing w:after="0" w:line="158" w:lineRule="exact"/>
        <w:rPr>
          <w:sz w:val="20"/>
          <w:szCs w:val="20"/>
          <w:color w:val="auto"/>
        </w:rPr>
      </w:pPr>
    </w:p>
    <w:p>
      <w:pPr>
        <w:jc w:val="both"/>
        <w:ind w:right="16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Holders</w:t>
      </w:r>
      <w:r>
        <w:rPr>
          <w:rFonts w:ascii="Arial" w:cs="Arial" w:eastAsia="Arial" w:hAnsi="Arial"/>
          <w:sz w:val="15"/>
          <w:szCs w:val="15"/>
          <w:color w:val="auto"/>
        </w:rPr>
        <w:t>” shall mean each of (i) the Initial Investors and their respective Affiliates (other than any portfolio company of an Initial Investor) and members of management of Holdings or the Borrower (or any Parent Entity) who are holders of Equity Interests of Holdings (or any Parent Entity) on the</w:t>
      </w:r>
    </w:p>
    <w:p>
      <w:pPr>
        <w:jc w:val="both"/>
        <w:spacing w:after="0" w:line="239" w:lineRule="auto"/>
        <w:rPr>
          <w:sz w:val="20"/>
          <w:szCs w:val="20"/>
          <w:color w:val="auto"/>
        </w:rPr>
      </w:pPr>
      <w:r>
        <w:rPr>
          <w:rFonts w:ascii="Arial" w:cs="Arial" w:eastAsia="Arial" w:hAnsi="Arial"/>
          <w:sz w:val="15"/>
          <w:szCs w:val="15"/>
          <w:color w:val="auto"/>
        </w:rPr>
        <w:t xml:space="preserve">Second Restatement Effective Date and any group (within the meaning of Section 13(d)(3) or Section 14(d)(2) of the Exchange Act or any successor provision) of which any of the foregoing are members;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such group and without giving effect to the existence of such group or any other group, such Initial Investors, their respective Affiliates (other than any portfolio company of an Initial Investor) and members of management, collectively, have beneficial</w:t>
      </w:r>
    </w:p>
    <w:p>
      <w:pPr>
        <w:ind w:right="240"/>
        <w:spacing w:after="0" w:line="220" w:lineRule="auto"/>
        <w:rPr>
          <w:sz w:val="20"/>
          <w:szCs w:val="20"/>
          <w:color w:val="auto"/>
        </w:rPr>
      </w:pPr>
      <w:r>
        <w:rPr>
          <w:rFonts w:ascii="Arial" w:cs="Arial" w:eastAsia="Arial" w:hAnsi="Arial"/>
          <w:sz w:val="17"/>
          <w:szCs w:val="17"/>
          <w:color w:val="auto"/>
        </w:rPr>
        <w:t>ownership of more than 50% of the total voting power of the Voting Stock of Holdings or any Parent Entity and (ii) any Parent Entity formed not in connection with, or in contemplation of, a transaction (other than the Original Transactions) that, assuming such parent was not formed, after giving effect thereto would constitute a Change of Control.</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shall mean:</w:t>
      </w:r>
    </w:p>
    <w:p>
      <w:pPr>
        <w:spacing w:after="0" w:line="184" w:lineRule="exact"/>
        <w:rPr>
          <w:sz w:val="20"/>
          <w:szCs w:val="20"/>
          <w:color w:val="auto"/>
        </w:rPr>
      </w:pPr>
    </w:p>
    <w:p>
      <w:pPr>
        <w:jc w:val="both"/>
        <w:ind w:left="620" w:right="140" w:firstLine="174"/>
        <w:spacing w:after="0" w:line="251" w:lineRule="auto"/>
        <w:tabs>
          <w:tab w:leader="none" w:pos="1126" w:val="left"/>
        </w:tabs>
        <w:numPr>
          <w:ilvl w:val="1"/>
          <w:numId w:val="35"/>
        </w:numPr>
        <w:rPr>
          <w:rFonts w:ascii="Arial" w:cs="Arial" w:eastAsia="Arial" w:hAnsi="Arial"/>
          <w:sz w:val="15"/>
          <w:szCs w:val="15"/>
          <w:color w:val="auto"/>
        </w:rPr>
      </w:pPr>
      <w:r>
        <w:rPr>
          <w:rFonts w:ascii="Arial" w:cs="Arial" w:eastAsia="Arial" w:hAnsi="Arial"/>
          <w:sz w:val="15"/>
          <w:szCs w:val="15"/>
          <w:color w:val="auto"/>
        </w:rPr>
        <w:t xml:space="preserve">any Investment in Holdings or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outstanding amount of Investments made by the Borrower and the Guarantors in Restricted Subsidiaries that are not the Borrower or a Guarantor shall not, at any time, exceed the greater of (x) $50.0 million and</w:t>
      </w:r>
    </w:p>
    <w:p>
      <w:pPr>
        <w:spacing w:after="0" w:line="1" w:lineRule="exact"/>
        <w:rPr>
          <w:rFonts w:ascii="Arial" w:cs="Arial" w:eastAsia="Arial" w:hAnsi="Arial"/>
          <w:sz w:val="15"/>
          <w:szCs w:val="15"/>
          <w:color w:val="auto"/>
        </w:rPr>
      </w:pPr>
    </w:p>
    <w:p>
      <w:pPr>
        <w:ind w:left="860" w:hanging="238"/>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25% of Consolidated EBITDA for the most recently ended Test Period (calculated on a Pro Forma Basis) at the time of such Investment;</w:t>
      </w:r>
    </w:p>
    <w:p>
      <w:pPr>
        <w:spacing w:after="0" w:line="164" w:lineRule="exact"/>
        <w:rPr>
          <w:rFonts w:ascii="Arial" w:cs="Arial" w:eastAsia="Arial" w:hAnsi="Arial"/>
          <w:sz w:val="17"/>
          <w:szCs w:val="17"/>
          <w:color w:val="auto"/>
        </w:rPr>
      </w:pPr>
    </w:p>
    <w:p>
      <w:pPr>
        <w:ind w:left="1180" w:hanging="386"/>
        <w:spacing w:after="0"/>
        <w:tabs>
          <w:tab w:leader="none" w:pos="11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Investment in cash, Cash Equivalents, or Investment Grade Securities at the time such Investment is made;</w:t>
      </w:r>
    </w:p>
    <w:p>
      <w:pPr>
        <w:spacing w:after="0" w:line="178" w:lineRule="exact"/>
        <w:rPr>
          <w:sz w:val="20"/>
          <w:szCs w:val="20"/>
          <w:color w:val="auto"/>
        </w:rPr>
      </w:pPr>
    </w:p>
    <w:p>
      <w:pPr>
        <w:ind w:left="620" w:right="80" w:firstLine="174"/>
        <w:spacing w:after="0" w:line="231" w:lineRule="auto"/>
        <w:tabs>
          <w:tab w:leader="none" w:pos="122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Investment by Holdings or any Restricted Subsidiary in a Person that is engaged in a Similar Business if as a result of such Investment (a “</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(1) such Person becomes a Restricted Subsidiary or (2) such Person, in one transaction or a series of related transactions, is merged, consolidated, or amalgamated with or into, or transfers or conveys substantially all of its assets to, or is liquidated into, Holdings or a Restricted Subsidiary, and, in each case, any Investment held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was not acquired by such Person in contemplation of such acquisition, merger, consolidation, or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aggregate consideration (excluding any consideration resulting from the incurrence of Indebtedness, other than under the Revolving Credit Facility) paid by the Borrower and the Guarantors in connection with Permitted Acquisitions where the assets acquired are not owned directly by the Borrower or a Guarantor or any Restricted Subsidiary that is acquired does not become a Guarantor shall not, at any time, exceed the greater of (x) $50.0 million and (y) 25.0% of Consolidated EBITDA for the most recently ended Test Period (calculated on a Pro Forma Basis) at the time of such Investment;</w:t>
      </w:r>
    </w:p>
    <w:p>
      <w:pPr>
        <w:spacing w:after="0" w:line="159" w:lineRule="exact"/>
        <w:rPr>
          <w:rFonts w:ascii="Arial" w:cs="Arial" w:eastAsia="Arial" w:hAnsi="Arial"/>
          <w:sz w:val="16"/>
          <w:szCs w:val="16"/>
          <w:color w:val="auto"/>
        </w:rPr>
      </w:pPr>
    </w:p>
    <w:p>
      <w:pPr>
        <w:ind w:left="620" w:right="160" w:firstLine="174"/>
        <w:spacing w:after="0" w:line="248" w:lineRule="auto"/>
        <w:tabs>
          <w:tab w:leader="none" w:pos="1212"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any other disposition of assets not constituting an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180"/>
          </w:cols>
          <w:pgMar w:left="320" w:top="1440" w:right="399" w:bottom="1440" w:gutter="0" w:footer="0" w:header="0"/>
        </w:sectPr>
      </w:pPr>
    </w:p>
    <w:bookmarkStart w:id="60" w:name="page61"/>
    <w:bookmarkEnd w:id="60"/>
    <w:p>
      <w:pPr>
        <w:spacing w:after="0" w:line="106" w:lineRule="exact"/>
        <w:rPr>
          <w:sz w:val="20"/>
          <w:szCs w:val="20"/>
          <w:color w:val="auto"/>
        </w:rPr>
      </w:pPr>
    </w:p>
    <w:p>
      <w:pPr>
        <w:ind w:firstLine="174"/>
        <w:spacing w:after="0" w:line="234" w:lineRule="auto"/>
        <w:tabs>
          <w:tab w:leader="none" w:pos="5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 any Investment existing or contemplated on the Second Restatement Effective Date and, in each case, listed on </w:t>
      </w:r>
      <w:r>
        <w:rPr>
          <w:rFonts w:ascii="Arial" w:cs="Arial" w:eastAsia="Arial" w:hAnsi="Arial"/>
          <w:sz w:val="16"/>
          <w:szCs w:val="16"/>
          <w:u w:val="single" w:color="auto"/>
          <w:color w:val="auto"/>
        </w:rPr>
        <w:t>Schedule 10.5</w:t>
      </w:r>
      <w:r>
        <w:rPr>
          <w:rFonts w:ascii="Arial" w:cs="Arial" w:eastAsia="Arial" w:hAnsi="Arial"/>
          <w:sz w:val="16"/>
          <w:szCs w:val="16"/>
          <w:color w:val="auto"/>
        </w:rPr>
        <w:t xml:space="preserve"> and (b) Investments consisting of any modification, replacement, renewal, reinvestment, or extension of any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such Investment is not increased from the amount of such Investment on the Second Restatement Effective Date except pursuant to the terms of such Investment (including in respect of any unused commitment),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Second Restatement Effective Date;</w:t>
      </w:r>
    </w:p>
    <w:p>
      <w:pPr>
        <w:spacing w:after="0" w:line="161" w:lineRule="exact"/>
        <w:rPr>
          <w:rFonts w:ascii="Arial" w:cs="Arial" w:eastAsia="Arial" w:hAnsi="Arial"/>
          <w:sz w:val="16"/>
          <w:szCs w:val="16"/>
          <w:color w:val="auto"/>
        </w:rPr>
      </w:pPr>
    </w:p>
    <w:p>
      <w:pPr>
        <w:ind w:right="160" w:firstLine="174"/>
        <w:spacing w:after="0" w:line="224" w:lineRule="auto"/>
        <w:tabs>
          <w:tab w:leader="none" w:pos="5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Investment acquired by Holdings or any Restricted Subsidiary (a) in exchange for any other Investment or accounts receivable held by Holdings or any such Restricted Subsidiary in connection with or as a result of a bankruptcy, workout, reorganization, or recapitalization of Holdings of such other Investment or accounts receivable or (b) as a result of a foreclosure by Holdings or any Restricted Subsidiary with respect to any secured Investment or other transfer of title with respect to any secured Investment in default;</w:t>
      </w:r>
    </w:p>
    <w:p>
      <w:pPr>
        <w:spacing w:after="0" w:line="172" w:lineRule="exact"/>
        <w:rPr>
          <w:rFonts w:ascii="Arial" w:cs="Arial" w:eastAsia="Arial" w:hAnsi="Arial"/>
          <w:sz w:val="17"/>
          <w:szCs w:val="17"/>
          <w:color w:val="auto"/>
        </w:rPr>
      </w:pPr>
    </w:p>
    <w:p>
      <w:pPr>
        <w:ind w:left="640" w:hanging="46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Hedging Obligations permitted under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Cash Management Services;</w:t>
      </w:r>
    </w:p>
    <w:p>
      <w:pPr>
        <w:spacing w:after="0" w:line="178" w:lineRule="exact"/>
        <w:rPr>
          <w:rFonts w:ascii="Arial" w:cs="Arial" w:eastAsia="Arial" w:hAnsi="Arial"/>
          <w:sz w:val="17"/>
          <w:szCs w:val="17"/>
          <w:color w:val="auto"/>
        </w:rPr>
      </w:pPr>
    </w:p>
    <w:p>
      <w:pPr>
        <w:ind w:right="40" w:firstLine="174"/>
        <w:spacing w:after="0" w:line="249" w:lineRule="auto"/>
        <w:tabs>
          <w:tab w:leader="none" w:pos="687"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any Investment in a Similar Business having an aggregate Fair Market Value, taken together with all other Investments made pursuant to this clause (viii) that are at that time outstanding, not to exceed the greater of (a) $45,000,000 and (b) 40.0% of Consolidated EBITDA for the most recently ended Test Period (calculated on a Pro Forma Basis) at the time of such Investment (with the Fair Market Value of each Investment being measured at the time made and without giving effect to subsequent changes in value); provided, however, that if any Investment pursuant to this clause (viii) is made in any Person that is not a Restricted Subsidiary at the date of the making of such Investment and such Person becomes a Restricted Subsidiary after such date, such Investment shall thereafter be deemed to have been made pursuant to clause (i) above (to the extent permitted thereby) and shall cease to have been made pursuant to this clause (viii) for so long as such Person continues to be a Restricted Subsidiary;</w:t>
      </w:r>
    </w:p>
    <w:p>
      <w:pPr>
        <w:spacing w:after="0" w:line="178" w:lineRule="exact"/>
        <w:rPr>
          <w:rFonts w:ascii="Arial" w:cs="Arial" w:eastAsia="Arial" w:hAnsi="Arial"/>
          <w:sz w:val="15"/>
          <w:szCs w:val="15"/>
          <w:color w:val="auto"/>
        </w:rPr>
      </w:pPr>
    </w:p>
    <w:p>
      <w:pPr>
        <w:ind w:right="220" w:firstLine="174"/>
        <w:spacing w:after="0" w:line="231" w:lineRule="auto"/>
        <w:tabs>
          <w:tab w:leader="none" w:pos="5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Equity Interests will not increase the amount available for Restricted Payments under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10.5(a)(4)</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540" w:hanging="366"/>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guarantees of Indebtedness permitted under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right="380" w:firstLine="174"/>
        <w:spacing w:after="0" w:line="236" w:lineRule="auto"/>
        <w:tabs>
          <w:tab w:leader="none" w:pos="5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any transaction to the extent it constitutes an Investment that is permitted and made in accordance with the provisions of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(except transactions described in clause (b) of such paragraph);</w:t>
      </w:r>
    </w:p>
    <w:p>
      <w:pPr>
        <w:spacing w:after="0" w:line="157" w:lineRule="exact"/>
        <w:rPr>
          <w:rFonts w:ascii="Arial" w:cs="Arial" w:eastAsia="Arial" w:hAnsi="Arial"/>
          <w:sz w:val="17"/>
          <w:szCs w:val="17"/>
          <w:color w:val="auto"/>
        </w:rPr>
      </w:pPr>
    </w:p>
    <w:p>
      <w:pPr>
        <w:ind w:left="640" w:hanging="46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Investments consisting of purchases and acquisitions of inventory, supplies, material, equipment, or other similar assets in the ordinary course of</w:t>
      </w:r>
    </w:p>
    <w:p>
      <w:pPr>
        <w:spacing w:after="0" w:line="2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business;</w:t>
      </w:r>
    </w:p>
    <w:p>
      <w:pPr>
        <w:spacing w:after="0" w:line="164" w:lineRule="exact"/>
        <w:rPr>
          <w:rFonts w:ascii="Arial" w:cs="Arial" w:eastAsia="Arial" w:hAnsi="Arial"/>
          <w:sz w:val="15"/>
          <w:szCs w:val="15"/>
          <w:color w:val="auto"/>
        </w:rPr>
      </w:pPr>
    </w:p>
    <w:p>
      <w:pPr>
        <w:ind w:firstLine="174"/>
        <w:spacing w:after="0" w:line="230" w:lineRule="auto"/>
        <w:tabs>
          <w:tab w:leader="none" w:pos="6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additional Investments having an aggregate Fair Market Value, taken together with all other Investments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that are at that time outstanding (without giving effect to the sale of an Unrestricted Subsidiary to the extent the proceeds of such sale do not consist of cash or marketable securities), not to exceed the greater of (a) $ 75,000,000 and (b) 35.0%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(to the extent permitted thereby) and shall cease to have been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for so long as such Person continues to be a Restricted Subsidiary;</w:t>
      </w:r>
    </w:p>
    <w:p>
      <w:pPr>
        <w:spacing w:after="0" w:line="175" w:lineRule="exact"/>
        <w:rPr>
          <w:rFonts w:ascii="Arial" w:cs="Arial" w:eastAsia="Arial" w:hAnsi="Arial"/>
          <w:sz w:val="16"/>
          <w:szCs w:val="16"/>
          <w:color w:val="auto"/>
        </w:rPr>
      </w:pPr>
    </w:p>
    <w:p>
      <w:pPr>
        <w:ind w:right="140" w:firstLine="174"/>
        <w:spacing w:after="0" w:line="236" w:lineRule="auto"/>
        <w:tabs>
          <w:tab w:leader="none" w:pos="67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Investments relating to any Receivables Subsidiary that, in the good faith determination of the board of directors of Holdings, are necessary or advisable to effect a Receivables Facility or any repurchases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00"/>
          </w:cols>
          <w:pgMar w:left="940" w:top="1440" w:right="359" w:bottom="1440" w:gutter="0" w:footer="0" w:header="0"/>
        </w:sectPr>
      </w:pPr>
    </w:p>
    <w:bookmarkStart w:id="61" w:name="page62"/>
    <w:bookmarkEnd w:id="61"/>
    <w:p>
      <w:pPr>
        <w:spacing w:after="0" w:line="106" w:lineRule="exact"/>
        <w:rPr>
          <w:sz w:val="20"/>
          <w:szCs w:val="20"/>
          <w:color w:val="auto"/>
        </w:rPr>
      </w:pPr>
    </w:p>
    <w:p>
      <w:pPr>
        <w:ind w:right="80" w:firstLine="174"/>
        <w:spacing w:after="0" w:line="248" w:lineRule="auto"/>
        <w:tabs>
          <w:tab w:leader="none" w:pos="6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the greater of (a) $10,000,000 and (b) 5.0% of Consolidated EBITDA for the most recently ended Test Period (calculated on a Pro Forma Basis) at the time of such Investment;</w:t>
      </w:r>
    </w:p>
    <w:p>
      <w:pPr>
        <w:spacing w:after="0" w:line="150" w:lineRule="exact"/>
        <w:rPr>
          <w:rFonts w:ascii="Arial" w:cs="Arial" w:eastAsia="Arial" w:hAnsi="Arial"/>
          <w:sz w:val="17"/>
          <w:szCs w:val="17"/>
          <w:color w:val="auto"/>
        </w:rPr>
      </w:pPr>
    </w:p>
    <w:p>
      <w:pPr>
        <w:ind w:right="20" w:firstLine="174"/>
        <w:spacing w:after="0" w:line="221" w:lineRule="auto"/>
        <w:tabs>
          <w:tab w:leader="none" w:pos="678"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Holdings or any direct or indirect parent company thereof and (b) promissory notes received from stockholders of Holdings, any direct or indirect parent company of Holdings or any Subsidiary in connection with the exercise of stock options in respect of the Equity Interests of Holdings, any direct or indirect parent company of Holdings and the Subsidiaries;</w:t>
      </w:r>
    </w:p>
    <w:p>
      <w:pPr>
        <w:spacing w:after="0" w:line="170" w:lineRule="exact"/>
        <w:rPr>
          <w:rFonts w:ascii="Arial" w:cs="Arial" w:eastAsia="Arial" w:hAnsi="Arial"/>
          <w:sz w:val="17"/>
          <w:szCs w:val="17"/>
          <w:color w:val="auto"/>
        </w:rPr>
      </w:pPr>
    </w:p>
    <w:p>
      <w:pPr>
        <w:ind w:left="720" w:hanging="546"/>
        <w:spacing w:after="0"/>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Investments consisting of extensions of trade credit in the ordinary course of business;</w:t>
      </w:r>
    </w:p>
    <w:p>
      <w:pPr>
        <w:spacing w:after="0" w:line="178" w:lineRule="exact"/>
        <w:rPr>
          <w:rFonts w:ascii="Arial" w:cs="Arial" w:eastAsia="Arial" w:hAnsi="Arial"/>
          <w:sz w:val="17"/>
          <w:szCs w:val="17"/>
          <w:color w:val="auto"/>
        </w:rPr>
      </w:pPr>
    </w:p>
    <w:p>
      <w:pPr>
        <w:ind w:right="200" w:firstLine="174"/>
        <w:spacing w:after="0" w:line="236" w:lineRule="auto"/>
        <w:tabs>
          <w:tab w:leader="none" w:pos="7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69" w:lineRule="exact"/>
        <w:rPr>
          <w:rFonts w:ascii="Arial" w:cs="Arial" w:eastAsia="Arial" w:hAnsi="Arial"/>
          <w:sz w:val="17"/>
          <w:szCs w:val="17"/>
          <w:color w:val="auto"/>
        </w:rPr>
      </w:pPr>
    </w:p>
    <w:p>
      <w:pPr>
        <w:ind w:right="180" w:firstLine="174"/>
        <w:spacing w:after="0" w:line="236" w:lineRule="auto"/>
        <w:tabs>
          <w:tab w:leader="none" w:pos="67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non-cash Investments in connection with tax planning and reorganization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activities, the security interests of the Lenders in the Collateral, taken as a whole, would not be materially impaired;</w:t>
      </w:r>
    </w:p>
    <w:p>
      <w:pPr>
        <w:spacing w:after="0" w:line="157" w:lineRule="exact"/>
        <w:rPr>
          <w:rFonts w:ascii="Arial" w:cs="Arial" w:eastAsia="Arial" w:hAnsi="Arial"/>
          <w:sz w:val="17"/>
          <w:szCs w:val="17"/>
          <w:color w:val="auto"/>
        </w:rPr>
      </w:pPr>
    </w:p>
    <w:p>
      <w:pPr>
        <w:ind w:firstLine="174"/>
        <w:spacing w:after="0" w:line="248" w:lineRule="auto"/>
        <w:tabs>
          <w:tab w:leader="none" w:pos="6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Investments made in the ordinary course of business in connection with obtaining, maintaining or renewing client, franchisee and customer contracts and loans or advances made to, and guarantees with respect to obligations of, independent eye care professionals (or to professional corporations owned by such professionals), franchisees, distributors, suppliers, licensors and licensees in the ordinary course of business;</w:t>
      </w:r>
    </w:p>
    <w:p>
      <w:pPr>
        <w:spacing w:after="0" w:line="151" w:lineRule="exact"/>
        <w:rPr>
          <w:rFonts w:ascii="Arial" w:cs="Arial" w:eastAsia="Arial" w:hAnsi="Arial"/>
          <w:sz w:val="16"/>
          <w:szCs w:val="16"/>
          <w:color w:val="auto"/>
        </w:rPr>
      </w:pPr>
    </w:p>
    <w:p>
      <w:pPr>
        <w:ind w:left="680" w:hanging="506"/>
        <w:spacing w:after="0"/>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licensing and contribution of Intellectual Property pursuant to joint marketing arrangements with other Persons, in the ordinary course of</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business;</w:t>
      </w:r>
    </w:p>
    <w:p>
      <w:pPr>
        <w:spacing w:after="0" w:line="164" w:lineRule="exact"/>
        <w:rPr>
          <w:rFonts w:ascii="Arial" w:cs="Arial" w:eastAsia="Arial" w:hAnsi="Arial"/>
          <w:sz w:val="16"/>
          <w:szCs w:val="16"/>
          <w:color w:val="auto"/>
        </w:rPr>
      </w:pPr>
    </w:p>
    <w:p>
      <w:pPr>
        <w:ind w:left="720" w:hanging="546"/>
        <w:spacing w:after="0"/>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extent constituting Investments, transactions pursuant to the Wal-Mart Agreements;</w:t>
      </w:r>
    </w:p>
    <w:p>
      <w:pPr>
        <w:spacing w:after="0" w:line="178" w:lineRule="exact"/>
        <w:rPr>
          <w:rFonts w:ascii="Arial" w:cs="Arial" w:eastAsia="Arial" w:hAnsi="Arial"/>
          <w:sz w:val="17"/>
          <w:szCs w:val="17"/>
          <w:color w:val="auto"/>
        </w:rPr>
      </w:pPr>
    </w:p>
    <w:p>
      <w:pPr>
        <w:jc w:val="both"/>
        <w:ind w:firstLine="621"/>
        <w:spacing w:after="0" w:line="231" w:lineRule="auto"/>
        <w:tabs>
          <w:tab w:leader="none" w:pos="1308" w:val="left"/>
        </w:tabs>
        <w:numPr>
          <w:ilvl w:val="1"/>
          <w:numId w:val="39"/>
        </w:numPr>
        <w:rPr>
          <w:rFonts w:ascii="Arial" w:cs="Arial" w:eastAsia="Arial" w:hAnsi="Arial"/>
          <w:sz w:val="17"/>
          <w:szCs w:val="17"/>
          <w:color w:val="auto"/>
        </w:rPr>
      </w:pPr>
      <w:r>
        <w:rPr>
          <w:rFonts w:ascii="Arial" w:cs="Arial" w:eastAsia="Arial" w:hAnsi="Arial"/>
          <w:sz w:val="17"/>
          <w:szCs w:val="17"/>
          <w:color w:val="auto"/>
        </w:rPr>
        <w:t>other Investments; provided that (A) no Event of Default shall have occurred and be continuing or would occur as a consequence thereof and (B) after giving Pro Forma Effect to such Investment the Consolidated Total Debt to Consolidated EBITDA Ratio is equal to or less than 3.25 :1.00; and</w:t>
      </w:r>
    </w:p>
    <w:p>
      <w:pPr>
        <w:spacing w:after="0" w:line="157" w:lineRule="exact"/>
        <w:rPr>
          <w:rFonts w:ascii="Arial" w:cs="Arial" w:eastAsia="Arial" w:hAnsi="Arial"/>
          <w:sz w:val="17"/>
          <w:szCs w:val="17"/>
          <w:color w:val="auto"/>
        </w:rPr>
      </w:pPr>
    </w:p>
    <w:p>
      <w:pPr>
        <w:jc w:val="both"/>
        <w:ind w:firstLine="621"/>
        <w:spacing w:after="0" w:line="224" w:lineRule="auto"/>
        <w:tabs>
          <w:tab w:leader="none" w:pos="1083" w:val="left"/>
        </w:tabs>
        <w:numPr>
          <w:ilvl w:val="1"/>
          <w:numId w:val="39"/>
        </w:numPr>
        <w:rPr>
          <w:rFonts w:ascii="Arial" w:cs="Arial" w:eastAsia="Arial" w:hAnsi="Arial"/>
          <w:sz w:val="17"/>
          <w:szCs w:val="17"/>
          <w:color w:val="auto"/>
        </w:rPr>
      </w:pPr>
      <w:r>
        <w:rPr>
          <w:rFonts w:ascii="Arial" w:cs="Arial" w:eastAsia="Arial" w:hAnsi="Arial"/>
          <w:sz w:val="17"/>
          <w:szCs w:val="17"/>
          <w:color w:val="auto"/>
        </w:rPr>
        <w:t>Investments of a Subsidiary acquired after the Closing Date or of a Person merged or consolidated with any Subsidiary in accordance with this definition of “Permitted Investments”, Section 10.3 and/or Section 10.5 after the Closing Date to the extent that such investments were not made in contemplation of or in connection with such acquisition, merger or consolidation and were in existence on the date of such acquisition, merger or consolidation.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shall mean, with respect to any Person:</w:t>
      </w:r>
    </w:p>
    <w:p>
      <w:pPr>
        <w:spacing w:after="0" w:line="184" w:lineRule="exact"/>
        <w:rPr>
          <w:sz w:val="20"/>
          <w:szCs w:val="20"/>
          <w:color w:val="auto"/>
        </w:rPr>
      </w:pPr>
    </w:p>
    <w:p>
      <w:pPr>
        <w:ind w:right="80" w:firstLine="174"/>
        <w:spacing w:after="0" w:line="221" w:lineRule="auto"/>
        <w:tabs>
          <w:tab w:leader="none" w:pos="506" w:val="left"/>
        </w:tabs>
        <w:numPr>
          <w:ilvl w:val="0"/>
          <w:numId w:val="40"/>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70" w:lineRule="exact"/>
        <w:rPr>
          <w:rFonts w:ascii="Arial" w:cs="Arial" w:eastAsia="Arial" w:hAnsi="Arial"/>
          <w:sz w:val="17"/>
          <w:szCs w:val="17"/>
          <w:color w:val="auto"/>
        </w:rPr>
      </w:pPr>
    </w:p>
    <w:p>
      <w:pPr>
        <w:ind w:right="140" w:firstLine="174"/>
        <w:spacing w:after="0" w:line="224" w:lineRule="auto"/>
        <w:tabs>
          <w:tab w:leader="none" w:pos="5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20"/>
          </w:cols>
          <w:pgMar w:left="940" w:top="1440" w:right="339" w:bottom="1440" w:gutter="0" w:footer="0" w:header="0"/>
        </w:sectPr>
      </w:pPr>
    </w:p>
    <w:bookmarkStart w:id="62" w:name="page63"/>
    <w:bookmarkEnd w:id="62"/>
    <w:p>
      <w:pPr>
        <w:spacing w:after="0" w:line="106" w:lineRule="exact"/>
        <w:rPr>
          <w:sz w:val="20"/>
          <w:szCs w:val="20"/>
          <w:color w:val="auto"/>
        </w:rPr>
      </w:pPr>
    </w:p>
    <w:p>
      <w:pPr>
        <w:ind w:left="-174" w:right="220" w:firstLine="174"/>
        <w:spacing w:after="0" w:line="238" w:lineRule="auto"/>
        <w:tabs>
          <w:tab w:leader="none" w:pos="42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or for property taxes on property Holdings or one of its Subsidiaries has determined to abandon if the sole recourse for such tax, assessment, charge, levy, or claim is to such property;</w:t>
      </w:r>
    </w:p>
    <w:p>
      <w:pPr>
        <w:spacing w:after="0" w:line="172" w:lineRule="exact"/>
        <w:rPr>
          <w:rFonts w:ascii="Arial" w:cs="Arial" w:eastAsia="Arial" w:hAnsi="Arial"/>
          <w:sz w:val="16"/>
          <w:szCs w:val="16"/>
          <w:color w:val="auto"/>
        </w:rPr>
      </w:pPr>
    </w:p>
    <w:p>
      <w:pPr>
        <w:ind w:left="-174" w:firstLine="174"/>
        <w:spacing w:after="0" w:line="226" w:lineRule="auto"/>
        <w:tabs>
          <w:tab w:leader="none" w:pos="418"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69" w:lineRule="exact"/>
        <w:rPr>
          <w:rFonts w:ascii="Arial" w:cs="Arial" w:eastAsia="Arial" w:hAnsi="Arial"/>
          <w:sz w:val="17"/>
          <w:szCs w:val="17"/>
          <w:color w:val="auto"/>
        </w:rPr>
      </w:pPr>
    </w:p>
    <w:p>
      <w:pPr>
        <w:ind w:left="-174" w:right="60" w:firstLine="174"/>
        <w:spacing w:after="0" w:line="218" w:lineRule="auto"/>
        <w:tabs>
          <w:tab w:leader="none" w:pos="37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72" w:lineRule="exact"/>
        <w:rPr>
          <w:rFonts w:ascii="Arial" w:cs="Arial" w:eastAsia="Arial" w:hAnsi="Arial"/>
          <w:sz w:val="17"/>
          <w:szCs w:val="17"/>
          <w:color w:val="auto"/>
        </w:rPr>
      </w:pPr>
    </w:p>
    <w:p>
      <w:pPr>
        <w:ind w:left="-174" w:right="20" w:firstLine="174"/>
        <w:spacing w:after="0" w:line="226" w:lineRule="auto"/>
        <w:tabs>
          <w:tab w:leader="none" w:pos="4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(l)(ii), (r), </w:t>
      </w:r>
      <w:r>
        <w:rPr>
          <w:rFonts w:ascii="Arial" w:cs="Arial" w:eastAsia="Arial" w:hAnsi="Arial"/>
          <w:sz w:val="16"/>
          <w:szCs w:val="16"/>
          <w:u w:val="single" w:color="auto"/>
          <w:color w:val="auto"/>
        </w:rPr>
        <w:t>(w)</w:t>
      </w:r>
      <w:r>
        <w:rPr>
          <w:rFonts w:ascii="Arial" w:cs="Arial" w:eastAsia="Arial" w:hAnsi="Arial"/>
          <w:sz w:val="16"/>
          <w:szCs w:val="16"/>
          <w:color w:val="auto"/>
        </w:rPr>
        <w:t xml:space="preserve"> or (x)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assets other than the assets owned by the Restricted Subsidiaries incurring such Indebtedness; (c) in the case of Liens securing Permitted Other Indebtedness Obligations that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(vi);</w:t>
      </w:r>
    </w:p>
    <w:p>
      <w:pPr>
        <w:spacing w:after="0" w:line="172" w:lineRule="exact"/>
        <w:rPr>
          <w:rFonts w:ascii="Arial" w:cs="Arial" w:eastAsia="Arial" w:hAnsi="Arial"/>
          <w:sz w:val="16"/>
          <w:szCs w:val="16"/>
          <w:color w:val="auto"/>
        </w:rPr>
      </w:pPr>
    </w:p>
    <w:p>
      <w:pPr>
        <w:ind w:left="-174" w:right="120" w:firstLine="174"/>
        <w:spacing w:after="0" w:line="238" w:lineRule="auto"/>
        <w:tabs>
          <w:tab w:leader="none" w:pos="4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other than with respect to Mortgaged Property, Liens existing on the Second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securing Indebtedness or other obligations in excess of (a) $5,000,000 individually or (b) $10,000,000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 are not listed on </w:t>
      </w:r>
      <w:r>
        <w:rPr>
          <w:rFonts w:ascii="Arial" w:cs="Arial" w:eastAsia="Arial" w:hAnsi="Arial"/>
          <w:sz w:val="16"/>
          <w:szCs w:val="16"/>
          <w:u w:val="single" w:color="auto"/>
          <w:color w:val="auto"/>
        </w:rPr>
        <w:t>Schedule 10.2</w:t>
      </w:r>
      <w:r>
        <w:rPr>
          <w:rFonts w:ascii="Arial" w:cs="Arial" w:eastAsia="Arial" w:hAnsi="Arial"/>
          <w:sz w:val="16"/>
          <w:szCs w:val="16"/>
          <w:color w:val="auto"/>
        </w:rPr>
        <w:t xml:space="preserve">) shall only be permitted if set forth on </w:t>
      </w:r>
      <w:r>
        <w:rPr>
          <w:rFonts w:ascii="Arial" w:cs="Arial" w:eastAsia="Arial" w:hAnsi="Arial"/>
          <w:sz w:val="16"/>
          <w:szCs w:val="16"/>
          <w:u w:val="single" w:color="auto"/>
          <w:color w:val="auto"/>
        </w:rPr>
        <w:t>Schedule 10.2</w:t>
      </w:r>
      <w:r>
        <w:rPr>
          <w:rFonts w:ascii="Arial" w:cs="Arial" w:eastAsia="Arial" w:hAnsi="Arial"/>
          <w:sz w:val="16"/>
          <w:szCs w:val="16"/>
          <w:color w:val="auto"/>
        </w:rPr>
        <w:t>, and, in each case, any modifications, replacements, renewals, or extensions thereof;</w:t>
      </w:r>
    </w:p>
    <w:p>
      <w:pPr>
        <w:spacing w:after="0" w:line="159" w:lineRule="exact"/>
        <w:rPr>
          <w:rFonts w:ascii="Arial" w:cs="Arial" w:eastAsia="Arial" w:hAnsi="Arial"/>
          <w:sz w:val="16"/>
          <w:szCs w:val="16"/>
          <w:color w:val="auto"/>
        </w:rPr>
      </w:pPr>
    </w:p>
    <w:p>
      <w:pPr>
        <w:ind w:left="-174" w:right="120" w:firstLine="174"/>
        <w:spacing w:after="0" w:line="236" w:lineRule="auto"/>
        <w:tabs>
          <w:tab w:leader="none" w:pos="513"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Liens on property or shares of stock of a Person at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Liens are not created or incurred in connection with, or in contemplation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-3223895</wp:posOffset>
            </wp:positionV>
            <wp:extent cx="154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86"/>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446"/>
          </w:cols>
          <w:pgMar w:left="1114" w:top="1440" w:right="339" w:bottom="1440" w:gutter="0" w:footer="0" w:header="0"/>
        </w:sectPr>
      </w:pPr>
    </w:p>
    <w:bookmarkStart w:id="63" w:name="page64"/>
    <w:bookmarkEnd w:id="63"/>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Holdings or any</w:t>
      </w:r>
    </w:p>
    <w:p>
      <w:pPr>
        <w:spacing w:after="0" w:line="1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w:t>
      </w:r>
    </w:p>
    <w:p>
      <w:pPr>
        <w:ind w:right="180"/>
        <w:spacing w:after="0" w:line="220" w:lineRule="auto"/>
        <w:rPr>
          <w:sz w:val="20"/>
          <w:szCs w:val="20"/>
          <w:color w:val="auto"/>
        </w:rPr>
      </w:pPr>
      <w:r>
        <w:rPr>
          <w:rFonts w:ascii="Arial" w:cs="Arial" w:eastAsia="Arial" w:hAnsi="Arial"/>
          <w:sz w:val="17"/>
          <w:szCs w:val="17"/>
          <w:color w:val="auto"/>
        </w:rPr>
        <w:t>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70" w:lineRule="exact"/>
        <w:rPr>
          <w:sz w:val="20"/>
          <w:szCs w:val="20"/>
          <w:color w:val="auto"/>
        </w:rPr>
      </w:pPr>
    </w:p>
    <w:p>
      <w:pPr>
        <w:ind w:firstLine="174"/>
        <w:spacing w:after="0" w:line="245" w:lineRule="auto"/>
        <w:tabs>
          <w:tab w:leader="none" w:pos="592"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Liens on property at the time Holdings or a Restricted Subsidiary acquired the property, including any acquisition by means of a merger or consolidation with or into Holdings or any Restricted Subsidiary or the designation of an Unrestricted Subsidiary as a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Liens are not created or incurred in connection with, or in contemplation of, such acquisition, merger, consolidation, or designation;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Liens may not extend to any other property owned by Holdings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68" w:lineRule="exact"/>
        <w:rPr>
          <w:rFonts w:ascii="Arial" w:cs="Arial" w:eastAsia="Arial" w:hAnsi="Arial"/>
          <w:sz w:val="15"/>
          <w:szCs w:val="15"/>
          <w:color w:val="auto"/>
        </w:rPr>
      </w:pPr>
    </w:p>
    <w:p>
      <w:pPr>
        <w:ind w:right="240" w:firstLine="174"/>
        <w:spacing w:after="0" w:line="236" w:lineRule="auto"/>
        <w:tabs>
          <w:tab w:leader="none" w:pos="5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Liens securing Indebtedness or other obligations of a Restricted Subsidiary owing to Holdings or another Restricted Subsidiary permitted to be incurred in accordance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right="360" w:firstLine="174"/>
        <w:spacing w:after="0" w:line="248" w:lineRule="auto"/>
        <w:tabs>
          <w:tab w:leader="none" w:pos="5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50" w:lineRule="exact"/>
        <w:rPr>
          <w:rFonts w:ascii="Arial" w:cs="Arial" w:eastAsia="Arial" w:hAnsi="Arial"/>
          <w:sz w:val="17"/>
          <w:szCs w:val="17"/>
          <w:color w:val="auto"/>
        </w:rPr>
      </w:pPr>
    </w:p>
    <w:p>
      <w:pPr>
        <w:ind w:right="600" w:firstLine="174"/>
        <w:spacing w:after="0" w:line="295" w:lineRule="auto"/>
        <w:tabs>
          <w:tab w:leader="none" w:pos="639" w:val="left"/>
        </w:tabs>
        <w:numPr>
          <w:ilvl w:val="0"/>
          <w:numId w:val="42"/>
        </w:numPr>
        <w:rPr>
          <w:rFonts w:ascii="Arial" w:cs="Arial" w:eastAsia="Arial" w:hAnsi="Arial"/>
          <w:sz w:val="15"/>
          <w:szCs w:val="15"/>
          <w:color w:val="auto"/>
        </w:rPr>
      </w:pPr>
      <w:r>
        <w:rPr>
          <w:rFonts w:ascii="Arial" w:cs="Arial" w:eastAsia="Arial" w:hAnsi="Arial"/>
          <w:sz w:val="15"/>
          <w:szCs w:val="15"/>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30" w:lineRule="exact"/>
        <w:rPr>
          <w:rFonts w:ascii="Arial" w:cs="Arial" w:eastAsia="Arial" w:hAnsi="Arial"/>
          <w:sz w:val="15"/>
          <w:szCs w:val="15"/>
          <w:color w:val="auto"/>
        </w:rPr>
      </w:pPr>
    </w:p>
    <w:p>
      <w:pPr>
        <w:ind w:right="160" w:firstLine="174"/>
        <w:spacing w:after="0" w:line="261"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leases, subleases, licenses, or sublicenses (including of Intellectual Property) granted to others in the ordinary course of business which do not materially interfere with the ordinary conduct of the business of Holdings or any Restricted Subsidiary and do not secure any Indebtedness;</w:t>
      </w:r>
    </w:p>
    <w:p>
      <w:pPr>
        <w:spacing w:after="0" w:line="141" w:lineRule="exact"/>
        <w:rPr>
          <w:rFonts w:ascii="Arial" w:cs="Arial" w:eastAsia="Arial" w:hAnsi="Arial"/>
          <w:sz w:val="16"/>
          <w:szCs w:val="16"/>
          <w:color w:val="auto"/>
        </w:rPr>
      </w:pPr>
    </w:p>
    <w:p>
      <w:pPr>
        <w:ind w:right="100" w:firstLine="174"/>
        <w:spacing w:after="0" w:line="248" w:lineRule="auto"/>
        <w:tabs>
          <w:tab w:leader="none" w:pos="678"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Liens arising from Uniform Commercial Code financing statement filings regarding operating leases or consignments entered into by Holdings or any Restricted Subsidiary in the ordinary course of business;</w:t>
      </w:r>
    </w:p>
    <w:p>
      <w:pPr>
        <w:spacing w:after="0" w:line="150" w:lineRule="exact"/>
        <w:rPr>
          <w:rFonts w:ascii="Arial" w:cs="Arial" w:eastAsia="Arial" w:hAnsi="Arial"/>
          <w:sz w:val="17"/>
          <w:szCs w:val="17"/>
          <w:color w:val="auto"/>
        </w:rPr>
      </w:pPr>
    </w:p>
    <w:p>
      <w:pPr>
        <w:ind w:left="640" w:hanging="466"/>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Liens in favor of Holdings, the Borrower, or any other Guarantor;</w:t>
      </w:r>
    </w:p>
    <w:p>
      <w:pPr>
        <w:spacing w:after="0" w:line="178" w:lineRule="exact"/>
        <w:rPr>
          <w:rFonts w:ascii="Arial" w:cs="Arial" w:eastAsia="Arial" w:hAnsi="Arial"/>
          <w:sz w:val="17"/>
          <w:szCs w:val="17"/>
          <w:color w:val="auto"/>
        </w:rPr>
      </w:pPr>
    </w:p>
    <w:p>
      <w:pPr>
        <w:ind w:right="620" w:firstLine="174"/>
        <w:spacing w:after="0" w:line="248" w:lineRule="auto"/>
        <w:tabs>
          <w:tab w:leader="none" w:pos="678"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Liens on equipment of Holdings or any Restricted Subsidiary granted in the ordinary course of business to Holdings’ or such Restricted Subsidiary’s client at which such equipment is located;</w:t>
      </w:r>
    </w:p>
    <w:p>
      <w:pPr>
        <w:spacing w:after="0" w:line="150" w:lineRule="exact"/>
        <w:rPr>
          <w:rFonts w:ascii="Arial" w:cs="Arial" w:eastAsia="Arial" w:hAnsi="Arial"/>
          <w:sz w:val="17"/>
          <w:szCs w:val="17"/>
          <w:color w:val="auto"/>
        </w:rPr>
      </w:pPr>
    </w:p>
    <w:p>
      <w:pPr>
        <w:ind w:left="720" w:hanging="546"/>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Liens on accounts receivable and related assets incurred in connection with a Receivables Facility;</w:t>
      </w:r>
    </w:p>
    <w:p>
      <w:pPr>
        <w:spacing w:after="0" w:line="178" w:lineRule="exact"/>
        <w:rPr>
          <w:rFonts w:ascii="Arial" w:cs="Arial" w:eastAsia="Arial" w:hAnsi="Arial"/>
          <w:sz w:val="17"/>
          <w:szCs w:val="17"/>
          <w:color w:val="auto"/>
        </w:rPr>
      </w:pPr>
    </w:p>
    <w:p>
      <w:pPr>
        <w:ind w:firstLine="174"/>
        <w:spacing w:after="0" w:line="218" w:lineRule="auto"/>
        <w:tabs>
          <w:tab w:leader="none" w:pos="7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(other than pursuant to Section 10.1(l)(ii)),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(xv)</w:t>
      </w:r>
      <w:r>
        <w:rPr>
          <w:rFonts w:ascii="Arial" w:cs="Arial" w:eastAsia="Arial" w:hAnsi="Arial"/>
          <w:sz w:val="17"/>
          <w:szCs w:val="17"/>
          <w:color w:val="auto"/>
        </w:rPr>
        <w:t xml:space="preserve">, of this definition of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committed amount of the Indebtedness described under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(xv)</w:t>
      </w:r>
      <w:r>
        <w:rPr>
          <w:rFonts w:ascii="Arial" w:cs="Arial" w:eastAsia="Arial" w:hAnsi="Arial"/>
          <w:sz w:val="17"/>
          <w:szCs w:val="17"/>
          <w:color w:val="auto"/>
        </w:rPr>
        <w:t xml:space="preserve"> at the time the original Lien became a Permitted Lien under this Agreement, and (2) an amount necessary to pay any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20"/>
          </w:cols>
          <w:pgMar w:left="940" w:top="1440" w:right="339" w:bottom="1440" w:gutter="0" w:footer="0" w:header="0"/>
        </w:sectPr>
      </w:pPr>
    </w:p>
    <w:bookmarkStart w:id="64" w:name="page65"/>
    <w:bookmarkEnd w:id="64"/>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including premiums and accrued and unpaid interest, related to such refinancing, refunding, extension, renewal, or replacement;</w:t>
      </w:r>
    </w:p>
    <w:p>
      <w:pPr>
        <w:spacing w:after="0" w:line="191" w:lineRule="exact"/>
        <w:rPr>
          <w:sz w:val="20"/>
          <w:szCs w:val="20"/>
          <w:color w:val="auto"/>
        </w:rPr>
      </w:pPr>
    </w:p>
    <w:p>
      <w:pPr>
        <w:ind w:right="20" w:firstLine="174"/>
        <w:spacing w:after="0" w:line="236" w:lineRule="auto"/>
        <w:tabs>
          <w:tab w:leader="none" w:pos="678"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deposits made or other security provided to secure liabilities to insurance carriers under insurance or self-insurance arrangements in the ordinary course of business;</w:t>
      </w:r>
    </w:p>
    <w:p>
      <w:pPr>
        <w:spacing w:after="0" w:line="157" w:lineRule="exact"/>
        <w:rPr>
          <w:rFonts w:ascii="Arial" w:cs="Arial" w:eastAsia="Arial" w:hAnsi="Arial"/>
          <w:sz w:val="17"/>
          <w:szCs w:val="17"/>
          <w:color w:val="auto"/>
        </w:rPr>
      </w:pPr>
    </w:p>
    <w:p>
      <w:pPr>
        <w:ind w:right="540" w:firstLine="174"/>
        <w:spacing w:after="0" w:line="248" w:lineRule="auto"/>
        <w:tabs>
          <w:tab w:leader="none" w:pos="63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Liens securing obligations which do not exceed the greater of (a) $45,000,000 and (b) 40.0% of Consolidated EBITDA for the most recently ended Test Period (calculated on a Pro Forma Basis) at the time of the incurrence of such Lien;</w:t>
      </w:r>
    </w:p>
    <w:p>
      <w:pPr>
        <w:spacing w:after="0" w:line="150" w:lineRule="exact"/>
        <w:rPr>
          <w:rFonts w:ascii="Arial" w:cs="Arial" w:eastAsia="Arial" w:hAnsi="Arial"/>
          <w:sz w:val="17"/>
          <w:szCs w:val="17"/>
          <w:color w:val="auto"/>
        </w:rPr>
      </w:pPr>
    </w:p>
    <w:p>
      <w:pPr>
        <w:ind w:left="680" w:hanging="506"/>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600" w:firstLine="174"/>
        <w:spacing w:after="0" w:line="248" w:lineRule="auto"/>
        <w:tabs>
          <w:tab w:leader="none" w:pos="725"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in the ordinary course of business;</w:t>
      </w:r>
    </w:p>
    <w:p>
      <w:pPr>
        <w:spacing w:after="0" w:line="150" w:lineRule="exact"/>
        <w:rPr>
          <w:rFonts w:ascii="Arial" w:cs="Arial" w:eastAsia="Arial" w:hAnsi="Arial"/>
          <w:sz w:val="17"/>
          <w:szCs w:val="17"/>
          <w:color w:val="auto"/>
        </w:rPr>
      </w:pPr>
    </w:p>
    <w:p>
      <w:pPr>
        <w:ind w:right="160" w:firstLine="174"/>
        <w:spacing w:after="0" w:line="238" w:lineRule="auto"/>
        <w:tabs>
          <w:tab w:leader="none" w:pos="7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159" w:lineRule="exact"/>
        <w:rPr>
          <w:rFonts w:ascii="Arial" w:cs="Arial" w:eastAsia="Arial" w:hAnsi="Arial"/>
          <w:sz w:val="16"/>
          <w:szCs w:val="16"/>
          <w:color w:val="auto"/>
        </w:rPr>
      </w:pPr>
    </w:p>
    <w:p>
      <w:pPr>
        <w:ind w:right="60" w:firstLine="174"/>
        <w:spacing w:after="0" w:line="248" w:lineRule="auto"/>
        <w:tabs>
          <w:tab w:leader="none" w:pos="7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Liens deemed to exist in connection with Investments in repurchase agreements permitted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do not extend to any assets other than those that are the subject of such repurchase agreement;</w:t>
      </w:r>
    </w:p>
    <w:p>
      <w:pPr>
        <w:spacing w:after="0" w:line="150" w:lineRule="exact"/>
        <w:rPr>
          <w:rFonts w:ascii="Arial" w:cs="Arial" w:eastAsia="Arial" w:hAnsi="Arial"/>
          <w:sz w:val="17"/>
          <w:szCs w:val="17"/>
          <w:color w:val="auto"/>
        </w:rPr>
      </w:pPr>
    </w:p>
    <w:p>
      <w:pPr>
        <w:ind w:right="300" w:firstLine="174"/>
        <w:spacing w:after="0" w:line="236" w:lineRule="auto"/>
        <w:tabs>
          <w:tab w:leader="none" w:pos="7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9" w:lineRule="exact"/>
        <w:rPr>
          <w:rFonts w:ascii="Arial" w:cs="Arial" w:eastAsia="Arial" w:hAnsi="Arial"/>
          <w:sz w:val="17"/>
          <w:szCs w:val="17"/>
          <w:color w:val="auto"/>
        </w:rPr>
      </w:pPr>
    </w:p>
    <w:p>
      <w:pPr>
        <w:ind w:right="140" w:firstLine="174"/>
        <w:spacing w:after="0" w:line="238" w:lineRule="auto"/>
        <w:tabs>
          <w:tab w:leader="none" w:pos="7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that are contractual rights of set-off (a) relating to the establishment of depository relations with banks not given in connection with the issuance of Indebtedness, (b) relating to pooled deposit or sweep accounts of Holdings or any of the Restricted Subsidiaries to permit satisfaction of overdraft or similar obligations incurred in the ordinary course of business of Holdings and the Restricted Subsidiaries, or (c) relating to purchase orders and other agreements entered into by Holdings or any of the Restricted Subsidiaries in the ordinary course of business;</w:t>
      </w:r>
    </w:p>
    <w:p>
      <w:pPr>
        <w:spacing w:after="0" w:line="159" w:lineRule="exact"/>
        <w:rPr>
          <w:rFonts w:ascii="Arial" w:cs="Arial" w:eastAsia="Arial" w:hAnsi="Arial"/>
          <w:sz w:val="16"/>
          <w:szCs w:val="16"/>
          <w:color w:val="auto"/>
        </w:rPr>
      </w:pPr>
    </w:p>
    <w:p>
      <w:pPr>
        <w:ind w:right="200" w:firstLine="174"/>
        <w:spacing w:after="0" w:line="231" w:lineRule="auto"/>
        <w:tabs>
          <w:tab w:leader="none" w:pos="8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Liens (a) solely on any cash earnest money deposits made by Holdings or any of the Restricted Subsidiaries in connection with any letter of intent or purchase agreement permitted under this Agreement or (b) consisting of an agreement to dispose of any property pursuant to a disposition permitted hereunder;</w:t>
      </w:r>
    </w:p>
    <w:p>
      <w:pPr>
        <w:spacing w:after="0" w:line="157" w:lineRule="exact"/>
        <w:rPr>
          <w:rFonts w:ascii="Arial" w:cs="Arial" w:eastAsia="Arial" w:hAnsi="Arial"/>
          <w:sz w:val="17"/>
          <w:szCs w:val="17"/>
          <w:color w:val="auto"/>
        </w:rPr>
      </w:pPr>
    </w:p>
    <w:p>
      <w:pPr>
        <w:ind w:right="20" w:firstLine="174"/>
        <w:spacing w:after="0" w:line="231" w:lineRule="auto"/>
        <w:tabs>
          <w:tab w:leader="none" w:pos="8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rights reserved or vested in any Person by the terms of any lease, license, franchise, grant, or permit held by Holdings or any of the Restricted Subsidiaries or by a statutory provision, to terminate any such lease, license, franchise, grant, or permit, or to require annual or periodic payments as a condition to the continuance thereof;</w:t>
      </w:r>
    </w:p>
    <w:p>
      <w:pPr>
        <w:spacing w:after="0" w:line="157" w:lineRule="exact"/>
        <w:rPr>
          <w:rFonts w:ascii="Arial" w:cs="Arial" w:eastAsia="Arial" w:hAnsi="Arial"/>
          <w:sz w:val="17"/>
          <w:szCs w:val="17"/>
          <w:color w:val="auto"/>
        </w:rPr>
      </w:pPr>
    </w:p>
    <w:p>
      <w:pPr>
        <w:ind w:left="760" w:hanging="586"/>
        <w:spacing w:after="0"/>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restrictive covenants affecting the use to which real property may be put;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covenants are complied with;</w:t>
      </w:r>
    </w:p>
    <w:p>
      <w:pPr>
        <w:spacing w:after="0" w:line="178" w:lineRule="exact"/>
        <w:rPr>
          <w:rFonts w:ascii="Arial" w:cs="Arial" w:eastAsia="Arial" w:hAnsi="Arial"/>
          <w:sz w:val="17"/>
          <w:szCs w:val="17"/>
          <w:color w:val="auto"/>
        </w:rPr>
      </w:pPr>
    </w:p>
    <w:p>
      <w:pPr>
        <w:ind w:firstLine="174"/>
        <w:spacing w:after="0" w:line="248" w:lineRule="auto"/>
        <w:tabs>
          <w:tab w:leader="none" w:pos="7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security given to a public utility or any municipality or governmental authority when required by such utility or authority in connection with the operations of that Person in the ordinary course of business;</w:t>
      </w:r>
    </w:p>
    <w:p>
      <w:pPr>
        <w:spacing w:after="0" w:line="150" w:lineRule="exact"/>
        <w:rPr>
          <w:rFonts w:ascii="Arial" w:cs="Arial" w:eastAsia="Arial" w:hAnsi="Arial"/>
          <w:sz w:val="17"/>
          <w:szCs w:val="17"/>
          <w:color w:val="auto"/>
        </w:rPr>
      </w:pPr>
    </w:p>
    <w:p>
      <w:pPr>
        <w:ind w:right="420" w:firstLine="174"/>
        <w:spacing w:after="0" w:line="236" w:lineRule="auto"/>
        <w:tabs>
          <w:tab w:leader="none" w:pos="7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zoning by-laws and other land use restrictions, including, without limitation, site plan agreements, development agreements, and contract zoning agreements;</w:t>
      </w:r>
    </w:p>
    <w:p>
      <w:pPr>
        <w:spacing w:after="0" w:line="169" w:lineRule="exact"/>
        <w:rPr>
          <w:rFonts w:ascii="Arial" w:cs="Arial" w:eastAsia="Arial" w:hAnsi="Arial"/>
          <w:sz w:val="17"/>
          <w:szCs w:val="17"/>
          <w:color w:val="auto"/>
        </w:rPr>
      </w:pPr>
    </w:p>
    <w:p>
      <w:pPr>
        <w:ind w:right="240" w:firstLine="174"/>
        <w:spacing w:after="0" w:line="236" w:lineRule="auto"/>
        <w:tabs>
          <w:tab w:leader="none" w:pos="8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of goods entered into by Holdings or any Restricted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20"/>
          </w:cols>
          <w:pgMar w:left="940" w:top="1440" w:right="339" w:bottom="1440" w:gutter="0" w:footer="0" w:header="0"/>
        </w:sectPr>
      </w:pPr>
    </w:p>
    <w:bookmarkStart w:id="65" w:name="page66"/>
    <w:bookmarkEnd w:id="65"/>
    <w:p>
      <w:pPr>
        <w:spacing w:after="0" w:line="106" w:lineRule="exact"/>
        <w:rPr>
          <w:sz w:val="20"/>
          <w:szCs w:val="20"/>
          <w:color w:val="auto"/>
        </w:rPr>
      </w:pPr>
    </w:p>
    <w:p>
      <w:pPr>
        <w:ind w:left="1480" w:hanging="686"/>
        <w:spacing w:after="0"/>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Liens arising under the Security Documents;</w:t>
      </w:r>
    </w:p>
    <w:p>
      <w:pPr>
        <w:spacing w:after="0" w:line="191" w:lineRule="exact"/>
        <w:rPr>
          <w:rFonts w:ascii="Arial" w:cs="Arial" w:eastAsia="Arial" w:hAnsi="Arial"/>
          <w:sz w:val="17"/>
          <w:szCs w:val="17"/>
          <w:color w:val="auto"/>
        </w:rPr>
      </w:pPr>
    </w:p>
    <w:p>
      <w:pPr>
        <w:ind w:left="620" w:right="120" w:firstLine="174"/>
        <w:spacing w:after="0" w:line="236" w:lineRule="auto"/>
        <w:tabs>
          <w:tab w:leader="none" w:pos="14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Liens on goods purchased in the ordinary course of business the purchase price of which is financed by a documentary letter of credit issued for the account of Holdings, the Borrower or any of their Subsidiaries;</w:t>
      </w:r>
    </w:p>
    <w:p>
      <w:pPr>
        <w:spacing w:after="0" w:line="157" w:lineRule="exact"/>
        <w:rPr>
          <w:rFonts w:ascii="Arial" w:cs="Arial" w:eastAsia="Arial" w:hAnsi="Arial"/>
          <w:sz w:val="17"/>
          <w:szCs w:val="17"/>
          <w:color w:val="auto"/>
        </w:rPr>
      </w:pPr>
    </w:p>
    <w:p>
      <w:pPr>
        <w:ind w:left="620" w:right="220" w:firstLine="174"/>
        <w:spacing w:after="0" w:line="231" w:lineRule="auto"/>
        <w:tabs>
          <w:tab w:leader="none" w:pos="142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or any Restricted Subsidiary in joint ventures;</w:t>
      </w:r>
    </w:p>
    <w:p>
      <w:pPr>
        <w:spacing w:after="0" w:line="157" w:lineRule="exact"/>
        <w:rPr>
          <w:rFonts w:ascii="Arial" w:cs="Arial" w:eastAsia="Arial" w:hAnsi="Arial"/>
          <w:sz w:val="17"/>
          <w:szCs w:val="17"/>
          <w:color w:val="auto"/>
        </w:rPr>
      </w:pPr>
    </w:p>
    <w:p>
      <w:pPr>
        <w:ind w:left="620" w:right="40" w:firstLine="174"/>
        <w:spacing w:after="0" w:line="238" w:lineRule="auto"/>
        <w:tabs>
          <w:tab w:leader="none" w:pos="146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that are earmarked to be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57" w:lineRule="exact"/>
        <w:rPr>
          <w:rFonts w:ascii="Arial" w:cs="Arial" w:eastAsia="Arial" w:hAnsi="Arial"/>
          <w:sz w:val="16"/>
          <w:szCs w:val="16"/>
          <w:color w:val="auto"/>
        </w:rPr>
      </w:pPr>
    </w:p>
    <w:p>
      <w:pPr>
        <w:ind w:left="1560" w:hanging="766"/>
        <w:spacing w:after="0"/>
        <w:tabs>
          <w:tab w:leader="none" w:pos="15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respect to any Foreign Subsidiary, other Liens and privileges arising mandatorily by any Requirement of Law;</w:t>
      </w:r>
    </w:p>
    <w:p>
      <w:pPr>
        <w:spacing w:after="0" w:line="178" w:lineRule="exact"/>
        <w:rPr>
          <w:rFonts w:ascii="Arial" w:cs="Arial" w:eastAsia="Arial" w:hAnsi="Arial"/>
          <w:sz w:val="17"/>
          <w:szCs w:val="17"/>
          <w:color w:val="auto"/>
        </w:rPr>
      </w:pPr>
    </w:p>
    <w:p>
      <w:pPr>
        <w:ind w:left="620" w:right="140" w:firstLine="174"/>
        <w:spacing w:after="0" w:line="231" w:lineRule="auto"/>
        <w:tabs>
          <w:tab w:leader="none" w:pos="15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the extent pursuant to a Requirements of Law, Liens on cash or Permitted Investments securing Swap Obligations in the ordinary course of business; and Liens on the assets of a Managed Care Subsidiary pursuant to applicable rules, or regulations of, or undertakings made to, any Governmental Authority having jurisdiction and authority over such Managed Care Subsidiary; and</w:t>
      </w:r>
    </w:p>
    <w:p>
      <w:pPr>
        <w:spacing w:after="0" w:line="157" w:lineRule="exact"/>
        <w:rPr>
          <w:rFonts w:ascii="Arial" w:cs="Arial" w:eastAsia="Arial" w:hAnsi="Arial"/>
          <w:sz w:val="17"/>
          <w:szCs w:val="17"/>
          <w:color w:val="auto"/>
        </w:rPr>
      </w:pPr>
    </w:p>
    <w:p>
      <w:pPr>
        <w:ind w:left="1480" w:hanging="686"/>
        <w:spacing w:after="0"/>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Liens arising pursuant to the Wal-Mart Agreements.</w:t>
      </w:r>
    </w:p>
    <w:p>
      <w:pPr>
        <w:spacing w:after="0" w:line="191" w:lineRule="exact"/>
        <w:rPr>
          <w:sz w:val="20"/>
          <w:szCs w:val="20"/>
          <w:color w:val="auto"/>
        </w:rPr>
      </w:pPr>
    </w:p>
    <w:p>
      <w:pPr>
        <w:ind w:right="400" w:firstLine="619"/>
        <w:spacing w:after="0" w:line="236" w:lineRule="auto"/>
        <w:rPr>
          <w:sz w:val="20"/>
          <w:szCs w:val="20"/>
          <w:color w:val="auto"/>
        </w:rPr>
      </w:pPr>
      <w:r>
        <w:rPr>
          <w:rFonts w:ascii="Arial" w:cs="Arial" w:eastAsia="Arial" w:hAnsi="Arial"/>
          <w:sz w:val="17"/>
          <w:szCs w:val="17"/>
          <w:color w:val="auto"/>
        </w:rPr>
        <w:t>For purposes of this definition, the term :Indebtedness” shall be deemed to include interest on, and fees, expenses and other obligations payable with respect to, such Indebtedness.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Indebtedness</w:t>
      </w:r>
      <w:r>
        <w:rPr>
          <w:rFonts w:ascii="Arial" w:cs="Arial" w:eastAsia="Arial" w:hAnsi="Arial"/>
          <w:sz w:val="16"/>
          <w:szCs w:val="16"/>
          <w:color w:val="auto"/>
        </w:rPr>
        <w:t>” shall mean subordinated or senior Indebtedness (which Indebtedness may (i) be unsecured, (ii) have the same lien</w:t>
      </w:r>
    </w:p>
    <w:p>
      <w:pPr>
        <w:spacing w:after="0" w:line="17" w:lineRule="exact"/>
        <w:rPr>
          <w:sz w:val="20"/>
          <w:szCs w:val="20"/>
          <w:color w:val="auto"/>
        </w:rPr>
      </w:pPr>
    </w:p>
    <w:p>
      <w:pPr>
        <w:jc w:val="both"/>
        <w:ind w:right="80"/>
        <w:spacing w:after="0" w:line="239" w:lineRule="auto"/>
        <w:rPr>
          <w:sz w:val="20"/>
          <w:szCs w:val="20"/>
          <w:color w:val="auto"/>
        </w:rPr>
      </w:pPr>
      <w:r>
        <w:rPr>
          <w:rFonts w:ascii="Arial" w:cs="Arial" w:eastAsia="Arial" w:hAnsi="Arial"/>
          <w:sz w:val="15"/>
          <w:szCs w:val="15"/>
          <w:color w:val="auto"/>
        </w:rPr>
        <w:t>priority as the First Lien Obligations (without regard to control of remedies); provided such Permitted Other Indebtedness is in the form of secured first lien notes, or (iii) be secured by a Lien ranking junior to the Lien securing the First Lien Obligations), in each case issued or incurred by the Borrower or other Guarantor, (a) the terms of which do not provide for any scheduled repayment, mandatory repayment, or redemption or sinking fund obligations prior to, at the time of</w:t>
      </w:r>
    </w:p>
    <w:p>
      <w:pPr>
        <w:spacing w:after="0" w:line="239" w:lineRule="auto"/>
        <w:rPr>
          <w:sz w:val="20"/>
          <w:szCs w:val="20"/>
          <w:color w:val="auto"/>
        </w:rPr>
      </w:pPr>
      <w:r>
        <w:rPr>
          <w:rFonts w:ascii="Arial" w:cs="Arial" w:eastAsia="Arial" w:hAnsi="Arial"/>
          <w:sz w:val="15"/>
          <w:szCs w:val="15"/>
          <w:color w:val="auto"/>
        </w:rPr>
        <w:t>incurrence, the Latest Maturity Date (other than, in each case, customary offers or obligations to repurchase upon a change of control, asset sale, or casualty or condemnation event, AHYDO payments and customary acceleration rights after an event of default), (b) the covenants, taken as a whole, are not more restrictive to the Borrower and the other Restricted Subsidiaries than those herein (taken as a whole) (except for covenants applicable only to periods after the Latest Maturity</w:t>
      </w:r>
    </w:p>
    <w:p>
      <w:pPr>
        <w:ind w:right="120"/>
        <w:spacing w:after="0" w:line="239" w:lineRule="auto"/>
        <w:rPr>
          <w:sz w:val="20"/>
          <w:szCs w:val="20"/>
          <w:color w:val="auto"/>
        </w:rPr>
      </w:pPr>
      <w:r>
        <w:rPr>
          <w:rFonts w:ascii="Arial" w:cs="Arial" w:eastAsia="Arial" w:hAnsi="Arial"/>
          <w:sz w:val="15"/>
          <w:szCs w:val="15"/>
          <w:color w:val="auto"/>
        </w:rPr>
        <w:t>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the Lenders or (2) no consent shall be required by the Administrative Agent or any of the Lenders if any covenants are only applicable after the Latest Maturity</w:t>
      </w:r>
    </w:p>
    <w:p>
      <w:pPr>
        <w:ind w:right="100"/>
        <w:spacing w:after="0" w:line="239" w:lineRule="auto"/>
        <w:rPr>
          <w:sz w:val="20"/>
          <w:szCs w:val="20"/>
          <w:color w:val="auto"/>
        </w:rPr>
      </w:pPr>
      <w:r>
        <w:rPr>
          <w:rFonts w:ascii="Arial" w:cs="Arial" w:eastAsia="Arial" w:hAnsi="Arial"/>
          <w:sz w:val="15"/>
          <w:szCs w:val="15"/>
          <w:color w:val="auto"/>
        </w:rPr>
        <w:t xml:space="preserve">Date at the time of such refinancing);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w:t>
      </w:r>
    </w:p>
    <w:p>
      <w:pPr>
        <w:jc w:val="both"/>
        <w:ind w:right="140"/>
        <w:spacing w:after="0" w:line="239" w:lineRule="auto"/>
        <w:rPr>
          <w:sz w:val="20"/>
          <w:szCs w:val="20"/>
          <w:color w:val="auto"/>
        </w:rPr>
      </w:pPr>
      <w:r>
        <w:rPr>
          <w:rFonts w:ascii="Arial" w:cs="Arial" w:eastAsia="Arial" w:hAnsi="Arial"/>
          <w:sz w:val="15"/>
          <w:szCs w:val="15"/>
          <w:color w:val="auto"/>
        </w:rPr>
        <w:t>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Holdings (other than the Borrower or a</w:t>
      </w:r>
    </w:p>
    <w:p>
      <w:pPr>
        <w:spacing w:after="0"/>
        <w:rPr>
          <w:sz w:val="20"/>
          <w:szCs w:val="20"/>
          <w:color w:val="auto"/>
        </w:rPr>
      </w:pPr>
      <w:r>
        <w:rPr>
          <w:rFonts w:ascii="Arial" w:cs="Arial" w:eastAsia="Arial" w:hAnsi="Arial"/>
          <w:sz w:val="17"/>
          <w:szCs w:val="17"/>
          <w:color w:val="auto"/>
        </w:rPr>
        <w:t>Guarantor) is an obligor, and (d) that, if secured, is not secured by a lien any assets other than the Collateral.</w:t>
      </w:r>
    </w:p>
    <w:p>
      <w:pPr>
        <w:spacing w:after="0" w:line="158" w:lineRule="exact"/>
        <w:rPr>
          <w:sz w:val="20"/>
          <w:szCs w:val="20"/>
          <w:color w:val="auto"/>
        </w:rPr>
      </w:pPr>
    </w:p>
    <w:p>
      <w:pPr>
        <w:jc w:val="both"/>
        <w:ind w:right="280" w:firstLine="61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Other Indebtedness Documents</w:t>
      </w:r>
      <w:r>
        <w:rPr>
          <w:rFonts w:ascii="Arial" w:cs="Arial" w:eastAsia="Arial" w:hAnsi="Arial"/>
          <w:sz w:val="15"/>
          <w:szCs w:val="15"/>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Obligations</w:t>
      </w:r>
      <w:r>
        <w:rPr>
          <w:rFonts w:ascii="Arial" w:cs="Arial" w:eastAsia="Arial" w:hAnsi="Arial"/>
          <w:sz w:val="17"/>
          <w:szCs w:val="17"/>
          <w:color w:val="auto"/>
        </w:rPr>
        <w:t>” shall mean, if any Permitted Other Indebtedness is issued or incurred, all advances to, and debts,</w:t>
      </w:r>
    </w:p>
    <w:p>
      <w:pPr>
        <w:spacing w:after="0" w:line="5" w:lineRule="exact"/>
        <w:rPr>
          <w:sz w:val="20"/>
          <w:szCs w:val="20"/>
          <w:color w:val="auto"/>
        </w:rPr>
      </w:pPr>
    </w:p>
    <w:p>
      <w:pPr>
        <w:jc w:val="both"/>
        <w:ind w:right="60"/>
        <w:spacing w:after="0" w:line="239" w:lineRule="auto"/>
        <w:rPr>
          <w:sz w:val="20"/>
          <w:szCs w:val="20"/>
          <w:color w:val="auto"/>
        </w:rPr>
      </w:pPr>
      <w:r>
        <w:rPr>
          <w:rFonts w:ascii="Arial" w:cs="Arial" w:eastAsia="Arial" w:hAnsi="Arial"/>
          <w:sz w:val="15"/>
          <w:szCs w:val="15"/>
          <w:color w:val="auto"/>
        </w:rPr>
        <w:t>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w:t>
      </w:r>
    </w:p>
    <w:p>
      <w:pPr>
        <w:spacing w:after="0" w:line="239" w:lineRule="auto"/>
        <w:rPr>
          <w:sz w:val="20"/>
          <w:szCs w:val="20"/>
          <w:color w:val="auto"/>
        </w:rPr>
      </w:pPr>
      <w:r>
        <w:rPr>
          <w:rFonts w:ascii="Arial" w:cs="Arial" w:eastAsia="Arial" w:hAnsi="Arial"/>
          <w:sz w:val="15"/>
          <w:szCs w:val="15"/>
          <w:color w:val="auto"/>
        </w:rPr>
        <w:t>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w:t>
      </w:r>
    </w:p>
    <w:p>
      <w:pPr>
        <w:ind w:right="900"/>
        <w:spacing w:after="0" w:line="227" w:lineRule="auto"/>
        <w:rPr>
          <w:sz w:val="20"/>
          <w:szCs w:val="20"/>
          <w:color w:val="auto"/>
        </w:rPr>
      </w:pPr>
      <w:r>
        <w:rPr>
          <w:rFonts w:ascii="Arial" w:cs="Arial" w:eastAsia="Arial" w:hAnsi="Arial"/>
          <w:sz w:val="17"/>
          <w:szCs w:val="17"/>
          <w:color w:val="auto"/>
        </w:rPr>
        <w:t>principal, interest, charges, expenses, fees, attorney costs, indemnities, and other amounts payable by any such Credit Party under any Permitted Other Indebtedness Document.</w:t>
      </w:r>
    </w:p>
    <w:p>
      <w:pPr>
        <w:spacing w:after="0" w:line="152" w:lineRule="exact"/>
        <w:rPr>
          <w:sz w:val="20"/>
          <w:szCs w:val="20"/>
          <w:color w:val="auto"/>
        </w:rPr>
      </w:pPr>
    </w:p>
    <w:p>
      <w:pPr>
        <w:ind w:right="1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Secured Parties</w:t>
      </w:r>
      <w:r>
        <w:rPr>
          <w:rFonts w:ascii="Arial" w:cs="Arial" w:eastAsia="Arial" w:hAnsi="Arial"/>
          <w:sz w:val="17"/>
          <w:szCs w:val="17"/>
          <w:color w:val="auto"/>
        </w:rPr>
        <w:t>” shall mean the holders from time to time of secured Permitted Other Indebtedness Obligations (and any representative on their behalf).</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Provision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Sale Leaseback</w:t>
      </w:r>
      <w:r>
        <w:rPr>
          <w:rFonts w:ascii="Arial" w:cs="Arial" w:eastAsia="Arial" w:hAnsi="Arial"/>
          <w:sz w:val="16"/>
          <w:szCs w:val="16"/>
          <w:color w:val="auto"/>
        </w:rPr>
        <w:t>” shall mean any Sale Leaseback consummated by Holdings or any of the Restricted Subsidiaries after the Second</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Restatement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Sale Leaseback not between Holdings and a Restricted Subsidiary is consummated for fair value as determined at the time of consummation in good faith by (i) Holdings or such Restricted Subsidiary or (ii) in the case of any Sale Leaseback (or series of related Sales Leasebacks), the aggregate proceeds of which exceed the greater of (a) $40,000,000 and (b) 35.0% of Consolidated EBITDA for the most recently ended Test</w:t>
      </w:r>
    </w:p>
    <w:p>
      <w:pPr>
        <w:jc w:val="both"/>
        <w:ind w:right="20"/>
        <w:spacing w:after="0" w:line="220" w:lineRule="auto"/>
        <w:rPr>
          <w:sz w:val="20"/>
          <w:szCs w:val="20"/>
          <w:color w:val="auto"/>
        </w:rPr>
      </w:pPr>
      <w:r>
        <w:rPr>
          <w:rFonts w:ascii="Arial" w:cs="Arial" w:eastAsia="Arial" w:hAnsi="Arial"/>
          <w:sz w:val="17"/>
          <w:szCs w:val="17"/>
          <w:color w:val="auto"/>
        </w:rPr>
        <w:t>Period (calculated on a Pro Forma Basis) at the time of the incurrence of such Sale Leaseback, the board of directors (or analogous governing body) of Holdings or such Restricted Subsidiary (which such determination may take into account any retained interest or other Investment of Holdings or such Restricted Subsidiary in connection with, and any other material economic terms of, such Sale Leaseback).</w:t>
      </w:r>
    </w:p>
    <w:p>
      <w:pPr>
        <w:spacing w:after="0" w:line="164" w:lineRule="exact"/>
        <w:rPr>
          <w:sz w:val="20"/>
          <w:szCs w:val="20"/>
          <w:color w:val="auto"/>
        </w:rPr>
      </w:pPr>
    </w:p>
    <w:p>
      <w:pPr>
        <w:ind w:right="2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shall mean any individual, partnership, joint venture, firm, corporation, limited liability company, association, trust, or other enterprise or any Governmental Authority.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Plan</w:t>
      </w:r>
      <w:r>
        <w:rPr>
          <w:rFonts w:ascii="Arial" w:cs="Arial" w:eastAsia="Arial" w:hAnsi="Arial"/>
          <w:sz w:val="15"/>
          <w:szCs w:val="15"/>
          <w:color w:val="auto"/>
        </w:rPr>
        <w:t>” shall mean, other than any Multiemployer Plan, any employee benefit plan (as defined in Section 3(3) of ERISA), including any employee welfare</w:t>
      </w:r>
    </w:p>
    <w:p>
      <w:pPr>
        <w:spacing w:after="0" w:line="28" w:lineRule="exact"/>
        <w:rPr>
          <w:sz w:val="20"/>
          <w:szCs w:val="20"/>
          <w:color w:val="auto"/>
        </w:rPr>
      </w:pPr>
    </w:p>
    <w:p>
      <w:pPr>
        <w:ind w:right="300"/>
        <w:spacing w:after="0" w:line="254" w:lineRule="auto"/>
        <w:rPr>
          <w:sz w:val="20"/>
          <w:szCs w:val="20"/>
          <w:color w:val="auto"/>
        </w:rPr>
      </w:pPr>
      <w:r>
        <w:rPr>
          <w:rFonts w:ascii="Arial" w:cs="Arial" w:eastAsia="Arial" w:hAnsi="Arial"/>
          <w:sz w:val="15"/>
          <w:szCs w:val="15"/>
          <w:color w:val="auto"/>
        </w:rPr>
        <w:t>benefit plan (as defined in Section 3(1) of ERISA), any employee pension benefit plan (as defined in Section 3(2) of ERISA), and any plan which is both an employee welfare benefit plan and an employee pension benefit plan, and in respect of which any Credit Party or any ERISA Affiliate is (or, if such plan were terminated, would under Section 4062 or Section 4069 of ERISA be reasonably likely to be deemed to be) an “employer” as defined in Section 3(5) of ERISA.</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Platform</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13.17(a)</w:t>
      </w:r>
      <w:r>
        <w:rPr>
          <w:rFonts w:ascii="Arial" w:cs="Arial" w:eastAsia="Arial" w:hAnsi="Arial"/>
          <w:sz w:val="17"/>
          <w:szCs w:val="17"/>
          <w:color w:val="auto"/>
        </w:rPr>
        <w:t>.</w:t>
      </w:r>
    </w:p>
    <w:p>
      <w:pPr>
        <w:spacing w:after="0" w:line="178" w:lineRule="exact"/>
        <w:rPr>
          <w:sz w:val="20"/>
          <w:szCs w:val="20"/>
          <w:color w:val="auto"/>
        </w:rPr>
      </w:pPr>
    </w:p>
    <w:p>
      <w:pPr>
        <w:ind w:right="2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 Agreement</w:t>
      </w:r>
      <w:r>
        <w:rPr>
          <w:rFonts w:ascii="Arial" w:cs="Arial" w:eastAsia="Arial" w:hAnsi="Arial"/>
          <w:sz w:val="17"/>
          <w:szCs w:val="17"/>
          <w:color w:val="auto"/>
        </w:rPr>
        <w:t>” shall mean the Pledge Agreement, dated as of the Closing Date, entered into by the Credit Parties party thereto and the Collateral Agent for the benefit of the Secured Parties.</w:t>
      </w:r>
    </w:p>
    <w:p>
      <w:pPr>
        <w:spacing w:after="0" w:line="165" w:lineRule="exact"/>
        <w:rPr>
          <w:sz w:val="20"/>
          <w:szCs w:val="20"/>
          <w:color w:val="auto"/>
        </w:rPr>
      </w:pPr>
    </w:p>
    <w:p>
      <w:pPr>
        <w:jc w:val="both"/>
        <w:ind w:right="60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Post-Acquisition Period</w:t>
      </w:r>
      <w:r>
        <w:rPr>
          <w:rFonts w:ascii="Arial" w:cs="Arial" w:eastAsia="Arial" w:hAnsi="Arial"/>
          <w:sz w:val="17"/>
          <w:szCs w:val="17"/>
          <w:color w:val="auto"/>
        </w:rPr>
        <w:t>” 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spacing w:after="0" w:line="165" w:lineRule="exact"/>
        <w:rPr>
          <w:sz w:val="20"/>
          <w:szCs w:val="20"/>
          <w:color w:val="auto"/>
        </w:rPr>
      </w:pPr>
    </w:p>
    <w:p>
      <w:pPr>
        <w:ind w:right="7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Event</w:t>
      </w:r>
      <w:r>
        <w:rPr>
          <w:rFonts w:ascii="Arial" w:cs="Arial" w:eastAsia="Arial" w:hAnsi="Arial"/>
          <w:sz w:val="17"/>
          <w:szCs w:val="17"/>
          <w:color w:val="auto"/>
        </w:rPr>
        <w:t>” shall mean any Asset Sale Prepayment Event, Debt Incurrence Prepayment Event, Casualty Event, or any Permitted Sale Leaseback.</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Notice</w:t>
      </w:r>
      <w:r>
        <w:rPr>
          <w:rFonts w:ascii="Arial" w:cs="Arial" w:eastAsia="Arial" w:hAnsi="Arial"/>
          <w:sz w:val="16"/>
          <w:szCs w:val="16"/>
          <w:color w:val="auto"/>
        </w:rPr>
        <w:t>” shall mean a notice of the Borrower’s intent to prepay Loans, including Term Loans, Revolving Credit Loans, and Swingline</w:t>
      </w:r>
    </w:p>
    <w:p>
      <w:pPr>
        <w:spacing w:after="0" w:line="17" w:lineRule="exact"/>
        <w:rPr>
          <w:sz w:val="20"/>
          <w:szCs w:val="20"/>
          <w:color w:val="auto"/>
        </w:rPr>
      </w:pPr>
    </w:p>
    <w:p>
      <w:pPr>
        <w:ind w:right="180"/>
        <w:spacing w:after="0" w:line="227" w:lineRule="auto"/>
        <w:rPr>
          <w:sz w:val="20"/>
          <w:szCs w:val="20"/>
          <w:color w:val="auto"/>
        </w:rPr>
      </w:pPr>
      <w:r>
        <w:rPr>
          <w:rFonts w:ascii="Arial" w:cs="Arial" w:eastAsia="Arial" w:hAnsi="Arial"/>
          <w:sz w:val="17"/>
          <w:szCs w:val="17"/>
          <w:color w:val="auto"/>
        </w:rPr>
        <w:t>Loans, as applicable, in accordance with Section 5.1, in a form approved by the Administrative Agent, including any form on an electronic platform or electronic transmission system as shall be approved by the Administrative Agent, appropriately completed and signed by an Authorized Officer.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primary obligor</w:t>
      </w:r>
      <w:r>
        <w:rPr>
          <w:rFonts w:ascii="Arial" w:cs="Arial" w:eastAsia="Arial" w:hAnsi="Arial"/>
          <w:sz w:val="17"/>
          <w:szCs w:val="17"/>
          <w:color w:val="auto"/>
        </w:rPr>
        <w:t>” shall have the meaning provided such term in the definition of “Contingent Obligations”.</w:t>
      </w:r>
    </w:p>
    <w:p>
      <w:pPr>
        <w:spacing w:after="0" w:line="191" w:lineRule="exact"/>
        <w:rPr>
          <w:sz w:val="20"/>
          <w:szCs w:val="20"/>
          <w:color w:val="auto"/>
        </w:rPr>
      </w:pPr>
    </w:p>
    <w:p>
      <w:pPr>
        <w:ind w:right="2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Adjustment</w:t>
      </w:r>
      <w:r>
        <w:rPr>
          <w:rFonts w:ascii="Arial" w:cs="Arial" w:eastAsia="Arial" w:hAnsi="Arial"/>
          <w:sz w:val="17"/>
          <w:szCs w:val="17"/>
          <w:color w:val="auto"/>
        </w:rPr>
        <w:t>” shall mean, for any Test Period that includes all or any part of a fiscal quarter included in any Post-Acquisition Period, with respect to the Acquired EBITDA of the applicable Acquired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Business or Converted Restricted Subsidiary or the Consolidated EBITDA of Holdings, the pro forma increase or decrease in such Acquired EBITDA or such</w:t>
      </w:r>
    </w:p>
    <w:p>
      <w:pPr>
        <w:spacing w:after="0" w:line="1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Consolidated EBITDA, as the case may be, projected by Holdings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Holdings and the</w:t>
      </w:r>
    </w:p>
    <w:p>
      <w:pPr>
        <w:ind w:right="40"/>
        <w:spacing w:after="0" w:line="239" w:lineRule="auto"/>
        <w:rPr>
          <w:sz w:val="20"/>
          <w:szCs w:val="20"/>
          <w:color w:val="auto"/>
        </w:rPr>
      </w:pPr>
      <w:r>
        <w:rPr>
          <w:rFonts w:ascii="Arial" w:cs="Arial" w:eastAsia="Arial" w:hAnsi="Arial"/>
          <w:sz w:val="15"/>
          <w:szCs w:val="15"/>
          <w:color w:val="auto"/>
        </w:rPr>
        <w:t xml:space="preserve">Restricted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at the election of Holdings,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w:t>
      </w:r>
    </w:p>
    <w:p>
      <w:pPr>
        <w:ind w:right="180"/>
        <w:spacing w:after="0" w:line="239" w:lineRule="auto"/>
        <w:rPr>
          <w:sz w:val="20"/>
          <w:szCs w:val="20"/>
          <w:color w:val="auto"/>
        </w:rPr>
      </w:pPr>
      <w:r>
        <w:rPr>
          <w:rFonts w:ascii="Arial" w:cs="Arial" w:eastAsia="Arial" w:hAnsi="Arial"/>
          <w:sz w:val="15"/>
          <w:szCs w:val="15"/>
          <w:color w:val="auto"/>
        </w:rPr>
        <w:t xml:space="preserve">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 any such pro forma increase or decrease to such Acquired EBITDA or such</w:t>
      </w:r>
    </w:p>
    <w:p>
      <w:pPr>
        <w:ind w:right="100"/>
        <w:spacing w:after="0" w:line="239" w:lineRule="auto"/>
        <w:rPr>
          <w:sz w:val="20"/>
          <w:szCs w:val="20"/>
          <w:color w:val="auto"/>
        </w:rPr>
      </w:pPr>
      <w:r>
        <w:rPr>
          <w:rFonts w:ascii="Arial" w:cs="Arial" w:eastAsia="Arial" w:hAnsi="Arial"/>
          <w:sz w:val="15"/>
          <w:szCs w:val="15"/>
          <w:color w:val="auto"/>
        </w:rPr>
        <w:t>Consolidated EBITDA, as the case may be, shall be without duplication for cost savings or additional costs already included in such Acquired EBITDA or such Consolidated EBITDA, as the case may be, for such Test Period and (ii) the aggregate increase to Consolidated EBITDA for any period pursuant to this definition and clauses (i)(i), (i)(q) and (i)(r) of the definition of “Consolidated EBITDA” shall not exceed 25% of Consolidated EBITDA for such period (after giving effect</w:t>
      </w:r>
    </w:p>
    <w:p>
      <w:pPr>
        <w:spacing w:after="0"/>
        <w:rPr>
          <w:sz w:val="20"/>
          <w:szCs w:val="20"/>
          <w:color w:val="auto"/>
        </w:rPr>
      </w:pPr>
      <w:r>
        <w:rPr>
          <w:rFonts w:ascii="Arial" w:cs="Arial" w:eastAsia="Arial" w:hAnsi="Arial"/>
          <w:sz w:val="17"/>
          <w:szCs w:val="17"/>
          <w:color w:val="auto"/>
        </w:rPr>
        <w:t>to any increase in Consolidated EBITDA pursuant to the definition of “Acquired EBITDA”).</w:t>
      </w:r>
    </w:p>
    <w:p>
      <w:pPr>
        <w:spacing w:after="0" w:line="158" w:lineRule="exact"/>
        <w:rPr>
          <w:sz w:val="20"/>
          <w:szCs w:val="20"/>
          <w:color w:val="auto"/>
        </w:rPr>
      </w:pPr>
    </w:p>
    <w:p>
      <w:pPr>
        <w:ind w:right="5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 Forma Basis</w:t>
      </w:r>
      <w:r>
        <w:rPr>
          <w:rFonts w:ascii="Arial" w:cs="Arial" w:eastAsia="Arial" w:hAnsi="Arial"/>
          <w:sz w:val="15"/>
          <w:szCs w:val="15"/>
          <w:color w:val="auto"/>
        </w:rPr>
        <w:t>,” “</w:t>
      </w:r>
      <w:r>
        <w:rPr>
          <w:rFonts w:ascii="Arial" w:cs="Arial" w:eastAsia="Arial" w:hAnsi="Arial"/>
          <w:sz w:val="15"/>
          <w:szCs w:val="15"/>
          <w:b w:val="1"/>
          <w:bCs w:val="1"/>
          <w:color w:val="auto"/>
        </w:rPr>
        <w:t>Pro Forma Compliance</w:t>
      </w:r>
      <w:r>
        <w:rPr>
          <w:rFonts w:ascii="Arial" w:cs="Arial" w:eastAsia="Arial" w:hAnsi="Arial"/>
          <w:sz w:val="15"/>
          <w:szCs w:val="15"/>
          <w:color w:val="auto"/>
        </w:rPr>
        <w:t>,” and “</w:t>
      </w:r>
      <w:r>
        <w:rPr>
          <w:rFonts w:ascii="Arial" w:cs="Arial" w:eastAsia="Arial" w:hAnsi="Arial"/>
          <w:sz w:val="15"/>
          <w:szCs w:val="15"/>
          <w:b w:val="1"/>
          <w:bCs w:val="1"/>
          <w:color w:val="auto"/>
        </w:rPr>
        <w:t>Pro Forma Effect</w:t>
      </w:r>
      <w:r>
        <w:rPr>
          <w:rFonts w:ascii="Arial" w:cs="Arial" w:eastAsia="Arial" w:hAnsi="Arial"/>
          <w:sz w:val="15"/>
          <w:szCs w:val="15"/>
          <w:color w:val="auto"/>
        </w:rPr>
        <w:t>” shall mean, with respect to compliance with any test, financial ratio, or covenant hereunder, that (i) to the extent applicable, the Pro Forma Adjustment shall have been made and (ii) all Specified Transactions and the following</w:t>
      </w:r>
    </w:p>
    <w:p>
      <w:pPr>
        <w:ind w:right="20"/>
        <w:spacing w:after="0" w:line="239" w:lineRule="auto"/>
        <w:rPr>
          <w:sz w:val="20"/>
          <w:szCs w:val="20"/>
          <w:color w:val="auto"/>
        </w:rPr>
      </w:pPr>
      <w:r>
        <w:rPr>
          <w:rFonts w:ascii="Arial" w:cs="Arial" w:eastAsia="Arial" w:hAnsi="Arial"/>
          <w:sz w:val="15"/>
          <w:szCs w:val="15"/>
          <w:color w:val="auto"/>
        </w:rPr>
        <w:t>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Holdings or any division, product line, or facility used for operations of Holdings</w:t>
      </w:r>
    </w:p>
    <w:p>
      <w:pPr>
        <w:ind w:right="20"/>
        <w:spacing w:after="0" w:line="239" w:lineRule="auto"/>
        <w:rPr>
          <w:sz w:val="20"/>
          <w:szCs w:val="20"/>
          <w:color w:val="auto"/>
        </w:rPr>
      </w:pPr>
      <w:r>
        <w:rPr>
          <w:rFonts w:ascii="Arial" w:cs="Arial" w:eastAsia="Arial" w:hAnsi="Arial"/>
          <w:sz w:val="15"/>
          <w:szCs w:val="15"/>
          <w:color w:val="auto"/>
        </w:rPr>
        <w:t>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Holdings or any of the Restricted Subsidiaries in connection therewith (it being agreed that if such Indebtedness has a floating or</w:t>
      </w:r>
    </w:p>
    <w:p>
      <w:pPr>
        <w:ind w:right="40"/>
        <w:spacing w:after="0" w:line="239" w:lineRule="auto"/>
        <w:rPr>
          <w:sz w:val="20"/>
          <w:szCs w:val="20"/>
          <w:color w:val="auto"/>
        </w:rPr>
      </w:pPr>
      <w:r>
        <w:rPr>
          <w:rFonts w:ascii="Arial" w:cs="Arial" w:eastAsia="Arial" w:hAnsi="Arial"/>
          <w:sz w:val="15"/>
          <w:szCs w:val="15"/>
          <w:color w:val="auto"/>
        </w:rPr>
        <w:t xml:space="preserve">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without limiting the application of the Pro Forma Adjustment pursuant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the foregoing pro forma adjustments may be applied to any such test or covenant solely to the extent that such</w:t>
      </w:r>
    </w:p>
    <w:p>
      <w:pPr>
        <w:ind w:right="160"/>
        <w:spacing w:after="0" w:line="220" w:lineRule="auto"/>
        <w:rPr>
          <w:sz w:val="20"/>
          <w:szCs w:val="20"/>
          <w:color w:val="auto"/>
        </w:rPr>
      </w:pPr>
      <w:r>
        <w:rPr>
          <w:rFonts w:ascii="Arial" w:cs="Arial" w:eastAsia="Arial" w:hAnsi="Arial"/>
          <w:sz w:val="17"/>
          <w:szCs w:val="17"/>
          <w:color w:val="auto"/>
        </w:rPr>
        <w:t>adjustments are consistent with the definition of “Consolidated EBITDA” and give effect to operating expense reductions that are (x)(1) directly attributable to such transaction, (2) expected to have a continuing impact on Holdings, the Borrower or any of the other Restricted Subsidiaries, and (3) factually supportable or (y) otherwise consistent with the definition of “Pro Forma Adjustment”.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Entity</w:t>
      </w:r>
      <w:r>
        <w:rPr>
          <w:rFonts w:ascii="Arial" w:cs="Arial" w:eastAsia="Arial" w:hAnsi="Arial"/>
          <w:sz w:val="17"/>
          <w:szCs w:val="17"/>
          <w:color w:val="auto"/>
        </w:rPr>
        <w:t>” shall have the meaning provided in the definition of “Acquired EBITDA”.</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Prohibited Transaction</w:t>
      </w:r>
      <w:r>
        <w:rPr>
          <w:rFonts w:ascii="Arial" w:cs="Arial" w:eastAsia="Arial" w:hAnsi="Arial"/>
          <w:sz w:val="17"/>
          <w:szCs w:val="17"/>
          <w:color w:val="auto"/>
        </w:rPr>
        <w:t>” shall have the meaning assigned to such term in Section 406 of ERISA and Section 4975(c) of the Code.</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PTE</w:t>
      </w:r>
      <w:r>
        <w:rPr>
          <w:rFonts w:ascii="Arial" w:cs="Arial" w:eastAsia="Arial" w:hAnsi="Arial"/>
          <w:sz w:val="15"/>
          <w:szCs w:val="15"/>
          <w:color w:val="auto"/>
        </w:rPr>
        <w:t>” shall mean a prohibited transaction class exemption issued by the U.S. Department of Labor, as any such exemption may be amended from time to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58" w:lineRule="exact"/>
        <w:rPr>
          <w:sz w:val="20"/>
          <w:szCs w:val="20"/>
          <w:color w:val="auto"/>
        </w:rPr>
      </w:pPr>
    </w:p>
    <w:p>
      <w:pPr>
        <w:ind w:right="4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Public Company Costs</w:t>
      </w:r>
      <w:r>
        <w:rPr>
          <w:rFonts w:ascii="Arial" w:cs="Arial" w:eastAsia="Arial" w:hAnsi="Arial"/>
          <w:sz w:val="15"/>
          <w:szCs w:val="15"/>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w:t>
      </w:r>
    </w:p>
    <w:p>
      <w:pPr>
        <w:ind w:right="100"/>
        <w:spacing w:after="0" w:line="220" w:lineRule="auto"/>
        <w:rPr>
          <w:sz w:val="20"/>
          <w:szCs w:val="20"/>
          <w:color w:val="auto"/>
        </w:rPr>
      </w:pPr>
      <w:r>
        <w:rPr>
          <w:rFonts w:ascii="Arial" w:cs="Arial" w:eastAsia="Arial" w:hAnsi="Arial"/>
          <w:sz w:val="17"/>
          <w:szCs w:val="17"/>
          <w:color w:val="auto"/>
        </w:rPr>
        <w:t>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Proceeds</w:t>
      </w:r>
      <w:r>
        <w:rPr>
          <w:rFonts w:ascii="Arial" w:cs="Arial" w:eastAsia="Arial" w:hAnsi="Arial"/>
          <w:sz w:val="17"/>
          <w:szCs w:val="17"/>
          <w:color w:val="auto"/>
        </w:rPr>
        <w:t>” shall mean assets that are used or useful in, or Capital Stock of any Person engaged in, a Similar Business.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Stock</w:t>
      </w:r>
      <w:r>
        <w:rPr>
          <w:rFonts w:ascii="Arial" w:cs="Arial" w:eastAsia="Arial" w:hAnsi="Arial"/>
          <w:sz w:val="17"/>
          <w:szCs w:val="17"/>
          <w:color w:val="auto"/>
        </w:rPr>
        <w:t>” of any Person shall mean Capital Stock of such Person other than Disqualified Stock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Estate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9.1(f)</w:t>
      </w:r>
      <w:r>
        <w:rPr>
          <w:rFonts w:ascii="Arial" w:cs="Arial" w:eastAsia="Arial" w:hAnsi="Arial"/>
          <w:sz w:val="17"/>
          <w:szCs w:val="17"/>
          <w:color w:val="auto"/>
        </w:rPr>
        <w:t>.</w:t>
      </w:r>
    </w:p>
    <w:p>
      <w:pPr>
        <w:spacing w:after="0" w:line="191" w:lineRule="exact"/>
        <w:rPr>
          <w:sz w:val="20"/>
          <w:szCs w:val="20"/>
          <w:color w:val="auto"/>
        </w:rPr>
      </w:pPr>
    </w:p>
    <w:p>
      <w:pPr>
        <w:ind w:right="62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Receivables Facility</w:t>
      </w:r>
      <w:r>
        <w:rPr>
          <w:rFonts w:ascii="Arial" w:cs="Arial" w:eastAsia="Arial" w:hAnsi="Arial"/>
          <w:sz w:val="15"/>
          <w:szCs w:val="15"/>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Holdings and the Restricted Subsidiaries (other than 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Receivables Subsidiary) pursuant to which Holdings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w:t>
      </w:r>
    </w:p>
    <w:p>
      <w:pPr>
        <w:spacing w:after="0"/>
        <w:rPr>
          <w:sz w:val="20"/>
          <w:szCs w:val="20"/>
          <w:color w:val="auto"/>
        </w:rPr>
      </w:pPr>
      <w:r>
        <w:rPr>
          <w:rFonts w:ascii="Arial" w:cs="Arial" w:eastAsia="Arial" w:hAnsi="Arial"/>
          <w:sz w:val="17"/>
          <w:szCs w:val="17"/>
          <w:color w:val="auto"/>
        </w:rPr>
        <w:t>itself by borrowing from such a Person.</w:t>
      </w:r>
    </w:p>
    <w:p>
      <w:pPr>
        <w:spacing w:after="0" w:line="158" w:lineRule="exact"/>
        <w:rPr>
          <w:sz w:val="20"/>
          <w:szCs w:val="20"/>
          <w:color w:val="auto"/>
        </w:rPr>
      </w:pPr>
    </w:p>
    <w:p>
      <w:pPr>
        <w:ind w:right="160" w:firstLine="61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Receivables Fee</w:t>
      </w:r>
      <w:r>
        <w:rPr>
          <w:rFonts w:ascii="Arial" w:cs="Arial" w:eastAsia="Arial" w:hAnsi="Arial"/>
          <w:sz w:val="15"/>
          <w:szCs w:val="15"/>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19" w:lineRule="exact"/>
        <w:rPr>
          <w:sz w:val="20"/>
          <w:szCs w:val="20"/>
          <w:color w:val="auto"/>
        </w:rPr>
      </w:pPr>
    </w:p>
    <w:p>
      <w:pPr>
        <w:jc w:val="both"/>
        <w:ind w:right="300" w:firstLine="619"/>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Receivables Subsidiary</w:t>
      </w:r>
      <w:r>
        <w:rPr>
          <w:rFonts w:ascii="Arial" w:cs="Arial" w:eastAsia="Arial" w:hAnsi="Arial"/>
          <w:sz w:val="15"/>
          <w:szCs w:val="15"/>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Holdings or any Subsidiary makes an Investment and to which Holdings or any Subsidiary transfers accounts receivables and related assets.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Refinanced Term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Indebtedness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10.1(m)</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Refunding Capital Stock</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10.5(b)(2)</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13.6(b)(iv)</w:t>
      </w:r>
      <w:r>
        <w:rPr>
          <w:rFonts w:ascii="Arial" w:cs="Arial" w:eastAsia="Arial" w:hAnsi="Arial"/>
          <w:sz w:val="17"/>
          <w:szCs w:val="17"/>
          <w:color w:val="auto"/>
        </w:rPr>
        <w:t>.</w:t>
      </w:r>
    </w:p>
    <w:p>
      <w:pPr>
        <w:spacing w:after="0" w:line="178" w:lineRule="exact"/>
        <w:rPr>
          <w:sz w:val="20"/>
          <w:szCs w:val="20"/>
          <w:color w:val="auto"/>
        </w:rPr>
      </w:pPr>
    </w:p>
    <w:p>
      <w:pPr>
        <w:ind w:right="4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Regulation T</w:t>
      </w:r>
      <w:r>
        <w:rPr>
          <w:rFonts w:ascii="Arial" w:cs="Arial" w:eastAsia="Arial" w:hAnsi="Arial"/>
          <w:sz w:val="17"/>
          <w:szCs w:val="17"/>
          <w:color w:val="auto"/>
        </w:rPr>
        <w:t>” shall mean Regulation T of the Board as from time to time in effect and any successor to all or a portion thereof establishing margin requirements.</w:t>
      </w:r>
    </w:p>
    <w:p>
      <w:pPr>
        <w:spacing w:after="0" w:line="165" w:lineRule="exact"/>
        <w:rPr>
          <w:sz w:val="20"/>
          <w:szCs w:val="20"/>
          <w:color w:val="auto"/>
        </w:rPr>
      </w:pPr>
    </w:p>
    <w:p>
      <w:pPr>
        <w:ind w:right="3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Regulation U</w:t>
      </w:r>
      <w:r>
        <w:rPr>
          <w:rFonts w:ascii="Arial" w:cs="Arial" w:eastAsia="Arial" w:hAnsi="Arial"/>
          <w:sz w:val="17"/>
          <w:szCs w:val="17"/>
          <w:color w:val="auto"/>
        </w:rPr>
        <w:t>” shall mean Regulation U of the Board as from time to time in effect and any successor to all or a portion thereof establishing margin requirements.</w:t>
      </w:r>
    </w:p>
    <w:p>
      <w:pPr>
        <w:spacing w:after="0" w:line="152" w:lineRule="exact"/>
        <w:rPr>
          <w:sz w:val="20"/>
          <w:szCs w:val="20"/>
          <w:color w:val="auto"/>
        </w:rPr>
      </w:pPr>
    </w:p>
    <w:p>
      <w:pPr>
        <w:ind w:right="36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Regulation X</w:t>
      </w:r>
      <w:r>
        <w:rPr>
          <w:rFonts w:ascii="Arial" w:cs="Arial" w:eastAsia="Arial" w:hAnsi="Arial"/>
          <w:sz w:val="17"/>
          <w:szCs w:val="17"/>
          <w:color w:val="auto"/>
        </w:rPr>
        <w:t>” shall mean Regulation X of the Board as from time to time in effect and any successor to all or a portion thereof establishing margin requirements.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3.4(a)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Obligations</w:t>
      </w:r>
      <w:r>
        <w:rPr>
          <w:rFonts w:ascii="Arial" w:cs="Arial" w:eastAsia="Arial" w:hAnsi="Arial"/>
          <w:sz w:val="17"/>
          <w:szCs w:val="17"/>
          <w:color w:val="auto"/>
        </w:rPr>
        <w:t xml:space="preserve">” shall mean the Borrower’s obligations to reimburse Unpaid Drawings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w:t>
      </w:r>
    </w:p>
    <w:p>
      <w:pPr>
        <w:spacing w:after="0" w:line="191" w:lineRule="exact"/>
        <w:rPr>
          <w:sz w:val="20"/>
          <w:szCs w:val="20"/>
          <w:color w:val="auto"/>
        </w:rPr>
      </w:pPr>
    </w:p>
    <w:p>
      <w:pPr>
        <w:ind w:right="1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Reinvestment Period</w:t>
      </w:r>
      <w:r>
        <w:rPr>
          <w:rFonts w:ascii="Arial" w:cs="Arial" w:eastAsia="Arial" w:hAnsi="Arial"/>
          <w:sz w:val="17"/>
          <w:szCs w:val="17"/>
          <w:color w:val="auto"/>
        </w:rPr>
        <w:t>” shall mean (450 days following the date of receipt of Net Cash Proceeds of an Asset Sale Prepayment Event, Casualty Event, or Permitted Sale Leaseback.</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Rejection Notice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5.2(f)</w:t>
      </w:r>
      <w:r>
        <w:rPr>
          <w:rFonts w:ascii="Arial" w:cs="Arial" w:eastAsia="Arial" w:hAnsi="Arial"/>
          <w:sz w:val="17"/>
          <w:szCs w:val="17"/>
          <w:color w:val="auto"/>
        </w:rPr>
        <w:t>.</w:t>
      </w:r>
    </w:p>
    <w:p>
      <w:pPr>
        <w:spacing w:after="0" w:line="191" w:lineRule="exact"/>
        <w:rPr>
          <w:sz w:val="20"/>
          <w:szCs w:val="20"/>
          <w:color w:val="auto"/>
        </w:rPr>
      </w:pPr>
    </w:p>
    <w:p>
      <w:pPr>
        <w:ind w:right="20" w:firstLine="619"/>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Related Business Assets</w:t>
      </w:r>
      <w:r>
        <w:rPr>
          <w:rFonts w:ascii="Arial" w:cs="Arial" w:eastAsia="Arial" w:hAnsi="Arial"/>
          <w:sz w:val="15"/>
          <w:szCs w:val="15"/>
          <w:color w:val="auto"/>
        </w:rPr>
        <w:t xml:space="preserve">” shall mean assets (other than cash or Cash Equivalents) used or useful in a Similar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assets received by Holdings or the Restricted Subsidiaries in exchange for assets transferred by Holdings or a Restricted Subsidiary shall not be deemed to be Related Business Assets if they consist of securities of a Person, unless upon receipt of the securities of such Person, such Person would become a Restricted Subsidiary.</w:t>
      </w:r>
    </w:p>
    <w:p>
      <w:pPr>
        <w:spacing w:after="0" w:line="144"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0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Related Parties</w:t>
      </w:r>
      <w:r>
        <w:rPr>
          <w:rFonts w:ascii="Arial" w:cs="Arial" w:eastAsia="Arial" w:hAnsi="Arial"/>
          <w:sz w:val="15"/>
          <w:szCs w:val="15"/>
          <w:color w:val="auto"/>
        </w:rPr>
        <w:t>” shall mean, with respect to any specified Person, such Person’s Affiliates and the directors, officers, employees, agents, trustees, and</w:t>
      </w:r>
    </w:p>
    <w:p>
      <w:pPr>
        <w:spacing w:after="0" w:line="28" w:lineRule="exact"/>
        <w:rPr>
          <w:sz w:val="20"/>
          <w:szCs w:val="20"/>
          <w:color w:val="auto"/>
        </w:rPr>
      </w:pPr>
    </w:p>
    <w:p>
      <w:pPr>
        <w:ind w:right="460"/>
        <w:spacing w:after="0" w:line="227" w:lineRule="auto"/>
        <w:rPr>
          <w:sz w:val="20"/>
          <w:szCs w:val="20"/>
          <w:color w:val="auto"/>
        </w:rPr>
      </w:pPr>
      <w:r>
        <w:rPr>
          <w:rFonts w:ascii="Arial" w:cs="Arial" w:eastAsia="Arial" w:hAnsi="Arial"/>
          <w:sz w:val="17"/>
          <w:szCs w:val="17"/>
          <w:color w:val="auto"/>
        </w:rPr>
        <w:t>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52" w:lineRule="exact"/>
        <w:rPr>
          <w:sz w:val="20"/>
          <w:szCs w:val="20"/>
          <w:color w:val="auto"/>
        </w:rPr>
      </w:pPr>
    </w:p>
    <w:p>
      <w:pPr>
        <w:ind w:right="2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shall mean any release, spill, emission, discharge, disposal, escaping, leaking, pumping, pouring, dumping, emptying, injection, or leaching into the environment.</w:t>
      </w:r>
    </w:p>
    <w:p>
      <w:pPr>
        <w:spacing w:after="0" w:line="139" w:lineRule="exact"/>
        <w:rPr>
          <w:sz w:val="20"/>
          <w:szCs w:val="20"/>
          <w:color w:val="auto"/>
        </w:rPr>
      </w:pPr>
    </w:p>
    <w:p>
      <w:pPr>
        <w:ind w:right="1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Relevant Governmental Body</w:t>
      </w:r>
      <w:r>
        <w:rPr>
          <w:rFonts w:ascii="Arial" w:cs="Arial" w:eastAsia="Arial" w:hAnsi="Arial"/>
          <w:sz w:val="15"/>
          <w:szCs w:val="15"/>
          <w:color w:val="auto"/>
        </w:rPr>
        <w:t>” shall mean the Board of Governors of the Federal Reserve System or the Federal Reserve Bank of New York, or a committee officially endorsed or convened by the Board of Governors of the Federal Reserve System or the Federal Reserve Bank of New York, or any successor</w:t>
      </w:r>
    </w:p>
    <w:p>
      <w:pPr>
        <w:spacing w:after="0"/>
        <w:rPr>
          <w:sz w:val="20"/>
          <w:szCs w:val="20"/>
          <w:color w:val="auto"/>
        </w:rPr>
      </w:pPr>
      <w:r>
        <w:rPr>
          <w:rFonts w:ascii="Arial" w:cs="Arial" w:eastAsia="Arial" w:hAnsi="Arial"/>
          <w:sz w:val="17"/>
          <w:szCs w:val="17"/>
          <w:color w:val="auto"/>
        </w:rPr>
        <w:t>thereto.</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Removal Effective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12.9(b)</w:t>
      </w:r>
      <w:r>
        <w:rPr>
          <w:rFonts w:ascii="Arial" w:cs="Arial" w:eastAsia="Arial" w:hAnsi="Arial"/>
          <w:sz w:val="17"/>
          <w:szCs w:val="17"/>
          <w:color w:val="auto"/>
        </w:rPr>
        <w:t>.</w:t>
      </w:r>
    </w:p>
    <w:p>
      <w:pPr>
        <w:spacing w:after="0" w:line="178" w:lineRule="exact"/>
        <w:rPr>
          <w:sz w:val="20"/>
          <w:szCs w:val="20"/>
          <w:color w:val="auto"/>
        </w:rPr>
      </w:pPr>
    </w:p>
    <w:p>
      <w:pPr>
        <w:ind w:right="60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Repayment Amount</w:t>
      </w:r>
      <w:r>
        <w:rPr>
          <w:rFonts w:ascii="Arial" w:cs="Arial" w:eastAsia="Arial" w:hAnsi="Arial"/>
          <w:sz w:val="17"/>
          <w:szCs w:val="17"/>
          <w:color w:val="auto"/>
        </w:rPr>
        <w:t>” shall mean the Term A Loan Repayment Amount, a New Term Loan Repayment Amount with respect to any Series, or an Extended Term Loan Repayment Amount with respect to any Extension Series, as applicable.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Replacement Term Loan Commitment</w:t>
      </w:r>
      <w:r>
        <w:rPr>
          <w:rFonts w:ascii="Arial" w:cs="Arial" w:eastAsia="Arial" w:hAnsi="Arial"/>
          <w:sz w:val="17"/>
          <w:szCs w:val="17"/>
          <w:color w:val="auto"/>
        </w:rPr>
        <w:t>” shall mean the commitments of the Lenders to make Replacement Term Loans.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Replacement Term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91" w:lineRule="exact"/>
        <w:rPr>
          <w:sz w:val="20"/>
          <w:szCs w:val="20"/>
          <w:color w:val="auto"/>
        </w:rPr>
      </w:pPr>
    </w:p>
    <w:p>
      <w:pPr>
        <w:ind w:right="14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Reportable Event</w:t>
      </w:r>
      <w:r>
        <w:rPr>
          <w:rFonts w:ascii="Arial" w:cs="Arial" w:eastAsia="Arial" w:hAnsi="Arial"/>
          <w:sz w:val="17"/>
          <w:szCs w:val="17"/>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spacing w:after="0" w:line="165" w:lineRule="exact"/>
        <w:rPr>
          <w:sz w:val="20"/>
          <w:szCs w:val="20"/>
          <w:color w:val="auto"/>
        </w:rPr>
      </w:pPr>
    </w:p>
    <w:p>
      <w:pPr>
        <w:ind w:right="30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Lenders</w:t>
      </w:r>
      <w:r>
        <w:rPr>
          <w:rFonts w:ascii="Arial" w:cs="Arial" w:eastAsia="Arial" w:hAnsi="Arial"/>
          <w:sz w:val="15"/>
          <w:szCs w:val="15"/>
          <w:color w:val="auto"/>
        </w:rPr>
        <w:t>” shall mean, at any date, (i) Non-Defaulting Lenders having or holding a majority of the sum of (a) the Adjusted Total Revolving Credit Commitment at such date, (b) the Adjusted Total Term Loan Commitment at such date, and (c) the outstanding principal amount of the Term Loans (excluding Term Loans held by Defaulting Lenders) at such date or (ii) if the Total Revolving Credit Commitment and the Total Term Loan Commitment have</w:t>
      </w:r>
    </w:p>
    <w:p>
      <w:pPr>
        <w:spacing w:after="0" w:line="1" w:lineRule="exact"/>
        <w:rPr>
          <w:sz w:val="20"/>
          <w:szCs w:val="20"/>
          <w:color w:val="auto"/>
        </w:rPr>
      </w:pPr>
    </w:p>
    <w:p>
      <w:pPr>
        <w:jc w:val="both"/>
        <w:ind w:right="440"/>
        <w:spacing w:after="0" w:line="275" w:lineRule="auto"/>
        <w:rPr>
          <w:sz w:val="20"/>
          <w:szCs w:val="20"/>
          <w:color w:val="auto"/>
        </w:rPr>
      </w:pPr>
      <w:r>
        <w:rPr>
          <w:rFonts w:ascii="Arial" w:cs="Arial" w:eastAsia="Arial" w:hAnsi="Arial"/>
          <w:sz w:val="15"/>
          <w:szCs w:val="15"/>
          <w:color w:val="auto"/>
        </w:rPr>
        <w:t xml:space="preserve">been terminated or for the purposes of acceleration pursuant to </w:t>
      </w:r>
      <w:r>
        <w:rPr>
          <w:rFonts w:ascii="Arial" w:cs="Arial" w:eastAsia="Arial" w:hAnsi="Arial"/>
          <w:sz w:val="15"/>
          <w:szCs w:val="15"/>
          <w:u w:val="single" w:color="auto"/>
          <w:color w:val="auto"/>
        </w:rPr>
        <w:t>Section 11</w:t>
      </w:r>
      <w:r>
        <w:rPr>
          <w:rFonts w:ascii="Arial" w:cs="Arial" w:eastAsia="Arial" w:hAnsi="Arial"/>
          <w:sz w:val="15"/>
          <w:szCs w:val="15"/>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Revolving Credit Lenders</w:t>
      </w:r>
      <w:r>
        <w:rPr>
          <w:rFonts w:ascii="Arial" w:cs="Arial" w:eastAsia="Arial" w:hAnsi="Arial"/>
          <w:sz w:val="16"/>
          <w:szCs w:val="16"/>
          <w:color w:val="auto"/>
        </w:rPr>
        <w:t>” shall mean, at any date, Non-Defaulting Lenders holding a majority of the Adjusted Total Revolving Credit</w:t>
      </w:r>
    </w:p>
    <w:p>
      <w:pPr>
        <w:spacing w:after="0" w:line="1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Commitment at such date (or, if the Total Revolving Credit Commitment has been terminated at such time, a majority of the Revolving Credit Exposure (excluding Revolving Credit Exposure of Defaulting Lenders) at such time).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Term A Loan Lenders</w:t>
      </w:r>
      <w:r>
        <w:rPr>
          <w:rFonts w:ascii="Arial" w:cs="Arial" w:eastAsia="Arial" w:hAnsi="Arial"/>
          <w:sz w:val="16"/>
          <w:szCs w:val="16"/>
          <w:color w:val="auto"/>
        </w:rPr>
        <w:t>” shall mean, at any date, Non-Defaulting Lenders having or holding a majority of the sum of (i) the Adjusted Total</w:t>
      </w:r>
    </w:p>
    <w:p>
      <w:pPr>
        <w:spacing w:after="0" w:line="17" w:lineRule="exact"/>
        <w:rPr>
          <w:sz w:val="20"/>
          <w:szCs w:val="20"/>
          <w:color w:val="auto"/>
        </w:rPr>
      </w:pPr>
    </w:p>
    <w:p>
      <w:pPr>
        <w:ind w:right="400"/>
        <w:spacing w:after="0" w:line="227" w:lineRule="auto"/>
        <w:rPr>
          <w:sz w:val="20"/>
          <w:szCs w:val="20"/>
          <w:color w:val="auto"/>
        </w:rPr>
      </w:pPr>
      <w:r>
        <w:rPr>
          <w:rFonts w:ascii="Arial" w:cs="Arial" w:eastAsia="Arial" w:hAnsi="Arial"/>
          <w:sz w:val="17"/>
          <w:szCs w:val="17"/>
          <w:color w:val="auto"/>
        </w:rPr>
        <w:t>Term A Loan Commitment at such date and (ii) the aggregate outstanding principal amount of the Term A Loans (excluding Term A Loans held by Defaulting Lenders) at such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Term Loan Lenders</w:t>
      </w:r>
      <w:r>
        <w:rPr>
          <w:rFonts w:ascii="Arial" w:cs="Arial" w:eastAsia="Arial" w:hAnsi="Arial"/>
          <w:sz w:val="15"/>
          <w:szCs w:val="15"/>
          <w:color w:val="auto"/>
        </w:rPr>
        <w:t>” shall mean, at any date, Non-Defaulting Lenders having or holding a majority of the sum of (i) the Adjusted Total Term</w:t>
      </w:r>
    </w:p>
    <w:p>
      <w:pPr>
        <w:spacing w:after="0" w:line="28"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Loan Commitment at such date and (ii) the aggregate outstanding principal amount of the Term Loans (excluding Term Loans held by Defaulting Lenders) at such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Requirement of Law</w:t>
      </w:r>
      <w:r>
        <w:rPr>
          <w:rFonts w:ascii="Arial" w:cs="Arial" w:eastAsia="Arial" w:hAnsi="Arial"/>
          <w:sz w:val="15"/>
          <w:szCs w:val="15"/>
          <w:color w:val="auto"/>
        </w:rPr>
        <w:t>” shall mean, as to any Person, the certificate of incorporation and by-laws or other organizational or governing documents of such</w:t>
      </w:r>
    </w:p>
    <w:p>
      <w:pPr>
        <w:spacing w:after="0" w:line="28" w:lineRule="exact"/>
        <w:rPr>
          <w:sz w:val="20"/>
          <w:szCs w:val="20"/>
          <w:color w:val="auto"/>
        </w:rPr>
      </w:pPr>
    </w:p>
    <w:p>
      <w:pPr>
        <w:ind w:right="220"/>
        <w:spacing w:after="0" w:line="227" w:lineRule="auto"/>
        <w:rPr>
          <w:sz w:val="20"/>
          <w:szCs w:val="20"/>
          <w:color w:val="auto"/>
        </w:rPr>
      </w:pPr>
      <w:r>
        <w:rPr>
          <w:rFonts w:ascii="Arial" w:cs="Arial" w:eastAsia="Arial" w:hAnsi="Arial"/>
          <w:sz w:val="17"/>
          <w:szCs w:val="17"/>
          <w:color w:val="auto"/>
        </w:rPr>
        <w:t>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Rescindable Amount</w:t>
      </w:r>
      <w:r>
        <w:rPr>
          <w:rFonts w:ascii="Arial" w:cs="Arial" w:eastAsia="Arial" w:hAnsi="Arial"/>
          <w:sz w:val="17"/>
          <w:szCs w:val="17"/>
          <w:color w:val="auto"/>
        </w:rPr>
        <w:t xml:space="preserve">” shall have the meaning as provided in </w:t>
      </w:r>
      <w:r>
        <w:rPr>
          <w:rFonts w:ascii="Arial" w:cs="Arial" w:eastAsia="Arial" w:hAnsi="Arial"/>
          <w:sz w:val="17"/>
          <w:szCs w:val="17"/>
          <w:u w:val="single" w:color="auto"/>
          <w:color w:val="auto"/>
        </w:rPr>
        <w:t>Section 2.4(d)</w:t>
      </w:r>
      <w:r>
        <w:rPr>
          <w:rFonts w:ascii="Arial" w:cs="Arial" w:eastAsia="Arial" w:hAnsi="Arial"/>
          <w:sz w:val="17"/>
          <w:szCs w:val="17"/>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12.9(a)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shall mean an EEA Resolution Authority or, with respect to any UK Financial Institution, a UK Resolution Authority.</w:t>
      </w:r>
    </w:p>
    <w:p>
      <w:pPr>
        <w:spacing w:after="0" w:line="191" w:lineRule="exact"/>
        <w:rPr>
          <w:sz w:val="20"/>
          <w:szCs w:val="20"/>
          <w:color w:val="auto"/>
        </w:rPr>
      </w:pPr>
    </w:p>
    <w:p>
      <w:pPr>
        <w:ind w:right="380" w:firstLine="61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Restatement Agreement</w:t>
      </w:r>
      <w:r>
        <w:rPr>
          <w:rFonts w:ascii="Arial" w:cs="Arial" w:eastAsia="Arial" w:hAnsi="Arial"/>
          <w:sz w:val="16"/>
          <w:szCs w:val="16"/>
          <w:color w:val="auto"/>
        </w:rPr>
        <w:t>” shall mean the Joinder and Amendment and Restatement Agreement, dated as of the Restatement Effective Date, by and among the Credit Parties, the Administrative Agent, the Collateral Agent, the Former Agent and the Lenders party thereto.</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Restatement Effective Date</w:t>
      </w:r>
      <w:r>
        <w:rPr>
          <w:rFonts w:ascii="Arial" w:cs="Arial" w:eastAsia="Arial" w:hAnsi="Arial"/>
          <w:sz w:val="17"/>
          <w:szCs w:val="17"/>
          <w:color w:val="auto"/>
        </w:rPr>
        <w:t>” shall mean July 18, 2019.</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Investment</w:t>
      </w:r>
      <w:r>
        <w:rPr>
          <w:rFonts w:ascii="Arial" w:cs="Arial" w:eastAsia="Arial" w:hAnsi="Arial"/>
          <w:sz w:val="17"/>
          <w:szCs w:val="17"/>
          <w:color w:val="auto"/>
        </w:rPr>
        <w:t>” shall mean an Investment other than a Permitted Investment.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10.5(a)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Subsidiary</w:t>
      </w:r>
      <w:r>
        <w:rPr>
          <w:rFonts w:ascii="Arial" w:cs="Arial" w:eastAsia="Arial" w:hAnsi="Arial"/>
          <w:sz w:val="17"/>
          <w:szCs w:val="17"/>
          <w:color w:val="auto"/>
        </w:rPr>
        <w:t>” shall mean any Subsidiary of Holdings other than an Unrestricted Subsidiary.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Retired Capital Stock</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10.5(b)(2)</w:t>
      </w:r>
      <w:r>
        <w:rPr>
          <w:rFonts w:ascii="Arial" w:cs="Arial" w:eastAsia="Arial" w:hAnsi="Arial"/>
          <w:sz w:val="17"/>
          <w:szCs w:val="17"/>
          <w:color w:val="auto"/>
        </w:rPr>
        <w:t>.</w:t>
      </w:r>
    </w:p>
    <w:p>
      <w:pPr>
        <w:spacing w:after="0" w:line="178" w:lineRule="exact"/>
        <w:rPr>
          <w:sz w:val="20"/>
          <w:szCs w:val="20"/>
          <w:color w:val="auto"/>
        </w:rPr>
      </w:pPr>
    </w:p>
    <w:p>
      <w:pPr>
        <w:ind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Revolving Credit Commitment</w:t>
      </w:r>
      <w:r>
        <w:rPr>
          <w:rFonts w:ascii="Arial" w:cs="Arial" w:eastAsia="Arial" w:hAnsi="Arial"/>
          <w:sz w:val="15"/>
          <w:szCs w:val="15"/>
          <w:color w:val="auto"/>
        </w:rPr>
        <w:t xml:space="preserve">” shall mean, as to each Revolving Credit Lender, its obligation to make Revolving Credit Loans to the Borrower pursuant to </w:t>
      </w:r>
      <w:r>
        <w:rPr>
          <w:rFonts w:ascii="Arial" w:cs="Arial" w:eastAsia="Arial" w:hAnsi="Arial"/>
          <w:sz w:val="15"/>
          <w:szCs w:val="15"/>
          <w:u w:val="single" w:color="auto"/>
          <w:color w:val="auto"/>
        </w:rPr>
        <w:t>Section 2.1(b)</w:t>
      </w:r>
      <w:r>
        <w:rPr>
          <w:rFonts w:ascii="Arial" w:cs="Arial" w:eastAsia="Arial" w:hAnsi="Arial"/>
          <w:sz w:val="15"/>
          <w:szCs w:val="15"/>
          <w:color w:val="auto"/>
        </w:rPr>
        <w:t>, in an aggregate principal amount (carried out to the ninth decimal place) at any one time outstanding not to exceed the amount set forth,</w:t>
      </w:r>
    </w:p>
    <w:p>
      <w:pPr>
        <w:ind w:right="20"/>
        <w:spacing w:after="0" w:line="239" w:lineRule="auto"/>
        <w:rPr>
          <w:sz w:val="20"/>
          <w:szCs w:val="20"/>
          <w:color w:val="auto"/>
        </w:rPr>
      </w:pPr>
      <w:r>
        <w:rPr>
          <w:rFonts w:ascii="Arial" w:cs="Arial" w:eastAsia="Arial" w:hAnsi="Arial"/>
          <w:sz w:val="15"/>
          <w:szCs w:val="15"/>
          <w:color w:val="auto"/>
        </w:rPr>
        <w:t xml:space="preserve">and opposite such Lender’s name on </w:t>
      </w:r>
      <w:r>
        <w:rPr>
          <w:rFonts w:ascii="Arial" w:cs="Arial" w:eastAsia="Arial" w:hAnsi="Arial"/>
          <w:sz w:val="15"/>
          <w:szCs w:val="15"/>
          <w:u w:val="single" w:color="auto"/>
          <w:color w:val="auto"/>
        </w:rPr>
        <w:t>Schedule 1.1(b)</w:t>
      </w:r>
      <w:r>
        <w:rPr>
          <w:rFonts w:ascii="Arial" w:cs="Arial" w:eastAsia="Arial" w:hAnsi="Arial"/>
          <w:sz w:val="15"/>
          <w:szCs w:val="15"/>
          <w:color w:val="auto"/>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Arial" w:cs="Arial" w:eastAsia="Arial" w:hAnsi="Arial"/>
          <w:sz w:val="15"/>
          <w:szCs w:val="15"/>
          <w:u w:val="single" w:color="auto"/>
          <w:color w:val="auto"/>
        </w:rPr>
        <w:t>Section 2.14</w:t>
      </w:r>
      <w:r>
        <w:rPr>
          <w:rFonts w:ascii="Arial" w:cs="Arial" w:eastAsia="Arial" w:hAnsi="Arial"/>
          <w:sz w:val="15"/>
          <w:szCs w:val="15"/>
          <w:color w:val="auto"/>
        </w:rPr>
        <w:t>). The aggregate Revolving Credit Commitments of all Revolving Credit Lenders, as of the Second Restatement Effective Date, shall be $300,000,000, as such</w:t>
      </w:r>
    </w:p>
    <w:p>
      <w:pPr>
        <w:spacing w:after="0"/>
        <w:rPr>
          <w:sz w:val="20"/>
          <w:szCs w:val="20"/>
          <w:color w:val="auto"/>
        </w:rPr>
      </w:pPr>
      <w:r>
        <w:rPr>
          <w:rFonts w:ascii="Arial" w:cs="Arial" w:eastAsia="Arial" w:hAnsi="Arial"/>
          <w:sz w:val="17"/>
          <w:szCs w:val="17"/>
          <w:color w:val="auto"/>
        </w:rPr>
        <w:t>amount may be adjusted from time to time in accordance with the terms of this Agreement.</w:t>
      </w:r>
    </w:p>
    <w:p>
      <w:pPr>
        <w:spacing w:after="0" w:line="158" w:lineRule="exact"/>
        <w:rPr>
          <w:sz w:val="20"/>
          <w:szCs w:val="20"/>
          <w:color w:val="auto"/>
        </w:rPr>
      </w:pPr>
    </w:p>
    <w:p>
      <w:pPr>
        <w:ind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Revolving Credit Commitment Percentage</w:t>
      </w:r>
      <w:r>
        <w:rPr>
          <w:rFonts w:ascii="Arial" w:cs="Arial" w:eastAsia="Arial" w:hAnsi="Arial"/>
          <w:sz w:val="15"/>
          <w:szCs w:val="15"/>
          <w:color w:val="auto"/>
        </w:rPr>
        <w:t xml:space="preserve">” shall mean at any time, for each Lender, the percentage (carried out to the ninth decimal place) obtained by dividing (i) such Lender’s Revolving Credit Commitment at such time by (ii) the amount of the Total Revolving Credit Commitment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ind w:right="420"/>
        <w:spacing w:after="0" w:line="275" w:lineRule="auto"/>
        <w:rPr>
          <w:sz w:val="20"/>
          <w:szCs w:val="20"/>
          <w:color w:val="auto"/>
        </w:rPr>
      </w:pPr>
      <w:r>
        <w:rPr>
          <w:rFonts w:ascii="Arial" w:cs="Arial" w:eastAsia="Arial" w:hAnsi="Arial"/>
          <w:sz w:val="15"/>
          <w:szCs w:val="15"/>
          <w:color w:val="auto"/>
        </w:rPr>
        <w:t>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Exposure</w:t>
      </w:r>
      <w:r>
        <w:rPr>
          <w:rFonts w:ascii="Arial" w:cs="Arial" w:eastAsia="Arial" w:hAnsi="Arial"/>
          <w:sz w:val="16"/>
          <w:szCs w:val="16"/>
          <w:color w:val="auto"/>
        </w:rPr>
        <w:t>” shall mean, with respect to any Lender at any time, the sum of (i) the aggregate principal amount of Revolving Credit</w:t>
      </w:r>
    </w:p>
    <w:p>
      <w:pPr>
        <w:spacing w:after="0" w:line="17" w:lineRule="exact"/>
        <w:rPr>
          <w:sz w:val="20"/>
          <w:szCs w:val="20"/>
          <w:color w:val="auto"/>
        </w:rPr>
      </w:pPr>
    </w:p>
    <w:p>
      <w:pPr>
        <w:ind w:right="740"/>
        <w:spacing w:after="0" w:line="227" w:lineRule="auto"/>
        <w:rPr>
          <w:sz w:val="20"/>
          <w:szCs w:val="20"/>
          <w:color w:val="auto"/>
        </w:rPr>
      </w:pPr>
      <w:r>
        <w:rPr>
          <w:rFonts w:ascii="Arial" w:cs="Arial" w:eastAsia="Arial" w:hAnsi="Arial"/>
          <w:sz w:val="17"/>
          <w:szCs w:val="17"/>
          <w:color w:val="auto"/>
        </w:rPr>
        <w:t>Loans of such Lender then outstanding, (ii) such Lender’s Letter of Credit Exposure at such time, and (iii) such Lender’s Revolving Credit Commitment Percentage of the aggregate principal amount of all outstanding Swingline Loans at such time.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w:t>
      </w:r>
      <w:r>
        <w:rPr>
          <w:rFonts w:ascii="Arial" w:cs="Arial" w:eastAsia="Arial" w:hAnsi="Arial"/>
          <w:sz w:val="16"/>
          <w:szCs w:val="16"/>
          <w:color w:val="auto"/>
        </w:rPr>
        <w:t>” shall mean, at any time, the aggregate amount of the Revolving Credit Lenders’ Revolving Credit Commitments at such</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58" w:lineRule="exact"/>
        <w:rPr>
          <w:sz w:val="20"/>
          <w:szCs w:val="20"/>
          <w:color w:val="auto"/>
        </w:rPr>
      </w:pPr>
    </w:p>
    <w:p>
      <w:pPr>
        <w:ind w:right="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Lender</w:t>
      </w:r>
      <w:r>
        <w:rPr>
          <w:rFonts w:ascii="Arial" w:cs="Arial" w:eastAsia="Arial" w:hAnsi="Arial"/>
          <w:sz w:val="17"/>
          <w:szCs w:val="17"/>
          <w:color w:val="auto"/>
        </w:rPr>
        <w:t>” shall mean, at any time, any Lender that has a Revolving Credit Commitment or Extended Revolving Credit Commitment at such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Loan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2.1(b)</w:t>
      </w:r>
      <w:r>
        <w:rPr>
          <w:rFonts w:ascii="Arial" w:cs="Arial" w:eastAsia="Arial" w:hAnsi="Arial"/>
          <w:sz w:val="17"/>
          <w:szCs w:val="17"/>
          <w:color w:val="auto"/>
        </w:rPr>
        <w:t>.</w:t>
      </w:r>
    </w:p>
    <w:p>
      <w:pPr>
        <w:spacing w:after="0" w:line="178" w:lineRule="exact"/>
        <w:rPr>
          <w:sz w:val="20"/>
          <w:szCs w:val="20"/>
          <w:color w:val="auto"/>
        </w:rPr>
      </w:pPr>
    </w:p>
    <w:p>
      <w:pPr>
        <w:ind w:right="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Revolving Credit Maturity Date</w:t>
      </w:r>
      <w:r>
        <w:rPr>
          <w:rFonts w:ascii="Arial" w:cs="Arial" w:eastAsia="Arial" w:hAnsi="Arial"/>
          <w:sz w:val="15"/>
          <w:szCs w:val="15"/>
          <w:color w:val="auto"/>
        </w:rPr>
        <w:t xml:space="preserve">” shall mean (a) June 13, 2028 or, if such date is not a Business Day, the immediately preceding Business Day and (b) if earlier, the Springing Maturity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Springing Maturity Date shall not apply (and only the date referenced in clause (a) shall apply) if, as of</w:t>
      </w:r>
    </w:p>
    <w:p>
      <w:pPr>
        <w:ind w:right="400"/>
        <w:spacing w:after="0" w:line="227" w:lineRule="auto"/>
        <w:rPr>
          <w:sz w:val="20"/>
          <w:szCs w:val="20"/>
          <w:color w:val="auto"/>
        </w:rPr>
      </w:pPr>
      <w:r>
        <w:rPr>
          <w:rFonts w:ascii="Arial" w:cs="Arial" w:eastAsia="Arial" w:hAnsi="Arial"/>
          <w:sz w:val="17"/>
          <w:szCs w:val="17"/>
          <w:color w:val="auto"/>
        </w:rPr>
        <w:t xml:space="preserve">the date upon which the Springing Maturity Date would otherwise occur, the Borrower shall have Minimum Liquidity of not less than an amount equal to the redemption value of the Convertible Notes on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$25,000,000.</w:t>
      </w:r>
    </w:p>
    <w:p>
      <w:pPr>
        <w:spacing w:after="0" w:line="152" w:lineRule="exact"/>
        <w:rPr>
          <w:sz w:val="20"/>
          <w:szCs w:val="20"/>
          <w:color w:val="auto"/>
        </w:rPr>
      </w:pPr>
    </w:p>
    <w:p>
      <w:pPr>
        <w:ind w:right="320" w:firstLine="61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16"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Loan</w:t>
      </w:r>
      <w:r>
        <w:rPr>
          <w:rFonts w:ascii="Arial" w:cs="Arial" w:eastAsia="Arial" w:hAnsi="Arial"/>
          <w:sz w:val="17"/>
          <w:szCs w:val="17"/>
          <w:color w:val="auto"/>
        </w:rPr>
        <w:t>” shall mean, collectively or individually as the context may require, any (i) Revolving Credit Loan or (ii) Extended Revolving Credit Loan, in each case made pursuant to and in accordance with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S&amp;P</w:t>
      </w:r>
      <w:r>
        <w:rPr>
          <w:rFonts w:ascii="Arial" w:cs="Arial" w:eastAsia="Arial" w:hAnsi="Arial"/>
          <w:sz w:val="17"/>
          <w:szCs w:val="17"/>
          <w:color w:val="auto"/>
        </w:rPr>
        <w:t>” shall mean Standard &amp; Poor’s Ratings Services or any successor by merger or consolidation to its business.</w:t>
      </w:r>
    </w:p>
    <w:p>
      <w:pPr>
        <w:spacing w:after="0" w:line="191" w:lineRule="exact"/>
        <w:rPr>
          <w:sz w:val="20"/>
          <w:szCs w:val="20"/>
          <w:color w:val="auto"/>
        </w:rPr>
      </w:pPr>
    </w:p>
    <w:p>
      <w:pPr>
        <w:ind w:right="4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Sale Leaseback</w:t>
      </w:r>
      <w:r>
        <w:rPr>
          <w:rFonts w:ascii="Arial" w:cs="Arial" w:eastAsia="Arial" w:hAnsi="Arial"/>
          <w:sz w:val="17"/>
          <w:szCs w:val="17"/>
          <w:color w:val="auto"/>
        </w:rPr>
        <w:t>” shall mean any arrangement with any Person providing for the leasing by Holdings or any Restricted Subsidiary of any real or tangible personal property, which property has been or is to be sold or transferred by Holdings or such Restricted Subsidiary to such Person in contemplation of such leasing.</w:t>
      </w:r>
    </w:p>
    <w:p>
      <w:pPr>
        <w:spacing w:after="0" w:line="165" w:lineRule="exact"/>
        <w:rPr>
          <w:sz w:val="20"/>
          <w:szCs w:val="20"/>
          <w:color w:val="auto"/>
        </w:rPr>
      </w:pPr>
    </w:p>
    <w:p>
      <w:pPr>
        <w:ind w:right="14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shall mean any sanction administered or enforced by the United States Government (including without limitation, OFAC), the United Nations Security Council, the European Union or any member state thereof, Her Majesty’s Treasury of the United Kingdom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or any successor thereto.</w:t>
      </w:r>
    </w:p>
    <w:p>
      <w:pPr>
        <w:spacing w:after="0" w:line="178" w:lineRule="exact"/>
        <w:rPr>
          <w:sz w:val="20"/>
          <w:szCs w:val="20"/>
          <w:color w:val="auto"/>
        </w:rPr>
      </w:pPr>
    </w:p>
    <w:p>
      <w:pPr>
        <w:ind w:right="1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Second Lien Intercreditor Agreement</w:t>
      </w:r>
      <w:r>
        <w:rPr>
          <w:rFonts w:ascii="Arial" w:cs="Arial" w:eastAsia="Arial" w:hAnsi="Arial"/>
          <w:sz w:val="15"/>
          <w:szCs w:val="15"/>
          <w:color w:val="auto"/>
        </w:rPr>
        <w:t>” shall mean a First Lien/Second Lien Intercreditor Agreement substantially in the form of Exhibit I (with such changes to such form as may be reasonably acceptable to the Administrative Agent and the Borrower) among the Administrative Agent, the Collateral Agent and</w:t>
      </w:r>
    </w:p>
    <w:p>
      <w:pPr>
        <w:ind w:right="80"/>
        <w:spacing w:after="0" w:line="227" w:lineRule="auto"/>
        <w:rPr>
          <w:sz w:val="20"/>
          <w:szCs w:val="20"/>
          <w:color w:val="auto"/>
        </w:rPr>
      </w:pPr>
      <w:r>
        <w:rPr>
          <w:rFonts w:ascii="Arial" w:cs="Arial" w:eastAsia="Arial" w:hAnsi="Arial"/>
          <w:sz w:val="17"/>
          <w:szCs w:val="17"/>
          <w:color w:val="auto"/>
        </w:rPr>
        <w:t>the representatives for purposes thereof for any Permitted Other Indebtedness Secured Parties that are holders of Permitted Other Indebtedness Obligations having a Lien on the Collateral ranking junior to the Lien securing the Obligations.</w:t>
      </w:r>
    </w:p>
    <w:p>
      <w:pPr>
        <w:spacing w:after="0" w:line="152" w:lineRule="exact"/>
        <w:rPr>
          <w:sz w:val="20"/>
          <w:szCs w:val="20"/>
          <w:color w:val="auto"/>
        </w:rPr>
      </w:pPr>
    </w:p>
    <w:p>
      <w:pPr>
        <w:ind w:right="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Restatement Agreement</w:t>
      </w:r>
      <w:r>
        <w:rPr>
          <w:rFonts w:ascii="Arial" w:cs="Arial" w:eastAsia="Arial" w:hAnsi="Arial"/>
          <w:sz w:val="17"/>
          <w:szCs w:val="17"/>
          <w:color w:val="auto"/>
        </w:rPr>
        <w:t>” shall mean the Amendment and Restatement Agreement, dated as of June 13, 2023, by and among the Credit Parties, the Administrative Agent, the Collateral Agent and the Lenders party thereto.</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Restatement Date Refinancing</w:t>
      </w:r>
      <w:r>
        <w:rPr>
          <w:rFonts w:ascii="Arial" w:cs="Arial" w:eastAsia="Arial" w:hAnsi="Arial"/>
          <w:sz w:val="17"/>
          <w:szCs w:val="17"/>
          <w:color w:val="auto"/>
        </w:rPr>
        <w:t>” shall have the meaning provided in the recitals to this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Second Restatement Effective Date</w:t>
      </w:r>
      <w:r>
        <w:rPr>
          <w:rFonts w:ascii="Arial" w:cs="Arial" w:eastAsia="Arial" w:hAnsi="Arial"/>
          <w:sz w:val="15"/>
          <w:szCs w:val="15"/>
          <w:color w:val="auto"/>
        </w:rPr>
        <w:t xml:space="preserve">” shall mean June 13, 2023, the date on which the conditions precedent to effectiveness set forth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are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satisfied.</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2.14 Additional Amendment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2.14(g)(iv)</w:t>
      </w:r>
      <w:r>
        <w:rPr>
          <w:rFonts w:ascii="Arial" w:cs="Arial" w:eastAsia="Arial" w:hAnsi="Arial"/>
          <w:sz w:val="17"/>
          <w:szCs w:val="17"/>
          <w:color w:val="auto"/>
        </w:rPr>
        <w:t>.</w:t>
      </w:r>
    </w:p>
    <w:p>
      <w:pPr>
        <w:spacing w:after="0" w:line="178" w:lineRule="exact"/>
        <w:rPr>
          <w:sz w:val="20"/>
          <w:szCs w:val="20"/>
          <w:color w:val="auto"/>
        </w:rPr>
      </w:pPr>
    </w:p>
    <w:p>
      <w:pPr>
        <w:ind w:right="34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9.1 Financials</w:t>
      </w:r>
      <w:r>
        <w:rPr>
          <w:rFonts w:ascii="Arial" w:cs="Arial" w:eastAsia="Arial" w:hAnsi="Arial"/>
          <w:sz w:val="17"/>
          <w:szCs w:val="17"/>
          <w:color w:val="auto"/>
        </w:rPr>
        <w:t xml:space="preserve">” shall mean the financial statements delivered, or required to be delivered,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together with the accompanying officer’s certificate delivered, or required to be delivered,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w:t>
      </w:r>
    </w:p>
    <w:p>
      <w:pPr>
        <w:spacing w:after="0" w:line="139" w:lineRule="exact"/>
        <w:rPr>
          <w:sz w:val="20"/>
          <w:szCs w:val="20"/>
          <w:color w:val="auto"/>
        </w:rPr>
      </w:pPr>
    </w:p>
    <w:p>
      <w:pPr>
        <w:ind w:right="4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Secured Cash Management Agreement</w:t>
      </w:r>
      <w:r>
        <w:rPr>
          <w:rFonts w:ascii="Arial" w:cs="Arial" w:eastAsia="Arial" w:hAnsi="Arial"/>
          <w:sz w:val="15"/>
          <w:szCs w:val="15"/>
          <w:color w:val="auto"/>
        </w:rPr>
        <w:t>” shall mean any Cash Management Agreement that is entered into by and between Holdings or any of the Restricted Subsidiaries and any Cash Management Bank, which is specified in writing by the Borrower to the Administrative Agent as constituting a Secured Cash</w:t>
      </w:r>
    </w:p>
    <w:p>
      <w:pPr>
        <w:spacing w:after="0"/>
        <w:rPr>
          <w:sz w:val="20"/>
          <w:szCs w:val="20"/>
          <w:color w:val="auto"/>
        </w:rPr>
      </w:pPr>
      <w:r>
        <w:rPr>
          <w:rFonts w:ascii="Arial" w:cs="Arial" w:eastAsia="Arial" w:hAnsi="Arial"/>
          <w:sz w:val="17"/>
          <w:szCs w:val="17"/>
          <w:color w:val="auto"/>
        </w:rPr>
        <w:t>Management Agreement hereunder.</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Cash Management Obligations</w:t>
      </w:r>
      <w:r>
        <w:rPr>
          <w:rFonts w:ascii="Arial" w:cs="Arial" w:eastAsia="Arial" w:hAnsi="Arial"/>
          <w:sz w:val="17"/>
          <w:szCs w:val="17"/>
          <w:color w:val="auto"/>
        </w:rPr>
        <w:t>” shall mean Obligations under Secured Cash Management Agreements.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Secured Hedge Agreement</w:t>
      </w:r>
      <w:r>
        <w:rPr>
          <w:rFonts w:ascii="Arial" w:cs="Arial" w:eastAsia="Arial" w:hAnsi="Arial"/>
          <w:sz w:val="15"/>
          <w:szCs w:val="15"/>
          <w:color w:val="auto"/>
        </w:rPr>
        <w:t>” shall mean any Hedge Agreement that is entered into by and between Holdings, the Borrower or any Restricted Subsidiary</w:t>
      </w:r>
    </w:p>
    <w:p>
      <w:pPr>
        <w:spacing w:after="0" w:line="28"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Hedge Obligations</w:t>
      </w:r>
      <w:r>
        <w:rPr>
          <w:rFonts w:ascii="Arial" w:cs="Arial" w:eastAsia="Arial" w:hAnsi="Arial"/>
          <w:sz w:val="17"/>
          <w:szCs w:val="17"/>
          <w:color w:val="auto"/>
        </w:rPr>
        <w:t>” shall mean Obligations under Secured Hedge Agreements.</w:t>
      </w:r>
    </w:p>
    <w:p>
      <w:pPr>
        <w:spacing w:after="0" w:line="178" w:lineRule="exact"/>
        <w:rPr>
          <w:sz w:val="20"/>
          <w:szCs w:val="20"/>
          <w:color w:val="auto"/>
        </w:rPr>
      </w:pPr>
    </w:p>
    <w:p>
      <w:pPr>
        <w:ind w:firstLine="6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shall mean the Administrative Agent, the Collateral Agent, the Letter of Credit Issuer, and each Lender, in each case with respect to the Credit Facilities, each Hedge Bank that is party to any Secured Hedge Agreement with Holdings, the Borrower or any Restricted Subsidiary, each Cash</w:t>
      </w:r>
    </w:p>
    <w:p>
      <w:pPr>
        <w:ind w:right="40"/>
        <w:spacing w:after="0" w:line="220" w:lineRule="auto"/>
        <w:rPr>
          <w:sz w:val="20"/>
          <w:szCs w:val="20"/>
          <w:color w:val="auto"/>
        </w:rPr>
      </w:pPr>
      <w:r>
        <w:rPr>
          <w:rFonts w:ascii="Arial" w:cs="Arial" w:eastAsia="Arial" w:hAnsi="Arial"/>
          <w:sz w:val="17"/>
          <w:szCs w:val="17"/>
          <w:color w:val="auto"/>
        </w:rPr>
        <w:t xml:space="preserve">Management Bank that is party to a Secured Cash Management Agreement with the Borrower or any Restricted Subsidiary and each sub-agent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appointed by the Administrative Agent with respect to matters relating to the Credit Facilities or the Collateral Agent with respect to matters relating to any Security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00" w:lineRule="exact"/>
        <w:rPr>
          <w:sz w:val="20"/>
          <w:szCs w:val="20"/>
          <w:color w:val="auto"/>
        </w:rPr>
      </w:pPr>
    </w:p>
    <w:p>
      <w:pPr>
        <w:ind w:right="16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Agreement</w:t>
      </w:r>
      <w:r>
        <w:rPr>
          <w:rFonts w:ascii="Arial" w:cs="Arial" w:eastAsia="Arial" w:hAnsi="Arial"/>
          <w:sz w:val="17"/>
          <w:szCs w:val="17"/>
          <w:color w:val="auto"/>
        </w:rPr>
        <w:t>” shall mean the Security Agreement, dated as of the Closing Date, entered into by the Borrower, the other grantors party thereto, and the Collateral Agent for the benefit of the Secured Parties.</w:t>
      </w:r>
    </w:p>
    <w:p>
      <w:pPr>
        <w:spacing w:after="0" w:line="139" w:lineRule="exact"/>
        <w:rPr>
          <w:sz w:val="20"/>
          <w:szCs w:val="20"/>
          <w:color w:val="auto"/>
        </w:rPr>
      </w:pPr>
    </w:p>
    <w:p>
      <w:pPr>
        <w:ind w:right="1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Documents</w:t>
      </w:r>
      <w:r>
        <w:rPr>
          <w:rFonts w:ascii="Arial" w:cs="Arial" w:eastAsia="Arial" w:hAnsi="Arial"/>
          <w:sz w:val="15"/>
          <w:szCs w:val="15"/>
          <w:color w:val="auto"/>
        </w:rPr>
        <w:t xml:space="preserve">” shall mean, collectively, the Pledge Agreement, the Security Agreement, the Mortgages, if executed, the First Lien Intercreditor Agreement, if executed, and each other security agreement or other instrument or document executed and delivered pursuant to </w:t>
      </w:r>
      <w:r>
        <w:rPr>
          <w:rFonts w:ascii="Arial" w:cs="Arial" w:eastAsia="Arial" w:hAnsi="Arial"/>
          <w:sz w:val="15"/>
          <w:szCs w:val="15"/>
          <w:u w:val="single" w:color="auto"/>
          <w:color w:val="auto"/>
        </w:rPr>
        <w:t>Sections 9.11</w:t>
      </w:r>
      <w:r>
        <w:rPr>
          <w:rFonts w:ascii="Arial" w:cs="Arial" w:eastAsia="Arial" w:hAnsi="Arial"/>
          <w:sz w:val="15"/>
          <w:szCs w:val="15"/>
          <w:color w:val="auto"/>
        </w:rPr>
        <w:t xml:space="preserve">, </w:t>
      </w:r>
      <w:r>
        <w:rPr>
          <w:rFonts w:ascii="Arial" w:cs="Arial" w:eastAsia="Arial" w:hAnsi="Arial"/>
          <w:sz w:val="15"/>
          <w:szCs w:val="15"/>
          <w:u w:val="single" w:color="auto"/>
          <w:color w:val="auto"/>
        </w:rPr>
        <w:t>9.12,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9.14</w:t>
      </w:r>
      <w:r>
        <w:rPr>
          <w:rFonts w:ascii="Arial" w:cs="Arial" w:eastAsia="Arial" w:hAnsi="Arial"/>
          <w:sz w:val="15"/>
          <w:szCs w:val="15"/>
          <w:color w:val="auto"/>
        </w:rPr>
        <w:t xml:space="preserve"> or</w:t>
      </w:r>
    </w:p>
    <w:p>
      <w:pPr>
        <w:spacing w:after="0"/>
        <w:rPr>
          <w:sz w:val="20"/>
          <w:szCs w:val="20"/>
          <w:color w:val="auto"/>
        </w:rPr>
      </w:pPr>
      <w:r>
        <w:rPr>
          <w:rFonts w:ascii="Arial" w:cs="Arial" w:eastAsia="Arial" w:hAnsi="Arial"/>
          <w:sz w:val="17"/>
          <w:szCs w:val="17"/>
          <w:color w:val="auto"/>
        </w:rPr>
        <w:t>pursuant to any other such Security Documents to secure the Obligations or to govern the lien priorities of the holders of Liens on the Collateral.</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Significant Subsidiary</w:t>
      </w:r>
      <w:r>
        <w:rPr>
          <w:rFonts w:ascii="Arial" w:cs="Arial" w:eastAsia="Arial" w:hAnsi="Arial"/>
          <w:sz w:val="15"/>
          <w:szCs w:val="15"/>
          <w:color w:val="auto"/>
        </w:rPr>
        <w:t>” shall mean, at any date of determination, (a) any Restricted Subsidiary whose gross revenues (when combined with the gross</w:t>
      </w:r>
    </w:p>
    <w:p>
      <w:pPr>
        <w:spacing w:after="0" w:line="28" w:lineRule="exact"/>
        <w:rPr>
          <w:sz w:val="20"/>
          <w:szCs w:val="20"/>
          <w:color w:val="auto"/>
        </w:rPr>
      </w:pPr>
    </w:p>
    <w:p>
      <w:pPr>
        <w:jc w:val="both"/>
        <w:ind w:right="100"/>
        <w:spacing w:after="0" w:line="239" w:lineRule="auto"/>
        <w:rPr>
          <w:sz w:val="20"/>
          <w:szCs w:val="20"/>
          <w:color w:val="auto"/>
        </w:rPr>
      </w:pPr>
      <w:r>
        <w:rPr>
          <w:rFonts w:ascii="Arial" w:cs="Arial" w:eastAsia="Arial" w:hAnsi="Arial"/>
          <w:sz w:val="15"/>
          <w:szCs w:val="15"/>
          <w:color w:val="auto"/>
        </w:rPr>
        <w:t>revenues of such Restricted Subsidiary’s Subsidiaries after eliminating intercompany obligations) for the Test Period most recently ended on or prior to such date were equal to or greater than 10% of the consolidated gross revenues of Holdings and the Restricted Subsidiaries for such period, determined in accordance with GAAP or (b) each other Restricted Subsidiary that, when such Restricted Subsidiary’s total gross revenues (when combined with the total gross revenues of such</w:t>
      </w:r>
    </w:p>
    <w:p>
      <w:pPr>
        <w:ind w:right="20"/>
        <w:spacing w:after="0" w:line="220" w:lineRule="auto"/>
        <w:rPr>
          <w:sz w:val="20"/>
          <w:szCs w:val="20"/>
          <w:color w:val="auto"/>
        </w:rPr>
      </w:pPr>
      <w:r>
        <w:rPr>
          <w:rFonts w:ascii="Arial" w:cs="Arial" w:eastAsia="Arial" w:hAnsi="Arial"/>
          <w:sz w:val="17"/>
          <w:szCs w:val="17"/>
          <w:color w:val="auto"/>
        </w:rPr>
        <w:t>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w:t>
      </w:r>
    </w:p>
    <w:p>
      <w:pPr>
        <w:spacing w:after="0" w:line="164" w:lineRule="exact"/>
        <w:rPr>
          <w:sz w:val="20"/>
          <w:szCs w:val="20"/>
          <w:color w:val="auto"/>
        </w:rPr>
      </w:pPr>
    </w:p>
    <w:p>
      <w:pPr>
        <w:ind w:right="6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Similar Business</w:t>
      </w:r>
      <w:r>
        <w:rPr>
          <w:rFonts w:ascii="Arial" w:cs="Arial" w:eastAsia="Arial" w:hAnsi="Arial"/>
          <w:sz w:val="17"/>
          <w:szCs w:val="17"/>
          <w:color w:val="auto"/>
        </w:rPr>
        <w:t xml:space="preserve"> ” shall mean any business conducted or proposed to be conducted by Holdings and the Restricted Subsidiaries on the Second Restatement Effective Date or any business that is similar, reasonably related, synergistic, incidental, or ancillary thereto.</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SOFR</w:t>
      </w:r>
      <w:r>
        <w:rPr>
          <w:rFonts w:ascii="Arial" w:cs="Arial" w:eastAsia="Arial" w:hAnsi="Arial"/>
          <w:sz w:val="16"/>
          <w:szCs w:val="16"/>
          <w:color w:val="auto"/>
        </w:rPr>
        <w:t>” shall mean the Secured Overnight Financing Rate as administered by the Federal Reserve Bank of New York (or a successor administrator).</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Adjustment</w:t>
      </w:r>
      <w:r>
        <w:rPr>
          <w:rFonts w:ascii="Arial" w:cs="Arial" w:eastAsia="Arial" w:hAnsi="Arial"/>
          <w:sz w:val="17"/>
          <w:szCs w:val="17"/>
          <w:color w:val="auto"/>
        </w:rPr>
        <w:t>” shall mean 0.10% (10 basis points).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Scheduled Unavailability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Sold Entity or Business</w:t>
      </w:r>
      <w:r>
        <w:rPr>
          <w:rFonts w:ascii="Arial" w:cs="Arial" w:eastAsia="Arial" w:hAnsi="Arial"/>
          <w:sz w:val="17"/>
          <w:szCs w:val="17"/>
          <w:color w:val="auto"/>
        </w:rPr>
        <w:t>” shall have the meaning provided in the definition of “Consolidated EBITDA”.</w:t>
      </w:r>
    </w:p>
    <w:p>
      <w:pPr>
        <w:spacing w:after="0" w:line="191" w:lineRule="exact"/>
        <w:rPr>
          <w:sz w:val="20"/>
          <w:szCs w:val="20"/>
          <w:color w:val="auto"/>
        </w:rPr>
      </w:pPr>
    </w:p>
    <w:p>
      <w:pPr>
        <w:ind w:right="18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shall mean, after giving effect to the consummation of the Transactions, (i) the sum of the liabilities (including contingent liabilities) of Holdings and its Subsidiaries, on a consolidated basis, does not exceed the present fair saleable value of the present assets of Holdings and its Subsidiaries, on a consolidated basis; (ii) the fair value of the property of Holdings and its Subsidiaries, on a consolidated basis, is greater than the total amount of liabilities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(including contingent liabilities) of Holdings and its Subsidiaries, on a consolidated basis; (iii) the capital of Holdings and its Subsidiaries, on a consolidated basis, is not unreasonably small in relation to their business as contemplated on the date hereof; and (iv) Holdings and its Subsidiaries, on a consolidated basis, have not incurred and do not intend to incur, or believe that they will incur, debts including current obligations beyond their ability to pay such debts as they become due</w:t>
      </w:r>
    </w:p>
    <w:p>
      <w:pPr>
        <w:spacing w:after="0"/>
        <w:rPr>
          <w:sz w:val="20"/>
          <w:szCs w:val="20"/>
          <w:color w:val="auto"/>
        </w:rPr>
      </w:pPr>
      <w:r>
        <w:rPr>
          <w:rFonts w:ascii="Arial" w:cs="Arial" w:eastAsia="Arial" w:hAnsi="Arial"/>
          <w:sz w:val="17"/>
          <w:szCs w:val="17"/>
          <w:color w:val="auto"/>
        </w:rPr>
        <w:t>(whether at maturity or otherwise).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Existing Revolving Credit Commitment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shall mean, with respect to any period, any Investment (including a Permitted Acquisition), any asset sale, incurrence or</w:t>
      </w:r>
    </w:p>
    <w:p>
      <w:pPr>
        <w:spacing w:after="0" w:line="17" w:lineRule="exact"/>
        <w:rPr>
          <w:sz w:val="20"/>
          <w:szCs w:val="20"/>
          <w:color w:val="auto"/>
        </w:rPr>
      </w:pPr>
    </w:p>
    <w:p>
      <w:pPr>
        <w:ind w:right="60"/>
        <w:spacing w:after="0" w:line="220" w:lineRule="auto"/>
        <w:rPr>
          <w:sz w:val="20"/>
          <w:szCs w:val="20"/>
          <w:color w:val="auto"/>
        </w:rPr>
      </w:pPr>
      <w:r>
        <w:rPr>
          <w:rFonts w:ascii="Arial" w:cs="Arial" w:eastAsia="Arial" w:hAnsi="Arial"/>
          <w:sz w:val="17"/>
          <w:szCs w:val="17"/>
          <w:color w:val="auto"/>
        </w:rPr>
        <w:t>repayment of Indebtedness, Restricted Payment, Subsidiary designation, New Term Loan, New Revolving Credit Commitment, or other event or action that in each case by the terms of this Agreement requires Pro Forma Compliance with a test or covenant hereunder or requires such test or covenant to be calculated on a Pro Forma Basis.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w:t>
      </w:r>
      <w:r>
        <w:rPr>
          <w:rFonts w:ascii="Arial" w:cs="Arial" w:eastAsia="Arial" w:hAnsi="Arial"/>
          <w:sz w:val="17"/>
          <w:szCs w:val="17"/>
          <w:color w:val="auto"/>
        </w:rPr>
        <w:t>” shall mean any of KKR and its Affiliates but excluding portfolio companies of any of the foregoing.</w:t>
      </w:r>
    </w:p>
    <w:p>
      <w:pPr>
        <w:spacing w:after="0" w:line="178" w:lineRule="exact"/>
        <w:rPr>
          <w:sz w:val="20"/>
          <w:szCs w:val="20"/>
          <w:color w:val="auto"/>
        </w:rPr>
      </w:pPr>
    </w:p>
    <w:p>
      <w:pPr>
        <w:ind w:right="1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Spot Rate</w:t>
      </w:r>
      <w:r>
        <w:rPr>
          <w:rFonts w:ascii="Arial" w:cs="Arial" w:eastAsia="Arial" w:hAnsi="Arial"/>
          <w:sz w:val="15"/>
          <w:szCs w:val="15"/>
          <w:color w:val="auto"/>
        </w:rPr>
        <w:t>”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w:t>
      </w:r>
    </w:p>
    <w:p>
      <w:pPr>
        <w:spacing w:after="0"/>
        <w:rPr>
          <w:sz w:val="20"/>
          <w:szCs w:val="20"/>
          <w:color w:val="auto"/>
        </w:rPr>
      </w:pPr>
      <w:r>
        <w:rPr>
          <w:rFonts w:ascii="Arial" w:cs="Arial" w:eastAsia="Arial" w:hAnsi="Arial"/>
          <w:sz w:val="17"/>
          <w:szCs w:val="17"/>
          <w:color w:val="auto"/>
        </w:rPr>
        <w:t xml:space="preserve">11:00 a.m. on the date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180"/>
          </w:cols>
          <w:pgMar w:left="320" w:top="1440" w:right="399" w:bottom="1440" w:gutter="0" w:footer="0" w:header="0"/>
        </w:sectPr>
      </w:pPr>
    </w:p>
    <w:bookmarkStart w:id="73" w:name="page74"/>
    <w:bookmarkEnd w:id="73"/>
    <w:p>
      <w:pPr>
        <w:spacing w:after="0" w:line="106" w:lineRule="exact"/>
        <w:rPr>
          <w:sz w:val="20"/>
          <w:szCs w:val="20"/>
          <w:color w:val="auto"/>
        </w:rPr>
      </w:pPr>
    </w:p>
    <w:p>
      <w:pPr>
        <w:ind w:right="420"/>
        <w:spacing w:after="0" w:line="248" w:lineRule="auto"/>
        <w:rPr>
          <w:sz w:val="20"/>
          <w:szCs w:val="20"/>
          <w:color w:val="auto"/>
        </w:rPr>
      </w:pPr>
      <w:r>
        <w:rPr>
          <w:rFonts w:ascii="Arial" w:cs="Arial" w:eastAsia="Arial" w:hAnsi="Arial"/>
          <w:sz w:val="17"/>
          <w:szCs w:val="17"/>
          <w:color w:val="auto"/>
        </w:rPr>
        <w:t>Administrative Agent may obtain such spot rate from another financial institution designated by the Administrative Agent if it does not have as of the date of determination a spot buying rate for any such currency.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Springing Maturity Date</w:t>
      </w:r>
      <w:r>
        <w:rPr>
          <w:rFonts w:ascii="Arial" w:cs="Arial" w:eastAsia="Arial" w:hAnsi="Arial"/>
          <w:sz w:val="16"/>
          <w:szCs w:val="16"/>
          <w:color w:val="auto"/>
        </w:rPr>
        <w:t>” shall mean the date that is 91 days prior to the stated maturity date of the Existing Convertible Notes then outstanding.</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SPV</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13.6(g)</w:t>
      </w:r>
      <w:r>
        <w:rPr>
          <w:rFonts w:ascii="Arial" w:cs="Arial" w:eastAsia="Arial" w:hAnsi="Arial"/>
          <w:sz w:val="17"/>
          <w:szCs w:val="17"/>
          <w:color w:val="auto"/>
        </w:rPr>
        <w:t>.</w:t>
      </w:r>
    </w:p>
    <w:p>
      <w:pPr>
        <w:spacing w:after="0" w:line="191" w:lineRule="exact"/>
        <w:rPr>
          <w:sz w:val="20"/>
          <w:szCs w:val="20"/>
          <w:color w:val="auto"/>
        </w:rPr>
      </w:pPr>
    </w:p>
    <w:p>
      <w:pPr>
        <w:ind w:right="40"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Stated Amount</w:t>
      </w:r>
      <w:r>
        <w:rPr>
          <w:rFonts w:ascii="Arial" w:cs="Arial" w:eastAsia="Arial" w:hAnsi="Arial"/>
          <w:sz w:val="15"/>
          <w:szCs w:val="15"/>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any Letter of Credit that by its terms or the terms of any Issuer Document provides for one or more automatic increases in the stated amount thereof, the Stated Amount shall be deemed to be the maximum stated amount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such Letter of Credit after giving effect to all such increases, whether or not such maximum stated amount is in effect at such time.</w:t>
      </w:r>
    </w:p>
    <w:p>
      <w:pPr>
        <w:spacing w:after="0" w:line="158" w:lineRule="exact"/>
        <w:rPr>
          <w:sz w:val="20"/>
          <w:szCs w:val="20"/>
          <w:color w:val="auto"/>
        </w:rPr>
      </w:pPr>
    </w:p>
    <w:p>
      <w:pPr>
        <w:ind w:right="10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Equivalents</w:t>
      </w:r>
      <w:r>
        <w:rPr>
          <w:rFonts w:ascii="Arial" w:cs="Arial" w:eastAsia="Arial" w:hAnsi="Arial"/>
          <w:sz w:val="17"/>
          <w:szCs w:val="17"/>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5" w:lineRule="exact"/>
        <w:rPr>
          <w:sz w:val="20"/>
          <w:szCs w:val="20"/>
          <w:color w:val="auto"/>
        </w:rPr>
      </w:pPr>
    </w:p>
    <w:p>
      <w:pPr>
        <w:ind w:right="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Stores</w:t>
      </w:r>
      <w:r>
        <w:rPr>
          <w:rFonts w:ascii="Arial" w:cs="Arial" w:eastAsia="Arial" w:hAnsi="Arial"/>
          <w:sz w:val="17"/>
          <w:szCs w:val="17"/>
          <w:color w:val="auto"/>
        </w:rPr>
        <w:t>” shall mean any retail store (which may include any real property, fixtures, equipment, inventory and other property related thereto) operated, or to be operated, by Holdings or any Restricted Subsidiary.</w:t>
      </w:r>
    </w:p>
    <w:p>
      <w:pPr>
        <w:spacing w:after="0" w:line="152" w:lineRule="exact"/>
        <w:rPr>
          <w:sz w:val="20"/>
          <w:szCs w:val="20"/>
          <w:color w:val="auto"/>
        </w:rPr>
      </w:pPr>
    </w:p>
    <w:p>
      <w:pPr>
        <w:ind w:right="220" w:firstLine="61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shall mean Indebtedness of Holdings, the Borrower, or any other Guarantor that is by its terms subordinated in right of payment to the obligations of Holdings, the Borrower, or such Guarantor, as applicable, under this Agreement or the Guarantee, as applicable.</w:t>
      </w:r>
    </w:p>
    <w:p>
      <w:pPr>
        <w:spacing w:after="0" w:line="116" w:lineRule="exact"/>
        <w:rPr>
          <w:sz w:val="20"/>
          <w:szCs w:val="20"/>
          <w:color w:val="auto"/>
        </w:rPr>
      </w:pPr>
    </w:p>
    <w:p>
      <w:pPr>
        <w:ind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w:t>
      </w:r>
    </w:p>
    <w:p>
      <w:pPr>
        <w:ind w:right="60"/>
        <w:spacing w:after="0" w:line="239" w:lineRule="auto"/>
        <w:rPr>
          <w:sz w:val="20"/>
          <w:szCs w:val="20"/>
          <w:color w:val="auto"/>
        </w:rPr>
      </w:pPr>
      <w:r>
        <w:rPr>
          <w:rFonts w:ascii="Arial" w:cs="Arial" w:eastAsia="Arial" w:hAnsi="Arial"/>
          <w:sz w:val="15"/>
          <w:szCs w:val="15"/>
          <w:color w:val="auto"/>
        </w:rPr>
        <w:t>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w:t>
      </w:r>
    </w:p>
    <w:p>
      <w:pPr>
        <w:spacing w:after="0"/>
        <w:rPr>
          <w:sz w:val="20"/>
          <w:szCs w:val="20"/>
          <w:color w:val="auto"/>
        </w:rPr>
      </w:pPr>
      <w:r>
        <w:rPr>
          <w:rFonts w:ascii="Arial" w:cs="Arial" w:eastAsia="Arial" w:hAnsi="Arial"/>
          <w:sz w:val="17"/>
          <w:szCs w:val="17"/>
          <w:color w:val="auto"/>
        </w:rPr>
        <w:t>mean a Subsidiary of Holdings.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Borrower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10.3(a)</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Rate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91" w:lineRule="exact"/>
        <w:rPr>
          <w:sz w:val="20"/>
          <w:szCs w:val="20"/>
          <w:color w:val="auto"/>
        </w:rPr>
      </w:pPr>
    </w:p>
    <w:p>
      <w:pPr>
        <w:ind w:right="3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Obligation</w:t>
      </w:r>
      <w:r>
        <w:rPr>
          <w:rFonts w:ascii="Arial" w:cs="Arial" w:eastAsia="Arial" w:hAnsi="Arial"/>
          <w:sz w:val="17"/>
          <w:szCs w:val="17"/>
          <w:color w:val="auto"/>
        </w:rPr>
        <w:t xml:space="preserve"> ” shall mean, with respect to any Credit Party, any obligation to pay or perform under any agreement, contract, or transaction that constitutes a “swap” within the meaning of section 1(a)(47) of the Commodity Exchange Act.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Commitment</w:t>
      </w:r>
      <w:r>
        <w:rPr>
          <w:rFonts w:ascii="Arial" w:cs="Arial" w:eastAsia="Arial" w:hAnsi="Arial"/>
          <w:sz w:val="16"/>
          <w:szCs w:val="16"/>
          <w:color w:val="auto"/>
        </w:rPr>
        <w:t>” shall mean $20,000,000. The Swingline Commitment is part of and not in addition to the Revolving Credit Commitment.</w:t>
      </w:r>
    </w:p>
    <w:p>
      <w:pPr>
        <w:spacing w:after="0" w:line="203" w:lineRule="exact"/>
        <w:rPr>
          <w:sz w:val="20"/>
          <w:szCs w:val="20"/>
          <w:color w:val="auto"/>
        </w:rPr>
      </w:pPr>
    </w:p>
    <w:p>
      <w:pPr>
        <w:ind w:right="100" w:firstLine="61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Swingline Exposure</w:t>
      </w:r>
      <w:r>
        <w:rPr>
          <w:rFonts w:ascii="Arial" w:cs="Arial" w:eastAsia="Arial" w:hAnsi="Arial"/>
          <w:sz w:val="15"/>
          <w:szCs w:val="15"/>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Swingline Lender</w:t>
      </w:r>
      <w:r>
        <w:rPr>
          <w:rFonts w:ascii="Arial" w:cs="Arial" w:eastAsia="Arial" w:hAnsi="Arial"/>
          <w:sz w:val="15"/>
          <w:szCs w:val="15"/>
          <w:color w:val="auto"/>
        </w:rPr>
        <w:t>” shall mean Bank of America, N.A., in its capacity as lender of Swingline Loans hereunder or any replacement or successor thereto.</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Loans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2.1(c)</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Maturity Date</w:t>
      </w:r>
      <w:r>
        <w:rPr>
          <w:rFonts w:ascii="Arial" w:cs="Arial" w:eastAsia="Arial" w:hAnsi="Arial"/>
          <w:sz w:val="16"/>
          <w:szCs w:val="16"/>
          <w:color w:val="auto"/>
        </w:rPr>
        <w:t>” shall mean, with respect to any Swingline Loan, the date that is five Business Days prior to the Revolving Credit Maturity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171" w:lineRule="exact"/>
        <w:rPr>
          <w:sz w:val="20"/>
          <w:szCs w:val="20"/>
          <w:color w:val="auto"/>
        </w:rPr>
      </w:pPr>
    </w:p>
    <w:p>
      <w:pPr>
        <w:ind w:right="5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Syndication Agents</w:t>
      </w:r>
      <w:r>
        <w:rPr>
          <w:rFonts w:ascii="Arial" w:cs="Arial" w:eastAsia="Arial" w:hAnsi="Arial"/>
          <w:sz w:val="17"/>
          <w:szCs w:val="17"/>
          <w:color w:val="auto"/>
        </w:rPr>
        <w:t>” shall mean JPMorgan Chase Bank, N.A. and Wells Fargo Securities, LLC, as syndication agents for the Lenders under this Agreement and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00"/>
          </w:cols>
          <w:pgMar w:left="320" w:top="1440" w:right="379" w:bottom="1440" w:gutter="0" w:footer="0" w:header="0"/>
        </w:sectPr>
      </w:pPr>
    </w:p>
    <w:bookmarkStart w:id="74" w:name="page75"/>
    <w:bookmarkEnd w:id="74"/>
    <w:p>
      <w:pPr>
        <w:spacing w:after="0" w:line="100" w:lineRule="exact"/>
        <w:rPr>
          <w:sz w:val="20"/>
          <w:szCs w:val="20"/>
          <w:color w:val="auto"/>
        </w:rPr>
      </w:pPr>
    </w:p>
    <w:p>
      <w:pPr>
        <w:ind w:right="300" w:firstLine="619"/>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Taxes</w:t>
      </w:r>
      <w:r>
        <w:rPr>
          <w:rFonts w:ascii="Arial" w:cs="Arial" w:eastAsia="Arial" w:hAnsi="Arial"/>
          <w:sz w:val="15"/>
          <w:szCs w:val="15"/>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Lender</w:t>
      </w:r>
      <w:r>
        <w:rPr>
          <w:rFonts w:ascii="Arial" w:cs="Arial" w:eastAsia="Arial" w:hAnsi="Arial"/>
          <w:sz w:val="17"/>
          <w:szCs w:val="17"/>
          <w:color w:val="auto"/>
        </w:rPr>
        <w:t>” shall mean a Lender with a Term A Loan Commitment or an outstanding Term A Loan.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A Loan Commitment</w:t>
      </w:r>
      <w:r>
        <w:rPr>
          <w:rFonts w:ascii="Arial" w:cs="Arial" w:eastAsia="Arial" w:hAnsi="Arial"/>
          <w:sz w:val="15"/>
          <w:szCs w:val="15"/>
          <w:color w:val="auto"/>
        </w:rPr>
        <w:t>” shall mean, in the case of each Lender that is a Lender on the Second Restatement Effective Date, the amount (carried out</w:t>
      </w:r>
    </w:p>
    <w:p>
      <w:pPr>
        <w:spacing w:after="0" w:line="28"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 xml:space="preserve">to the ninth decimal place) set forth opposite such Lender’s name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as such Lender’s “Term A Loan Commitment”. The aggregate amount of the Term A Loan Commitments as of the Second Restatement Effective Date is $150,000,000.</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A Loan Maturity Date</w:t>
      </w:r>
      <w:r>
        <w:rPr>
          <w:rFonts w:ascii="Arial" w:cs="Arial" w:eastAsia="Arial" w:hAnsi="Arial"/>
          <w:sz w:val="16"/>
          <w:szCs w:val="16"/>
          <w:color w:val="auto"/>
        </w:rPr>
        <w:t>” shall mean (a) June 13, 2028 or, if such date is not a Business Day, the immediately preceding Business Day and (b) if</w:t>
      </w:r>
    </w:p>
    <w:p>
      <w:pPr>
        <w:spacing w:after="0" w:line="17" w:lineRule="exact"/>
        <w:rPr>
          <w:sz w:val="20"/>
          <w:szCs w:val="20"/>
          <w:color w:val="auto"/>
        </w:rPr>
      </w:pPr>
    </w:p>
    <w:p>
      <w:pPr>
        <w:ind w:right="140"/>
        <w:spacing w:after="0" w:line="220" w:lineRule="auto"/>
        <w:rPr>
          <w:sz w:val="20"/>
          <w:szCs w:val="20"/>
          <w:color w:val="auto"/>
        </w:rPr>
      </w:pPr>
      <w:r>
        <w:rPr>
          <w:rFonts w:ascii="Arial" w:cs="Arial" w:eastAsia="Arial" w:hAnsi="Arial"/>
          <w:sz w:val="17"/>
          <w:szCs w:val="17"/>
          <w:color w:val="auto"/>
        </w:rPr>
        <w:t xml:space="preserve">earlier, the Springing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Springing Maturity Date shall not apply (and only the date referenced in clause (a) shall apply) if, as of the date upon which the Springing Maturity Date would otherwise occur, the Borrower shall have Minimum Liquidity of not less than an amount equal to the redemption value of the Convertible Notes on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$25,000,000.</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Loan Repayment Amount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2.5(b)</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Loan Repayment Date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2.5(b)</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A Loans</w:t>
      </w:r>
      <w:r>
        <w:rPr>
          <w:rFonts w:ascii="Arial" w:cs="Arial" w:eastAsia="Arial" w:hAnsi="Arial"/>
          <w:sz w:val="16"/>
          <w:szCs w:val="16"/>
          <w:color w:val="auto"/>
        </w:rPr>
        <w:t>” shall mean the Term A Loans funded on the Second Restatement Effective Date pursuant to the terms and conditions of the Second</w:t>
      </w:r>
    </w:p>
    <w:p>
      <w:pPr>
        <w:spacing w:after="0" w:line="17" w:lineRule="exact"/>
        <w:rPr>
          <w:sz w:val="20"/>
          <w:szCs w:val="20"/>
          <w:color w:val="auto"/>
        </w:rPr>
      </w:pPr>
    </w:p>
    <w:p>
      <w:pPr>
        <w:ind w:right="540"/>
        <w:spacing w:after="0" w:line="227" w:lineRule="auto"/>
        <w:rPr>
          <w:sz w:val="20"/>
          <w:szCs w:val="20"/>
          <w:color w:val="auto"/>
        </w:rPr>
      </w:pPr>
      <w:r>
        <w:rPr>
          <w:rFonts w:ascii="Arial" w:cs="Arial" w:eastAsia="Arial" w:hAnsi="Arial"/>
          <w:sz w:val="17"/>
          <w:szCs w:val="17"/>
          <w:color w:val="auto"/>
        </w:rPr>
        <w:t xml:space="preserve">Restatement Agreement and this Agreement (including </w:t>
      </w:r>
      <w:r>
        <w:rPr>
          <w:rFonts w:ascii="Arial" w:cs="Arial" w:eastAsia="Arial" w:hAnsi="Arial"/>
          <w:sz w:val="17"/>
          <w:szCs w:val="17"/>
          <w:u w:val="single" w:color="auto"/>
          <w:color w:val="auto"/>
        </w:rPr>
        <w:t>Section 2.1(a)(ii)</w:t>
      </w:r>
      <w:r>
        <w:rPr>
          <w:rFonts w:ascii="Arial" w:cs="Arial" w:eastAsia="Arial" w:hAnsi="Arial"/>
          <w:sz w:val="17"/>
          <w:szCs w:val="17"/>
          <w:color w:val="auto"/>
        </w:rPr>
        <w:t>). Immediately after giving effect to Second Restatement Agreement, the aggregate amount of Term A Loans outstanding as of the Second Restatement Effective Date is $150,000,000.</w:t>
      </w:r>
    </w:p>
    <w:p>
      <w:pPr>
        <w:spacing w:after="0" w:line="152" w:lineRule="exact"/>
        <w:rPr>
          <w:sz w:val="20"/>
          <w:szCs w:val="20"/>
          <w:color w:val="auto"/>
        </w:rPr>
      </w:pPr>
    </w:p>
    <w:p>
      <w:pPr>
        <w:ind w:right="44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shall mean, with respect to each Lender, such Lender’s Term A Loan Commitment, and, if applicable, New Term Loan Commitment with respect to any Series and Replacement Term Loan Commitment with respect to any Series.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Extension Request</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2.14(g)(i)</w:t>
      </w:r>
      <w:r>
        <w:rPr>
          <w:rFonts w:ascii="Arial" w:cs="Arial" w:eastAsia="Arial" w:hAnsi="Arial"/>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Lender</w:t>
      </w:r>
      <w:r>
        <w:rPr>
          <w:rFonts w:ascii="Arial" w:cs="Arial" w:eastAsia="Arial" w:hAnsi="Arial"/>
          <w:sz w:val="17"/>
          <w:szCs w:val="17"/>
          <w:color w:val="auto"/>
        </w:rPr>
        <w:t>” shall mean, at any time, any Lender that has a Term Loan Commitment or an outstanding Term Loan.</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Loans</w:t>
      </w:r>
      <w:r>
        <w:rPr>
          <w:rFonts w:ascii="Arial" w:cs="Arial" w:eastAsia="Arial" w:hAnsi="Arial"/>
          <w:sz w:val="17"/>
          <w:szCs w:val="17"/>
          <w:color w:val="auto"/>
        </w:rPr>
        <w:t>” shall mean the Term A Loans, any New Term Loans, any Replacement Term Loans, and any Extended Term Loans, collectively or individually, as the context may require.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SOFR</w:t>
      </w:r>
      <w:r>
        <w:rPr>
          <w:rFonts w:ascii="Arial" w:cs="Arial" w:eastAsia="Arial" w:hAnsi="Arial"/>
          <w:sz w:val="17"/>
          <w:szCs w:val="17"/>
          <w:color w:val="auto"/>
        </w:rPr>
        <w:t>” shall mean</w:t>
      </w:r>
    </w:p>
    <w:p>
      <w:pPr>
        <w:spacing w:after="0" w:line="197" w:lineRule="exact"/>
        <w:rPr>
          <w:sz w:val="20"/>
          <w:szCs w:val="20"/>
          <w:color w:val="auto"/>
        </w:rPr>
      </w:pPr>
    </w:p>
    <w:p>
      <w:pPr>
        <w:jc w:val="both"/>
        <w:ind w:firstLine="1241"/>
        <w:spacing w:after="0" w:line="224" w:lineRule="auto"/>
        <w:tabs>
          <w:tab w:leader="none" w:pos="16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such Interest Period; and</w:t>
      </w:r>
    </w:p>
    <w:p>
      <w:pPr>
        <w:spacing w:after="0" w:line="159" w:lineRule="exact"/>
        <w:rPr>
          <w:rFonts w:ascii="Arial" w:cs="Arial" w:eastAsia="Arial" w:hAnsi="Arial"/>
          <w:sz w:val="17"/>
          <w:szCs w:val="17"/>
          <w:color w:val="auto"/>
        </w:rPr>
      </w:pPr>
    </w:p>
    <w:p>
      <w:pPr>
        <w:jc w:val="both"/>
        <w:ind w:firstLine="1241"/>
        <w:spacing w:after="0" w:line="224" w:lineRule="auto"/>
        <w:tabs>
          <w:tab w:leader="none" w:pos="1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for any interest calculation with respect to an ABR Loan on any date, the rate per annum equal to the Term SOFR Screen Rate two U.S. Government Securities Business Days prior to such date with a term of one month commencing that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SOFR Adjustment for such term;</w:t>
      </w:r>
    </w:p>
    <w:p>
      <w:pPr>
        <w:spacing w:after="0" w:line="160" w:lineRule="exact"/>
        <w:rPr>
          <w:sz w:val="20"/>
          <w:szCs w:val="20"/>
          <w:color w:val="auto"/>
        </w:rPr>
      </w:pPr>
    </w:p>
    <w:p>
      <w:pPr>
        <w:spacing w:after="0" w:line="24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Term SOFR determined in accordance with either of the foregoing </w:t>
      </w:r>
      <w:r>
        <w:rPr>
          <w:rFonts w:ascii="Arial" w:cs="Arial" w:eastAsia="Arial" w:hAnsi="Arial"/>
          <w:sz w:val="17"/>
          <w:szCs w:val="17"/>
          <w:u w:val="single" w:color="auto"/>
          <w:color w:val="auto"/>
        </w:rPr>
        <w:t>provisions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would otherwise be less than zero, such rate shall be deemed zero for purposes of this Agreement.</w:t>
      </w:r>
    </w:p>
    <w:p>
      <w:pPr>
        <w:spacing w:after="0" w:line="144" w:lineRule="exact"/>
        <w:rPr>
          <w:sz w:val="20"/>
          <w:szCs w:val="20"/>
          <w:color w:val="auto"/>
        </w:rPr>
      </w:pPr>
    </w:p>
    <w:p>
      <w:pPr>
        <w:ind w:left="620" w:right="2240"/>
        <w:spacing w:after="0" w:line="4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SOFR Loan</w:t>
      </w:r>
      <w:r>
        <w:rPr>
          <w:rFonts w:ascii="Arial" w:cs="Arial" w:eastAsia="Arial" w:hAnsi="Arial"/>
          <w:sz w:val="17"/>
          <w:szCs w:val="17"/>
          <w:color w:val="auto"/>
        </w:rPr>
        <w:t xml:space="preserve">” shall mean a Loan that bears interest at a rate based on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“Term SOFR.” “</w:t>
      </w:r>
      <w:r>
        <w:rPr>
          <w:rFonts w:ascii="Arial" w:cs="Arial" w:eastAsia="Arial" w:hAnsi="Arial"/>
          <w:sz w:val="17"/>
          <w:szCs w:val="17"/>
          <w:b w:val="1"/>
          <w:bCs w:val="1"/>
          <w:color w:val="auto"/>
        </w:rPr>
        <w:t>Term SOFR Replacement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SOFR Screen Rate</w:t>
      </w:r>
      <w:r>
        <w:rPr>
          <w:rFonts w:ascii="Arial" w:cs="Arial" w:eastAsia="Arial" w:hAnsi="Arial"/>
          <w:sz w:val="16"/>
          <w:szCs w:val="16"/>
          <w:color w:val="auto"/>
        </w:rPr>
        <w:t>” shall mean the forward-looking SOFR term rate administered by CME (or any successor administrator satisfactory to the</w:t>
      </w:r>
    </w:p>
    <w:p>
      <w:pPr>
        <w:spacing w:after="0" w:line="1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Administrative Agent) and published on the applicable Reuters screen page (or such other commercially available source providing such quotations as may be designated by the Administrative Agent from time to time).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Terminated Contracts</w:t>
      </w:r>
      <w:r>
        <w:rPr>
          <w:rFonts w:ascii="Arial" w:cs="Arial" w:eastAsia="Arial" w:hAnsi="Arial"/>
          <w:sz w:val="16"/>
          <w:szCs w:val="16"/>
          <w:color w:val="auto"/>
        </w:rPr>
        <w:t>” shall mean binding contracts with Counterparties that have terminated (whether on or before their stated expiration).</w:t>
      </w:r>
    </w:p>
    <w:p>
      <w:pPr>
        <w:spacing w:after="0" w:line="203" w:lineRule="exact"/>
        <w:rPr>
          <w:sz w:val="20"/>
          <w:szCs w:val="20"/>
          <w:color w:val="auto"/>
        </w:rPr>
      </w:pPr>
    </w:p>
    <w:p>
      <w:pPr>
        <w:ind w:right="340" w:firstLine="619"/>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shall mean, for any determination under this Agreement, the four consecutive fiscal quarters of Holdings then last ended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65" w:lineRule="exact"/>
        <w:rPr>
          <w:sz w:val="20"/>
          <w:szCs w:val="20"/>
          <w:color w:val="auto"/>
        </w:rPr>
      </w:pPr>
    </w:p>
    <w:p>
      <w:pPr>
        <w:ind w:right="120" w:firstLine="619"/>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Credit Exposure</w:t>
      </w:r>
      <w:r>
        <w:rPr>
          <w:rFonts w:ascii="Arial" w:cs="Arial" w:eastAsia="Arial" w:hAnsi="Arial"/>
          <w:sz w:val="16"/>
          <w:szCs w:val="16"/>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Arial" w:cs="Arial" w:eastAsia="Arial" w:hAnsi="Arial"/>
          <w:sz w:val="16"/>
          <w:szCs w:val="16"/>
          <w:u w:val="single" w:color="auto"/>
          <w:color w:val="auto"/>
        </w:rPr>
        <w:t>clause (ii)</w:t>
      </w:r>
      <w:r>
        <w:rPr>
          <w:rFonts w:ascii="Arial" w:cs="Arial" w:eastAsia="Arial" w:hAnsi="Arial"/>
          <w:sz w:val="16"/>
          <w:szCs w:val="16"/>
          <w:color w:val="auto"/>
        </w:rPr>
        <w:t>, the aggregate outstanding principal amount of all Term Loans at such date.</w:t>
      </w:r>
    </w:p>
    <w:p>
      <w:pPr>
        <w:spacing w:after="0" w:line="161"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Leverage Test</w:t>
      </w:r>
      <w:r>
        <w:rPr>
          <w:rFonts w:ascii="Arial" w:cs="Arial" w:eastAsia="Arial" w:hAnsi="Arial"/>
          <w:sz w:val="17"/>
          <w:szCs w:val="17"/>
          <w:color w:val="auto"/>
        </w:rPr>
        <w:t>” shall mean, as of any date of determination, with respect to the last day of the most recently ended Test Period, the Consolidated Total Debt to Consolidated EBITDA Ratio shall be no greater than 3.25 to 1.00.</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Revolving Credit Commitment</w:t>
      </w:r>
      <w:r>
        <w:rPr>
          <w:rFonts w:ascii="Arial" w:cs="Arial" w:eastAsia="Arial" w:hAnsi="Arial"/>
          <w:sz w:val="17"/>
          <w:szCs w:val="17"/>
          <w:color w:val="auto"/>
        </w:rPr>
        <w:t>” shall mean the sum of the Revolving Credit Commitments of all the Lenders.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Term A Loan Commitment</w:t>
      </w:r>
      <w:r>
        <w:rPr>
          <w:rFonts w:ascii="Arial" w:cs="Arial" w:eastAsia="Arial" w:hAnsi="Arial"/>
          <w:sz w:val="17"/>
          <w:szCs w:val="17"/>
          <w:color w:val="auto"/>
        </w:rPr>
        <w:t>” shall mean the sum of the Term A Loan Commitments of all Lenders.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Term Loan Commitment</w:t>
      </w:r>
      <w:r>
        <w:rPr>
          <w:rFonts w:ascii="Arial" w:cs="Arial" w:eastAsia="Arial" w:hAnsi="Arial"/>
          <w:sz w:val="15"/>
          <w:szCs w:val="15"/>
          <w:color w:val="auto"/>
        </w:rPr>
        <w:t>” shall mean the sum of the Term A Loan Commitments and the New Term Loan Commitments, if applicable, of all the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Lenders.</w:t>
      </w:r>
    </w:p>
    <w:p>
      <w:pPr>
        <w:spacing w:after="0" w:line="171" w:lineRule="exact"/>
        <w:rPr>
          <w:sz w:val="20"/>
          <w:szCs w:val="20"/>
          <w:color w:val="auto"/>
        </w:rPr>
      </w:pPr>
    </w:p>
    <w:p>
      <w:pPr>
        <w:ind w:right="480" w:firstLine="61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Transactions</w:t>
      </w:r>
      <w:r>
        <w:rPr>
          <w:rFonts w:ascii="Arial" w:cs="Arial" w:eastAsia="Arial" w:hAnsi="Arial"/>
          <w:sz w:val="15"/>
          <w:szCs w:val="15"/>
          <w:color w:val="auto"/>
        </w:rPr>
        <w:t>” shall mean, collectively, the transactions contemplated by this Agreement to occur on the Second Restatement Effective Date, including</w:t>
      </w:r>
    </w:p>
    <w:p>
      <w:pPr>
        <w:spacing w:after="0" w:line="28"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the repayment of Indebtedness under the Existing Credit Agreement in connection therewith, the consummation of any other transactions in connection with the foregoing (including the payment of the fees and expenses incurred in connection with any of the foregoing (including the Transaction Expenses)).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Transferee</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13.6(e)</w:t>
      </w:r>
      <w:r>
        <w:rPr>
          <w:rFonts w:ascii="Arial" w:cs="Arial" w:eastAsia="Arial" w:hAnsi="Arial"/>
          <w:sz w:val="17"/>
          <w:szCs w:val="17"/>
          <w:color w:val="auto"/>
        </w:rPr>
        <w:t>.</w:t>
      </w:r>
    </w:p>
    <w:p>
      <w:pPr>
        <w:spacing w:after="0" w:line="191" w:lineRule="exact"/>
        <w:rPr>
          <w:sz w:val="20"/>
          <w:szCs w:val="20"/>
          <w:color w:val="auto"/>
        </w:rPr>
      </w:pPr>
    </w:p>
    <w:p>
      <w:pPr>
        <w:ind w:right="34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shall mean (i) as to any Term Loan, its nature as an ABR Loan or a Term SOFR Loan and (ii) as to any Revolving Loan, its nature as an ABR Loan or a Term SOFR Revolving Credit Loan.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UK Financial Institution</w:t>
      </w:r>
      <w:r>
        <w:rPr>
          <w:rFonts w:ascii="Arial" w:cs="Arial" w:eastAsia="Arial" w:hAnsi="Arial"/>
          <w:sz w:val="16"/>
          <w:szCs w:val="16"/>
          <w:color w:val="auto"/>
        </w:rPr>
        <w:t>” shall mean any BRRD Undertaking (as such term is defined under the PRA Rulebook (as amended form time to time)</w:t>
      </w:r>
    </w:p>
    <w:p>
      <w:pPr>
        <w:spacing w:after="0" w:line="17" w:lineRule="exact"/>
        <w:rPr>
          <w:sz w:val="20"/>
          <w:szCs w:val="20"/>
          <w:color w:val="auto"/>
        </w:rPr>
      </w:pPr>
    </w:p>
    <w:p>
      <w:pPr>
        <w:ind w:right="60"/>
        <w:spacing w:after="0" w:line="220" w:lineRule="auto"/>
        <w:rPr>
          <w:sz w:val="20"/>
          <w:szCs w:val="20"/>
          <w:color w:val="auto"/>
        </w:rPr>
      </w:pPr>
      <w:r>
        <w:rPr>
          <w:rFonts w:ascii="Arial" w:cs="Arial" w:eastAsia="Arial" w:hAnsi="Arial"/>
          <w:sz w:val="17"/>
          <w:szCs w:val="17"/>
          <w:color w:val="auto"/>
        </w:rPr>
        <w:t>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4" w:lineRule="exact"/>
        <w:rPr>
          <w:sz w:val="20"/>
          <w:szCs w:val="20"/>
          <w:color w:val="auto"/>
        </w:rPr>
      </w:pPr>
    </w:p>
    <w:p>
      <w:pPr>
        <w:ind w:right="16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Resolution Authority</w:t>
      </w:r>
      <w:r>
        <w:rPr>
          <w:rFonts w:ascii="Arial" w:cs="Arial" w:eastAsia="Arial" w:hAnsi="Arial"/>
          <w:sz w:val="17"/>
          <w:szCs w:val="17"/>
          <w:color w:val="auto"/>
        </w:rPr>
        <w:t>” shall mean the Bank of England or any other public administrative authority having responsibility for the resolution of any UK Financial Institution.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Unpaid Drawing</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3.4(a)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00" w:lineRule="exact"/>
        <w:rPr>
          <w:sz w:val="20"/>
          <w:szCs w:val="20"/>
          <w:color w:val="auto"/>
        </w:rPr>
      </w:pPr>
    </w:p>
    <w:p>
      <w:pPr>
        <w:ind w:right="10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Holdings which at the time of determination is an Unrestricted Subsidiary (as designated by the board of directors of Holdings, as provided below) and (ii) any Subsidiary of an Unrestricted Subsidiary.</w:t>
      </w:r>
    </w:p>
    <w:p>
      <w:pPr>
        <w:spacing w:after="0" w:line="145" w:lineRule="exact"/>
        <w:rPr>
          <w:sz w:val="20"/>
          <w:szCs w:val="20"/>
          <w:color w:val="auto"/>
        </w:rPr>
      </w:pPr>
    </w:p>
    <w:p>
      <w:pPr>
        <w:ind w:firstLine="619"/>
        <w:spacing w:after="0" w:line="251" w:lineRule="auto"/>
        <w:rPr>
          <w:sz w:val="20"/>
          <w:szCs w:val="20"/>
          <w:color w:val="auto"/>
        </w:rPr>
      </w:pPr>
      <w:r>
        <w:rPr>
          <w:rFonts w:ascii="Arial" w:cs="Arial" w:eastAsia="Arial" w:hAnsi="Arial"/>
          <w:sz w:val="15"/>
          <w:szCs w:val="15"/>
          <w:color w:val="auto"/>
        </w:rPr>
        <w:t>The board of directors of Holdings may designate any Subsidiary of Holdings (including any existing Subsidiary and any newly acquired or newly formed Subsidiary) other than the Borrower or a Subsidiary of Holdings that is a direct or indirect parent of the Borrower to be an Unrestricted Subsidiary unless such</w:t>
      </w:r>
    </w:p>
    <w:p>
      <w:pPr>
        <w:spacing w:after="0" w:line="220" w:lineRule="auto"/>
        <w:rPr>
          <w:sz w:val="20"/>
          <w:szCs w:val="20"/>
          <w:color w:val="auto"/>
        </w:rPr>
      </w:pPr>
      <w:r>
        <w:rPr>
          <w:rFonts w:ascii="Arial" w:cs="Arial" w:eastAsia="Arial" w:hAnsi="Arial"/>
          <w:sz w:val="16"/>
          <w:szCs w:val="16"/>
          <w:color w:val="auto"/>
        </w:rPr>
        <w:t>Subsidiary or any of its Subsidiaries owns any Equity Interests or Indebtedness of, or owns or holds any Lien on, any property of, Holdings or any Subsidiary of</w:t>
      </w:r>
    </w:p>
    <w:p>
      <w:pPr>
        <w:spacing w:after="0"/>
        <w:rPr>
          <w:sz w:val="20"/>
          <w:szCs w:val="20"/>
          <w:color w:val="auto"/>
        </w:rPr>
      </w:pPr>
      <w:r>
        <w:rPr>
          <w:rFonts w:ascii="Arial" w:cs="Arial" w:eastAsia="Arial" w:hAnsi="Arial"/>
          <w:sz w:val="17"/>
          <w:szCs w:val="17"/>
          <w:color w:val="auto"/>
        </w:rPr>
        <w:t xml:space="preserve">Holdings (other than any Subsidiary of the Subsidiary to be so designated or an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4" w:lineRule="exact"/>
        <w:rPr>
          <w:sz w:val="20"/>
          <w:szCs w:val="20"/>
          <w:color w:val="auto"/>
        </w:rPr>
      </w:pPr>
    </w:p>
    <w:p>
      <w:pPr>
        <w:ind w:left="1600" w:hanging="359"/>
        <w:spacing w:after="0"/>
        <w:tabs>
          <w:tab w:leader="none" w:pos="1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such designation complies with </w:t>
      </w:r>
      <w:r>
        <w:rPr>
          <w:rFonts w:ascii="Arial" w:cs="Arial" w:eastAsia="Arial" w:hAnsi="Arial"/>
          <w:sz w:val="17"/>
          <w:szCs w:val="17"/>
          <w:u w:val="single" w:color="auto"/>
          <w:color w:val="auto"/>
        </w:rPr>
        <w:t>Section 10.5</w:t>
      </w:r>
      <w:r>
        <w:rPr>
          <w:rFonts w:ascii="Arial" w:cs="Arial" w:eastAsia="Arial" w:hAnsi="Arial"/>
          <w:sz w:val="17"/>
          <w:szCs w:val="17"/>
          <w:color w:val="auto"/>
        </w:rPr>
        <w:t>; and</w:t>
      </w:r>
    </w:p>
    <w:p>
      <w:pPr>
        <w:spacing w:after="0" w:line="191" w:lineRule="exact"/>
        <w:rPr>
          <w:rFonts w:ascii="Arial" w:cs="Arial" w:eastAsia="Arial" w:hAnsi="Arial"/>
          <w:sz w:val="17"/>
          <w:szCs w:val="17"/>
          <w:color w:val="auto"/>
        </w:rPr>
      </w:pPr>
    </w:p>
    <w:p>
      <w:pPr>
        <w:ind w:left="620" w:right="360" w:firstLine="621"/>
        <w:spacing w:after="0" w:line="226" w:lineRule="auto"/>
        <w:tabs>
          <w:tab w:leader="none" w:pos="1611"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Holdings or any Restricted Subsidiary.</w:t>
      </w:r>
    </w:p>
    <w:p>
      <w:pPr>
        <w:spacing w:after="0" w:line="170" w:lineRule="exact"/>
        <w:rPr>
          <w:sz w:val="20"/>
          <w:szCs w:val="20"/>
          <w:color w:val="auto"/>
        </w:rPr>
      </w:pPr>
    </w:p>
    <w:p>
      <w:pPr>
        <w:ind w:firstLine="619"/>
        <w:spacing w:after="0" w:line="226" w:lineRule="auto"/>
        <w:rPr>
          <w:sz w:val="20"/>
          <w:szCs w:val="20"/>
          <w:color w:val="auto"/>
        </w:rPr>
      </w:pPr>
      <w:r>
        <w:rPr>
          <w:rFonts w:ascii="Arial" w:cs="Arial" w:eastAsia="Arial" w:hAnsi="Arial"/>
          <w:sz w:val="17"/>
          <w:szCs w:val="17"/>
          <w:color w:val="auto"/>
        </w:rPr>
        <w:t xml:space="preserve">The board of directors of Holdings may designate any Unrestricted Subsidiary to be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designation no Event of Default shall have occurred and be continuing and Holdings could incur at least $1.00 of additional Indebtedness pursuant to the Consolidated Total Debt to Consolidated EBITDA Ratio test set forth in the first paragraph of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70" w:lineRule="exact"/>
        <w:rPr>
          <w:sz w:val="20"/>
          <w:szCs w:val="20"/>
          <w:color w:val="auto"/>
        </w:rPr>
      </w:pPr>
    </w:p>
    <w:p>
      <w:pPr>
        <w:ind w:right="240" w:firstLine="619"/>
        <w:spacing w:after="0" w:line="226" w:lineRule="auto"/>
        <w:rPr>
          <w:sz w:val="20"/>
          <w:szCs w:val="20"/>
          <w:color w:val="auto"/>
        </w:rPr>
      </w:pPr>
      <w:r>
        <w:rPr>
          <w:rFonts w:ascii="Arial" w:cs="Arial" w:eastAsia="Arial" w:hAnsi="Arial"/>
          <w:sz w:val="17"/>
          <w:szCs w:val="17"/>
          <w:color w:val="auto"/>
        </w:rPr>
        <w:t>Any such designation by the board of directors of Holdings shall be notified by Holdings to the Administrative Agent by promptly delivering to the Administrative Agent a copy of the Board resolution giving effect to such designation and a certificate of an Authorized Officer of Holdings certifying that such designation complied with the foregoing provisions.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United States</w:t>
      </w:r>
      <w:r>
        <w:rPr>
          <w:rFonts w:ascii="Arial" w:cs="Arial" w:eastAsia="Arial" w:hAnsi="Arial"/>
          <w:sz w:val="17"/>
          <w:szCs w:val="17"/>
          <w:color w:val="auto"/>
        </w:rPr>
        <w:t>” shall mean the United States of America.</w:t>
      </w:r>
    </w:p>
    <w:p>
      <w:pPr>
        <w:spacing w:after="0" w:line="178" w:lineRule="exact"/>
        <w:rPr>
          <w:sz w:val="20"/>
          <w:szCs w:val="20"/>
          <w:color w:val="auto"/>
        </w:rPr>
      </w:pPr>
    </w:p>
    <w:p>
      <w:pPr>
        <w:ind w:right="48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U.S. Government Securities Business Day</w:t>
      </w:r>
      <w:r>
        <w:rPr>
          <w:rFonts w:ascii="Arial" w:cs="Arial" w:eastAsia="Arial" w:hAnsi="Arial"/>
          <w:sz w:val="15"/>
          <w:szCs w:val="15"/>
          <w:color w:val="auto"/>
        </w:rPr>
        <w:t>” shall mean any Business Day, except any Business Day on which any of the Securities Industry and Financial Markets Association, the New York Stock Exchange or the Federal Reserve Bank of New York is not open for business because such day is a legal</w:t>
      </w:r>
    </w:p>
    <w:p>
      <w:pPr>
        <w:spacing w:after="0"/>
        <w:rPr>
          <w:sz w:val="20"/>
          <w:szCs w:val="20"/>
          <w:color w:val="auto"/>
        </w:rPr>
      </w:pPr>
      <w:r>
        <w:rPr>
          <w:rFonts w:ascii="Arial" w:cs="Arial" w:eastAsia="Arial" w:hAnsi="Arial"/>
          <w:sz w:val="17"/>
          <w:szCs w:val="17"/>
          <w:color w:val="auto"/>
        </w:rPr>
        <w:t>holiday under the federal laws of the United States or the laws of the State of New York, as applicable.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Lender</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5.4(e)(ii)(A)</w:t>
      </w:r>
      <w:r>
        <w:rPr>
          <w:rFonts w:ascii="Arial" w:cs="Arial" w:eastAsia="Arial" w:hAnsi="Arial"/>
          <w:sz w:val="17"/>
          <w:szCs w:val="17"/>
          <w:color w:val="auto"/>
        </w:rPr>
        <w:t>.</w:t>
      </w:r>
    </w:p>
    <w:p>
      <w:pPr>
        <w:spacing w:after="0" w:line="178" w:lineRule="exact"/>
        <w:rPr>
          <w:sz w:val="20"/>
          <w:szCs w:val="20"/>
          <w:color w:val="auto"/>
        </w:rPr>
      </w:pPr>
    </w:p>
    <w:p>
      <w:pPr>
        <w:ind w:right="4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shall mean, with respect to any Person as of any date, the Capital Stock of such Person that is at the time entitled to vote in the election of the board of directors of such Person.</w:t>
      </w:r>
    </w:p>
    <w:p>
      <w:pPr>
        <w:spacing w:after="0" w:line="139" w:lineRule="exact"/>
        <w:rPr>
          <w:sz w:val="20"/>
          <w:szCs w:val="20"/>
          <w:color w:val="auto"/>
        </w:rPr>
      </w:pPr>
    </w:p>
    <w:p>
      <w:pPr>
        <w:ind w:right="5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Wal-Mart Agreements</w:t>
      </w:r>
      <w:r>
        <w:rPr>
          <w:rFonts w:ascii="Arial" w:cs="Arial" w:eastAsia="Arial" w:hAnsi="Arial"/>
          <w:sz w:val="15"/>
          <w:szCs w:val="15"/>
          <w:color w:val="auto"/>
        </w:rPr>
        <w:t>” shall mean (i) the Management &amp; Services Agreement, dated as of May 1, 2012, by and among Wal-Mart Stores, Inc., a Delaware corporation (“</w:t>
      </w:r>
      <w:r>
        <w:rPr>
          <w:rFonts w:ascii="Arial" w:cs="Arial" w:eastAsia="Arial" w:hAnsi="Arial"/>
          <w:sz w:val="15"/>
          <w:szCs w:val="15"/>
          <w:u w:val="single" w:color="auto"/>
          <w:color w:val="auto"/>
        </w:rPr>
        <w:t>Wal-Mart</w:t>
      </w:r>
      <w:r>
        <w:rPr>
          <w:rFonts w:ascii="Arial" w:cs="Arial" w:eastAsia="Arial" w:hAnsi="Arial"/>
          <w:sz w:val="15"/>
          <w:szCs w:val="15"/>
          <w:color w:val="auto"/>
        </w:rPr>
        <w:t>”), its U.S. operating subsidiaries, including Sam’s West, Inc., and the Borrower, (ii) the Lease of Premises and License of</w:t>
      </w:r>
    </w:p>
    <w:p>
      <w:pPr>
        <w:ind w:right="40"/>
        <w:spacing w:after="0" w:line="239" w:lineRule="auto"/>
        <w:rPr>
          <w:sz w:val="20"/>
          <w:szCs w:val="20"/>
          <w:color w:val="auto"/>
        </w:rPr>
      </w:pPr>
      <w:r>
        <w:rPr>
          <w:rFonts w:ascii="Arial" w:cs="Arial" w:eastAsia="Arial" w:hAnsi="Arial"/>
          <w:sz w:val="15"/>
          <w:szCs w:val="15"/>
          <w:color w:val="auto"/>
        </w:rPr>
        <w:t>Equipment, dated May 2, 2009, by and among Wal-Mart, its affiliates and subsidiaries and FirstSight, as amended by the First Amendment to FirstSight Lease, dated as of March 31, 2012, (iii) the Management and Services Agreement, dated as of December 17, 2012, by and between Wal-Mart, but excluding its United States operating subsidiaries Sam’s West, Inc., a Delaware corporation, and Sam’s East Inc., a Delaware corporation (together with Sam’s West, Inc., “Sam’s”) and</w:t>
      </w:r>
    </w:p>
    <w:p>
      <w:pPr>
        <w:ind w:right="100"/>
        <w:spacing w:after="0" w:line="239" w:lineRule="auto"/>
        <w:rPr>
          <w:sz w:val="20"/>
          <w:szCs w:val="20"/>
          <w:color w:val="auto"/>
        </w:rPr>
      </w:pPr>
      <w:r>
        <w:rPr>
          <w:rFonts w:ascii="Arial" w:cs="Arial" w:eastAsia="Arial" w:hAnsi="Arial"/>
          <w:sz w:val="15"/>
          <w:szCs w:val="15"/>
          <w:color w:val="auto"/>
        </w:rPr>
        <w:t xml:space="preserve">Arlington Contact Lens Services, Inc., an Ohio corporation (“ </w:t>
      </w:r>
      <w:r>
        <w:rPr>
          <w:rFonts w:ascii="Arial" w:cs="Arial" w:eastAsia="Arial" w:hAnsi="Arial"/>
          <w:sz w:val="15"/>
          <w:szCs w:val="15"/>
          <w:u w:val="single" w:color="auto"/>
          <w:color w:val="auto"/>
        </w:rPr>
        <w:t>AC Lens</w:t>
      </w:r>
      <w:r>
        <w:rPr>
          <w:rFonts w:ascii="Arial" w:cs="Arial" w:eastAsia="Arial" w:hAnsi="Arial"/>
          <w:sz w:val="15"/>
          <w:szCs w:val="15"/>
          <w:color w:val="auto"/>
        </w:rPr>
        <w:t>”), (iv) the Management and Services Agreement, dated as of December 17, 2012, by and among Sam’s and its operating subsidiaries and AC Lens, (v) the Professional Office Lease Agreement, dated as of May 1, 2012, by and among Wal-Mart, its affiliates and subsidiaries and the Borrower and (vi) the Supplier Agreement, dated as of May 1, 2012, by and among the Borrower and Wal-Mart, in each case, as</w:t>
      </w:r>
    </w:p>
    <w:p>
      <w:pPr>
        <w:spacing w:after="0"/>
        <w:rPr>
          <w:sz w:val="20"/>
          <w:szCs w:val="20"/>
          <w:color w:val="auto"/>
        </w:rPr>
      </w:pPr>
      <w:r>
        <w:rPr>
          <w:rFonts w:ascii="Arial" w:cs="Arial" w:eastAsia="Arial" w:hAnsi="Arial"/>
          <w:sz w:val="17"/>
          <w:szCs w:val="17"/>
          <w:color w:val="auto"/>
        </w:rPr>
        <w:t>amended, restated, amended and restated, supplemented, otherwise modified or replaced from time to time.</w:t>
      </w:r>
    </w:p>
    <w:p>
      <w:pPr>
        <w:spacing w:after="0" w:line="158" w:lineRule="exact"/>
        <w:rPr>
          <w:sz w:val="20"/>
          <w:szCs w:val="20"/>
          <w:color w:val="auto"/>
        </w:rPr>
      </w:pPr>
    </w:p>
    <w:p>
      <w:pPr>
        <w:ind w:right="320" w:firstLine="619"/>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Wholly-Owned Restricted Subsidiary</w:t>
      </w:r>
      <w:r>
        <w:rPr>
          <w:rFonts w:ascii="Arial" w:cs="Arial" w:eastAsia="Arial" w:hAnsi="Arial"/>
          <w:sz w:val="15"/>
          <w:szCs w:val="15"/>
          <w:color w:val="auto"/>
        </w:rPr>
        <w:t>” of any Person shall mean a Restricted Subsidiary of such Person, 100% of the outstanding Capital Stock or other ownership interests of which (other than directors’ qualifying shares) shall at the time be owned by such Person or by one or more Wholly-Owned</w:t>
      </w:r>
    </w:p>
    <w:p>
      <w:pPr>
        <w:spacing w:after="0"/>
        <w:rPr>
          <w:sz w:val="20"/>
          <w:szCs w:val="20"/>
          <w:color w:val="auto"/>
        </w:rPr>
      </w:pPr>
      <w:r>
        <w:rPr>
          <w:rFonts w:ascii="Arial" w:cs="Arial" w:eastAsia="Arial" w:hAnsi="Arial"/>
          <w:sz w:val="17"/>
          <w:szCs w:val="17"/>
          <w:color w:val="auto"/>
        </w:rPr>
        <w:t>Subsidiaries of such Person.</w:t>
      </w:r>
    </w:p>
    <w:p>
      <w:pPr>
        <w:spacing w:after="0" w:line="158" w:lineRule="exact"/>
        <w:rPr>
          <w:sz w:val="20"/>
          <w:szCs w:val="20"/>
          <w:color w:val="auto"/>
        </w:rPr>
      </w:pPr>
    </w:p>
    <w:p>
      <w:pPr>
        <w:ind w:right="80" w:firstLine="61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Wholly-Owned Subsidiary</w:t>
      </w:r>
      <w:r>
        <w:rPr>
          <w:rFonts w:ascii="Arial" w:cs="Arial" w:eastAsia="Arial" w:hAnsi="Arial"/>
          <w:sz w:val="15"/>
          <w:szCs w:val="15"/>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00" w:lineRule="exact"/>
        <w:rPr>
          <w:sz w:val="20"/>
          <w:szCs w:val="20"/>
          <w:color w:val="auto"/>
        </w:rPr>
      </w:pPr>
    </w:p>
    <w:p>
      <w:pPr>
        <w:ind w:right="26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Withdrawal Liability</w:t>
      </w:r>
      <w:r>
        <w:rPr>
          <w:rFonts w:ascii="Arial" w:cs="Arial" w:eastAsia="Arial" w:hAnsi="Arial"/>
          <w:sz w:val="17"/>
          <w:szCs w:val="17"/>
          <w:color w:val="auto"/>
        </w:rPr>
        <w:t>” shall mean liability to a Multiemployer Plan as a result of a complete or partial withdrawal from such Multiemployer Plan, as such terms are defined in Title IV of ERISA.</w:t>
      </w:r>
    </w:p>
    <w:p>
      <w:pPr>
        <w:spacing w:after="0" w:line="139" w:lineRule="exact"/>
        <w:rPr>
          <w:sz w:val="20"/>
          <w:szCs w:val="20"/>
          <w:color w:val="auto"/>
        </w:rPr>
      </w:pPr>
    </w:p>
    <w:p>
      <w:pPr>
        <w:ind w:right="2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Withholding Agent</w:t>
      </w:r>
      <w:r>
        <w:rPr>
          <w:rFonts w:ascii="Arial" w:cs="Arial" w:eastAsia="Arial" w:hAnsi="Arial"/>
          <w:sz w:val="17"/>
          <w:szCs w:val="17"/>
          <w:color w:val="auto"/>
        </w:rPr>
        <w:t>” shall mean any Credit Party, the Administrative Agent and, in the case of any U.S. federal withholding Tax, any other applicable withholding agent.</w:t>
      </w:r>
    </w:p>
    <w:p>
      <w:pPr>
        <w:spacing w:after="0" w:line="165" w:lineRule="exact"/>
        <w:rPr>
          <w:sz w:val="20"/>
          <w:szCs w:val="20"/>
          <w:color w:val="auto"/>
        </w:rPr>
      </w:pPr>
    </w:p>
    <w:p>
      <w:pPr>
        <w:ind w:firstLine="619"/>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Write-Down and Conversion Powers</w:t>
      </w:r>
      <w:r>
        <w:rPr>
          <w:rFonts w:ascii="Arial" w:cs="Arial" w:eastAsia="Arial" w:hAnsi="Arial"/>
          <w:sz w:val="15"/>
          <w:szCs w:val="15"/>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w:t>
      </w:r>
    </w:p>
    <w:p>
      <w:pPr>
        <w:spacing w:after="0"/>
        <w:rPr>
          <w:sz w:val="20"/>
          <w:szCs w:val="20"/>
          <w:color w:val="auto"/>
        </w:rPr>
      </w:pPr>
      <w:r>
        <w:rPr>
          <w:rFonts w:ascii="Arial" w:cs="Arial" w:eastAsia="Arial" w:hAnsi="Arial"/>
          <w:sz w:val="17"/>
          <w:szCs w:val="17"/>
          <w:color w:val="auto"/>
        </w:rPr>
        <w:t>that are related to or ancillary to any of those powers</w:t>
      </w:r>
    </w:p>
    <w:p>
      <w:pPr>
        <w:spacing w:after="0" w:line="164" w:lineRule="exact"/>
        <w:rPr>
          <w:sz w:val="20"/>
          <w:szCs w:val="20"/>
          <w:color w:val="auto"/>
        </w:rPr>
      </w:pPr>
    </w:p>
    <w:p>
      <w:pPr>
        <w:ind w:right="280" w:firstLine="619"/>
        <w:spacing w:after="0" w:line="23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Interpretive Provisions</w:t>
      </w:r>
      <w:r>
        <w:rPr>
          <w:rFonts w:ascii="Arial" w:cs="Arial" w:eastAsia="Arial" w:hAnsi="Arial"/>
          <w:sz w:val="17"/>
          <w:szCs w:val="17"/>
          <w:color w:val="auto"/>
        </w:rPr>
        <w:t>. With reference to this Agreement and each other Credit Document, unless otherwise specified herein or in such other Credit Document:</w:t>
      </w:r>
    </w:p>
    <w:p>
      <w:pPr>
        <w:spacing w:after="0" w:line="170" w:lineRule="exact"/>
        <w:rPr>
          <w:sz w:val="20"/>
          <w:szCs w:val="20"/>
          <w:color w:val="auto"/>
        </w:rPr>
      </w:pPr>
    </w:p>
    <w:p>
      <w:pPr>
        <w:ind w:left="1860" w:hanging="619"/>
        <w:spacing w:after="0"/>
        <w:tabs>
          <w:tab w:leader="none" w:pos="1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meanings of defined terms are equally applicable to the singular and plural forms of the defined terms.</w:t>
      </w:r>
    </w:p>
    <w:p>
      <w:pPr>
        <w:spacing w:after="0" w:line="178" w:lineRule="exact"/>
        <w:rPr>
          <w:rFonts w:ascii="Arial" w:cs="Arial" w:eastAsia="Arial" w:hAnsi="Arial"/>
          <w:sz w:val="17"/>
          <w:szCs w:val="17"/>
          <w:color w:val="auto"/>
        </w:rPr>
      </w:pPr>
    </w:p>
    <w:p>
      <w:pPr>
        <w:ind w:left="620" w:right="120" w:firstLine="621"/>
        <w:spacing w:after="0" w:line="236" w:lineRule="auto"/>
        <w:tabs>
          <w:tab w:leader="none" w:pos="18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words “herein”, “hereto”, “hereof”, and “hereunder” and words of similar import when used in any Credit Document shall refer to such Credit Document as a whole and not to any particular provision thereof.</w:t>
      </w:r>
    </w:p>
    <w:p>
      <w:pPr>
        <w:spacing w:after="0" w:line="169" w:lineRule="exact"/>
        <w:rPr>
          <w:rFonts w:ascii="Arial" w:cs="Arial" w:eastAsia="Arial" w:hAnsi="Arial"/>
          <w:sz w:val="17"/>
          <w:szCs w:val="17"/>
          <w:color w:val="auto"/>
        </w:rPr>
      </w:pPr>
    </w:p>
    <w:p>
      <w:pPr>
        <w:ind w:left="1860" w:hanging="619"/>
        <w:spacing w:after="0"/>
        <w:tabs>
          <w:tab w:leader="none" w:pos="1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Section, Exhibit, and Schedule references are to the Credit Document in which such reference appears.</w:t>
      </w:r>
    </w:p>
    <w:p>
      <w:pPr>
        <w:spacing w:after="0" w:line="178" w:lineRule="exact"/>
        <w:rPr>
          <w:rFonts w:ascii="Arial" w:cs="Arial" w:eastAsia="Arial" w:hAnsi="Arial"/>
          <w:sz w:val="17"/>
          <w:szCs w:val="17"/>
          <w:color w:val="auto"/>
        </w:rPr>
      </w:pPr>
    </w:p>
    <w:p>
      <w:pPr>
        <w:ind w:left="1860" w:hanging="619"/>
        <w:spacing w:after="0"/>
        <w:tabs>
          <w:tab w:leader="none" w:pos="1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 “including” is by way of example and not limitation.</w:t>
      </w:r>
    </w:p>
    <w:p>
      <w:pPr>
        <w:spacing w:after="0" w:line="178" w:lineRule="exact"/>
        <w:rPr>
          <w:rFonts w:ascii="Arial" w:cs="Arial" w:eastAsia="Arial" w:hAnsi="Arial"/>
          <w:sz w:val="17"/>
          <w:szCs w:val="17"/>
          <w:color w:val="auto"/>
        </w:rPr>
      </w:pPr>
    </w:p>
    <w:p>
      <w:pPr>
        <w:ind w:left="620" w:right="140" w:firstLine="621"/>
        <w:spacing w:after="0" w:line="248" w:lineRule="auto"/>
        <w:tabs>
          <w:tab w:leader="none" w:pos="18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 “documents” includes any and all instruments, documents, agreements, certificates, notices, reports, financial statements and other writings, however evidenced, whether in physical or electronic form.</w:t>
      </w:r>
    </w:p>
    <w:p>
      <w:pPr>
        <w:spacing w:after="0" w:line="150" w:lineRule="exact"/>
        <w:rPr>
          <w:rFonts w:ascii="Arial" w:cs="Arial" w:eastAsia="Arial" w:hAnsi="Arial"/>
          <w:sz w:val="17"/>
          <w:szCs w:val="17"/>
          <w:color w:val="auto"/>
        </w:rPr>
      </w:pPr>
    </w:p>
    <w:p>
      <w:pPr>
        <w:ind w:left="620" w:right="180" w:firstLine="621"/>
        <w:spacing w:after="0" w:line="236" w:lineRule="auto"/>
        <w:tabs>
          <w:tab w:leader="none" w:pos="18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9" w:lineRule="exact"/>
        <w:rPr>
          <w:rFonts w:ascii="Arial" w:cs="Arial" w:eastAsia="Arial" w:hAnsi="Arial"/>
          <w:sz w:val="17"/>
          <w:szCs w:val="17"/>
          <w:color w:val="auto"/>
        </w:rPr>
      </w:pPr>
    </w:p>
    <w:p>
      <w:pPr>
        <w:ind w:left="620" w:right="480" w:firstLine="621"/>
        <w:spacing w:after="0" w:line="236" w:lineRule="auto"/>
        <w:tabs>
          <w:tab w:leader="none" w:pos="18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Section headings herein and in the other Credit Documents are included for convenience of reference only and shall not affect the interpretation of this Agreement or any other Credit Document.</w:t>
      </w:r>
    </w:p>
    <w:p>
      <w:pPr>
        <w:spacing w:after="0" w:line="157" w:lineRule="exact"/>
        <w:rPr>
          <w:rFonts w:ascii="Arial" w:cs="Arial" w:eastAsia="Arial" w:hAnsi="Arial"/>
          <w:sz w:val="17"/>
          <w:szCs w:val="17"/>
          <w:color w:val="auto"/>
        </w:rPr>
      </w:pPr>
    </w:p>
    <w:p>
      <w:pPr>
        <w:ind w:left="620" w:right="520" w:firstLine="621"/>
        <w:spacing w:after="0" w:line="248" w:lineRule="auto"/>
        <w:tabs>
          <w:tab w:leader="none" w:pos="18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words “asset” and “property” shall be construed to have the same meaning and effect and to refer to any and all tangible and intangible assets and properties, including cash, securities, accounts and contract rights.</w:t>
      </w:r>
    </w:p>
    <w:p>
      <w:pPr>
        <w:spacing w:after="0" w:line="150" w:lineRule="exact"/>
        <w:rPr>
          <w:rFonts w:ascii="Arial" w:cs="Arial" w:eastAsia="Arial" w:hAnsi="Arial"/>
          <w:sz w:val="17"/>
          <w:szCs w:val="17"/>
          <w:color w:val="auto"/>
        </w:rPr>
      </w:pPr>
    </w:p>
    <w:p>
      <w:pPr>
        <w:ind w:left="620" w:right="140" w:firstLine="621"/>
        <w:spacing w:after="0" w:line="236" w:lineRule="auto"/>
        <w:tabs>
          <w:tab w:leader="none" w:pos="18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references to “knowledge” or “awareness” of any Credit Party or any Restricted Subsidiary thereof means the actual knowledge of an Authorized Officer of such Credit Party or such Restricted Subsidiary.</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u w:val="single" w:color="auto"/>
          <w:color w:val="auto"/>
        </w:rPr>
        <w:t>Accounting Terms</w:t>
      </w:r>
      <w:r>
        <w:rPr>
          <w:rFonts w:ascii="Arial" w:cs="Arial" w:eastAsia="Arial" w:hAnsi="Arial"/>
          <w:sz w:val="15"/>
          <w:szCs w:val="15"/>
          <w:color w:val="auto"/>
        </w:rPr>
        <w:t>.</w:t>
      </w:r>
    </w:p>
    <w:p>
      <w:pPr>
        <w:spacing w:after="0" w:line="178" w:lineRule="exact"/>
        <w:rPr>
          <w:sz w:val="20"/>
          <w:szCs w:val="20"/>
          <w:color w:val="auto"/>
        </w:rPr>
      </w:pPr>
    </w:p>
    <w:p>
      <w:pPr>
        <w:ind w:right="260" w:firstLine="622"/>
        <w:spacing w:after="0" w:line="231" w:lineRule="auto"/>
        <w:tabs>
          <w:tab w:leader="none" w:pos="1238"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57" w:lineRule="exact"/>
        <w:rPr>
          <w:rFonts w:ascii="Arial" w:cs="Arial" w:eastAsia="Arial" w:hAnsi="Arial"/>
          <w:sz w:val="17"/>
          <w:szCs w:val="17"/>
          <w:color w:val="auto"/>
        </w:rPr>
      </w:pPr>
    </w:p>
    <w:p>
      <w:pPr>
        <w:ind w:right="120" w:firstLine="622"/>
        <w:spacing w:after="0" w:line="236" w:lineRule="auto"/>
        <w:tabs>
          <w:tab w:leader="none" w:pos="1238"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Notwithstanding anything to the contrary herein, for purposes of determining compliance with any test or covenant contained in this Agreement with respect to any period during which any Specified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06" w:lineRule="exact"/>
        <w:rPr>
          <w:sz w:val="20"/>
          <w:szCs w:val="20"/>
          <w:color w:val="auto"/>
        </w:rPr>
      </w:pPr>
    </w:p>
    <w:p>
      <w:pPr>
        <w:ind w:right="420"/>
        <w:spacing w:after="0" w:line="248" w:lineRule="auto"/>
        <w:rPr>
          <w:sz w:val="20"/>
          <w:szCs w:val="20"/>
          <w:color w:val="auto"/>
        </w:rPr>
      </w:pPr>
      <w:r>
        <w:rPr>
          <w:rFonts w:ascii="Arial" w:cs="Arial" w:eastAsia="Arial" w:hAnsi="Arial"/>
          <w:sz w:val="17"/>
          <w:szCs w:val="17"/>
          <w:color w:val="auto"/>
        </w:rPr>
        <w:t>occurs, the Consolidated Total Debt to Consolidated EBITDA Ratio and the Total Leverage Test shall each be calculated with respect to such period and such Specified Transaction on a Pro Forma Basis.</w:t>
      </w:r>
    </w:p>
    <w:p>
      <w:pPr>
        <w:spacing w:after="0" w:line="150" w:lineRule="exact"/>
        <w:rPr>
          <w:sz w:val="20"/>
          <w:szCs w:val="20"/>
          <w:color w:val="auto"/>
        </w:rPr>
      </w:pPr>
    </w:p>
    <w:p>
      <w:pPr>
        <w:ind w:right="120" w:firstLine="622"/>
        <w:spacing w:after="0" w:line="236" w:lineRule="auto"/>
        <w:tabs>
          <w:tab w:leader="none" w:pos="1238"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Where reference is made to “Holdings and the Restricted Subsidiaries on a consolidated basis” or similar language, such consolidation shall not include any Subsidiaries of Holdings other than Restricted Subsidiaries.</w:t>
      </w:r>
    </w:p>
    <w:p>
      <w:pPr>
        <w:spacing w:after="0" w:line="170" w:lineRule="exact"/>
        <w:rPr>
          <w:sz w:val="20"/>
          <w:szCs w:val="20"/>
          <w:color w:val="auto"/>
        </w:rPr>
      </w:pPr>
    </w:p>
    <w:p>
      <w:pPr>
        <w:ind w:right="80" w:firstLine="619"/>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70" w:lineRule="exact"/>
        <w:rPr>
          <w:sz w:val="20"/>
          <w:szCs w:val="20"/>
          <w:color w:val="auto"/>
        </w:rPr>
      </w:pPr>
    </w:p>
    <w:p>
      <w:pPr>
        <w:ind w:right="380" w:firstLine="619"/>
        <w:spacing w:after="0" w:line="245"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References to Agreements Laws, Etc</w:t>
      </w:r>
      <w:r>
        <w:rPr>
          <w:rFonts w:ascii="Arial" w:cs="Arial" w:eastAsia="Arial" w:hAnsi="Arial"/>
          <w:sz w:val="15"/>
          <w:szCs w:val="15"/>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restatements, amendment, and restatements, extensions, supplements, modifications, replacements, refinancings, renewals, or increases are permitted by any Credit Document; and (b) references to any Requirement of Law shall include all statutory and regulatory provisions consolidating, amending, replacing, supplementing, or interpreting such Requirement of Law.</w:t>
      </w:r>
    </w:p>
    <w:p>
      <w:pPr>
        <w:spacing w:after="0" w:line="170" w:lineRule="exact"/>
        <w:rPr>
          <w:sz w:val="20"/>
          <w:szCs w:val="20"/>
          <w:color w:val="auto"/>
        </w:rPr>
      </w:pPr>
    </w:p>
    <w:p>
      <w:pPr>
        <w:ind w:right="260" w:firstLine="619"/>
        <w:spacing w:after="0" w:line="245"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Exchange Rates</w:t>
      </w:r>
      <w:r>
        <w:rPr>
          <w:rFonts w:ascii="Arial" w:cs="Arial" w:eastAsia="Arial" w:hAnsi="Arial"/>
          <w:sz w:val="15"/>
          <w:szCs w:val="15"/>
          <w:color w:val="auto"/>
        </w:rPr>
        <w:t xml:space="preserve">. Notwithstanding the foregoing, for purposes of any determination under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determining compliance with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made;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avoidance of</w:t>
      </w:r>
    </w:p>
    <w:p>
      <w:pPr>
        <w:spacing w:after="0" w:line="239" w:lineRule="auto"/>
        <w:rPr>
          <w:sz w:val="20"/>
          <w:szCs w:val="20"/>
          <w:color w:val="auto"/>
        </w:rPr>
      </w:pPr>
      <w:r>
        <w:rPr>
          <w:rFonts w:ascii="Arial" w:cs="Arial" w:eastAsia="Arial" w:hAnsi="Arial"/>
          <w:sz w:val="15"/>
          <w:szCs w:val="15"/>
          <w:color w:val="auto"/>
        </w:rPr>
        <w:t xml:space="preserve">doubt, the foregoing provisions of this </w:t>
      </w:r>
      <w:r>
        <w:rPr>
          <w:rFonts w:ascii="Arial" w:cs="Arial" w:eastAsia="Arial" w:hAnsi="Arial"/>
          <w:sz w:val="15"/>
          <w:szCs w:val="15"/>
          <w:u w:val="single" w:color="auto"/>
          <w:color w:val="auto"/>
        </w:rPr>
        <w:t>Section 1.6</w:t>
      </w:r>
      <w:r>
        <w:rPr>
          <w:rFonts w:ascii="Arial" w:cs="Arial" w:eastAsia="Arial" w:hAnsi="Arial"/>
          <w:sz w:val="15"/>
          <w:szCs w:val="15"/>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amounts in currencies other than Dollars shall be translated into Dollars at the currency exchange rates used in preparing the most recently delivered Section</w:t>
      </w:r>
    </w:p>
    <w:p>
      <w:pPr>
        <w:spacing w:after="0"/>
        <w:rPr>
          <w:sz w:val="20"/>
          <w:szCs w:val="20"/>
          <w:color w:val="auto"/>
        </w:rPr>
      </w:pPr>
      <w:r>
        <w:rPr>
          <w:rFonts w:ascii="Arial" w:cs="Arial" w:eastAsia="Arial" w:hAnsi="Arial"/>
          <w:sz w:val="17"/>
          <w:szCs w:val="17"/>
          <w:color w:val="auto"/>
        </w:rPr>
        <w:t>9.1 Financials.</w:t>
      </w:r>
    </w:p>
    <w:p>
      <w:pPr>
        <w:spacing w:after="0" w:line="164" w:lineRule="exact"/>
        <w:rPr>
          <w:sz w:val="20"/>
          <w:szCs w:val="20"/>
          <w:color w:val="auto"/>
        </w:rPr>
      </w:pPr>
    </w:p>
    <w:p>
      <w:pPr>
        <w:ind w:right="60" w:firstLine="619"/>
        <w:spacing w:after="0" w:line="23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Rates</w:t>
      </w:r>
      <w:r>
        <w:rPr>
          <w:rFonts w:ascii="Arial" w:cs="Arial" w:eastAsia="Arial" w:hAnsi="Arial"/>
          <w:sz w:val="16"/>
          <w:szCs w:val="16"/>
          <w:color w:val="auto"/>
        </w:rPr>
        <w:t>. The Administrative Agent does not warrant, nor accept responsibility, nor shall the Administrative Agent have any liability with respect to the administration, submission, or any other matter related to the rates in the definition of “Term SOFR” or with respect to any rate that is an alternative or</w:t>
      </w:r>
    </w:p>
    <w:p>
      <w:pPr>
        <w:ind w:right="40"/>
        <w:spacing w:after="0" w:line="239" w:lineRule="auto"/>
        <w:rPr>
          <w:sz w:val="20"/>
          <w:szCs w:val="20"/>
          <w:color w:val="auto"/>
        </w:rPr>
      </w:pPr>
      <w:r>
        <w:rPr>
          <w:rFonts w:ascii="Arial" w:cs="Arial" w:eastAsia="Arial" w:hAnsi="Arial"/>
          <w:sz w:val="15"/>
          <w:szCs w:val="15"/>
          <w:color w:val="auto"/>
        </w:rPr>
        <w:t>replacement for or successor to any such rate (including, without limitation, any successor rate pursuant to Section 2.15(b))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w:t>
      </w:r>
    </w:p>
    <w:p>
      <w:pPr>
        <w:ind w:right="320"/>
        <w:spacing w:after="0" w:line="239" w:lineRule="auto"/>
        <w:rPr>
          <w:sz w:val="20"/>
          <w:szCs w:val="20"/>
          <w:color w:val="auto"/>
        </w:rPr>
      </w:pPr>
      <w:r>
        <w:rPr>
          <w:rFonts w:ascii="Arial" w:cs="Arial" w:eastAsia="Arial" w:hAnsi="Arial"/>
          <w:sz w:val="15"/>
          <w:szCs w:val="15"/>
          <w:color w:val="auto"/>
        </w:rPr>
        <w:t xml:space="preserve">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Arial" w:cs="Arial" w:eastAsia="Arial" w:hAnsi="Arial"/>
          <w:sz w:val="15"/>
          <w:szCs w:val="15"/>
          <w:b w:val="1"/>
          <w:bCs w:val="1"/>
          <w:color w:val="auto"/>
        </w:rPr>
        <w:t>(</w:t>
      </w:r>
      <w:r>
        <w:rPr>
          <w:rFonts w:ascii="Arial" w:cs="Arial" w:eastAsia="Arial" w:hAnsi="Arial"/>
          <w:sz w:val="15"/>
          <w:szCs w:val="15"/>
          <w:color w:val="auto"/>
        </w:rPr>
        <w:t>or any component of any of the foregoing), in each case pursuant to the terms of this Agreement, and shall</w:t>
      </w:r>
    </w:p>
    <w:p>
      <w:pPr>
        <w:ind w:right="140"/>
        <w:spacing w:after="0" w:line="254" w:lineRule="auto"/>
        <w:rPr>
          <w:sz w:val="20"/>
          <w:szCs w:val="20"/>
          <w:color w:val="auto"/>
        </w:rPr>
      </w:pPr>
      <w:r>
        <w:rPr>
          <w:rFonts w:ascii="Arial" w:cs="Arial" w:eastAsia="Arial" w:hAnsi="Arial"/>
          <w:sz w:val="15"/>
          <w:szCs w:val="15"/>
          <w:color w:val="auto"/>
        </w:rPr>
        <w:t>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60" w:lineRule="exact"/>
        <w:rPr>
          <w:sz w:val="20"/>
          <w:szCs w:val="20"/>
          <w:color w:val="auto"/>
        </w:rPr>
      </w:pPr>
    </w:p>
    <w:p>
      <w:pPr>
        <w:ind w:right="480" w:firstLine="619"/>
        <w:spacing w:after="0" w:line="236"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Times of Day</w:t>
      </w:r>
      <w:r>
        <w:rPr>
          <w:rFonts w:ascii="Arial" w:cs="Arial" w:eastAsia="Arial" w:hAnsi="Arial"/>
          <w:sz w:val="17"/>
          <w:szCs w:val="17"/>
          <w:color w:val="auto"/>
        </w:rPr>
        <w:t>. Unless otherwise specified, all references herein to times of day shall be references to Eastern time (daylight or standard, as applicable).</w:t>
      </w:r>
    </w:p>
    <w:p>
      <w:pPr>
        <w:spacing w:after="0" w:line="15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u w:val="single" w:color="auto"/>
          <w:color w:val="auto"/>
        </w:rPr>
        <w:t>Timing of Payment or Performance</w:t>
      </w:r>
      <w:r>
        <w:rPr>
          <w:rFonts w:ascii="Arial" w:cs="Arial" w:eastAsia="Arial" w:hAnsi="Arial"/>
          <w:sz w:val="15"/>
          <w:szCs w:val="15"/>
          <w:color w:val="auto"/>
        </w:rPr>
        <w:t>. Except as otherwise provided herein, when the payment of any obligation or the performance of any</w:t>
      </w:r>
    </w:p>
    <w:p>
      <w:pPr>
        <w:ind w:right="120"/>
        <w:spacing w:after="0" w:line="220" w:lineRule="auto"/>
        <w:rPr>
          <w:sz w:val="20"/>
          <w:szCs w:val="20"/>
          <w:color w:val="auto"/>
        </w:rPr>
      </w:pPr>
      <w:r>
        <w:rPr>
          <w:rFonts w:ascii="Arial" w:cs="Arial" w:eastAsia="Arial" w:hAnsi="Arial"/>
          <w:sz w:val="17"/>
          <w:szCs w:val="17"/>
          <w:color w:val="auto"/>
        </w:rPr>
        <w:t>covenant, duty, or obligation is stated to be due or performance required on (or before) a day which is not a Business Day, the date of such payment (other than as described in the definition of “</w:t>
      </w:r>
      <w:r>
        <w:rPr>
          <w:rFonts w:ascii="Arial" w:cs="Arial" w:eastAsia="Arial" w:hAnsi="Arial"/>
          <w:sz w:val="17"/>
          <w:szCs w:val="17"/>
          <w:b w:val="1"/>
          <w:bCs w:val="1"/>
          <w:color w:val="auto"/>
        </w:rPr>
        <w:t>Interest Period</w:t>
      </w:r>
      <w:r>
        <w:rPr>
          <w:rFonts w:ascii="Arial" w:cs="Arial" w:eastAsia="Arial" w:hAnsi="Arial"/>
          <w:sz w:val="17"/>
          <w:szCs w:val="17"/>
          <w:color w:val="auto"/>
        </w:rPr>
        <w:t>”) or performance shall extend to the immediately succeeding Business Day, and such extension of time shall be reflected in computing interest or fees,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06" w:lineRule="exact"/>
        <w:rPr>
          <w:sz w:val="20"/>
          <w:szCs w:val="20"/>
          <w:color w:val="auto"/>
        </w:rPr>
      </w:pPr>
    </w:p>
    <w:p>
      <w:pPr>
        <w:ind w:right="200" w:firstLine="619"/>
        <w:spacing w:after="0" w:line="278"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28" w:lineRule="exact"/>
        <w:rPr>
          <w:sz w:val="20"/>
          <w:szCs w:val="20"/>
          <w:color w:val="auto"/>
        </w:rPr>
      </w:pPr>
    </w:p>
    <w:p>
      <w:pPr>
        <w:ind w:right="20" w:firstLine="619"/>
        <w:spacing w:after="0" w:line="251"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Compliance with Certain Sections</w:t>
      </w:r>
      <w:r>
        <w:rPr>
          <w:rFonts w:ascii="Arial" w:cs="Arial" w:eastAsia="Arial" w:hAnsi="Arial"/>
          <w:sz w:val="15"/>
          <w:szCs w:val="15"/>
          <w:color w:val="auto"/>
        </w:rPr>
        <w:t>. In the event that any Lien, Investment, Indebtedness (whether at the time of incurrence or upon application of all or a portion of the proceeds thereof), disposition, Restricted Payment, Affiliate transaction, Contractual Requirement, or prepayment of Indebtedness meets the</w:t>
      </w:r>
    </w:p>
    <w:p>
      <w:pPr>
        <w:spacing w:after="0" w:line="1" w:lineRule="exact"/>
        <w:rPr>
          <w:sz w:val="20"/>
          <w:szCs w:val="20"/>
          <w:color w:val="auto"/>
        </w:rPr>
      </w:pPr>
    </w:p>
    <w:p>
      <w:pPr>
        <w:jc w:val="both"/>
        <w:ind w:right="120"/>
        <w:spacing w:after="0" w:line="220" w:lineRule="auto"/>
        <w:rPr>
          <w:sz w:val="20"/>
          <w:szCs w:val="20"/>
          <w:color w:val="auto"/>
        </w:rPr>
      </w:pPr>
      <w:r>
        <w:rPr>
          <w:rFonts w:ascii="Arial" w:cs="Arial" w:eastAsia="Arial" w:hAnsi="Arial"/>
          <w:sz w:val="17"/>
          <w:szCs w:val="17"/>
          <w:color w:val="auto"/>
        </w:rPr>
        <w:t xml:space="preserve">criteria of one or more than one of the categories of transactions then permitted pursuant to any clause or subsection of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or any clause or subsection of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10.6</w:t>
      </w:r>
      <w:r>
        <w:rPr>
          <w:rFonts w:ascii="Arial" w:cs="Arial" w:eastAsia="Arial" w:hAnsi="Arial"/>
          <w:sz w:val="17"/>
          <w:szCs w:val="17"/>
          <w:color w:val="auto"/>
        </w:rPr>
        <w:t xml:space="preserve"> then, such transaction (or portion thereof) at any time shall be allocated to one or more of such clauses or subsections within the relevant sections as determined by the Borrower in its sole discretion at such time.</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u w:val="single" w:color="auto"/>
          <w:color w:val="auto"/>
        </w:rPr>
        <w:t>Pro Forma and Other Calculations</w:t>
      </w:r>
      <w:r>
        <w:rPr>
          <w:rFonts w:ascii="Arial" w:cs="Arial" w:eastAsia="Arial" w:hAnsi="Arial"/>
          <w:sz w:val="15"/>
          <w:szCs w:val="15"/>
          <w:color w:val="auto"/>
        </w:rPr>
        <w:t>.</w:t>
      </w:r>
    </w:p>
    <w:p>
      <w:pPr>
        <w:spacing w:after="0" w:line="178" w:lineRule="exact"/>
        <w:rPr>
          <w:sz w:val="20"/>
          <w:szCs w:val="20"/>
          <w:color w:val="auto"/>
        </w:rPr>
      </w:pPr>
    </w:p>
    <w:p>
      <w:pPr>
        <w:ind w:firstLine="622"/>
        <w:spacing w:after="0" w:line="227" w:lineRule="auto"/>
        <w:tabs>
          <w:tab w:leader="none" w:pos="1238"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purposes of calculating any financial ratio, Investments, acquisitions, dispositions, mergers, consolidations, and disposed operations (as determined in accordance with GAAP) that have been made by Holdings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Holdings or any Restricted Subsidiary since the beginning of such period) shall have made any Investment, acquisition, disposition, merger, consolidation, or disposed operation that would have required adjustment pursuant to this definition, then the applicable financial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Consolidated Total Debt to Consolidated EBITDA Ratio) (any such amounts, the “</w:t>
      </w:r>
      <w:r>
        <w:rPr>
          <w:rFonts w:ascii="Arial" w:cs="Arial" w:eastAsia="Arial" w:hAnsi="Arial"/>
          <w:sz w:val="16"/>
          <w:szCs w:val="16"/>
          <w:b w:val="1"/>
          <w:bCs w:val="1"/>
          <w:color w:val="auto"/>
        </w:rPr>
        <w:t>Fixed Amounts</w:t>
      </w:r>
      <w:r>
        <w:rPr>
          <w:rFonts w:ascii="Arial" w:cs="Arial" w:eastAsia="Arial" w:hAnsi="Arial"/>
          <w:sz w:val="16"/>
          <w:szCs w:val="16"/>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6"/>
          <w:szCs w:val="16"/>
          <w:b w:val="1"/>
          <w:bCs w:val="1"/>
          <w:color w:val="auto"/>
        </w:rPr>
        <w:t>Incurrence Based Amounts</w:t>
      </w:r>
      <w:r>
        <w:rPr>
          <w:rFonts w:ascii="Arial" w:cs="Arial" w:eastAsia="Arial" w:hAnsi="Arial"/>
          <w:sz w:val="16"/>
          <w:szCs w:val="16"/>
          <w:color w:val="auto"/>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60" w:firstLine="622"/>
        <w:spacing w:after="0" w:line="228" w:lineRule="auto"/>
        <w:tabs>
          <w:tab w:leader="none" w:pos="123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any action being taken solely in connection with a Limited Condition Transaction,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06" w:lineRule="exact"/>
        <w:rPr>
          <w:sz w:val="20"/>
          <w:szCs w:val="20"/>
          <w:color w:val="auto"/>
        </w:rPr>
      </w:pPr>
    </w:p>
    <w:p>
      <w:pPr>
        <w:ind w:left="620" w:right="660" w:firstLine="868"/>
        <w:spacing w:after="0" w:line="248" w:lineRule="auto"/>
        <w:tabs>
          <w:tab w:leader="none" w:pos="18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determining compliance with any provision of this Agreement which requires the calculation of the Consolidated Total Debt to Consolidated EBITDA Ratio; or</w:t>
      </w:r>
    </w:p>
    <w:p>
      <w:pPr>
        <w:spacing w:after="0" w:line="150" w:lineRule="exact"/>
        <w:rPr>
          <w:rFonts w:ascii="Arial" w:cs="Arial" w:eastAsia="Arial" w:hAnsi="Arial"/>
          <w:sz w:val="17"/>
          <w:szCs w:val="17"/>
          <w:color w:val="auto"/>
        </w:rPr>
      </w:pPr>
    </w:p>
    <w:p>
      <w:pPr>
        <w:ind w:left="620" w:right="200" w:firstLine="868"/>
        <w:spacing w:after="0" w:line="231" w:lineRule="auto"/>
        <w:tabs>
          <w:tab w:leader="none" w:pos="18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other than for purposes of determining the satisfaction of the conditions precedent to extensions of credit under the Revolving Credit Commitment, determining the accuracy of representations and warranties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and/or whether a Default or Event of Default shall have occurred and be continuing under </w:t>
      </w:r>
      <w:r>
        <w:rPr>
          <w:rFonts w:ascii="Arial" w:cs="Arial" w:eastAsia="Arial" w:hAnsi="Arial"/>
          <w:sz w:val="17"/>
          <w:szCs w:val="17"/>
          <w:u w:val="single" w:color="auto"/>
          <w:color w:val="auto"/>
        </w:rPr>
        <w:t>Section 11</w:t>
      </w:r>
      <w:r>
        <w:rPr>
          <w:rFonts w:ascii="Arial" w:cs="Arial" w:eastAsia="Arial" w:hAnsi="Arial"/>
          <w:sz w:val="17"/>
          <w:szCs w:val="17"/>
          <w:color w:val="auto"/>
        </w:rPr>
        <w:t>; or</w:t>
      </w:r>
    </w:p>
    <w:p>
      <w:pPr>
        <w:spacing w:after="0" w:line="157" w:lineRule="exact"/>
        <w:rPr>
          <w:rFonts w:ascii="Arial" w:cs="Arial" w:eastAsia="Arial" w:hAnsi="Arial"/>
          <w:sz w:val="17"/>
          <w:szCs w:val="17"/>
          <w:color w:val="auto"/>
        </w:rPr>
      </w:pPr>
    </w:p>
    <w:p>
      <w:pPr>
        <w:ind w:left="620" w:right="200" w:firstLine="868"/>
        <w:spacing w:after="0" w:line="236" w:lineRule="auto"/>
        <w:tabs>
          <w:tab w:leader="none" w:pos="18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testing availability under baskets set forth in this agreement (including baskets measured as a percentage of Consolidated EBITDA or Consolidated Total Assets);</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in each case, at the option of the Borrower (the Borrower’s election to exercise such option in connection with any Limited Condition Transaction, an “</w:t>
      </w:r>
      <w:r>
        <w:rPr>
          <w:rFonts w:ascii="Arial" w:cs="Arial" w:eastAsia="Arial" w:hAnsi="Arial"/>
          <w:sz w:val="15"/>
          <w:szCs w:val="15"/>
          <w:b w:val="1"/>
          <w:bCs w:val="1"/>
          <w:color w:val="auto"/>
        </w:rPr>
        <w:t>LCT</w:t>
      </w:r>
      <w:r>
        <w:rPr>
          <w:rFonts w:ascii="Arial" w:cs="Arial" w:eastAsia="Arial" w:hAnsi="Arial"/>
          <w:sz w:val="15"/>
          <w:szCs w:val="15"/>
          <w:color w:val="auto"/>
        </w:rPr>
        <w:t xml:space="preserve"> </w:t>
      </w:r>
      <w:r>
        <w:rPr>
          <w:rFonts w:ascii="Arial" w:cs="Arial" w:eastAsia="Arial" w:hAnsi="Arial"/>
          <w:sz w:val="15"/>
          <w:szCs w:val="15"/>
          <w:b w:val="1"/>
          <w:bCs w:val="1"/>
          <w:color w:val="auto"/>
        </w:rPr>
        <w:t>Election</w:t>
      </w:r>
      <w:r>
        <w:rPr>
          <w:rFonts w:ascii="Arial" w:cs="Arial" w:eastAsia="Arial" w:hAnsi="Arial"/>
          <w:sz w:val="15"/>
          <w:szCs w:val="15"/>
          <w:color w:val="auto"/>
        </w:rPr>
        <w:t>”) (it being understood and agreed that the Borrower may elect to revoke any LCT Election in its sole discretion), the date of determination of whether any</w:t>
      </w:r>
      <w:r>
        <w:rPr>
          <w:rFonts w:ascii="Arial" w:cs="Arial" w:eastAsia="Arial" w:hAnsi="Arial"/>
          <w:sz w:val="15"/>
          <w:szCs w:val="15"/>
          <w:b w:val="1"/>
          <w:bCs w:val="1"/>
          <w:color w:val="auto"/>
        </w:rPr>
        <w:t xml:space="preserve"> </w:t>
      </w:r>
      <w:r>
        <w:rPr>
          <w:rFonts w:ascii="Arial" w:cs="Arial" w:eastAsia="Arial" w:hAnsi="Arial"/>
          <w:sz w:val="15"/>
          <w:szCs w:val="15"/>
          <w:color w:val="auto"/>
        </w:rPr>
        <w:t>such action is permitted hereunder, shall be deemed to be the date the definitive agreements for such Limited Condition Transaction are entered into (the “</w:t>
      </w:r>
      <w:r>
        <w:rPr>
          <w:rFonts w:ascii="Arial" w:cs="Arial" w:eastAsia="Arial" w:hAnsi="Arial"/>
          <w:sz w:val="15"/>
          <w:szCs w:val="15"/>
          <w:b w:val="1"/>
          <w:bCs w:val="1"/>
          <w:color w:val="auto"/>
        </w:rPr>
        <w:t>LCT</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b w:val="1"/>
          <w:bCs w:val="1"/>
          <w:color w:val="auto"/>
        </w:rPr>
        <w:t>Test Date</w:t>
      </w:r>
      <w:r>
        <w:rPr>
          <w:rFonts w:ascii="Arial" w:cs="Arial" w:eastAsia="Arial" w:hAnsi="Arial"/>
          <w:sz w:val="15"/>
          <w:szCs w:val="15"/>
          <w:color w:val="auto"/>
        </w:rPr>
        <w:t>”), and if, after giving Pro Forma Effect to the Limited Condition Transaction and the other transactions to be entered into in connection therewith</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w:t>
      </w:r>
    </w:p>
    <w:p>
      <w:pPr>
        <w:jc w:val="both"/>
        <w:ind w:right="80"/>
        <w:spacing w:after="0" w:line="239" w:lineRule="auto"/>
        <w:rPr>
          <w:sz w:val="20"/>
          <w:szCs w:val="20"/>
          <w:color w:val="auto"/>
        </w:rPr>
      </w:pPr>
      <w:r>
        <w:rPr>
          <w:rFonts w:ascii="Arial" w:cs="Arial" w:eastAsia="Arial" w:hAnsi="Arial"/>
          <w:sz w:val="15"/>
          <w:szCs w:val="15"/>
          <w:color w:val="auto"/>
        </w:rPr>
        <w:t>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w:t>
      </w:r>
    </w:p>
    <w:p>
      <w:pPr>
        <w:jc w:val="both"/>
        <w:ind w:right="160"/>
        <w:spacing w:after="0" w:line="239" w:lineRule="auto"/>
        <w:rPr>
          <w:sz w:val="20"/>
          <w:szCs w:val="20"/>
          <w:color w:val="auto"/>
        </w:rPr>
      </w:pPr>
      <w:r>
        <w:rPr>
          <w:rFonts w:ascii="Arial" w:cs="Arial" w:eastAsia="Arial" w:hAnsi="Arial"/>
          <w:sz w:val="15"/>
          <w:szCs w:val="15"/>
          <w:color w:val="auto"/>
        </w:rPr>
        <w:t>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w:t>
      </w:r>
    </w:p>
    <w:p>
      <w:pPr>
        <w:ind w:right="100"/>
        <w:spacing w:after="0" w:line="239" w:lineRule="auto"/>
        <w:rPr>
          <w:sz w:val="20"/>
          <w:szCs w:val="20"/>
          <w:color w:val="auto"/>
        </w:rPr>
      </w:pPr>
      <w:r>
        <w:rPr>
          <w:rFonts w:ascii="Arial" w:cs="Arial" w:eastAsia="Arial" w:hAnsi="Arial"/>
          <w:sz w:val="15"/>
          <w:szCs w:val="15"/>
          <w:color w:val="auto"/>
        </w:rPr>
        <w:t>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w:t>
      </w:r>
    </w:p>
    <w:p>
      <w:pPr>
        <w:jc w:val="both"/>
        <w:ind w:right="40"/>
        <w:spacing w:after="0" w:line="220" w:lineRule="auto"/>
        <w:rPr>
          <w:sz w:val="20"/>
          <w:szCs w:val="20"/>
          <w:color w:val="auto"/>
        </w:rPr>
      </w:pPr>
      <w:r>
        <w:rPr>
          <w:rFonts w:ascii="Arial" w:cs="Arial" w:eastAsia="Arial" w:hAnsi="Arial"/>
          <w:sz w:val="17"/>
          <w:szCs w:val="17"/>
          <w:color w:val="auto"/>
        </w:rPr>
        <w:t>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spacing w:after="0" w:line="170" w:lineRule="exact"/>
        <w:rPr>
          <w:sz w:val="20"/>
          <w:szCs w:val="20"/>
          <w:color w:val="auto"/>
        </w:rPr>
      </w:pPr>
    </w:p>
    <w:p>
      <w:pPr>
        <w:jc w:val="both"/>
        <w:ind w:right="160" w:firstLine="622"/>
        <w:spacing w:after="0" w:line="224" w:lineRule="auto"/>
        <w:tabs>
          <w:tab w:leader="none" w:pos="12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p>
    <w:p>
      <w:pPr>
        <w:spacing w:after="0" w:line="159" w:lineRule="exact"/>
        <w:rPr>
          <w:rFonts w:ascii="Arial" w:cs="Arial" w:eastAsia="Arial" w:hAnsi="Arial"/>
          <w:sz w:val="17"/>
          <w:szCs w:val="17"/>
          <w:color w:val="auto"/>
        </w:rPr>
      </w:pPr>
    </w:p>
    <w:p>
      <w:pPr>
        <w:ind w:right="180" w:firstLine="622"/>
        <w:spacing w:after="0" w:line="236" w:lineRule="auto"/>
        <w:tabs>
          <w:tab w:leader="none" w:pos="12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determination of Consolidated Total Assets shall be made by reference to the last day of the Test Period most recently ended on or prior to the relevant date of determination.</w:t>
      </w:r>
    </w:p>
    <w:p>
      <w:pPr>
        <w:spacing w:after="0" w:line="170" w:lineRule="exact"/>
        <w:rPr>
          <w:sz w:val="20"/>
          <w:szCs w:val="20"/>
          <w:color w:val="auto"/>
        </w:rPr>
      </w:pPr>
    </w:p>
    <w:p>
      <w:pPr>
        <w:ind w:right="60" w:firstLine="619"/>
        <w:spacing w:after="0" w:line="245"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Divisions</w:t>
      </w:r>
      <w:r>
        <w:rPr>
          <w:rFonts w:ascii="Arial" w:cs="Arial" w:eastAsia="Arial" w:hAnsi="Arial"/>
          <w:sz w:val="15"/>
          <w:szCs w:val="15"/>
          <w:color w:val="auto"/>
        </w:rPr>
        <w:t>. For all purposes under the Credit Documents, in connection with any division or plan of division under Delaware law (or any comparable event under a different jurisdiction’s laws): (a) if any asset, right, obligation or liability of any Person becomes an asset, right, obligation or liability of a different Person, then it shall be deemed to have been transferred from the original Person to the subsequent Person, and (b) if any new Person comes into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existence, such new Person shall be deemed to have been organized on the first date of its existence by the holders of its Equity Interests at such time.</w:t>
      </w:r>
    </w:p>
    <w:p>
      <w:pPr>
        <w:spacing w:after="0" w:line="176" w:lineRule="exact"/>
        <w:rPr>
          <w:sz w:val="20"/>
          <w:szCs w:val="20"/>
          <w:color w:val="auto"/>
        </w:rPr>
      </w:pPr>
    </w:p>
    <w:p>
      <w:pPr>
        <w:ind w:firstLine="619"/>
        <w:spacing w:after="0" w:line="251"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Amendment and Restatement</w:t>
      </w:r>
      <w:r>
        <w:rPr>
          <w:rFonts w:ascii="Arial" w:cs="Arial" w:eastAsia="Arial" w:hAnsi="Arial"/>
          <w:sz w:val="15"/>
          <w:szCs w:val="15"/>
          <w:color w:val="auto"/>
        </w:rPr>
        <w:t>. This Agreement shall amend and restate the Existing Credit Agreement in its entirety, with the parties hereby agreeing that there is no novation of the Existing Credit Agreement or any other Credit Document and from and after the effectiveness of this Agreement, the rights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and obligations of the parties under the Existing Credit Agreement shall be subsumed and governed by this Agreement. From and after the effectiveness of this Agreement, the Obligations under the Existing Credit Agreement shall continue as Obligations under this Agreement and the Credit Documents until otherwise paid in accordance with the terms hereof. The Security Documents and the grant of Liens on all of the Collateral described therein do and shall continue to secure the payment of all Obligations. Without limiting the generality of the foregoing, the parties hereto acknowledge and agree that the Liens securing the “Obligations”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 defined in the Existing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Agreement, shall from and after the Second Restatement Effective Date secure the payment and performance of all Obligations for the benefit of the Collateral</w:t>
      </w:r>
    </w:p>
    <w:p>
      <w:pPr>
        <w:spacing w:after="0" w:line="1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Agent and the Secured Parties, and all such Liens shall continue in full force and effect after giving effect to this Agreement and are hereby confirmed and reaffirmed by each of the Credit Parties. The parties hereto further acknowledge and agree that all “Collateral Documents” as defined in the Existing Credit Agreement shall remain in full force and effect after the Second Restatement Effective Date in favor of and for the benefit of the Collateral Agent and the Secured</w:t>
      </w:r>
    </w:p>
    <w:p>
      <w:pPr>
        <w:ind w:right="160"/>
        <w:spacing w:after="0" w:line="239" w:lineRule="auto"/>
        <w:rPr>
          <w:sz w:val="20"/>
          <w:szCs w:val="20"/>
          <w:color w:val="auto"/>
        </w:rPr>
      </w:pPr>
      <w:r>
        <w:rPr>
          <w:rFonts w:ascii="Arial" w:cs="Arial" w:eastAsia="Arial" w:hAnsi="Arial"/>
          <w:sz w:val="15"/>
          <w:szCs w:val="15"/>
          <w:color w:val="auto"/>
        </w:rPr>
        <w:t>Parties (with each reference therein to the collateral agent, the credit agreement or a credit document being a reference to the Collateral Agent, this Agreement or the other Credit Documents, as applicable), and each Credit Party hereby confirms and ratifies its obligations thereunder. For the avoidance of doubt, unless otherwise expressly provided herein, upon the Second Restatement Effective Date, any basket which permits a certain amount of a given type of transaction over</w:t>
      </w:r>
    </w:p>
    <w:p>
      <w:pPr>
        <w:ind w:right="160"/>
        <w:spacing w:after="0" w:line="239" w:lineRule="auto"/>
        <w:rPr>
          <w:sz w:val="20"/>
          <w:szCs w:val="20"/>
          <w:color w:val="auto"/>
        </w:rPr>
      </w:pPr>
      <w:r>
        <w:rPr>
          <w:rFonts w:ascii="Arial" w:cs="Arial" w:eastAsia="Arial" w:hAnsi="Arial"/>
          <w:sz w:val="15"/>
          <w:szCs w:val="15"/>
          <w:color w:val="auto"/>
        </w:rPr>
        <w:t xml:space="preserve">the life of the Credit Agreement (however denominated) shall be reset such that any use of such baskets on or subsequent to the Closing Date but prior to the Second Restatement Effective Date shall be disregarded for purposes of testing such basket;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shall be construed to (i) prohibit any transaction occurring prior to the Second Restatement Effective Date utilizing the corresponding baskets under the Existing Credit Agreement or (ii)</w:t>
      </w:r>
    </w:p>
    <w:p>
      <w:pPr>
        <w:spacing w:after="0"/>
        <w:rPr>
          <w:sz w:val="20"/>
          <w:szCs w:val="20"/>
          <w:color w:val="auto"/>
        </w:rPr>
      </w:pPr>
      <w:r>
        <w:rPr>
          <w:rFonts w:ascii="Arial" w:cs="Arial" w:eastAsia="Arial" w:hAnsi="Arial"/>
          <w:sz w:val="17"/>
          <w:szCs w:val="17"/>
          <w:color w:val="auto"/>
        </w:rPr>
        <w:t>apply to the calculation of any adjustment to Consolidated EBITDA (or any related definition).</w:t>
      </w:r>
    </w:p>
    <w:p>
      <w:pPr>
        <w:spacing w:after="0" w:line="16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u w:val="single" w:color="auto"/>
          <w:color w:val="auto"/>
        </w:rPr>
        <w:t>Amount and Terms of Credit</w:t>
      </w:r>
    </w:p>
    <w:p>
      <w:pPr>
        <w:spacing w:after="0" w:line="17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u w:val="single" w:color="auto"/>
          <w:color w:val="auto"/>
        </w:rPr>
        <w:t>Commitments</w:t>
      </w:r>
      <w:r>
        <w:rPr>
          <w:rFonts w:ascii="Arial" w:cs="Arial" w:eastAsia="Arial" w:hAnsi="Arial"/>
          <w:sz w:val="15"/>
          <w:szCs w:val="15"/>
          <w:color w:val="auto"/>
        </w:rPr>
        <w:t>.</w:t>
      </w:r>
    </w:p>
    <w:p>
      <w:pPr>
        <w:spacing w:after="0" w:line="191" w:lineRule="exact"/>
        <w:rPr>
          <w:sz w:val="20"/>
          <w:szCs w:val="20"/>
          <w:color w:val="auto"/>
        </w:rPr>
      </w:pPr>
    </w:p>
    <w:p>
      <w:pPr>
        <w:ind w:right="40" w:firstLine="622"/>
        <w:spacing w:after="0" w:line="217" w:lineRule="auto"/>
        <w:tabs>
          <w:tab w:leader="none" w:pos="1238"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Term A Loans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and upon the terms and conditions of the Second Restatement Agreement and this Agreement, the Term A Lenders agree to make the Term A Loans to the Borrower on the Second Restatement Effective Date, which Term A Loans shall not exceed for any such Term A Lender the Term A Loan Commitment of such Lender and in the aggregate shall not exceed $150,000,000. Such Term Loans (i) may at the option of the Borrower be incurred and maintained as, and/or converted into, ABR Loans or Term SOFR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Term Loans made by each of the Lenders pursuant to the same Borrowing shall, unless otherwise specifically provided herein, consist entirely of Term Loans of the same Type, (ii) may be repaid or prepaid in accordance with the provisions hereof, but once repaid or prepaid, may not be reborrowed, (iii) shall not exceed for any such Lender the Term A Loan Commitment of such Lender, and (iv) shall not exceed in the aggregate the Total Term A Loan Commitments. On the Term A Loan Maturity Date, all then unpaid Term A Loans shall be repaid in full in Dollars.</w:t>
      </w:r>
    </w:p>
    <w:p>
      <w:pPr>
        <w:spacing w:after="0" w:line="158" w:lineRule="exact"/>
        <w:rPr>
          <w:rFonts w:ascii="Arial" w:cs="Arial" w:eastAsia="Arial" w:hAnsi="Arial"/>
          <w:sz w:val="17"/>
          <w:szCs w:val="17"/>
          <w:color w:val="auto"/>
        </w:rPr>
      </w:pPr>
    </w:p>
    <w:p>
      <w:pPr>
        <w:ind w:right="220" w:firstLine="622"/>
        <w:spacing w:after="0" w:line="247" w:lineRule="auto"/>
        <w:tabs>
          <w:tab w:leader="none" w:pos="1238" w:val="left"/>
        </w:tabs>
        <w:numPr>
          <w:ilvl w:val="1"/>
          <w:numId w:val="53"/>
        </w:numPr>
        <w:rPr>
          <w:rFonts w:ascii="Arial" w:cs="Arial" w:eastAsia="Arial" w:hAnsi="Arial"/>
          <w:sz w:val="15"/>
          <w:szCs w:val="15"/>
          <w:color w:val="auto"/>
        </w:rPr>
      </w:pPr>
      <w:r>
        <w:rPr>
          <w:rFonts w:ascii="Arial" w:cs="Arial" w:eastAsia="Arial" w:hAnsi="Arial"/>
          <w:sz w:val="15"/>
          <w:szCs w:val="15"/>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5"/>
          <w:szCs w:val="15"/>
          <w:b w:val="1"/>
          <w:bCs w:val="1"/>
          <w:color w:val="auto"/>
        </w:rPr>
        <w:t>Revolving Credit Loan</w:t>
      </w:r>
      <w:r>
        <w:rPr>
          <w:rFonts w:ascii="Arial" w:cs="Arial" w:eastAsia="Arial" w:hAnsi="Arial"/>
          <w:sz w:val="15"/>
          <w:szCs w:val="15"/>
          <w:color w:val="auto"/>
        </w:rPr>
        <w:t xml:space="preserve">”) in an aggregate principal amount not to exceed at any time outstanding the amount of such Revolving Credit Lender’s Revolving Credit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of the foregoing such Revolving Credit Loans (A) shall be made at any time and from time to time on and after the Second Restatement Effective Date and prior to the Revolving Credit Maturity Date,</w:t>
      </w:r>
    </w:p>
    <w:p>
      <w:pPr>
        <w:ind w:right="20" w:firstLine="3"/>
        <w:spacing w:after="0" w:line="239" w:lineRule="auto"/>
        <w:tabs>
          <w:tab w:leader="none" w:pos="272"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may, at the option of the Borrower be incurred and maintained as, and/or converted into, ABR Loans or Term SOFR Loans that are Revolving Credit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w:t>
      </w:r>
    </w:p>
    <w:p>
      <w:pPr>
        <w:ind w:right="140" w:firstLine="3"/>
        <w:spacing w:after="0" w:line="215" w:lineRule="auto"/>
        <w:tabs>
          <w:tab w:leader="none" w:pos="281"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72" w:lineRule="exact"/>
        <w:rPr>
          <w:rFonts w:ascii="Arial" w:cs="Arial" w:eastAsia="Arial" w:hAnsi="Arial"/>
          <w:sz w:val="17"/>
          <w:szCs w:val="17"/>
          <w:color w:val="auto"/>
        </w:rPr>
      </w:pPr>
    </w:p>
    <w:p>
      <w:pPr>
        <w:ind w:firstLine="622"/>
        <w:spacing w:after="0" w:line="230" w:lineRule="auto"/>
        <w:tabs>
          <w:tab w:leader="none" w:pos="1238" w:val="left"/>
        </w:tabs>
        <w:numPr>
          <w:ilvl w:val="1"/>
          <w:numId w:val="55"/>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the Swingline Lender in its individual capacity agrees, at any time and from time to time on and after the Second Restatement Effective Date and prior to the Swingline Maturity Date, to make a loan or loans (each, a “</w:t>
      </w:r>
      <w:r>
        <w:rPr>
          <w:rFonts w:ascii="Arial" w:cs="Arial" w:eastAsia="Arial" w:hAnsi="Arial"/>
          <w:sz w:val="16"/>
          <w:szCs w:val="16"/>
          <w:b w:val="1"/>
          <w:bCs w:val="1"/>
          <w:color w:val="auto"/>
        </w:rPr>
        <w:t>Swingline Loan</w:t>
      </w:r>
      <w:r>
        <w:rPr>
          <w:rFonts w:ascii="Arial" w:cs="Arial" w:eastAsia="Arial" w:hAnsi="Arial"/>
          <w:sz w:val="16"/>
          <w:szCs w:val="16"/>
          <w:color w:val="auto"/>
        </w:rPr>
        <w:t>” and, collectively the “</w:t>
      </w:r>
      <w:r>
        <w:rPr>
          <w:rFonts w:ascii="Arial" w:cs="Arial" w:eastAsia="Arial" w:hAnsi="Arial"/>
          <w:sz w:val="16"/>
          <w:szCs w:val="16"/>
          <w:b w:val="1"/>
          <w:bCs w:val="1"/>
          <w:color w:val="auto"/>
        </w:rPr>
        <w:t>Swingline Loans</w:t>
      </w:r>
      <w:r>
        <w:rPr>
          <w:rFonts w:ascii="Arial" w:cs="Arial" w:eastAsia="Arial" w:hAnsi="Arial"/>
          <w:sz w:val="16"/>
          <w:szCs w:val="16"/>
          <w:color w:val="auto"/>
        </w:rPr>
        <w:t xml:space="preserve">”) to the Borrower, which Swingline Loans (i) shall be ABR Loans, (ii) shall have the benefit of the provisions of </w:t>
      </w:r>
      <w:r>
        <w:rPr>
          <w:rFonts w:ascii="Arial" w:cs="Arial" w:eastAsia="Arial" w:hAnsi="Arial"/>
          <w:sz w:val="16"/>
          <w:szCs w:val="16"/>
          <w:u w:val="single" w:color="auto"/>
          <w:color w:val="auto"/>
        </w:rPr>
        <w:t>Section 2.1(d)</w:t>
      </w:r>
      <w:r>
        <w:rPr>
          <w:rFonts w:ascii="Arial" w:cs="Arial" w:eastAsia="Arial" w:hAnsi="Arial"/>
          <w:sz w:val="16"/>
          <w:szCs w:val="16"/>
          <w:color w:val="auto"/>
        </w:rPr>
        <w:t>,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Revolving Credit Commitment then in effect,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Revolving Credit Lenders stating that a Default or Event of Default exists and is continuing until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06"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50" w:lineRule="exact"/>
        <w:rPr>
          <w:sz w:val="20"/>
          <w:szCs w:val="20"/>
          <w:color w:val="auto"/>
        </w:rPr>
      </w:pPr>
    </w:p>
    <w:p>
      <w:pPr>
        <w:ind w:firstLine="622"/>
        <w:spacing w:after="0" w:line="244" w:lineRule="auto"/>
        <w:tabs>
          <w:tab w:leader="none" w:pos="1238" w:val="left"/>
        </w:tabs>
        <w:numPr>
          <w:ilvl w:val="0"/>
          <w:numId w:val="56"/>
        </w:numPr>
        <w:rPr>
          <w:rFonts w:ascii="Arial" w:cs="Arial" w:eastAsia="Arial" w:hAnsi="Arial"/>
          <w:sz w:val="15"/>
          <w:szCs w:val="15"/>
          <w:color w:val="auto"/>
        </w:rPr>
      </w:pPr>
      <w:r>
        <w:rPr>
          <w:rFonts w:ascii="Arial" w:cs="Arial" w:eastAsia="Arial" w:hAnsi="Arial"/>
          <w:sz w:val="15"/>
          <w:szCs w:val="15"/>
          <w:color w:val="auto"/>
        </w:rPr>
        <w:t>On any Business Day, the Swingline Lender may, in its sole discretion, give notice to each Revolving Credit Lender that all then-outstanding Swingline Loans shall be funded with a Borrowing of Revolving Credit Loans, in which case (i) Revolving Credit Loans constituting ABR Loans shall be made on the immediately succeeding Business Day (each such Borrowing, a “</w:t>
      </w:r>
      <w:r>
        <w:rPr>
          <w:rFonts w:ascii="Arial" w:cs="Arial" w:eastAsia="Arial" w:hAnsi="Arial"/>
          <w:sz w:val="15"/>
          <w:szCs w:val="15"/>
          <w:b w:val="1"/>
          <w:bCs w:val="1"/>
          <w:color w:val="auto"/>
        </w:rPr>
        <w:t>Mandatory Borrowing</w:t>
      </w:r>
      <w:r>
        <w:rPr>
          <w:rFonts w:ascii="Arial" w:cs="Arial" w:eastAsia="Arial" w:hAnsi="Arial"/>
          <w:sz w:val="15"/>
          <w:szCs w:val="15"/>
          <w:color w:val="auto"/>
        </w:rPr>
        <w:t xml:space="preserve">”)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(ii) whether any conditions specified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148" w:lineRule="exact"/>
        <w:rPr>
          <w:rFonts w:ascii="Arial" w:cs="Arial" w:eastAsia="Arial" w:hAnsi="Arial"/>
          <w:sz w:val="15"/>
          <w:szCs w:val="15"/>
          <w:color w:val="auto"/>
        </w:rPr>
      </w:pPr>
    </w:p>
    <w:p>
      <w:pPr>
        <w:ind w:firstLine="622"/>
        <w:spacing w:after="0" w:line="229" w:lineRule="auto"/>
        <w:tabs>
          <w:tab w:leader="none" w:pos="1238"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maturity date shall have occurred in respect of any tranche of Revolving Credit Commitments (the “</w:t>
      </w:r>
      <w:r>
        <w:rPr>
          <w:rFonts w:ascii="Arial" w:cs="Arial" w:eastAsia="Arial" w:hAnsi="Arial"/>
          <w:sz w:val="16"/>
          <w:szCs w:val="16"/>
          <w:b w:val="1"/>
          <w:bCs w:val="1"/>
          <w:color w:val="auto"/>
        </w:rPr>
        <w:t>Expiring Credit Commitment</w:t>
      </w:r>
      <w:r>
        <w:rPr>
          <w:rFonts w:ascii="Arial" w:cs="Arial" w:eastAsia="Arial" w:hAnsi="Arial"/>
          <w:sz w:val="16"/>
          <w:szCs w:val="16"/>
          <w:color w:val="auto"/>
        </w:rPr>
        <w:t>”) at a time when another tranche or tranches of Revolving Credit Commitments is or are in effect with a longer maturity date (each a “</w:t>
      </w:r>
      <w:r>
        <w:rPr>
          <w:rFonts w:ascii="Arial" w:cs="Arial" w:eastAsia="Arial" w:hAnsi="Arial"/>
          <w:sz w:val="16"/>
          <w:szCs w:val="16"/>
          <w:b w:val="1"/>
          <w:bCs w:val="1"/>
          <w:color w:val="auto"/>
        </w:rPr>
        <w:t>Non-Expiring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Non-Expiring Credit Commitments</w:t>
      </w:r>
      <w:r>
        <w:rPr>
          <w:rFonts w:ascii="Arial" w:cs="Arial" w:eastAsia="Arial" w:hAnsi="Arial"/>
          <w:sz w:val="16"/>
          <w:szCs w:val="16"/>
          <w:color w:val="auto"/>
        </w:rPr>
        <w:t>”), then with respect to each outstanding Swingline Loan, if consented to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76" w:lineRule="exact"/>
        <w:rPr>
          <w:sz w:val="20"/>
          <w:szCs w:val="20"/>
          <w:color w:val="auto"/>
        </w:rPr>
      </w:pPr>
    </w:p>
    <w:p>
      <w:pPr>
        <w:ind w:right="60" w:firstLine="619"/>
        <w:spacing w:after="0" w:line="23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Minimum Amount of Each Borrowing; Maximum Number of Borrowings</w:t>
      </w:r>
      <w:r>
        <w:rPr>
          <w:rFonts w:ascii="Arial" w:cs="Arial" w:eastAsia="Arial" w:hAnsi="Arial"/>
          <w:sz w:val="16"/>
          <w:szCs w:val="16"/>
          <w:color w:val="auto"/>
        </w:rPr>
        <w:t>. The aggregate principal amount of each Borrowing of Term Loans or Revolving Credit Loans shall be in a minimum amount of at least the Minimum Borrowing Amount for such Type of Loans and in a multiple of $100,000 in excess thereof and Swingline Loans shall be in a minimum amount of $500,000 and in a multiple of $100,000 in excess thereof (except that Mandatory</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 xml:space="preserve">Borrowings shall be made in the amounts required by </w:t>
      </w:r>
      <w:r>
        <w:rPr>
          <w:rFonts w:ascii="Arial" w:cs="Arial" w:eastAsia="Arial" w:hAnsi="Arial"/>
          <w:sz w:val="15"/>
          <w:szCs w:val="15"/>
          <w:u w:val="single" w:color="auto"/>
          <w:color w:val="auto"/>
        </w:rPr>
        <w:t>Section 2.1(d)</w:t>
      </w:r>
      <w:r>
        <w:rPr>
          <w:rFonts w:ascii="Arial" w:cs="Arial" w:eastAsia="Arial" w:hAnsi="Arial"/>
          <w:sz w:val="15"/>
          <w:szCs w:val="15"/>
          <w:color w:val="auto"/>
        </w:rPr>
        <w:t xml:space="preserve"> and Revolving Credit Loans to reimburse the Letter of Credit Issuer with respect to any Unpaid Drawing shall be made in the amounts required by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as applicable). More than one Borrowing may be incurred on any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no time shall there be outstanding more than five Borrowings of Term SOFR Loans that are Term Loans and ten Borrowings of Term SOFR Loans</w:t>
      </w:r>
    </w:p>
    <w:p>
      <w:pPr>
        <w:spacing w:after="0"/>
        <w:rPr>
          <w:sz w:val="20"/>
          <w:szCs w:val="20"/>
          <w:color w:val="auto"/>
        </w:rPr>
      </w:pPr>
      <w:r>
        <w:rPr>
          <w:rFonts w:ascii="Arial" w:cs="Arial" w:eastAsia="Arial" w:hAnsi="Arial"/>
          <w:sz w:val="17"/>
          <w:szCs w:val="17"/>
          <w:color w:val="auto"/>
        </w:rPr>
        <w:t>that are Revolving Credit Loans under this Agreement.</w:t>
      </w:r>
    </w:p>
    <w:p>
      <w:pPr>
        <w:spacing w:after="0" w:line="16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Notice of Borrowing</w:t>
      </w:r>
      <w:r>
        <w:rPr>
          <w:rFonts w:ascii="Arial" w:cs="Arial" w:eastAsia="Arial" w:hAnsi="Arial"/>
          <w:sz w:val="16"/>
          <w:szCs w:val="16"/>
          <w:color w:val="auto"/>
        </w:rPr>
        <w:t>.</w:t>
      </w:r>
    </w:p>
    <w:p>
      <w:pPr>
        <w:spacing w:after="0" w:line="178" w:lineRule="exact"/>
        <w:rPr>
          <w:sz w:val="20"/>
          <w:szCs w:val="20"/>
          <w:color w:val="auto"/>
        </w:rPr>
      </w:pPr>
    </w:p>
    <w:p>
      <w:pPr>
        <w:ind w:right="120" w:firstLine="622"/>
        <w:spacing w:after="0" w:line="221" w:lineRule="auto"/>
        <w:tabs>
          <w:tab w:leader="none" w:pos="123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Borrower shall give the Administrative Agent at the Administrative Agent’s Office prior to 12:00 p.m. (New York City time) (i) in the case of a Borrowing of Term A Loans that are to be ABR Loans, at least one Business Day’s prior written Notice of Borrowing and (ii) in the case of a Borrowing of Term A Loans to be made on the Second Restatement Effective Date if such Term A Loans are to be Term SOFR Loans, at least two U.S. Government Securities Business Days’ prior written Notice of Borrowing. Such Notice of Borrowing shall specify (A) the aggregate principal amount of the Term Loans to be made, (B) the date of the Borrowing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shall be the Second Restatement Effective Date) and (C) whether the Term A Loans shall consist of ABR Loans and/or Term SOFR Loans and, if the Term A Loans</w:t>
      </w:r>
    </w:p>
    <w:p>
      <w:pPr>
        <w:spacing w:after="0" w:line="22"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are to include Term SOFR Loans, the Interest Period to be initially applicable thereto. A Notice of Borrowing may be in such other form as may be approved by the Administrative Agent (including any form on an electronic platform or electronic transmission system as shall be approved by the Administrative Agent), appropriately completed and signed by an Authorized Officer of the Borrower. A Notice of Borrowing may be given by (x) telephone or (y) a written Notice of</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Borrowing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telephonic notice must be confirmed promptly by delivery to the Administrative Agent of a written Notice of Borrowing). If no election as to the Type of Borrowing is specified in any such notice, then the requested Borrowing shall be an ABR Borrowing. If no Interest Period with respect to any Borrowing of Term SOFR Loans is specified in any such notice, then the Borrower shall be deemed to have selected an Interest Period of one month’s</w:t>
      </w:r>
    </w:p>
    <w:p>
      <w:pPr>
        <w:ind w:right="60"/>
        <w:spacing w:after="0" w:line="227" w:lineRule="auto"/>
        <w:rPr>
          <w:sz w:val="20"/>
          <w:szCs w:val="20"/>
          <w:color w:val="auto"/>
        </w:rPr>
      </w:pPr>
      <w:r>
        <w:rPr>
          <w:rFonts w:ascii="Arial" w:cs="Arial" w:eastAsia="Arial" w:hAnsi="Arial"/>
          <w:sz w:val="17"/>
          <w:szCs w:val="17"/>
          <w:color w:val="auto"/>
        </w:rPr>
        <w:t xml:space="preserve">duration. The Administrative Agent shall promptly advise the applicable Lenders of any notice given pursuant to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the contents thereof), and of each Lender’s pro rata share of the requested Borrowing.</w:t>
      </w:r>
    </w:p>
    <w:p>
      <w:pPr>
        <w:spacing w:after="0" w:line="158" w:lineRule="exact"/>
        <w:rPr>
          <w:sz w:val="20"/>
          <w:szCs w:val="20"/>
          <w:color w:val="auto"/>
        </w:rPr>
      </w:pPr>
    </w:p>
    <w:p>
      <w:pPr>
        <w:ind w:right="20" w:firstLine="622"/>
        <w:spacing w:after="0" w:line="246" w:lineRule="auto"/>
        <w:tabs>
          <w:tab w:leader="none" w:pos="1238"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two U.S. Government Securities Business Days’ prior written notice of each Borrowing of Term SOFR Loans that are Revolving Credit Loans and (ii) prior to 10:00 a.m. (New York City time) on the day of such Borrowing prior written notice of each Borrowing of Revolving Credit Loans that are ABR Loans. Such Notice may be given by telephone;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telephonic notice must be confirmed promptly by delivery to the Administrative Agent of a Notice of Borrowing. Each such Notice of Borrowing, except as otherwise expressly provided in </w:t>
      </w:r>
      <w:r>
        <w:rPr>
          <w:rFonts w:ascii="Arial" w:cs="Arial" w:eastAsia="Arial" w:hAnsi="Arial"/>
          <w:sz w:val="15"/>
          <w:szCs w:val="15"/>
          <w:u w:val="single" w:color="auto"/>
          <w:color w:val="auto"/>
        </w:rPr>
        <w:t>Section 2.15</w:t>
      </w:r>
      <w:r>
        <w:rPr>
          <w:rFonts w:ascii="Arial" w:cs="Arial" w:eastAsia="Arial" w:hAnsi="Arial"/>
          <w:sz w:val="15"/>
          <w:szCs w:val="15"/>
          <w:color w:val="auto"/>
        </w:rPr>
        <w:t>, shall specify (x) the aggregate principal amount of the Revolving Credit Loans to be made pursuant to such Borrowing, (y) the date of Borrowing (which shall be a Business Day) and (z) whether the respective Borrowing shall consist of ABR Loans or Term SOFR Loans that are Revolving Credit Loans and, if Term SOFR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165" w:lineRule="exact"/>
        <w:rPr>
          <w:rFonts w:ascii="Arial" w:cs="Arial" w:eastAsia="Arial" w:hAnsi="Arial"/>
          <w:sz w:val="15"/>
          <w:szCs w:val="15"/>
          <w:color w:val="auto"/>
        </w:rPr>
      </w:pPr>
    </w:p>
    <w:p>
      <w:pPr>
        <w:ind w:right="80" w:firstLine="622"/>
        <w:spacing w:after="0" w:line="224" w:lineRule="auto"/>
        <w:tabs>
          <w:tab w:leader="none" w:pos="12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Whenever the Borrower desires to incur Swingline Loans hereunder, the Borrower shall give the Swingline Lender written notice with a copy to the Administrative Agent of each Borrowing of Swingline Loans prior to 2:00 p.m. (New York City time) on the date of such Borrowing. Each such notice shall specify (x) the aggregate principal amount of the Swingline Loans to be made pursuant to such Borrowing and (y) the date of Borrowing (which shall be a Business Day).</w:t>
      </w:r>
    </w:p>
    <w:p>
      <w:pPr>
        <w:spacing w:after="0" w:line="159" w:lineRule="exact"/>
        <w:rPr>
          <w:rFonts w:ascii="Arial" w:cs="Arial" w:eastAsia="Arial" w:hAnsi="Arial"/>
          <w:sz w:val="17"/>
          <w:szCs w:val="17"/>
          <w:color w:val="auto"/>
        </w:rPr>
      </w:pPr>
    </w:p>
    <w:p>
      <w:pPr>
        <w:ind w:right="220" w:firstLine="622"/>
        <w:spacing w:after="0" w:line="236" w:lineRule="auto"/>
        <w:tabs>
          <w:tab w:leader="none" w:pos="12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Mandatory Borrowings shall be made upon the notice specified in </w:t>
      </w:r>
      <w:r>
        <w:rPr>
          <w:rFonts w:ascii="Arial" w:cs="Arial" w:eastAsia="Arial" w:hAnsi="Arial"/>
          <w:sz w:val="17"/>
          <w:szCs w:val="17"/>
          <w:u w:val="single" w:color="auto"/>
          <w:color w:val="auto"/>
        </w:rPr>
        <w:t>Section 2.1(d)</w:t>
      </w:r>
      <w:r>
        <w:rPr>
          <w:rFonts w:ascii="Arial" w:cs="Arial" w:eastAsia="Arial" w:hAnsi="Arial"/>
          <w:sz w:val="17"/>
          <w:szCs w:val="17"/>
          <w:color w:val="auto"/>
        </w:rPr>
        <w:t>, with the Borrower irrevocably agreeing, by its incurrence of any Swingline Loan, to the making of Mandatory Borrowings as set forth in such Section.</w:t>
      </w:r>
    </w:p>
    <w:p>
      <w:pPr>
        <w:spacing w:after="0" w:line="169" w:lineRule="exact"/>
        <w:rPr>
          <w:rFonts w:ascii="Arial" w:cs="Arial" w:eastAsia="Arial" w:hAnsi="Arial"/>
          <w:sz w:val="17"/>
          <w:szCs w:val="17"/>
          <w:color w:val="auto"/>
        </w:rPr>
      </w:pPr>
    </w:p>
    <w:p>
      <w:pPr>
        <w:ind w:left="1240" w:hanging="618"/>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Borrowings to reimburse Unpaid Drawings shall be made upon the notice specified in </w:t>
      </w:r>
      <w:r>
        <w:rPr>
          <w:rFonts w:ascii="Arial" w:cs="Arial" w:eastAsia="Arial" w:hAnsi="Arial"/>
          <w:sz w:val="17"/>
          <w:szCs w:val="17"/>
          <w:u w:val="single" w:color="auto"/>
          <w:color w:val="auto"/>
        </w:rPr>
        <w:t>Section 3.4(a)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622"/>
        <w:spacing w:after="0" w:line="231" w:lineRule="auto"/>
        <w:tabs>
          <w:tab w:leader="none" w:pos="12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Holdings or the Borrower.</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Disbursement of Funds</w:t>
      </w:r>
      <w:r>
        <w:rPr>
          <w:rFonts w:ascii="Arial" w:cs="Arial" w:eastAsia="Arial" w:hAnsi="Arial"/>
          <w:sz w:val="15"/>
          <w:szCs w:val="15"/>
          <w:color w:val="auto"/>
        </w:rPr>
        <w:t>.</w:t>
      </w:r>
    </w:p>
    <w:p>
      <w:pPr>
        <w:spacing w:after="0" w:line="178" w:lineRule="exact"/>
        <w:rPr>
          <w:sz w:val="20"/>
          <w:szCs w:val="20"/>
          <w:color w:val="auto"/>
        </w:rPr>
      </w:pPr>
    </w:p>
    <w:p>
      <w:pPr>
        <w:ind w:firstLine="622"/>
        <w:spacing w:after="0" w:line="224" w:lineRule="auto"/>
        <w:tabs>
          <w:tab w:leader="none" w:pos="1238"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Second Restatement Effective Date, such funds may be made available at such earlier time as may be agreed among the Lenders, Holdings, and the Administrative Agent for the purpose of consummating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Swingline Loans shall be made available to the Borrower in the full amount thereof by the Swingline Lender no later than 4:00 p.m. (New York City time).</w:t>
      </w:r>
    </w:p>
    <w:p>
      <w:pPr>
        <w:spacing w:after="0" w:line="157" w:lineRule="exact"/>
        <w:rPr>
          <w:rFonts w:ascii="Arial" w:cs="Arial" w:eastAsia="Arial" w:hAnsi="Arial"/>
          <w:sz w:val="17"/>
          <w:szCs w:val="17"/>
          <w:color w:val="auto"/>
        </w:rPr>
      </w:pPr>
    </w:p>
    <w:p>
      <w:pPr>
        <w:ind w:right="100" w:firstLine="622"/>
        <w:spacing w:after="0" w:line="224" w:lineRule="auto"/>
        <w:tabs>
          <w:tab w:leader="none" w:pos="1238"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Lender shall make available all amounts it is to fund to the Borrower under any Borrowing for its applicable Commitments, in Dollars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Holdings or the Borrower to the Administrative Agent the aggregate of the amounts so made available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Unless the Administrative Agent shall have been notified by any Lender prior to the date of any such Borrowing that such Lender does not intend to make</w:t>
      </w:r>
    </w:p>
    <w:p>
      <w:pPr>
        <w:spacing w:after="0" w:line="11" w:lineRule="exact"/>
        <w:rPr>
          <w:sz w:val="20"/>
          <w:szCs w:val="20"/>
          <w:color w:val="auto"/>
        </w:rPr>
      </w:pPr>
    </w:p>
    <w:p>
      <w:pPr>
        <w:jc w:val="both"/>
        <w:ind w:right="80"/>
        <w:spacing w:after="0" w:line="239" w:lineRule="auto"/>
        <w:rPr>
          <w:sz w:val="20"/>
          <w:szCs w:val="20"/>
          <w:color w:val="auto"/>
        </w:rPr>
      </w:pPr>
      <w:r>
        <w:rPr>
          <w:rFonts w:ascii="Arial" w:cs="Arial" w:eastAsia="Arial" w:hAnsi="Arial"/>
          <w:sz w:val="15"/>
          <w:szCs w:val="15"/>
          <w:color w:val="auto"/>
        </w:rPr>
        <w:t>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w:t>
      </w:r>
    </w:p>
    <w:p>
      <w:pPr>
        <w:ind w:right="60"/>
        <w:spacing w:after="0" w:line="239" w:lineRule="auto"/>
        <w:rPr>
          <w:sz w:val="20"/>
          <w:szCs w:val="20"/>
          <w:color w:val="auto"/>
        </w:rPr>
      </w:pPr>
      <w:r>
        <w:rPr>
          <w:rFonts w:ascii="Arial" w:cs="Arial" w:eastAsia="Arial" w:hAnsi="Arial"/>
          <w:sz w:val="15"/>
          <w:szCs w:val="15"/>
          <w:color w:val="auto"/>
        </w:rPr>
        <w:t>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w:t>
      </w:r>
    </w:p>
    <w:p>
      <w:pPr>
        <w:ind w:right="40"/>
        <w:spacing w:after="0" w:line="239" w:lineRule="auto"/>
        <w:rPr>
          <w:sz w:val="20"/>
          <w:szCs w:val="20"/>
          <w:color w:val="auto"/>
        </w:rPr>
      </w:pPr>
      <w:r>
        <w:rPr>
          <w:rFonts w:ascii="Arial" w:cs="Arial" w:eastAsia="Arial" w:hAnsi="Arial"/>
          <w:sz w:val="15"/>
          <w:szCs w:val="15"/>
          <w:color w:val="auto"/>
        </w:rPr>
        <w:t>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w:t>
      </w:r>
    </w:p>
    <w:p>
      <w:pPr>
        <w:spacing w:after="0"/>
        <w:rPr>
          <w:sz w:val="20"/>
          <w:szCs w:val="20"/>
          <w:color w:val="auto"/>
        </w:rPr>
      </w:pPr>
      <w:r>
        <w:rPr>
          <w:rFonts w:ascii="Arial" w:cs="Arial" w:eastAsia="Arial" w:hAnsi="Arial"/>
          <w:sz w:val="17"/>
          <w:szCs w:val="17"/>
          <w:color w:val="auto"/>
        </w:rPr>
        <w:t xml:space="preserve">by the Borrower, the then-applicable rate of interest or fees, calculated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for the respective Loans.</w:t>
      </w:r>
    </w:p>
    <w:p>
      <w:pPr>
        <w:spacing w:after="0" w:line="164" w:lineRule="exact"/>
        <w:rPr>
          <w:sz w:val="20"/>
          <w:szCs w:val="20"/>
          <w:color w:val="auto"/>
        </w:rPr>
      </w:pPr>
    </w:p>
    <w:p>
      <w:pPr>
        <w:jc w:val="both"/>
        <w:ind w:right="220" w:firstLine="622"/>
        <w:spacing w:after="0" w:line="231" w:lineRule="auto"/>
        <w:tabs>
          <w:tab w:leader="none" w:pos="1238"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57" w:lineRule="exact"/>
        <w:rPr>
          <w:rFonts w:ascii="Arial" w:cs="Arial" w:eastAsia="Arial" w:hAnsi="Arial"/>
          <w:sz w:val="17"/>
          <w:szCs w:val="17"/>
          <w:color w:val="auto"/>
        </w:rPr>
      </w:pPr>
    </w:p>
    <w:p>
      <w:pPr>
        <w:ind w:right="280" w:firstLine="622"/>
        <w:spacing w:after="0" w:line="224" w:lineRule="auto"/>
        <w:tabs>
          <w:tab w:leader="none" w:pos="1238"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any Letter of Credit Issuer hereunder that the Borrower will not make such payment, the Administrative Agent may assume that the Borrower has made such payment on such date in accordance herewith and may, in reliance upon such assumption, distribute to the Lenders or the applicable Letter of Credit Issuers, as the case may be, the amount due.</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With respect to any payment that the Administrative Agent makes for the account of the Lenders or any Letter of Credit Issuer hereunder as to</w:t>
      </w:r>
    </w:p>
    <w:p>
      <w:pPr>
        <w:spacing w:after="0" w:line="22" w:lineRule="exact"/>
        <w:rPr>
          <w:sz w:val="20"/>
          <w:szCs w:val="20"/>
          <w:color w:val="auto"/>
        </w:rPr>
      </w:pPr>
    </w:p>
    <w:p>
      <w:pPr>
        <w:ind w:right="240"/>
        <w:spacing w:after="0" w:line="239" w:lineRule="auto"/>
        <w:rPr>
          <w:sz w:val="20"/>
          <w:szCs w:val="20"/>
          <w:color w:val="auto"/>
        </w:rPr>
      </w:pPr>
      <w:r>
        <w:rPr>
          <w:rFonts w:ascii="Arial" w:cs="Arial" w:eastAsia="Arial" w:hAnsi="Arial"/>
          <w:sz w:val="15"/>
          <w:szCs w:val="15"/>
          <w:color w:val="auto"/>
        </w:rPr>
        <w:t>which the Administrative Agent determines (which determination shall be conclusive absent manifest error) that any of the following applies (such payment referred to as the “</w:t>
      </w:r>
      <w:r>
        <w:rPr>
          <w:rFonts w:ascii="Arial" w:cs="Arial" w:eastAsia="Arial" w:hAnsi="Arial"/>
          <w:sz w:val="15"/>
          <w:szCs w:val="15"/>
          <w:b w:val="1"/>
          <w:bCs w:val="1"/>
          <w:color w:val="auto"/>
        </w:rPr>
        <w:t>Rescindable Amount</w:t>
      </w:r>
      <w:r>
        <w:rPr>
          <w:rFonts w:ascii="Arial" w:cs="Arial" w:eastAsia="Arial" w:hAnsi="Arial"/>
          <w:sz w:val="15"/>
          <w:szCs w:val="15"/>
          <w:color w:val="auto"/>
        </w:rPr>
        <w:t>”) : (1) the Borrower has not in fact made such payment; (2) the Administrative Agent has made a payment in excess of the amount so paid by the Borrower (whether or not then owed); or (3) the Administrative agent has for any reason otherwise erroneously made such payment;</w:t>
      </w:r>
    </w:p>
    <w:p>
      <w:pPr>
        <w:spacing w:after="0" w:line="239" w:lineRule="auto"/>
        <w:rPr>
          <w:sz w:val="20"/>
          <w:szCs w:val="20"/>
          <w:color w:val="auto"/>
        </w:rPr>
      </w:pPr>
      <w:r>
        <w:rPr>
          <w:rFonts w:ascii="Arial" w:cs="Arial" w:eastAsia="Arial" w:hAnsi="Arial"/>
          <w:sz w:val="15"/>
          <w:szCs w:val="15"/>
          <w:color w:val="auto"/>
        </w:rPr>
        <w:t>then each of the Lenders or the applicable Letter of Credit Issuer, as the case may be, severally agrees to repay to the Administrative Agent forthwith within one Business Day of demand the Rescindable Amount so distributed to such Lender or such Letter of Credit Issuer, in immediately available funds with interest thereon, for each day from and including the date such amount is distributed to it to but excluding the date of payment to the Administrative Agent, at the greater of</w:t>
      </w:r>
    </w:p>
    <w:p>
      <w:pPr>
        <w:spacing w:after="0"/>
        <w:rPr>
          <w:sz w:val="20"/>
          <w:szCs w:val="20"/>
          <w:color w:val="auto"/>
        </w:rPr>
      </w:pPr>
      <w:r>
        <w:rPr>
          <w:rFonts w:ascii="Arial" w:cs="Arial" w:eastAsia="Arial" w:hAnsi="Arial"/>
          <w:sz w:val="16"/>
          <w:szCs w:val="16"/>
          <w:color w:val="auto"/>
        </w:rPr>
        <w:t>the Federal Funds Effective Rate and a rate determined by the Administrative Agent in accordance with banking industry rules on interbank compensation.</w:t>
      </w:r>
    </w:p>
    <w:p>
      <w:pPr>
        <w:spacing w:after="0" w:line="176" w:lineRule="exact"/>
        <w:rPr>
          <w:sz w:val="20"/>
          <w:szCs w:val="20"/>
          <w:color w:val="auto"/>
        </w:rPr>
      </w:pPr>
    </w:p>
    <w:p>
      <w:pPr>
        <w:ind w:right="120" w:firstLine="1238"/>
        <w:spacing w:after="0" w:line="236" w:lineRule="auto"/>
        <w:rPr>
          <w:sz w:val="20"/>
          <w:szCs w:val="20"/>
          <w:color w:val="auto"/>
        </w:rPr>
      </w:pPr>
      <w:r>
        <w:rPr>
          <w:rFonts w:ascii="Arial" w:cs="Arial" w:eastAsia="Arial" w:hAnsi="Arial"/>
          <w:sz w:val="17"/>
          <w:szCs w:val="17"/>
          <w:color w:val="auto"/>
        </w:rPr>
        <w:t>A notice of the Administrative Agent to any Lender or the Borrower with respect to any amount owing under this clause (d) shall be conclusive, absent manifest error.</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u w:val="single" w:color="auto"/>
          <w:color w:val="auto"/>
        </w:rPr>
        <w:t>Repayment of Loans; Evidence of Debt</w:t>
      </w:r>
      <w:r>
        <w:rPr>
          <w:rFonts w:ascii="Arial" w:cs="Arial" w:eastAsia="Arial" w:hAnsi="Arial"/>
          <w:sz w:val="15"/>
          <w:szCs w:val="15"/>
          <w:color w:val="auto"/>
        </w:rPr>
        <w:t>.</w:t>
      </w:r>
    </w:p>
    <w:p>
      <w:pPr>
        <w:spacing w:after="0" w:line="178" w:lineRule="exact"/>
        <w:rPr>
          <w:sz w:val="20"/>
          <w:szCs w:val="20"/>
          <w:color w:val="auto"/>
        </w:rPr>
      </w:pPr>
    </w:p>
    <w:p>
      <w:pPr>
        <w:ind w:right="340" w:firstLine="622"/>
        <w:spacing w:after="0" w:line="231" w:lineRule="auto"/>
        <w:tabs>
          <w:tab w:leader="none" w:pos="123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Borrower shall repay to the Administrative Agent, for the benefit of the applicable Lenders, on the Term A Loan Maturity Date, the then outstanding Term A Loans. The Borrower shall repay to the Administrative Agent for the benefit of the Revolving Credit Lenders, on the Revolving Credit Maturity Date, the then outstanding Revolving Credit Loans.</w:t>
      </w:r>
    </w:p>
    <w:p>
      <w:pPr>
        <w:spacing w:after="0" w:line="157" w:lineRule="exact"/>
        <w:rPr>
          <w:rFonts w:ascii="Arial" w:cs="Arial" w:eastAsia="Arial" w:hAnsi="Arial"/>
          <w:sz w:val="17"/>
          <w:szCs w:val="17"/>
          <w:color w:val="auto"/>
        </w:rPr>
      </w:pPr>
    </w:p>
    <w:p>
      <w:pPr>
        <w:ind w:firstLine="622"/>
        <w:spacing w:after="0" w:line="224" w:lineRule="auto"/>
        <w:tabs>
          <w:tab w:leader="none" w:pos="123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Borrower shall repay to the Administrative Agent for the benefit of the Term A Lenders, (x) on each date set forth below (or if not a Business Day the immediately preceding Business Day) (each, a “</w:t>
      </w:r>
      <w:r>
        <w:rPr>
          <w:rFonts w:ascii="Arial" w:cs="Arial" w:eastAsia="Arial" w:hAnsi="Arial"/>
          <w:sz w:val="17"/>
          <w:szCs w:val="17"/>
          <w:b w:val="1"/>
          <w:bCs w:val="1"/>
          <w:color w:val="auto"/>
        </w:rPr>
        <w:t>Term A Loan Repayment Date</w:t>
      </w:r>
      <w:r>
        <w:rPr>
          <w:rFonts w:ascii="Arial" w:cs="Arial" w:eastAsia="Arial" w:hAnsi="Arial"/>
          <w:sz w:val="17"/>
          <w:szCs w:val="17"/>
          <w:color w:val="auto"/>
        </w:rPr>
        <w:t>”), a principal amount equal to the applicable amount set forth below opposite such Term A Loan Repayment Date and (y) on the Term A Loan Maturity Date, any remaining outstanding amount of Term A Loans (each, a “</w:t>
      </w:r>
      <w:r>
        <w:rPr>
          <w:rFonts w:ascii="Arial" w:cs="Arial" w:eastAsia="Arial" w:hAnsi="Arial"/>
          <w:sz w:val="17"/>
          <w:szCs w:val="17"/>
          <w:b w:val="1"/>
          <w:bCs w:val="1"/>
          <w:color w:val="auto"/>
        </w:rPr>
        <w:t>Term A</w:t>
      </w:r>
      <w:r>
        <w:rPr>
          <w:rFonts w:ascii="Arial" w:cs="Arial" w:eastAsia="Arial" w:hAnsi="Arial"/>
          <w:sz w:val="17"/>
          <w:szCs w:val="17"/>
          <w:color w:val="auto"/>
        </w:rPr>
        <w:t xml:space="preserve"> </w:t>
      </w:r>
      <w:r>
        <w:rPr>
          <w:rFonts w:ascii="Arial" w:cs="Arial" w:eastAsia="Arial" w:hAnsi="Arial"/>
          <w:sz w:val="17"/>
          <w:szCs w:val="17"/>
          <w:b w:val="1"/>
          <w:bCs w:val="1"/>
          <w:color w:val="auto"/>
        </w:rPr>
        <w:t>Loan Repayment Amount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51" w:lineRule="exact"/>
        <w:rPr>
          <w:sz w:val="20"/>
          <w:szCs w:val="20"/>
          <w:color w:val="auto"/>
        </w:rPr>
      </w:pPr>
    </w:p>
    <w:tbl>
      <w:tblPr>
        <w:tblLayout w:type="fixed"/>
        <w:tblInd w:w="1680" w:type="dxa"/>
        <w:tblCellMar>
          <w:top w:w="0" w:type="dxa"/>
          <w:left w:w="0" w:type="dxa"/>
          <w:bottom w:w="0" w:type="dxa"/>
          <w:right w:w="0" w:type="dxa"/>
        </w:tblCellMar>
      </w:tblPr>
      <w:tr>
        <w:trPr>
          <w:trHeight w:val="223"/>
        </w:trPr>
        <w:tc>
          <w:tcPr>
            <w:tcW w:w="3580" w:type="dxa"/>
            <w:vAlign w:val="bottom"/>
          </w:tcPr>
          <w:p>
            <w:pPr>
              <w:jc w:val="center"/>
              <w:ind w:right="1254"/>
              <w:spacing w:after="0"/>
              <w:rPr>
                <w:sz w:val="20"/>
                <w:szCs w:val="20"/>
                <w:color w:val="auto"/>
              </w:rPr>
            </w:pPr>
            <w:r>
              <w:rPr>
                <w:rFonts w:ascii="Arial" w:cs="Arial" w:eastAsia="Arial" w:hAnsi="Arial"/>
                <w:sz w:val="17"/>
                <w:szCs w:val="17"/>
                <w:b w:val="1"/>
                <w:bCs w:val="1"/>
                <w:color w:val="auto"/>
                <w:w w:val="92"/>
              </w:rPr>
              <w:t>Term A Loan Repayment Date</w:t>
            </w:r>
          </w:p>
        </w:tc>
        <w:tc>
          <w:tcPr>
            <w:tcW w:w="3820" w:type="dxa"/>
            <w:vAlign w:val="bottom"/>
          </w:tcPr>
          <w:p>
            <w:pPr>
              <w:ind w:left="1340"/>
              <w:spacing w:after="0"/>
              <w:rPr>
                <w:sz w:val="20"/>
                <w:szCs w:val="20"/>
                <w:color w:val="auto"/>
              </w:rPr>
            </w:pPr>
            <w:r>
              <w:rPr>
                <w:rFonts w:ascii="Arial" w:cs="Arial" w:eastAsia="Arial" w:hAnsi="Arial"/>
                <w:sz w:val="17"/>
                <w:szCs w:val="17"/>
                <w:b w:val="1"/>
                <w:bCs w:val="1"/>
                <w:color w:val="auto"/>
                <w:w w:val="91"/>
              </w:rPr>
              <w:t>Term A Loan Repayment Amount</w:t>
            </w:r>
          </w:p>
        </w:tc>
      </w:tr>
      <w:tr>
        <w:trPr>
          <w:trHeight w:val="232"/>
        </w:trPr>
        <w:tc>
          <w:tcPr>
            <w:tcW w:w="3580" w:type="dxa"/>
            <w:vAlign w:val="bottom"/>
          </w:tcPr>
          <w:p>
            <w:pPr>
              <w:jc w:val="center"/>
              <w:ind w:right="1234"/>
              <w:spacing w:after="0"/>
              <w:rPr>
                <w:sz w:val="20"/>
                <w:szCs w:val="20"/>
                <w:color w:val="auto"/>
              </w:rPr>
            </w:pPr>
            <w:r>
              <w:rPr>
                <w:rFonts w:ascii="Arial" w:cs="Arial" w:eastAsia="Arial" w:hAnsi="Arial"/>
                <w:sz w:val="17"/>
                <w:szCs w:val="17"/>
                <w:color w:val="auto"/>
                <w:w w:val="89"/>
              </w:rPr>
              <w:t>September 29, 2023</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December 29, 2023</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March 29, 2024</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32"/>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89"/>
              </w:rPr>
              <w:t>June 28, 2024</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34"/>
              <w:spacing w:after="0"/>
              <w:rPr>
                <w:sz w:val="20"/>
                <w:szCs w:val="20"/>
                <w:color w:val="auto"/>
              </w:rPr>
            </w:pPr>
            <w:r>
              <w:rPr>
                <w:rFonts w:ascii="Arial" w:cs="Arial" w:eastAsia="Arial" w:hAnsi="Arial"/>
                <w:sz w:val="17"/>
                <w:szCs w:val="17"/>
                <w:color w:val="auto"/>
                <w:w w:val="89"/>
              </w:rPr>
              <w:t>September 30, 2024</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December 31, 2024</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32"/>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March 31, 2025</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89"/>
              </w:rPr>
              <w:t>June 30, 2025</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34"/>
              <w:spacing w:after="0"/>
              <w:rPr>
                <w:sz w:val="20"/>
                <w:szCs w:val="20"/>
                <w:color w:val="auto"/>
              </w:rPr>
            </w:pPr>
            <w:r>
              <w:rPr>
                <w:rFonts w:ascii="Arial" w:cs="Arial" w:eastAsia="Arial" w:hAnsi="Arial"/>
                <w:sz w:val="17"/>
                <w:szCs w:val="17"/>
                <w:color w:val="auto"/>
                <w:w w:val="89"/>
              </w:rPr>
              <w:t>September 30, 2025</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32"/>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December 31, 2025</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March 31, 2026</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89"/>
              </w:rPr>
              <w:t>June 30, 2026</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32"/>
        </w:trPr>
        <w:tc>
          <w:tcPr>
            <w:tcW w:w="3580" w:type="dxa"/>
            <w:vAlign w:val="bottom"/>
          </w:tcPr>
          <w:p>
            <w:pPr>
              <w:jc w:val="center"/>
              <w:ind w:right="1234"/>
              <w:spacing w:after="0"/>
              <w:rPr>
                <w:sz w:val="20"/>
                <w:szCs w:val="20"/>
                <w:color w:val="auto"/>
              </w:rPr>
            </w:pPr>
            <w:r>
              <w:rPr>
                <w:rFonts w:ascii="Arial" w:cs="Arial" w:eastAsia="Arial" w:hAnsi="Arial"/>
                <w:sz w:val="17"/>
                <w:szCs w:val="17"/>
                <w:color w:val="auto"/>
                <w:w w:val="89"/>
              </w:rPr>
              <w:t>September 30, 2026</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December 31, 2026</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March 31, 2027</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32"/>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89"/>
              </w:rPr>
              <w:t>June 30, 2027</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34"/>
              <w:spacing w:after="0"/>
              <w:rPr>
                <w:sz w:val="20"/>
                <w:szCs w:val="20"/>
                <w:color w:val="auto"/>
              </w:rPr>
            </w:pPr>
            <w:r>
              <w:rPr>
                <w:rFonts w:ascii="Arial" w:cs="Arial" w:eastAsia="Arial" w:hAnsi="Arial"/>
                <w:sz w:val="17"/>
                <w:szCs w:val="17"/>
                <w:color w:val="auto"/>
                <w:w w:val="89"/>
              </w:rPr>
              <w:t>September 30, 2027</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December 31, 2027</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32"/>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1"/>
              </w:rPr>
              <w:t>March 31, 2028</w:t>
            </w:r>
          </w:p>
        </w:tc>
        <w:tc>
          <w:tcPr>
            <w:tcW w:w="3820" w:type="dxa"/>
            <w:vAlign w:val="bottom"/>
          </w:tcPr>
          <w:p>
            <w:pPr>
              <w:jc w:val="center"/>
              <w:ind w:left="1274"/>
              <w:spacing w:after="0"/>
              <w:rPr>
                <w:sz w:val="20"/>
                <w:szCs w:val="20"/>
                <w:color w:val="auto"/>
              </w:rPr>
            </w:pPr>
            <w:r>
              <w:rPr>
                <w:rFonts w:ascii="Arial" w:cs="Arial" w:eastAsia="Arial" w:hAnsi="Arial"/>
                <w:sz w:val="17"/>
                <w:szCs w:val="17"/>
                <w:color w:val="auto"/>
                <w:w w:val="90"/>
              </w:rPr>
              <w:t>$1,875,000.00</w:t>
            </w:r>
          </w:p>
        </w:tc>
      </w:tr>
      <w:tr>
        <w:trPr>
          <w:trHeight w:val="219"/>
        </w:trPr>
        <w:tc>
          <w:tcPr>
            <w:tcW w:w="3580" w:type="dxa"/>
            <w:vAlign w:val="bottom"/>
          </w:tcPr>
          <w:p>
            <w:pPr>
              <w:jc w:val="center"/>
              <w:ind w:right="1254"/>
              <w:spacing w:after="0"/>
              <w:rPr>
                <w:sz w:val="20"/>
                <w:szCs w:val="20"/>
                <w:color w:val="auto"/>
              </w:rPr>
            </w:pPr>
            <w:r>
              <w:rPr>
                <w:rFonts w:ascii="Arial" w:cs="Arial" w:eastAsia="Arial" w:hAnsi="Arial"/>
                <w:sz w:val="17"/>
                <w:szCs w:val="17"/>
                <w:color w:val="auto"/>
                <w:w w:val="94"/>
              </w:rPr>
              <w:t>Term A Loan Maturity Date</w:t>
            </w:r>
          </w:p>
        </w:tc>
        <w:tc>
          <w:tcPr>
            <w:tcW w:w="3820" w:type="dxa"/>
            <w:vAlign w:val="bottom"/>
          </w:tcPr>
          <w:p>
            <w:pPr>
              <w:jc w:val="center"/>
              <w:ind w:left="1254"/>
              <w:spacing w:after="0"/>
              <w:rPr>
                <w:sz w:val="20"/>
                <w:szCs w:val="20"/>
                <w:color w:val="auto"/>
              </w:rPr>
            </w:pPr>
            <w:r>
              <w:rPr>
                <w:rFonts w:ascii="Arial" w:cs="Arial" w:eastAsia="Arial" w:hAnsi="Arial"/>
                <w:sz w:val="17"/>
                <w:szCs w:val="17"/>
                <w:color w:val="auto"/>
                <w:w w:val="90"/>
              </w:rPr>
              <w:t>$114,375,000.00</w:t>
            </w:r>
          </w:p>
        </w:tc>
      </w:tr>
    </w:tbl>
    <w:p>
      <w:pPr>
        <w:spacing w:after="0" w:line="299" w:lineRule="exact"/>
        <w:rPr>
          <w:sz w:val="20"/>
          <w:szCs w:val="20"/>
          <w:color w:val="auto"/>
        </w:rPr>
      </w:pPr>
    </w:p>
    <w:p>
      <w:pPr>
        <w:ind w:left="-40" w:firstLine="622"/>
        <w:spacing w:after="0" w:line="221" w:lineRule="auto"/>
        <w:tabs>
          <w:tab w:leader="none" w:pos="11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In the event that any New Term Loans are made, such New Term Loans shall, subject to </w:t>
      </w:r>
      <w:r>
        <w:rPr>
          <w:rFonts w:ascii="Arial" w:cs="Arial" w:eastAsia="Arial" w:hAnsi="Arial"/>
          <w:sz w:val="17"/>
          <w:szCs w:val="17"/>
          <w:u w:val="single" w:color="auto"/>
          <w:color w:val="auto"/>
        </w:rPr>
        <w:t>Section 2.14(d)</w:t>
      </w:r>
      <w:r>
        <w:rPr>
          <w:rFonts w:ascii="Arial" w:cs="Arial" w:eastAsia="Arial" w:hAnsi="Arial"/>
          <w:sz w:val="17"/>
          <w:szCs w:val="17"/>
          <w:color w:val="auto"/>
        </w:rPr>
        <w:t>, be repaid by the Borrower in the amounts (each, a “</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and on the dates (each a “</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set forth in the applicable Joinder Agreement and subject to any adjustment to ensure fungibility with the other Term Loans as reasonably determined by the Administrative Agent and the Borrower. In the event that any Extended Term Loans are established, such Extended Term Loans shall, subject to </w:t>
      </w:r>
      <w:r>
        <w:rPr>
          <w:rFonts w:ascii="Arial" w:cs="Arial" w:eastAsia="Arial" w:hAnsi="Arial"/>
          <w:sz w:val="17"/>
          <w:szCs w:val="17"/>
          <w:u w:val="single" w:color="auto"/>
          <w:color w:val="auto"/>
        </w:rPr>
        <w:t>Section 2.14(g)</w:t>
      </w:r>
      <w:r>
        <w:rPr>
          <w:rFonts w:ascii="Arial" w:cs="Arial" w:eastAsia="Arial" w:hAnsi="Arial"/>
          <w:sz w:val="17"/>
          <w:szCs w:val="17"/>
          <w:color w:val="auto"/>
        </w:rPr>
        <w:t>, be repaid by the Borrower in the amounts (each such amount with respect to any Extended Repayment Date, an “</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and on the dates (each, an “</w:t>
      </w:r>
      <w:r>
        <w:rPr>
          <w:rFonts w:ascii="Arial" w:cs="Arial" w:eastAsia="Arial" w:hAnsi="Arial"/>
          <w:sz w:val="17"/>
          <w:szCs w:val="17"/>
          <w:b w:val="1"/>
          <w:bCs w:val="1"/>
          <w:color w:val="auto"/>
        </w:rPr>
        <w:t>Extended</w:t>
      </w:r>
      <w:r>
        <w:rPr>
          <w:rFonts w:ascii="Arial" w:cs="Arial" w:eastAsia="Arial" w:hAnsi="Arial"/>
          <w:sz w:val="17"/>
          <w:szCs w:val="17"/>
          <w:color w:val="auto"/>
        </w:rPr>
        <w:t xml:space="preserve"> </w:t>
      </w:r>
      <w:r>
        <w:rPr>
          <w:rFonts w:ascii="Arial" w:cs="Arial" w:eastAsia="Arial" w:hAnsi="Arial"/>
          <w:sz w:val="17"/>
          <w:szCs w:val="17"/>
          <w:b w:val="1"/>
          <w:bCs w:val="1"/>
          <w:color w:val="auto"/>
        </w:rPr>
        <w:t>Repayment Date</w:t>
      </w:r>
      <w:r>
        <w:rPr>
          <w:rFonts w:ascii="Arial" w:cs="Arial" w:eastAsia="Arial" w:hAnsi="Arial"/>
          <w:sz w:val="17"/>
          <w:szCs w:val="17"/>
          <w:color w:val="auto"/>
        </w:rPr>
        <w:t>”) set forth in the applicable Extension Amendment.</w:t>
      </w:r>
    </w:p>
    <w:p>
      <w:pPr>
        <w:spacing w:after="0" w:line="157" w:lineRule="exact"/>
        <w:rPr>
          <w:rFonts w:ascii="Arial" w:cs="Arial" w:eastAsia="Arial" w:hAnsi="Arial"/>
          <w:sz w:val="17"/>
          <w:szCs w:val="17"/>
          <w:color w:val="auto"/>
        </w:rPr>
      </w:pPr>
    </w:p>
    <w:p>
      <w:pPr>
        <w:ind w:left="-40" w:right="360" w:firstLine="622"/>
        <w:spacing w:after="0" w:line="236" w:lineRule="auto"/>
        <w:tabs>
          <w:tab w:leader="none" w:pos="11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160"/>
          </w:cols>
          <w:pgMar w:left="360" w:top="1440" w:right="379" w:bottom="1440" w:gutter="0" w:footer="0" w:header="0"/>
        </w:sectPr>
      </w:pPr>
    </w:p>
    <w:bookmarkStart w:id="86" w:name="page87"/>
    <w:bookmarkEnd w:id="86"/>
    <w:p>
      <w:pPr>
        <w:spacing w:after="0" w:line="10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Loan made by such lending office of such Lender from time to time, including the amounts of principal and interest payable and paid to such lending office of such Lender from time to time under this Agreement.</w:t>
      </w:r>
    </w:p>
    <w:p>
      <w:pPr>
        <w:spacing w:after="0" w:line="150" w:lineRule="exact"/>
        <w:rPr>
          <w:sz w:val="20"/>
          <w:szCs w:val="20"/>
          <w:color w:val="auto"/>
        </w:rPr>
      </w:pPr>
    </w:p>
    <w:p>
      <w:pPr>
        <w:ind w:right="220" w:firstLine="622"/>
        <w:spacing w:after="0" w:line="234" w:lineRule="auto"/>
        <w:tabs>
          <w:tab w:leader="none" w:pos="12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the Register pursuant to </w:t>
      </w:r>
      <w:r>
        <w:rPr>
          <w:rFonts w:ascii="Arial" w:cs="Arial" w:eastAsia="Arial" w:hAnsi="Arial"/>
          <w:sz w:val="16"/>
          <w:szCs w:val="16"/>
          <w:u w:val="single" w:color="auto"/>
          <w:color w:val="auto"/>
        </w:rPr>
        <w:t>Section 13.6(b)</w:t>
      </w:r>
      <w:r>
        <w:rPr>
          <w:rFonts w:ascii="Arial" w:cs="Arial" w:eastAsia="Arial" w:hAnsi="Arial"/>
          <w:sz w:val="16"/>
          <w:szCs w:val="16"/>
          <w:color w:val="auto"/>
        </w:rPr>
        <w:t>, and a subaccount for each Lender, in which Register and subaccounts (taken together) shall be recorded (i) the amount of each Loan made hereunder, whether such Loan is a Term A Loan, New Term Loan, Revolving Credit Loan or Swingline Loan, as applicable, the Type of each Loan made, the name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3" w:lineRule="exact"/>
        <w:rPr>
          <w:rFonts w:ascii="Arial" w:cs="Arial" w:eastAsia="Arial" w:hAnsi="Arial"/>
          <w:sz w:val="16"/>
          <w:szCs w:val="16"/>
          <w:color w:val="auto"/>
        </w:rPr>
      </w:pPr>
    </w:p>
    <w:p>
      <w:pPr>
        <w:ind w:right="120" w:firstLine="622"/>
        <w:spacing w:after="0" w:line="218" w:lineRule="auto"/>
        <w:tabs>
          <w:tab w:leader="none" w:pos="123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entries made in the Register and accounts and subaccounts maintained pursuant to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to the extent permitted by applicable law, be prima facie evidence of the existence and amounts of the obligations of the Borrower therein recorded;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of any inconsistency between the Registrar and any such account or subaccount, the Registrar shall govern,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72" w:lineRule="exact"/>
        <w:rPr>
          <w:rFonts w:ascii="Arial" w:cs="Arial" w:eastAsia="Arial" w:hAnsi="Arial"/>
          <w:sz w:val="17"/>
          <w:szCs w:val="17"/>
          <w:color w:val="auto"/>
        </w:rPr>
      </w:pPr>
    </w:p>
    <w:p>
      <w:pPr>
        <w:ind w:firstLine="622"/>
        <w:spacing w:after="0" w:line="218" w:lineRule="auto"/>
        <w:tabs>
          <w:tab w:leader="none" w:pos="123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as applicable, evidencing the (i) Revolving Loans or Swingline Loans and (ii) Term A Loans (including New Term Loans), respectively,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7"/>
          <w:szCs w:val="17"/>
          <w:u w:val="single" w:color="auto"/>
          <w:color w:val="auto"/>
        </w:rPr>
        <w:t>Section 13.6</w:t>
      </w:r>
      <w:r>
        <w:rPr>
          <w:rFonts w:ascii="Arial" w:cs="Arial" w:eastAsia="Arial" w:hAnsi="Arial"/>
          <w:sz w:val="17"/>
          <w:szCs w:val="17"/>
          <w:color w:val="auto"/>
        </w:rPr>
        <w:t>) be represented by one or more promissory notes in such form payable to the order of the payee named therein (or, if requested by such payee, to such payee and its registered assigns).</w:t>
      </w:r>
    </w:p>
    <w:p>
      <w:pPr>
        <w:spacing w:after="0" w:line="17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u w:val="single" w:color="auto"/>
          <w:color w:val="auto"/>
        </w:rPr>
        <w:t>Conversions and Continuations</w:t>
      </w:r>
      <w:r>
        <w:rPr>
          <w:rFonts w:ascii="Arial" w:cs="Arial" w:eastAsia="Arial" w:hAnsi="Arial"/>
          <w:sz w:val="15"/>
          <w:szCs w:val="15"/>
          <w:color w:val="auto"/>
        </w:rPr>
        <w:t>.</w:t>
      </w:r>
    </w:p>
    <w:p>
      <w:pPr>
        <w:spacing w:after="0" w:line="178" w:lineRule="exact"/>
        <w:rPr>
          <w:sz w:val="20"/>
          <w:szCs w:val="20"/>
          <w:color w:val="auto"/>
        </w:rPr>
      </w:pPr>
    </w:p>
    <w:p>
      <w:pPr>
        <w:ind w:right="20" w:firstLine="622"/>
        <w:spacing w:after="0" w:line="226" w:lineRule="auto"/>
        <w:tabs>
          <w:tab w:leader="none" w:pos="123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Subject to the penultimate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(x) the Borrower shall have the option on any Business Day to convert all or a portion equal to at least $5,000,000 of the outstanding principal amount of Term Loans of one Type or Revolving Credit Loans of one Type into a Borrowing or Borrowings of another Type and (y) the Borrower shall have the option on any Business Day to continue the outstanding principal amount of any Term SOFR Loans as Term SOFR Loans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partial conversion of Term SOFR Loans shall reduce the outstanding principal amount of Term SOFR Loans made pursuant to a single Borrowing to less than the Minimum Borrowing Amount, (ii) ABR Loans may not be converted into Term SOFR Loans if an Event of Default is in existence on the date of the conversion and the Administrative Agent has or the Required Lenders have determined in its or their sole discretion not to permit such conversion, (iii) Term SOFR Loans may not be continued as Term SOFR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limited in number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such conversion or continuation shall be effected by the Borrower by giving the Administrative Agent a Notice of Conversion or Continuation at the Administrative Agent’s Office prior to 1:00 p.m. (New York City time) at least (i) two U.S. Government Securities Business Days prior, in the case of a continuation of or conversion to Term SOFR Loans (other than in the case of a notice delivered on the Second Restatement Effective Date, which shall be deemed to be effective on the Second Restatement Effective Date), or (ii) one Business Day prior in the case of a conversion into ABR Loans specifying the Loans to be so converted or continued, the Type of Loans to be converted or continued into and, if such Loans are to be converted into or continued as Term SOFR Loans, the Interest Period to be initially applicable thereto. Such notice may be given by (A) telephone, or (B) a Notice of Conversion or Continuation;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Notice of Conversion. A Notice of Conversion or Continuation may be in such other form as may be approved by the Administrative Agent (including any form on an electronic platform or electronic transmission system as shall be approved by the Administrative Agent) and shall be appropriately completed and signed by an Authorized Officer of the Borrower. If no Interest Period is specified in any such notice with respect to any conversion to or continuation as a Term SOFR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06" w:lineRule="exact"/>
        <w:rPr>
          <w:sz w:val="20"/>
          <w:szCs w:val="20"/>
          <w:color w:val="auto"/>
        </w:rPr>
      </w:pPr>
    </w:p>
    <w:p>
      <w:pPr>
        <w:ind w:right="20" w:firstLine="622"/>
        <w:spacing w:after="0" w:line="238" w:lineRule="auto"/>
        <w:tabs>
          <w:tab w:leader="none" w:pos="123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 any Event of Default is in existence at the time of any proposed continuation of any Term SOFR Loans and the Administrative Agent has or the Required Lenders have determined in its or their sole discretion not to permit such continuation, such Term SOFR Loans shall be automatically converted on the last day of the current Interest Period into ABR Loans. If upon the expiration of any Interest Period in respect of Term SOFR Loans, the Borrower has failed to elect a new Interest Period to be applicable thereto as provided in </w:t>
      </w:r>
      <w:r>
        <w:rPr>
          <w:rFonts w:ascii="Arial" w:cs="Arial" w:eastAsia="Arial" w:hAnsi="Arial"/>
          <w:sz w:val="16"/>
          <w:szCs w:val="16"/>
          <w:u w:val="single" w:color="auto"/>
          <w:color w:val="auto"/>
        </w:rPr>
        <w:t>clause (a)</w:t>
      </w:r>
      <w:r>
        <w:rPr>
          <w:rFonts w:ascii="Arial" w:cs="Arial" w:eastAsia="Arial" w:hAnsi="Arial"/>
          <w:sz w:val="16"/>
          <w:szCs w:val="16"/>
          <w:color w:val="auto"/>
        </w:rPr>
        <w:t>, the Borrower shall be deemed to have elected to convert such Borrowing of Term SOFR Loans into a Borrowing of ABR Loans, effective as of the expiration date of such current Interest Period.</w:t>
      </w:r>
    </w:p>
    <w:p>
      <w:pPr>
        <w:spacing w:after="0" w:line="158" w:lineRule="exact"/>
        <w:rPr>
          <w:sz w:val="20"/>
          <w:szCs w:val="20"/>
          <w:color w:val="auto"/>
        </w:rPr>
      </w:pPr>
    </w:p>
    <w:p>
      <w:pPr>
        <w:ind w:right="60" w:firstLine="619"/>
        <w:spacing w:after="0" w:line="251"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Pro Rata Borrowings</w:t>
      </w:r>
      <w:r>
        <w:rPr>
          <w:rFonts w:ascii="Arial" w:cs="Arial" w:eastAsia="Arial" w:hAnsi="Arial"/>
          <w:sz w:val="15"/>
          <w:szCs w:val="15"/>
          <w:color w:val="auto"/>
        </w:rPr>
        <w:t>. Each Borrowing of Term A Loans under this Agreement shall be made by the Lenders pro rata on the basis of their then applicable Term A Loan Commitments. Each Borrowing of Revolving Credit Loans under this Agreement shall be made by the Revolving Credit Lenders pro rata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on the basis of their then-applicable Revolving Credit Commitment Percentages. Each Borrowing of New Term Loans under this Agreement shall be made by the Lenders pro rata 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w:t>
      </w:r>
    </w:p>
    <w:p>
      <w:pPr>
        <w:ind w:right="180"/>
        <w:spacing w:after="0" w:line="220" w:lineRule="auto"/>
        <w:rPr>
          <w:sz w:val="20"/>
          <w:szCs w:val="20"/>
          <w:color w:val="auto"/>
        </w:rPr>
      </w:pPr>
      <w:r>
        <w:rPr>
          <w:rFonts w:ascii="Arial" w:cs="Arial" w:eastAsia="Arial" w:hAnsi="Arial"/>
          <w:sz w:val="17"/>
          <w:szCs w:val="17"/>
          <w:color w:val="auto"/>
        </w:rPr>
        <w:t>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u w:val="single" w:color="auto"/>
          <w:color w:val="auto"/>
        </w:rPr>
        <w:t>Interest</w:t>
      </w:r>
      <w:r>
        <w:rPr>
          <w:rFonts w:ascii="Arial" w:cs="Arial" w:eastAsia="Arial" w:hAnsi="Arial"/>
          <w:sz w:val="15"/>
          <w:szCs w:val="15"/>
          <w:color w:val="auto"/>
        </w:rPr>
        <w:t>.</w:t>
      </w:r>
    </w:p>
    <w:p>
      <w:pPr>
        <w:spacing w:after="0" w:line="178" w:lineRule="exact"/>
        <w:rPr>
          <w:sz w:val="20"/>
          <w:szCs w:val="20"/>
          <w:color w:val="auto"/>
        </w:rPr>
      </w:pPr>
    </w:p>
    <w:p>
      <w:pPr>
        <w:ind w:right="260" w:firstLine="622"/>
        <w:spacing w:after="0" w:line="231" w:lineRule="auto"/>
        <w:tabs>
          <w:tab w:leader="none" w:pos="123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ABR, in each case, in effect from time to time.</w:t>
      </w:r>
    </w:p>
    <w:p>
      <w:pPr>
        <w:spacing w:after="0" w:line="157" w:lineRule="exact"/>
        <w:rPr>
          <w:rFonts w:ascii="Arial" w:cs="Arial" w:eastAsia="Arial" w:hAnsi="Arial"/>
          <w:sz w:val="17"/>
          <w:szCs w:val="17"/>
          <w:color w:val="auto"/>
        </w:rPr>
      </w:pPr>
    </w:p>
    <w:p>
      <w:pPr>
        <w:ind w:right="20" w:firstLine="622"/>
        <w:spacing w:after="0" w:line="295" w:lineRule="auto"/>
        <w:tabs>
          <w:tab w:leader="none" w:pos="1238"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The unpaid principal amount of each Term SOFR Loan shall bear interest from the date of the Borrowing thereof until maturity thereof (whether by acceleration or otherwise) at a rate per annum that shall at all times be the Applicable Margin for Term SOFR Loans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relevant Term SOFR rate.</w:t>
      </w:r>
    </w:p>
    <w:p>
      <w:pPr>
        <w:spacing w:after="0" w:line="130" w:lineRule="exact"/>
        <w:rPr>
          <w:rFonts w:ascii="Arial" w:cs="Arial" w:eastAsia="Arial" w:hAnsi="Arial"/>
          <w:sz w:val="15"/>
          <w:szCs w:val="15"/>
          <w:color w:val="auto"/>
        </w:rPr>
      </w:pPr>
    </w:p>
    <w:p>
      <w:pPr>
        <w:ind w:right="20" w:firstLine="622"/>
        <w:spacing w:after="0" w:line="221" w:lineRule="auto"/>
        <w:tabs>
          <w:tab w:leader="none" w:pos="1238"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that is (x) in the case of overdue principal, the rate that would otherwise be applicable thereto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or (y) in the case of any other overdue 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157" w:lineRule="exact"/>
        <w:rPr>
          <w:rFonts w:ascii="Arial" w:cs="Arial" w:eastAsia="Arial" w:hAnsi="Arial"/>
          <w:sz w:val="17"/>
          <w:szCs w:val="17"/>
          <w:color w:val="auto"/>
        </w:rPr>
      </w:pPr>
    </w:p>
    <w:p>
      <w:pPr>
        <w:ind w:firstLine="622"/>
        <w:spacing w:after="0" w:line="218" w:lineRule="auto"/>
        <w:tabs>
          <w:tab w:leader="none" w:pos="123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Interest on each Loan shall accrue from and including the date of any Borrowing to but excluding the date of any repayment thereof and shall be payable in the same currency in which the Loan is denominated;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date on which it is made shall bear interest for one day. Except as provided below, interest shall be payable (i) in respect of each ABR Loan, quarterly in arrears on the last Business Day of March, June, September and December, (ii) in respect of each Term SOFR Loan, on the last day of each Interest Period applicable thereto and, in the case of an Interest Period in excess of three months, on each date occurring at three-month intervals after the first day of such Interest Period, and (iii) in respect of each Loan, (A) except in the case of ABR Revolving Credit Loans on any prepayment in respect thereof, (B) at maturity (whether by acceleration or otherwise), and (C) after such maturity, on demand.</w:t>
      </w:r>
    </w:p>
    <w:p>
      <w:pPr>
        <w:spacing w:after="0" w:line="175" w:lineRule="exact"/>
        <w:rPr>
          <w:rFonts w:ascii="Arial" w:cs="Arial" w:eastAsia="Arial" w:hAnsi="Arial"/>
          <w:sz w:val="17"/>
          <w:szCs w:val="17"/>
          <w:color w:val="auto"/>
        </w:rPr>
      </w:pPr>
    </w:p>
    <w:p>
      <w:pPr>
        <w:ind w:left="1240" w:hanging="618"/>
        <w:spacing w:after="0"/>
        <w:tabs>
          <w:tab w:leader="none" w:pos="1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All computations of interest hereunder shall be made in accordance with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40" w:firstLine="622"/>
        <w:spacing w:after="0" w:line="295" w:lineRule="auto"/>
        <w:tabs>
          <w:tab w:leader="none" w:pos="1238"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Administrative Agent, upon determining the interest rate for any Borrowing of Term SOFR Loans, shall promptly notify the Borrower and the relevant Lenders thereof. Each such determination shall, absent clearly demonstrable error, be final and conclusive and binding on all parties hereto.</w:t>
      </w:r>
    </w:p>
    <w:p>
      <w:pPr>
        <w:spacing w:after="0" w:line="130" w:lineRule="exact"/>
        <w:rPr>
          <w:sz w:val="20"/>
          <w:szCs w:val="20"/>
          <w:color w:val="auto"/>
        </w:rPr>
      </w:pPr>
    </w:p>
    <w:p>
      <w:pPr>
        <w:ind w:right="40" w:firstLine="619"/>
        <w:spacing w:after="0" w:line="245" w:lineRule="auto"/>
        <w:rPr>
          <w:sz w:val="20"/>
          <w:szCs w:val="20"/>
          <w:color w:val="auto"/>
        </w:rPr>
      </w:pPr>
      <w:r>
        <w:rPr>
          <w:rFonts w:ascii="Arial" w:cs="Arial" w:eastAsia="Arial" w:hAnsi="Arial"/>
          <w:sz w:val="15"/>
          <w:szCs w:val="15"/>
          <w:color w:val="auto"/>
        </w:rPr>
        <w:t xml:space="preserve">2.9 </w:t>
      </w:r>
      <w:r>
        <w:rPr>
          <w:rFonts w:ascii="Arial" w:cs="Arial" w:eastAsia="Arial" w:hAnsi="Arial"/>
          <w:sz w:val="15"/>
          <w:szCs w:val="15"/>
          <w:u w:val="single" w:color="auto"/>
          <w:color w:val="auto"/>
        </w:rPr>
        <w:t>Interest Periods</w:t>
      </w:r>
      <w:r>
        <w:rPr>
          <w:rFonts w:ascii="Arial" w:cs="Arial" w:eastAsia="Arial" w:hAnsi="Arial"/>
          <w:sz w:val="15"/>
          <w:szCs w:val="15"/>
          <w:color w:val="auto"/>
        </w:rPr>
        <w:t xml:space="preserve">. At the time the Borrower gives a Notice of Borrowing or Notice of Conversion or Continuation in respect of the making of, or conversion into or continuation as, a Borrowing of Term SOFR Loans in accordance with </w:t>
      </w:r>
      <w:r>
        <w:rPr>
          <w:rFonts w:ascii="Arial" w:cs="Arial" w:eastAsia="Arial" w:hAnsi="Arial"/>
          <w:sz w:val="15"/>
          <w:szCs w:val="15"/>
          <w:u w:val="single" w:color="auto"/>
          <w:color w:val="auto"/>
        </w:rPr>
        <w:t>Section 2.6(a)</w:t>
      </w:r>
      <w:r>
        <w:rPr>
          <w:rFonts w:ascii="Arial" w:cs="Arial" w:eastAsia="Arial" w:hAnsi="Arial"/>
          <w:sz w:val="15"/>
          <w:szCs w:val="15"/>
          <w:color w:val="auto"/>
        </w:rPr>
        <w:t>, the Borrower shall give the Administrative Agent written notice of the Interest Period applicable to such Borrowing, which Interest Period shall, at the option of the Borrower be a one, three or six month period (or if</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available to all the Lenders making such Term SOFR Loans as determined by such Lenders in good faith based on prevailing market conditions, a twelve month or shorter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Notwithstanding anything to the contrary contained above:</w:t>
      </w:r>
    </w:p>
    <w:p>
      <w:pPr>
        <w:spacing w:after="0" w:line="191" w:lineRule="exact"/>
        <w:rPr>
          <w:sz w:val="20"/>
          <w:szCs w:val="20"/>
          <w:color w:val="auto"/>
        </w:rPr>
      </w:pPr>
    </w:p>
    <w:p>
      <w:pPr>
        <w:ind w:left="620" w:right="40" w:firstLine="621"/>
        <w:spacing w:after="0" w:line="226" w:lineRule="auto"/>
        <w:tabs>
          <w:tab w:leader="none" w:pos="18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initial Interest Period for any Borrowing of Term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69" w:lineRule="exact"/>
        <w:rPr>
          <w:rFonts w:ascii="Arial" w:cs="Arial" w:eastAsia="Arial" w:hAnsi="Arial"/>
          <w:sz w:val="17"/>
          <w:szCs w:val="17"/>
          <w:color w:val="auto"/>
        </w:rPr>
      </w:pPr>
    </w:p>
    <w:p>
      <w:pPr>
        <w:ind w:left="620" w:right="20" w:firstLine="621"/>
        <w:spacing w:after="0" w:line="226" w:lineRule="auto"/>
        <w:tabs>
          <w:tab w:leader="none" w:pos="18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any Interest Period relating to a Borrowing of Term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69" w:lineRule="exact"/>
        <w:rPr>
          <w:rFonts w:ascii="Arial" w:cs="Arial" w:eastAsia="Arial" w:hAnsi="Arial"/>
          <w:sz w:val="17"/>
          <w:szCs w:val="17"/>
          <w:color w:val="auto"/>
        </w:rPr>
      </w:pPr>
    </w:p>
    <w:p>
      <w:pPr>
        <w:ind w:left="620" w:firstLine="621"/>
        <w:spacing w:after="0" w:line="224" w:lineRule="auto"/>
        <w:tabs>
          <w:tab w:leader="none" w:pos="18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if any Interest Period would otherwise expire on a day that is not a Business Day, such Interest Period shall expire on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Interest Period in respect of a Term SOFR Loan would otherwise expire on a day that is not a Business Day but is a day of the month after which no further Business Day occurs in such month, such Interest Period shall expire on the immediately preceding Business Day; and</w:t>
      </w:r>
    </w:p>
    <w:p>
      <w:pPr>
        <w:spacing w:after="0" w:line="159" w:lineRule="exact"/>
        <w:rPr>
          <w:rFonts w:ascii="Arial" w:cs="Arial" w:eastAsia="Arial" w:hAnsi="Arial"/>
          <w:sz w:val="17"/>
          <w:szCs w:val="17"/>
          <w:color w:val="auto"/>
        </w:rPr>
      </w:pPr>
    </w:p>
    <w:p>
      <w:pPr>
        <w:ind w:left="620" w:right="220" w:firstLine="621"/>
        <w:spacing w:after="0" w:line="236" w:lineRule="auto"/>
        <w:tabs>
          <w:tab w:leader="none" w:pos="18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Borrower shall not be entitled to elect any Interest Period in respect of any Term SOFR Loan if such Interest Period would extend beyond the Maturity Date of such Loan.</w:t>
      </w:r>
    </w:p>
    <w:p>
      <w:pPr>
        <w:spacing w:after="0" w:line="170" w:lineRule="exact"/>
        <w:rPr>
          <w:sz w:val="20"/>
          <w:szCs w:val="20"/>
          <w:color w:val="auto"/>
        </w:rPr>
      </w:pPr>
    </w:p>
    <w:p>
      <w:pPr>
        <w:ind w:right="240" w:firstLine="619"/>
        <w:spacing w:after="0" w:line="245"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u w:val="single" w:color="auto"/>
          <w:color w:val="auto"/>
        </w:rPr>
        <w:t>Illegality</w:t>
      </w:r>
      <w:r>
        <w:rPr>
          <w:rFonts w:ascii="Arial" w:cs="Arial" w:eastAsia="Arial" w:hAnsi="Arial"/>
          <w:sz w:val="15"/>
          <w:szCs w:val="15"/>
          <w:color w:val="auto"/>
        </w:rPr>
        <w:t>. If, after the Second Restatement Effective Date, any Change in Law relating to capital adequacy or liquidity of any Lender or compliance by any Lender or its parent with any Change in Law relating to capital adequacy or liquidity occurring after the Second Restatement Effective Date, has or would have the effect of reducing the actual rate of return on such Lender’s or its parent’s or its Affiliate’s capital or assets as a consequence of such</w:t>
      </w:r>
    </w:p>
    <w:p>
      <w:pPr>
        <w:spacing w:after="0" w:line="1" w:lineRule="exact"/>
        <w:rPr>
          <w:sz w:val="20"/>
          <w:szCs w:val="20"/>
          <w:color w:val="auto"/>
        </w:rPr>
      </w:pPr>
    </w:p>
    <w:p>
      <w:pPr>
        <w:jc w:val="both"/>
        <w:ind w:right="160"/>
        <w:spacing w:after="0" w:line="239" w:lineRule="auto"/>
        <w:rPr>
          <w:sz w:val="20"/>
          <w:szCs w:val="20"/>
          <w:color w:val="auto"/>
        </w:rPr>
      </w:pPr>
      <w:r>
        <w:rPr>
          <w:rFonts w:ascii="Arial" w:cs="Arial" w:eastAsia="Arial" w:hAnsi="Arial"/>
          <w:sz w:val="15"/>
          <w:szCs w:val="15"/>
          <w:color w:val="auto"/>
        </w:rPr>
        <w:t>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demand by such Lender (with a copy to the Administrative Agent), the Borrower shall pay to such Lender such actual additional amount or amounts as will compensate</w:t>
      </w:r>
    </w:p>
    <w:p>
      <w:pPr>
        <w:ind w:right="20"/>
        <w:spacing w:after="0" w:line="239" w:lineRule="auto"/>
        <w:rPr>
          <w:sz w:val="20"/>
          <w:szCs w:val="20"/>
          <w:color w:val="auto"/>
        </w:rPr>
      </w:pPr>
      <w:r>
        <w:rPr>
          <w:rFonts w:ascii="Arial" w:cs="Arial" w:eastAsia="Arial" w:hAnsi="Arial"/>
          <w:sz w:val="15"/>
          <w:szCs w:val="15"/>
          <w:color w:val="auto"/>
        </w:rPr>
        <w:t>such Lender or its parent for such actual reduction, it being understood and agreed, however, that a Lender shall not be entitled to such compensation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w:t>
      </w:r>
    </w:p>
    <w:p>
      <w:pPr>
        <w:ind w:right="20"/>
        <w:spacing w:after="0" w:line="220" w:lineRule="auto"/>
        <w:rPr>
          <w:sz w:val="20"/>
          <w:szCs w:val="20"/>
          <w:color w:val="auto"/>
        </w:rPr>
      </w:pP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release or diminish the Borrower’s obligations to pay additional amounts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promptly following receipt of such notice.</w:t>
      </w:r>
    </w:p>
    <w:p>
      <w:pPr>
        <w:spacing w:after="0" w:line="170" w:lineRule="exact"/>
        <w:rPr>
          <w:sz w:val="20"/>
          <w:szCs w:val="20"/>
          <w:color w:val="auto"/>
        </w:rPr>
      </w:pPr>
    </w:p>
    <w:p>
      <w:pPr>
        <w:jc w:val="both"/>
        <w:ind w:right="100" w:firstLine="619"/>
        <w:spacing w:after="0" w:line="245"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Compensation</w:t>
      </w:r>
      <w:r>
        <w:rPr>
          <w:rFonts w:ascii="Arial" w:cs="Arial" w:eastAsia="Arial" w:hAnsi="Arial"/>
          <w:sz w:val="15"/>
          <w:szCs w:val="15"/>
          <w:color w:val="auto"/>
        </w:rPr>
        <w:t xml:space="preserve">. If (a) any payment of principal of any Term SOFR Loan is made by the Borrower to or for the account of a Lender other than on the last day of the Interest Period for such Term SOFR Loan as a result of a payment or conversion pursuant to </w:t>
      </w:r>
      <w:r>
        <w:rPr>
          <w:rFonts w:ascii="Arial" w:cs="Arial" w:eastAsia="Arial" w:hAnsi="Arial"/>
          <w:sz w:val="15"/>
          <w:szCs w:val="15"/>
          <w:u w:val="single" w:color="auto"/>
          <w:color w:val="auto"/>
        </w:rPr>
        <w:t>Sections 2.5</w:t>
      </w:r>
      <w:r>
        <w:rPr>
          <w:rFonts w:ascii="Arial" w:cs="Arial" w:eastAsia="Arial" w:hAnsi="Arial"/>
          <w:sz w:val="15"/>
          <w:szCs w:val="15"/>
          <w:color w:val="auto"/>
        </w:rPr>
        <w:t xml:space="preserve">,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w:t>
      </w:r>
      <w:r>
        <w:rPr>
          <w:rFonts w:ascii="Arial" w:cs="Arial" w:eastAsia="Arial" w:hAnsi="Arial"/>
          <w:sz w:val="15"/>
          <w:szCs w:val="15"/>
          <w:u w:val="single" w:color="auto"/>
          <w:color w:val="auto"/>
        </w:rPr>
        <w:t>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5.1</w:t>
      </w:r>
      <w:r>
        <w:rPr>
          <w:rFonts w:ascii="Arial" w:cs="Arial" w:eastAsia="Arial" w:hAnsi="Arial"/>
          <w:sz w:val="15"/>
          <w:szCs w:val="15"/>
          <w:color w:val="auto"/>
        </w:rPr>
        <w:t xml:space="preserve"> , </w:t>
      </w:r>
      <w:r>
        <w:rPr>
          <w:rFonts w:ascii="Arial" w:cs="Arial" w:eastAsia="Arial" w:hAnsi="Arial"/>
          <w:sz w:val="15"/>
          <w:szCs w:val="15"/>
          <w:u w:val="single" w:color="auto"/>
          <w:color w:val="auto"/>
        </w:rPr>
        <w:t>5.2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13.7</w:t>
      </w:r>
      <w:r>
        <w:rPr>
          <w:rFonts w:ascii="Arial" w:cs="Arial" w:eastAsia="Arial" w:hAnsi="Arial"/>
          <w:sz w:val="15"/>
          <w:szCs w:val="15"/>
          <w:color w:val="auto"/>
        </w:rPr>
        <w:t xml:space="preserve">, as a result of acceleration of the maturity of the Loans pursuant to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or for any other reason, (b) any Borrowing of Term SOFR Loans is not made as a result of a</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withdrawn Notice of Borrowing or a failure to satisfy borrowing conditions, (c) any ABR Loan is not converted into a Term SOFR Loan as a result of a withdrawn Notice of Conversion or Continuation, (d) any Term SOFR Loan is not continued as a Term SOFR Loan, as the case may be, as a result of a withdrawn Notice of Conversion or Continuation or (e) any prepayment of principal of any Term SOFR Loan is not made as a result of a withdrawn notice of prepayment pursuant to</w:t>
      </w:r>
    </w:p>
    <w:p>
      <w:pPr>
        <w:ind w:right="140"/>
        <w:spacing w:after="0" w:line="239" w:lineRule="auto"/>
        <w:rPr>
          <w:sz w:val="20"/>
          <w:szCs w:val="20"/>
          <w:color w:val="auto"/>
        </w:rPr>
      </w:pPr>
      <w:r>
        <w:rPr>
          <w:rFonts w:ascii="Arial" w:cs="Arial" w:eastAsia="Arial" w:hAnsi="Arial"/>
          <w:sz w:val="15"/>
          <w:szCs w:val="15"/>
          <w:u w:val="single" w:color="auto"/>
          <w:color w:val="auto"/>
        </w:rPr>
        <w:t>Sections 5.1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5.2</w:t>
      </w:r>
      <w:r>
        <w:rPr>
          <w:rFonts w:ascii="Arial" w:cs="Arial" w:eastAsia="Arial" w:hAnsi="Arial"/>
          <w:sz w:val="15"/>
          <w:szCs w:val="15"/>
          <w:color w:val="auto"/>
        </w:rPr>
        <w:t>,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w:t>
      </w:r>
    </w:p>
    <w:p>
      <w:pPr>
        <w:jc w:val="both"/>
        <w:ind w:right="120"/>
        <w:spacing w:after="0" w:line="239" w:lineRule="auto"/>
        <w:rPr>
          <w:sz w:val="20"/>
          <w:szCs w:val="20"/>
          <w:color w:val="auto"/>
        </w:rPr>
      </w:pPr>
      <w:r>
        <w:rPr>
          <w:rFonts w:ascii="Arial" w:cs="Arial" w:eastAsia="Arial" w:hAnsi="Arial"/>
          <w:sz w:val="15"/>
          <w:szCs w:val="15"/>
          <w:color w:val="auto"/>
        </w:rPr>
        <w:t xml:space="preserve">any loss, cost or expense (excluding loss of anticipated profits) actually incurred by reason of the liquidation or reemployment of deposits or other funds acquired by any Lender to fund or maintain such Term SOFR Loan. A certificate of a Lender setting forth the amount or amounts necessary to compensate such Lender as specified in this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and setting forth in reasonable detail the manner in which such amount or amounts were determined shall be delivered to the</w:t>
      </w:r>
    </w:p>
    <w:p>
      <w:pPr>
        <w:spacing w:after="0"/>
        <w:rPr>
          <w:sz w:val="20"/>
          <w:szCs w:val="20"/>
          <w:color w:val="auto"/>
        </w:rPr>
      </w:pPr>
      <w:r>
        <w:rPr>
          <w:rFonts w:ascii="Arial" w:cs="Arial" w:eastAsia="Arial" w:hAnsi="Arial"/>
          <w:sz w:val="17"/>
          <w:szCs w:val="17"/>
          <w:color w:val="auto"/>
        </w:rPr>
        <w:t>Borrower and shall be conclusive, absent manifest error.</w:t>
      </w:r>
    </w:p>
    <w:p>
      <w:pPr>
        <w:spacing w:after="0" w:line="164" w:lineRule="exact"/>
        <w:rPr>
          <w:sz w:val="20"/>
          <w:szCs w:val="20"/>
          <w:color w:val="auto"/>
        </w:rPr>
      </w:pPr>
    </w:p>
    <w:p>
      <w:pPr>
        <w:jc w:val="both"/>
        <w:ind w:right="260" w:firstLine="619"/>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Change of Lending Office</w:t>
      </w:r>
      <w:r>
        <w:rPr>
          <w:rFonts w:ascii="Arial" w:cs="Arial" w:eastAsia="Arial" w:hAnsi="Arial"/>
          <w:sz w:val="16"/>
          <w:szCs w:val="16"/>
          <w:color w:val="auto"/>
        </w:rPr>
        <w:t xml:space="preserve">. Each Lender agrees that, upon the occurrence of any event giving rise to the operation of </w:t>
      </w:r>
      <w:r>
        <w:rPr>
          <w:rFonts w:ascii="Arial" w:cs="Arial" w:eastAsia="Arial" w:hAnsi="Arial"/>
          <w:sz w:val="16"/>
          <w:szCs w:val="16"/>
          <w:u w:val="single" w:color="auto"/>
          <w:color w:val="auto"/>
        </w:rPr>
        <w:t>Sections 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lending office suffer no unreimbursed cost or other material economic, legal or regulatory disadvantage, with the object of avoiding the consequence of the event</w:t>
      </w:r>
    </w:p>
    <w:p>
      <w:pPr>
        <w:spacing w:after="0" w:line="22" w:lineRule="exact"/>
        <w:rPr>
          <w:sz w:val="20"/>
          <w:szCs w:val="20"/>
          <w:color w:val="auto"/>
        </w:rPr>
      </w:pPr>
    </w:p>
    <w:p>
      <w:pPr>
        <w:ind w:right="340"/>
        <w:spacing w:after="0" w:line="227" w:lineRule="auto"/>
        <w:rPr>
          <w:sz w:val="20"/>
          <w:szCs w:val="20"/>
          <w:color w:val="auto"/>
        </w:rPr>
      </w:pPr>
      <w:r>
        <w:rPr>
          <w:rFonts w:ascii="Arial" w:cs="Arial" w:eastAsia="Arial" w:hAnsi="Arial"/>
          <w:sz w:val="17"/>
          <w:szCs w:val="17"/>
          <w:color w:val="auto"/>
        </w:rPr>
        <w:t xml:space="preserve">giving rise to the operation of any such Section. Nothing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affect or postpone any of the obligations of the Borrower or the right of any Lender provided in </w:t>
      </w:r>
      <w:r>
        <w:rPr>
          <w:rFonts w:ascii="Arial" w:cs="Arial" w:eastAsia="Arial" w:hAnsi="Arial"/>
          <w:sz w:val="17"/>
          <w:szCs w:val="17"/>
          <w:u w:val="single" w:color="auto"/>
          <w:color w:val="auto"/>
        </w:rPr>
        <w:t>Sections 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5"/>
          <w:szCs w:val="15"/>
          <w:u w:val="single" w:color="auto"/>
          <w:color w:val="auto"/>
        </w:rPr>
        <w:t>Notice of Certain Costs</w:t>
      </w:r>
      <w:r>
        <w:rPr>
          <w:rFonts w:ascii="Arial" w:cs="Arial" w:eastAsia="Arial" w:hAnsi="Arial"/>
          <w:sz w:val="15"/>
          <w:szCs w:val="15"/>
          <w:color w:val="auto"/>
        </w:rPr>
        <w:t>. Notwithstanding anything in this Agreement to the contrary, to the extent any notice required by</w:t>
      </w:r>
      <w:r>
        <w:rPr>
          <w:rFonts w:ascii="Arial" w:cs="Arial" w:eastAsia="Arial" w:hAnsi="Arial"/>
          <w:sz w:val="15"/>
          <w:szCs w:val="15"/>
          <w:u w:val="single" w:color="auto"/>
          <w:color w:val="auto"/>
        </w:rPr>
        <w:t xml:space="preserve"> Sections 2.10</w:t>
      </w:r>
      <w:r>
        <w:rPr>
          <w:rFonts w:ascii="Arial" w:cs="Arial" w:eastAsia="Arial" w:hAnsi="Arial"/>
          <w:sz w:val="15"/>
          <w:szCs w:val="15"/>
          <w:color w:val="auto"/>
        </w:rPr>
        <w:t>,</w:t>
      </w:r>
      <w:r>
        <w:rPr>
          <w:rFonts w:ascii="Arial" w:cs="Arial" w:eastAsia="Arial" w:hAnsi="Arial"/>
          <w:sz w:val="15"/>
          <w:szCs w:val="15"/>
          <w:u w:val="single" w:color="auto"/>
          <w:color w:val="auto"/>
        </w:rPr>
        <w:t xml:space="preserve"> 2.11</w:t>
      </w:r>
      <w:r>
        <w:rPr>
          <w:rFonts w:ascii="Arial" w:cs="Arial" w:eastAsia="Arial" w:hAnsi="Arial"/>
          <w:sz w:val="15"/>
          <w:szCs w:val="15"/>
          <w:color w:val="auto"/>
        </w:rPr>
        <w:t>,</w:t>
      </w:r>
      <w:r>
        <w:rPr>
          <w:rFonts w:ascii="Arial" w:cs="Arial" w:eastAsia="Arial" w:hAnsi="Arial"/>
          <w:sz w:val="15"/>
          <w:szCs w:val="15"/>
          <w:u w:val="single" w:color="auto"/>
          <w:color w:val="auto"/>
        </w:rPr>
        <w:t xml:space="preserve"> 3.5</w:t>
      </w:r>
    </w:p>
    <w:p>
      <w:pPr>
        <w:ind w:right="200"/>
        <w:spacing w:after="0" w:line="239" w:lineRule="auto"/>
        <w:rPr>
          <w:sz w:val="20"/>
          <w:szCs w:val="20"/>
          <w:color w:val="auto"/>
        </w:rPr>
      </w:pPr>
      <w:r>
        <w:rPr>
          <w:rFonts w:ascii="Arial" w:cs="Arial" w:eastAsia="Arial" w:hAnsi="Arial"/>
          <w:sz w:val="15"/>
          <w:szCs w:val="15"/>
          <w:color w:val="auto"/>
        </w:rPr>
        <w:t xml:space="preserve">or </w:t>
      </w:r>
      <w:r>
        <w:rPr>
          <w:rFonts w:ascii="Arial" w:cs="Arial" w:eastAsia="Arial" w:hAnsi="Arial"/>
          <w:sz w:val="15"/>
          <w:szCs w:val="15"/>
          <w:u w:val="single" w:color="auto"/>
          <w:color w:val="auto"/>
        </w:rPr>
        <w:t>5.4</w:t>
      </w:r>
      <w:r>
        <w:rPr>
          <w:rFonts w:ascii="Arial" w:cs="Arial" w:eastAsia="Arial" w:hAnsi="Arial"/>
          <w:sz w:val="15"/>
          <w:szCs w:val="15"/>
          <w:color w:val="auto"/>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5.4</w:t>
      </w:r>
      <w:r>
        <w:rPr>
          <w:rFonts w:ascii="Arial" w:cs="Arial" w:eastAsia="Arial" w:hAnsi="Arial"/>
          <w:sz w:val="15"/>
          <w:szCs w:val="15"/>
          <w:color w:val="auto"/>
        </w:rPr>
        <w:t>, as the case may be, for any such amounts incurred or accruing prior to the 121st day prior to the giving of such notice to the</w:t>
      </w:r>
    </w:p>
    <w:p>
      <w:pPr>
        <w:spacing w:after="0"/>
        <w:rPr>
          <w:sz w:val="20"/>
          <w:szCs w:val="20"/>
          <w:color w:val="auto"/>
        </w:rPr>
      </w:pPr>
      <w:r>
        <w:rPr>
          <w:rFonts w:ascii="Arial" w:cs="Arial" w:eastAsia="Arial" w:hAnsi="Arial"/>
          <w:sz w:val="17"/>
          <w:szCs w:val="17"/>
          <w:color w:val="auto"/>
        </w:rPr>
        <w:t>Borrower.</w:t>
      </w:r>
    </w:p>
    <w:p>
      <w:pPr>
        <w:spacing w:after="0" w:line="16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u w:val="single" w:color="auto"/>
          <w:color w:val="auto"/>
        </w:rPr>
        <w:t>Incremental Facilities</w:t>
      </w:r>
      <w:r>
        <w:rPr>
          <w:rFonts w:ascii="Arial" w:cs="Arial" w:eastAsia="Arial" w:hAnsi="Arial"/>
          <w:sz w:val="15"/>
          <w:szCs w:val="15"/>
          <w:color w:val="auto"/>
        </w:rPr>
        <w:t>.</w:t>
      </w:r>
    </w:p>
    <w:p>
      <w:pPr>
        <w:spacing w:after="0" w:line="178" w:lineRule="exact"/>
        <w:rPr>
          <w:sz w:val="20"/>
          <w:szCs w:val="20"/>
          <w:color w:val="auto"/>
        </w:rPr>
      </w:pPr>
    </w:p>
    <w:p>
      <w:pPr>
        <w:ind w:right="40" w:firstLine="622"/>
        <w:spacing w:after="0" w:line="242" w:lineRule="auto"/>
        <w:tabs>
          <w:tab w:leader="none" w:pos="1238"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Borrower may by written notice to Administrative Agent elect to request the establishment of one or more (x) additional tranches of term loans (the commitments thereto, the “</w:t>
      </w:r>
      <w:r>
        <w:rPr>
          <w:rFonts w:ascii="Arial" w:cs="Arial" w:eastAsia="Arial" w:hAnsi="Arial"/>
          <w:sz w:val="15"/>
          <w:szCs w:val="15"/>
          <w:b w:val="1"/>
          <w:bCs w:val="1"/>
          <w:color w:val="auto"/>
        </w:rPr>
        <w:t>New Term Loan Commitments</w:t>
      </w:r>
      <w:r>
        <w:rPr>
          <w:rFonts w:ascii="Arial" w:cs="Arial" w:eastAsia="Arial" w:hAnsi="Arial"/>
          <w:sz w:val="15"/>
          <w:szCs w:val="15"/>
          <w:color w:val="auto"/>
        </w:rPr>
        <w:t>”), (y) increases in Revolving Credit Commitments (the “</w:t>
      </w:r>
      <w:r>
        <w:rPr>
          <w:rFonts w:ascii="Arial" w:cs="Arial" w:eastAsia="Arial" w:hAnsi="Arial"/>
          <w:sz w:val="15"/>
          <w:szCs w:val="15"/>
          <w:b w:val="1"/>
          <w:bCs w:val="1"/>
          <w:color w:val="auto"/>
        </w:rPr>
        <w:t>New Revolving Credit</w:t>
      </w:r>
      <w:r>
        <w:rPr>
          <w:rFonts w:ascii="Arial" w:cs="Arial" w:eastAsia="Arial" w:hAnsi="Arial"/>
          <w:sz w:val="15"/>
          <w:szCs w:val="15"/>
          <w:color w:val="auto"/>
        </w:rPr>
        <w:t xml:space="preserve"> </w:t>
      </w:r>
      <w:r>
        <w:rPr>
          <w:rFonts w:ascii="Arial" w:cs="Arial" w:eastAsia="Arial" w:hAnsi="Arial"/>
          <w:sz w:val="15"/>
          <w:szCs w:val="15"/>
          <w:b w:val="1"/>
          <w:bCs w:val="1"/>
          <w:color w:val="auto"/>
        </w:rPr>
        <w:t>Commitments</w:t>
      </w:r>
      <w:r>
        <w:rPr>
          <w:rFonts w:ascii="Arial" w:cs="Arial" w:eastAsia="Arial" w:hAnsi="Arial"/>
          <w:sz w:val="15"/>
          <w:szCs w:val="15"/>
          <w:color w:val="auto"/>
        </w:rPr>
        <w:t>” and together with the New Term Loan Commitments, the “</w:t>
      </w:r>
      <w:r>
        <w:rPr>
          <w:rFonts w:ascii="Arial" w:cs="Arial" w:eastAsia="Arial" w:hAnsi="Arial"/>
          <w:sz w:val="15"/>
          <w:szCs w:val="15"/>
          <w:b w:val="1"/>
          <w:bCs w:val="1"/>
          <w:color w:val="auto"/>
        </w:rPr>
        <w:t>New Loan Commitments</w:t>
      </w:r>
      <w:r>
        <w:rPr>
          <w:rFonts w:ascii="Arial" w:cs="Arial" w:eastAsia="Arial" w:hAnsi="Arial"/>
          <w:sz w:val="15"/>
          <w:szCs w:val="15"/>
          <w:color w:val="auto"/>
        </w:rPr>
        <w:t>”), by an aggregate amount not in excess of the Maximum</w:t>
      </w:r>
      <w:r>
        <w:rPr>
          <w:rFonts w:ascii="Arial" w:cs="Arial" w:eastAsia="Arial" w:hAnsi="Arial"/>
          <w:sz w:val="15"/>
          <w:szCs w:val="15"/>
          <w:b w:val="1"/>
          <w:bCs w:val="1"/>
          <w:color w:val="auto"/>
        </w:rPr>
        <w:t xml:space="preserve"> </w:t>
      </w:r>
      <w:r>
        <w:rPr>
          <w:rFonts w:ascii="Arial" w:cs="Arial" w:eastAsia="Arial" w:hAnsi="Arial"/>
          <w:sz w:val="15"/>
          <w:szCs w:val="15"/>
          <w:color w:val="auto"/>
        </w:rPr>
        <w:t>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Each such notice shall specify the date (each, an “</w:t>
      </w:r>
      <w:r>
        <w:rPr>
          <w:rFonts w:ascii="Arial" w:cs="Arial" w:eastAsia="Arial" w:hAnsi="Arial"/>
          <w:sz w:val="15"/>
          <w:szCs w:val="15"/>
          <w:b w:val="1"/>
          <w:bCs w:val="1"/>
          <w:color w:val="auto"/>
        </w:rPr>
        <w:t>Increased Amount Date</w:t>
      </w:r>
      <w:r>
        <w:rPr>
          <w:rFonts w:ascii="Arial" w:cs="Arial" w:eastAsia="Arial" w:hAnsi="Arial"/>
          <w:sz w:val="15"/>
          <w:szCs w:val="15"/>
          <w:color w:val="auto"/>
        </w:rPr>
        <w:t xml:space="preserve">”) on which the Borrower proposes that the New Loan Commitments shall be effective. In connection with the incurrence of any Indebtedness under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The Borrower may approach any Lender or any Person (other than a natural Person) to provide all or a portion of the New Loan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Lender offered or approached to provide all or a portion of the New Loan Commitments may elect or decline, in its sole discretion, to provide a New Loan Commitment. In each case, such New Loan Commitments shall become effective as of the applicable Increased Amount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 Event of Default (except in connection with an acquisition or investment, no Event of Default under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11.5</w:t>
      </w:r>
      <w:r>
        <w:rPr>
          <w:rFonts w:ascii="Arial" w:cs="Arial" w:eastAsia="Arial" w:hAnsi="Arial"/>
          <w:sz w:val="15"/>
          <w:szCs w:val="15"/>
          <w:color w:val="auto"/>
        </w:rPr>
        <w:t xml:space="preserve">) shall exist on such Increased Amount Date before or after giving effect to such New Loan Commitments, as applicable,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5"/>
          <w:szCs w:val="15"/>
          <w:u w:val="single" w:color="auto"/>
          <w:color w:val="auto"/>
        </w:rPr>
        <w:t>Section 5.4(e)</w:t>
      </w:r>
      <w:r>
        <w:rPr>
          <w:rFonts w:ascii="Arial" w:cs="Arial" w:eastAsia="Arial" w:hAnsi="Arial"/>
          <w:sz w:val="15"/>
          <w:szCs w:val="15"/>
          <w:color w:val="auto"/>
        </w:rPr>
        <w:t xml:space="preserve">, and (iii) the Borrower shall make any payments required pursuant to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in connection with the New Loan Commitments, as applicable. No Lender shall have any obligation to provide any Commitments pursuant to this </w:t>
      </w:r>
      <w:r>
        <w:rPr>
          <w:rFonts w:ascii="Arial" w:cs="Arial" w:eastAsia="Arial" w:hAnsi="Arial"/>
          <w:sz w:val="15"/>
          <w:szCs w:val="15"/>
          <w:u w:val="single" w:color="auto"/>
          <w:color w:val="auto"/>
        </w:rPr>
        <w:t>Section 2.14(a)</w:t>
      </w:r>
      <w:r>
        <w:rPr>
          <w:rFonts w:ascii="Arial" w:cs="Arial" w:eastAsia="Arial" w:hAnsi="Arial"/>
          <w:sz w:val="15"/>
          <w:szCs w:val="15"/>
          <w:color w:val="auto"/>
        </w:rPr>
        <w:t>. Any New Term Loans made on an Increased Amount Date shall, at the election of the Borrower and agreed to by the Lenders providing such New Term Loan Commitments, be designated as (a) a separate series (a “</w:t>
      </w:r>
      <w:r>
        <w:rPr>
          <w:rFonts w:ascii="Arial" w:cs="Arial" w:eastAsia="Arial" w:hAnsi="Arial"/>
          <w:sz w:val="15"/>
          <w:szCs w:val="15"/>
          <w:b w:val="1"/>
          <w:bCs w:val="1"/>
          <w:color w:val="auto"/>
        </w:rPr>
        <w:t>Series</w:t>
      </w:r>
      <w:r>
        <w:rPr>
          <w:rFonts w:ascii="Arial" w:cs="Arial" w:eastAsia="Arial" w:hAnsi="Arial"/>
          <w:sz w:val="15"/>
          <w:szCs w:val="15"/>
          <w:color w:val="auto"/>
        </w:rPr>
        <w:t>”) of New Term Loans for all purposes of this Agreement or (b) as part of a Series of existing Term Loans for all purposes of this Agreement.</w:t>
      </w:r>
    </w:p>
    <w:p>
      <w:pPr>
        <w:spacing w:after="0" w:line="350" w:lineRule="exact"/>
        <w:rPr>
          <w:rFonts w:ascii="Arial" w:cs="Arial" w:eastAsia="Arial" w:hAnsi="Arial"/>
          <w:sz w:val="15"/>
          <w:szCs w:val="15"/>
          <w:color w:val="auto"/>
        </w:rPr>
      </w:pPr>
    </w:p>
    <w:p>
      <w:pPr>
        <w:ind w:firstLine="622"/>
        <w:spacing w:after="0" w:line="214" w:lineRule="auto"/>
        <w:tabs>
          <w:tab w:leader="none" w:pos="1238"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any Increased Amount Date on which New Revolving Credit Commitments (and each Loan made under a New Revolving Credit Commitment (a “</w:t>
      </w:r>
      <w:r>
        <w:rPr>
          <w:rFonts w:ascii="Arial" w:cs="Arial" w:eastAsia="Arial" w:hAnsi="Arial"/>
          <w:sz w:val="17"/>
          <w:szCs w:val="17"/>
          <w:b w:val="1"/>
          <w:bCs w:val="1"/>
          <w:color w:val="auto"/>
        </w:rPr>
        <w:t>New Revolving Credit Loan</w:t>
      </w:r>
      <w:r>
        <w:rPr>
          <w:rFonts w:ascii="Arial" w:cs="Arial" w:eastAsia="Arial" w:hAnsi="Arial"/>
          <w:sz w:val="17"/>
          <w:szCs w:val="17"/>
          <w:color w:val="auto"/>
        </w:rPr>
        <w:t>”) are effected, subject to the satisfaction of the foregoing terms and conditions, each of the Lenders with Revolving Credit Commitments of such Class shall assign to each Lender with a New Revolving Credit Commitment (each, a “</w:t>
      </w:r>
      <w:r>
        <w:rPr>
          <w:rFonts w:ascii="Arial" w:cs="Arial" w:eastAsia="Arial" w:hAnsi="Arial"/>
          <w:sz w:val="17"/>
          <w:szCs w:val="17"/>
          <w:b w:val="1"/>
          <w:bCs w:val="1"/>
          <w:color w:val="auto"/>
        </w:rPr>
        <w:t>New Revolving Loan Lender</w:t>
      </w:r>
      <w:r>
        <w:rPr>
          <w:rFonts w:ascii="Arial" w:cs="Arial" w:eastAsia="Arial" w:hAnsi="Arial"/>
          <w:sz w:val="17"/>
          <w:szCs w:val="17"/>
          <w:color w:val="auto"/>
        </w:rPr>
        <w:t xml:space="preserve">”) and each of the New Revolving Loan Lenders shall purchase from each of the Lenders with Revolving Credit Commitments of such Class, at the 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each New Revolving Loan Lender and shall become a Lender with respect to the New Revolving Credit Commitment and all matters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the Swingline Lender and the Letter of Credit Issuer shall have consented (not to be unreasonably withheld or delayed) to such Lender’s or New Revolving Loan Lender’s providing such New Revolving Credit Commitment to the extent such consent, if any, would be required under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for an assignment of Revolving Loans or Revolving Credit Commitments, as applicable, to such Lender or New Revolving Loan Lender.</w:t>
      </w:r>
    </w:p>
    <w:p>
      <w:pPr>
        <w:spacing w:after="0" w:line="164" w:lineRule="exact"/>
        <w:rPr>
          <w:rFonts w:ascii="Arial" w:cs="Arial" w:eastAsia="Arial" w:hAnsi="Arial"/>
          <w:sz w:val="17"/>
          <w:szCs w:val="17"/>
          <w:color w:val="auto"/>
        </w:rPr>
      </w:pPr>
    </w:p>
    <w:p>
      <w:pPr>
        <w:ind w:right="100" w:firstLine="622"/>
        <w:spacing w:after="0" w:line="231" w:lineRule="auto"/>
        <w:tabs>
          <w:tab w:leader="none" w:pos="1238"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7"/>
          <w:szCs w:val="17"/>
          <w:b w:val="1"/>
          <w:bCs w:val="1"/>
          <w:color w:val="auto"/>
        </w:rPr>
        <w:t>New Term Loan Lender</w:t>
      </w:r>
      <w:r>
        <w:rPr>
          <w:rFonts w:ascii="Arial" w:cs="Arial" w:eastAsia="Arial" w:hAnsi="Arial"/>
          <w:sz w:val="17"/>
          <w:szCs w:val="17"/>
          <w:color w:val="auto"/>
        </w:rPr>
        <w:t>”) of any Series shall make a Loan to the Borrower (a “</w:t>
      </w:r>
      <w:r>
        <w:rPr>
          <w:rFonts w:ascii="Arial" w:cs="Arial" w:eastAsia="Arial" w:hAnsi="Arial"/>
          <w:sz w:val="17"/>
          <w:szCs w:val="17"/>
          <w:b w:val="1"/>
          <w:bCs w:val="1"/>
          <w:color w:val="auto"/>
        </w:rPr>
        <w:t>New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w:t>
      </w:r>
      <w:r>
        <w:rPr>
          <w:rFonts w:ascii="Arial" w:cs="Arial" w:eastAsia="Arial" w:hAnsi="Arial"/>
          <w:sz w:val="15"/>
          <w:szCs w:val="15"/>
          <w:color w:val="auto"/>
        </w:rPr>
        <w:t>” and, together with the New Revolving Credit Loans, the “</w:t>
      </w:r>
      <w:r>
        <w:rPr>
          <w:rFonts w:ascii="Arial" w:cs="Arial" w:eastAsia="Arial" w:hAnsi="Arial"/>
          <w:sz w:val="15"/>
          <w:szCs w:val="15"/>
          <w:b w:val="1"/>
          <w:bCs w:val="1"/>
          <w:color w:val="auto"/>
        </w:rPr>
        <w:t>Incremental Loans</w:t>
      </w:r>
      <w:r>
        <w:rPr>
          <w:rFonts w:ascii="Arial" w:cs="Arial" w:eastAsia="Arial" w:hAnsi="Arial"/>
          <w:sz w:val="15"/>
          <w:szCs w:val="15"/>
          <w:color w:val="auto"/>
        </w:rPr>
        <w:t>”) in an amount equal to its New Term Loan Commitment of such Series, and</w:t>
      </w:r>
    </w:p>
    <w:p>
      <w:pPr>
        <w:spacing w:after="0" w:line="28" w:lineRule="exact"/>
        <w:rPr>
          <w:sz w:val="20"/>
          <w:szCs w:val="20"/>
          <w:color w:val="auto"/>
        </w:rPr>
      </w:pPr>
    </w:p>
    <w:p>
      <w:pPr>
        <w:ind w:right="380" w:firstLine="3"/>
        <w:spacing w:after="0" w:line="227" w:lineRule="auto"/>
        <w:tabs>
          <w:tab w:leader="none" w:pos="253"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New Term Loan Lender of any Series shall become a Lender hereunder with respect to the New Term Loan Commitment of such Series and the New Term Loans of such Series made pursuant thereto.</w:t>
      </w:r>
    </w:p>
    <w:p>
      <w:pPr>
        <w:spacing w:after="0" w:line="157" w:lineRule="exact"/>
        <w:rPr>
          <w:rFonts w:ascii="Arial" w:cs="Arial" w:eastAsia="Arial" w:hAnsi="Arial"/>
          <w:sz w:val="17"/>
          <w:szCs w:val="17"/>
          <w:color w:val="auto"/>
        </w:rPr>
      </w:pPr>
    </w:p>
    <w:p>
      <w:pPr>
        <w:ind w:firstLine="622"/>
        <w:spacing w:after="0" w:line="230" w:lineRule="auto"/>
        <w:tabs>
          <w:tab w:leader="none" w:pos="1277"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applicable New Term Loan Maturity Date of each Series shall be no earlier than the Term A Loan Maturity Date; (ii) the weighted average life to maturity of all New Term Loans shall be no shorter than the weighted average life to maturity of the then existing Term A Loans as calculated without giving effect to any prepayments made in connection with the Term Loans; (iii) the pricing, interest rate margins, discounts, premiums, rate floors, fees, and amortization schedule applicable to any New Term Loans shall be determined by the Borrower and the Lenders thereunder; and (iv) to the extent such terms and documentation are not consistent with the then existing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161" w:lineRule="exact"/>
        <w:rPr>
          <w:rFonts w:ascii="Arial" w:cs="Arial" w:eastAsia="Arial" w:hAnsi="Arial"/>
          <w:sz w:val="16"/>
          <w:szCs w:val="16"/>
          <w:color w:val="auto"/>
        </w:rPr>
      </w:pPr>
    </w:p>
    <w:p>
      <w:pPr>
        <w:ind w:right="100" w:firstLine="622"/>
        <w:spacing w:after="0" w:line="236" w:lineRule="auto"/>
        <w:tabs>
          <w:tab w:leader="none" w:pos="1238"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New Revolving Credit Commitments shall be identical to the Revolving Credit Commitments of the applicable Class (other than with respect to upfront fees) and other than the Maturity Date and as set forth in this </w:t>
      </w:r>
      <w:r>
        <w:rPr>
          <w:rFonts w:ascii="Arial" w:cs="Arial" w:eastAsia="Arial" w:hAnsi="Arial"/>
          <w:sz w:val="17"/>
          <w:szCs w:val="17"/>
          <w:u w:val="single" w:color="auto"/>
          <w:color w:val="auto"/>
        </w:rPr>
        <w:t>Section 2.14(e)</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right="160" w:firstLine="622"/>
        <w:spacing w:after="0" w:line="295" w:lineRule="auto"/>
        <w:tabs>
          <w:tab w:leader="none" w:pos="1238" w:val="left"/>
        </w:tabs>
        <w:numPr>
          <w:ilvl w:val="1"/>
          <w:numId w:val="69"/>
        </w:numPr>
        <w:rPr>
          <w:rFonts w:ascii="Arial" w:cs="Arial" w:eastAsia="Arial" w:hAnsi="Arial"/>
          <w:sz w:val="15"/>
          <w:szCs w:val="15"/>
          <w:color w:val="auto"/>
        </w:rPr>
      </w:pPr>
      <w:r>
        <w:rPr>
          <w:rFonts w:ascii="Arial" w:cs="Arial" w:eastAsia="Arial" w:hAnsi="Arial"/>
          <w:sz w:val="15"/>
          <w:szCs w:val="15"/>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5"/>
          <w:szCs w:val="15"/>
          <w:u w:val="single" w:color="auto"/>
          <w:color w:val="auto"/>
        </w:rPr>
        <w:t>Section 2.14</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firstLine="622"/>
        <w:spacing w:after="0" w:line="241" w:lineRule="auto"/>
        <w:tabs>
          <w:tab w:leader="none" w:pos="1238" w:val="left"/>
        </w:tabs>
        <w:numPr>
          <w:ilvl w:val="1"/>
          <w:numId w:val="69"/>
        </w:numPr>
        <w:rPr>
          <w:rFonts w:ascii="Arial" w:cs="Arial" w:eastAsia="Arial" w:hAnsi="Arial"/>
          <w:sz w:val="15"/>
          <w:szCs w:val="15"/>
          <w:color w:val="auto"/>
        </w:rPr>
      </w:pPr>
      <w:r>
        <w:rPr>
          <w:rFonts w:ascii="Arial" w:cs="Arial" w:eastAsia="Arial" w:hAnsi="Arial"/>
          <w:sz w:val="15"/>
          <w:szCs w:val="15"/>
          <w:color w:val="auto"/>
        </w:rPr>
        <w:t>(i) The Borrower may at any time and from time to time request that all or a portion of the Term Loans of any Class (an “</w:t>
      </w:r>
      <w:r>
        <w:rPr>
          <w:rFonts w:ascii="Arial" w:cs="Arial" w:eastAsia="Arial" w:hAnsi="Arial"/>
          <w:sz w:val="15"/>
          <w:szCs w:val="15"/>
          <w:b w:val="1"/>
          <w:bCs w:val="1"/>
          <w:color w:val="auto"/>
        </w:rPr>
        <w:t>Existing Term Loan</w:t>
      </w:r>
      <w:r>
        <w:rPr>
          <w:rFonts w:ascii="Arial" w:cs="Arial" w:eastAsia="Arial" w:hAnsi="Arial"/>
          <w:sz w:val="15"/>
          <w:szCs w:val="15"/>
          <w:color w:val="auto"/>
        </w:rPr>
        <w:t xml:space="preserve"> </w:t>
      </w:r>
      <w:r>
        <w:rPr>
          <w:rFonts w:ascii="Arial" w:cs="Arial" w:eastAsia="Arial" w:hAnsi="Arial"/>
          <w:sz w:val="15"/>
          <w:szCs w:val="15"/>
          <w:b w:val="1"/>
          <w:bCs w:val="1"/>
          <w:color w:val="auto"/>
        </w:rPr>
        <w:t>Class</w:t>
      </w:r>
      <w:r>
        <w:rPr>
          <w:rFonts w:ascii="Arial" w:cs="Arial" w:eastAsia="Arial" w:hAnsi="Arial"/>
          <w:sz w:val="15"/>
          <w:szCs w:val="15"/>
          <w:color w:val="auto"/>
        </w:rPr>
        <w:t>”) be converted to extend the scheduled maturity date(s) of any payment of principal with respect to all or a portion of any principal amount of such Term</w:t>
      </w:r>
      <w:r>
        <w:rPr>
          <w:rFonts w:ascii="Arial" w:cs="Arial" w:eastAsia="Arial" w:hAnsi="Arial"/>
          <w:sz w:val="15"/>
          <w:szCs w:val="15"/>
          <w:b w:val="1"/>
          <w:bCs w:val="1"/>
          <w:color w:val="auto"/>
        </w:rPr>
        <w:t xml:space="preserve"> </w:t>
      </w:r>
      <w:r>
        <w:rPr>
          <w:rFonts w:ascii="Arial" w:cs="Arial" w:eastAsia="Arial" w:hAnsi="Arial"/>
          <w:sz w:val="15"/>
          <w:szCs w:val="15"/>
          <w:color w:val="auto"/>
        </w:rPr>
        <w:t>Loans (any such Term Loans which have been so converted, “</w:t>
      </w:r>
      <w:r>
        <w:rPr>
          <w:rFonts w:ascii="Arial" w:cs="Arial" w:eastAsia="Arial" w:hAnsi="Arial"/>
          <w:sz w:val="15"/>
          <w:szCs w:val="15"/>
          <w:b w:val="1"/>
          <w:bCs w:val="1"/>
          <w:color w:val="auto"/>
        </w:rPr>
        <w:t>Extended Term Loans</w:t>
      </w:r>
      <w:r>
        <w:rPr>
          <w:rFonts w:ascii="Arial" w:cs="Arial" w:eastAsia="Arial" w:hAnsi="Arial"/>
          <w:sz w:val="15"/>
          <w:szCs w:val="15"/>
          <w:color w:val="auto"/>
        </w:rPr>
        <w:t xml:space="preserve">”) and to provide for other terms consistent with this </w:t>
      </w:r>
      <w:r>
        <w:rPr>
          <w:rFonts w:ascii="Arial" w:cs="Arial" w:eastAsia="Arial" w:hAnsi="Arial"/>
          <w:sz w:val="15"/>
          <w:szCs w:val="15"/>
          <w:u w:val="single" w:color="auto"/>
          <w:color w:val="auto"/>
        </w:rPr>
        <w:t>Section 2.14(g)</w:t>
      </w:r>
      <w:r>
        <w:rPr>
          <w:rFonts w:ascii="Arial" w:cs="Arial" w:eastAsia="Arial" w:hAnsi="Arial"/>
          <w:sz w:val="15"/>
          <w:szCs w:val="15"/>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5"/>
          <w:szCs w:val="15"/>
          <w:b w:val="1"/>
          <w:bCs w:val="1"/>
          <w:color w:val="auto"/>
        </w:rPr>
        <w:t>Term Loan Extension Request</w:t>
      </w:r>
      <w:r>
        <w:rPr>
          <w:rFonts w:ascii="Arial" w:cs="Arial" w:eastAsia="Arial" w:hAnsi="Arial"/>
          <w:sz w:val="15"/>
          <w:szCs w:val="15"/>
          <w:color w:val="auto"/>
        </w:rPr>
        <w:t>”) setting forth the proposed terms of the Extended Term Loans to be established, which shall not be materially more restrictive to the Credit Parties (as determined in good faith by the Borrower), when taken as a whole, than the terms of the Term Loans of the Existing Term Loan Class unless the Lenders of the Term Loans of such applicable Existing Term Loan Class receive the benefit of such more restrictive terms (a “</w:t>
      </w:r>
      <w:r>
        <w:rPr>
          <w:rFonts w:ascii="Arial" w:cs="Arial" w:eastAsia="Arial" w:hAnsi="Arial"/>
          <w:sz w:val="15"/>
          <w:szCs w:val="15"/>
          <w:b w:val="1"/>
          <w:bCs w:val="1"/>
          <w:color w:val="auto"/>
        </w:rPr>
        <w:t>Permitted Other Provision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or in the Joinder Agreement, as the case may be, with respect to the Existing Term Loan Class from which such Extended Term Loans were converted, in each case as more particularly set forth in paragraph (iv) of this </w:t>
      </w:r>
      <w:r>
        <w:rPr>
          <w:rFonts w:ascii="Arial" w:cs="Arial" w:eastAsia="Arial" w:hAnsi="Arial"/>
          <w:sz w:val="15"/>
          <w:szCs w:val="15"/>
          <w:u w:val="single" w:color="auto"/>
          <w:color w:val="auto"/>
        </w:rPr>
        <w:t>Section 2.14(g)</w:t>
      </w:r>
      <w:r>
        <w:rPr>
          <w:rFonts w:ascii="Arial" w:cs="Arial" w:eastAsia="Arial" w:hAnsi="Arial"/>
          <w:sz w:val="15"/>
          <w:szCs w:val="15"/>
          <w:color w:val="auto"/>
        </w:rPr>
        <w:t xml:space="preserve"> below), (y)</w:t>
      </w:r>
    </w:p>
    <w:p>
      <w:pPr>
        <w:spacing w:after="0" w:line="4" w:lineRule="exact"/>
        <w:rPr>
          <w:rFonts w:ascii="Arial" w:cs="Arial" w:eastAsia="Arial" w:hAnsi="Arial"/>
          <w:sz w:val="15"/>
          <w:szCs w:val="15"/>
          <w:color w:val="auto"/>
        </w:rPr>
      </w:pPr>
    </w:p>
    <w:p>
      <w:pPr>
        <w:ind w:right="20"/>
        <w:spacing w:after="0" w:line="228" w:lineRule="auto"/>
        <w:rPr>
          <w:rFonts w:ascii="Arial" w:cs="Arial" w:eastAsia="Arial" w:hAnsi="Arial"/>
          <w:sz w:val="15"/>
          <w:szCs w:val="15"/>
          <w:color w:val="auto"/>
        </w:rPr>
      </w:pPr>
      <w:r>
        <w:rPr>
          <w:rFonts w:ascii="Arial" w:cs="Arial" w:eastAsia="Arial" w:hAnsi="Arial"/>
          <w:sz w:val="16"/>
          <w:szCs w:val="16"/>
          <w:color w:val="auto"/>
        </w:rPr>
        <w:t xml:space="preserve">(A) the interest margins with respect to the Extended Term Loans may be higher or lower than the interest margins for the Term Loans of such Existing Term Loan Class and/or (B) additional fees, premiums or AHYDO payments may be payable to the Lenders providing such Extended Term Loans in addition to or in lieu of any increased margins contemplated by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Notwithstanding anything to the contrary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otherwise,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6"/>
          <w:szCs w:val="16"/>
          <w:u w:val="single" w:color="auto"/>
          <w:color w:val="auto"/>
        </w:rPr>
        <w:t>Section 5.1(a)</w:t>
      </w:r>
      <w:r>
        <w:rPr>
          <w:rFonts w:ascii="Arial" w:cs="Arial" w:eastAsia="Arial" w:hAnsi="Arial"/>
          <w:sz w:val="16"/>
          <w:szCs w:val="16"/>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06" w:lineRule="exact"/>
        <w:rPr>
          <w:sz w:val="20"/>
          <w:szCs w:val="20"/>
          <w:color w:val="auto"/>
        </w:rPr>
      </w:pPr>
    </w:p>
    <w:p>
      <w:pPr>
        <w:ind w:right="20" w:firstLine="869"/>
        <w:spacing w:after="0"/>
        <w:tabs>
          <w:tab w:leader="none" w:pos="1238"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Borrower may at any time and from time to time request that all or a portion of the Revolving Credit Commitments of any Class, any Extended Revolving Credit Commitments and/or any New Revolving Credit Commitments, each existing at the time of such request (each, an “</w:t>
      </w:r>
      <w:r>
        <w:rPr>
          <w:rFonts w:ascii="Arial" w:cs="Arial" w:eastAsia="Arial" w:hAnsi="Arial"/>
          <w:sz w:val="15"/>
          <w:szCs w:val="15"/>
          <w:b w:val="1"/>
          <w:bCs w:val="1"/>
          <w:color w:val="auto"/>
        </w:rPr>
        <w:t>Existing</w:t>
      </w:r>
      <w:r>
        <w:rPr>
          <w:rFonts w:ascii="Arial" w:cs="Arial" w:eastAsia="Arial" w:hAnsi="Arial"/>
          <w:sz w:val="15"/>
          <w:szCs w:val="15"/>
          <w:color w:val="auto"/>
        </w:rPr>
        <w:t xml:space="preserve"> </w:t>
      </w:r>
      <w:r>
        <w:rPr>
          <w:rFonts w:ascii="Arial" w:cs="Arial" w:eastAsia="Arial" w:hAnsi="Arial"/>
          <w:sz w:val="15"/>
          <w:szCs w:val="15"/>
          <w:b w:val="1"/>
          <w:bCs w:val="1"/>
          <w:color w:val="auto"/>
        </w:rPr>
        <w:t>Revolving Credit Commitment</w:t>
      </w:r>
      <w:r>
        <w:rPr>
          <w:rFonts w:ascii="Arial" w:cs="Arial" w:eastAsia="Arial" w:hAnsi="Arial"/>
          <w:sz w:val="15"/>
          <w:szCs w:val="15"/>
          <w:color w:val="auto"/>
        </w:rPr>
        <w:t>” and any related revolving credit loans thereunder, “</w:t>
      </w:r>
      <w:r>
        <w:rPr>
          <w:rFonts w:ascii="Arial" w:cs="Arial" w:eastAsia="Arial" w:hAnsi="Arial"/>
          <w:sz w:val="15"/>
          <w:szCs w:val="15"/>
          <w:b w:val="1"/>
          <w:bCs w:val="1"/>
          <w:color w:val="auto"/>
        </w:rPr>
        <w:t>Existing Revolving Credit Loans</w:t>
      </w:r>
      <w:r>
        <w:rPr>
          <w:rFonts w:ascii="Arial" w:cs="Arial" w:eastAsia="Arial" w:hAnsi="Arial"/>
          <w:sz w:val="15"/>
          <w:szCs w:val="15"/>
          <w:color w:val="auto"/>
        </w:rPr>
        <w:t>”; each Existing Revolving Credit</w:t>
      </w:r>
      <w:r>
        <w:rPr>
          <w:rFonts w:ascii="Arial" w:cs="Arial" w:eastAsia="Arial" w:hAnsi="Arial"/>
          <w:sz w:val="15"/>
          <w:szCs w:val="15"/>
          <w:b w:val="1"/>
          <w:bCs w:val="1"/>
          <w:color w:val="auto"/>
        </w:rPr>
        <w:t xml:space="preserve"> </w:t>
      </w:r>
      <w:r>
        <w:rPr>
          <w:rFonts w:ascii="Arial" w:cs="Arial" w:eastAsia="Arial" w:hAnsi="Arial"/>
          <w:sz w:val="15"/>
          <w:szCs w:val="15"/>
          <w:color w:val="auto"/>
        </w:rPr>
        <w:t>Commitment and related Existing Revolving Credit Loans together being referred to as an “</w:t>
      </w:r>
      <w:r>
        <w:rPr>
          <w:rFonts w:ascii="Arial" w:cs="Arial" w:eastAsia="Arial" w:hAnsi="Arial"/>
          <w:sz w:val="15"/>
          <w:szCs w:val="15"/>
          <w:b w:val="1"/>
          <w:bCs w:val="1"/>
          <w:color w:val="auto"/>
        </w:rPr>
        <w:t>Existing Revolving Credit Class</w:t>
      </w:r>
      <w:r>
        <w:rPr>
          <w:rFonts w:ascii="Arial" w:cs="Arial" w:eastAsia="Arial" w:hAnsi="Arial"/>
          <w:sz w:val="15"/>
          <w:szCs w:val="15"/>
          <w:color w:val="auto"/>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Arial" w:cs="Arial" w:eastAsia="Arial" w:hAnsi="Arial"/>
          <w:sz w:val="15"/>
          <w:szCs w:val="15"/>
          <w:b w:val="1"/>
          <w:bCs w:val="1"/>
          <w:color w:val="auto"/>
        </w:rPr>
        <w:t>Extended Revolving Credit</w:t>
      </w:r>
      <w:r>
        <w:rPr>
          <w:rFonts w:ascii="Arial" w:cs="Arial" w:eastAsia="Arial" w:hAnsi="Arial"/>
          <w:sz w:val="15"/>
          <w:szCs w:val="15"/>
          <w:color w:val="auto"/>
        </w:rPr>
        <w:t xml:space="preserve"> </w:t>
      </w:r>
      <w:r>
        <w:rPr>
          <w:rFonts w:ascii="Arial" w:cs="Arial" w:eastAsia="Arial" w:hAnsi="Arial"/>
          <w:sz w:val="15"/>
          <w:szCs w:val="15"/>
          <w:b w:val="1"/>
          <w:bCs w:val="1"/>
          <w:color w:val="auto"/>
        </w:rPr>
        <w:t>Commitments</w:t>
      </w:r>
      <w:r>
        <w:rPr>
          <w:rFonts w:ascii="Arial" w:cs="Arial" w:eastAsia="Arial" w:hAnsi="Arial"/>
          <w:sz w:val="15"/>
          <w:szCs w:val="15"/>
          <w:color w:val="auto"/>
        </w:rPr>
        <w:t>” and any related Loans, “</w:t>
      </w:r>
      <w:r>
        <w:rPr>
          <w:rFonts w:ascii="Arial" w:cs="Arial" w:eastAsia="Arial" w:hAnsi="Arial"/>
          <w:sz w:val="15"/>
          <w:szCs w:val="15"/>
          <w:b w:val="1"/>
          <w:bCs w:val="1"/>
          <w:color w:val="auto"/>
        </w:rPr>
        <w:t>Extended Revolving Credit Loans</w:t>
      </w:r>
      <w:r>
        <w:rPr>
          <w:rFonts w:ascii="Arial" w:cs="Arial" w:eastAsia="Arial" w:hAnsi="Arial"/>
          <w:sz w:val="15"/>
          <w:szCs w:val="15"/>
          <w:color w:val="auto"/>
        </w:rPr>
        <w:t>”) and to provide for other terms consistent with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2.14(g)</w:t>
      </w:r>
      <w:r>
        <w:rPr>
          <w:rFonts w:ascii="Arial" w:cs="Arial" w:eastAsia="Arial" w:hAnsi="Arial"/>
          <w:sz w:val="15"/>
          <w:szCs w:val="15"/>
          <w:color w:val="auto"/>
        </w:rPr>
        <w:t>. In order to</w:t>
      </w:r>
      <w:r>
        <w:rPr>
          <w:rFonts w:ascii="Arial" w:cs="Arial" w:eastAsia="Arial" w:hAnsi="Arial"/>
          <w:sz w:val="15"/>
          <w:szCs w:val="15"/>
          <w:b w:val="1"/>
          <w:bCs w:val="1"/>
          <w:color w:val="auto"/>
        </w:rPr>
        <w:t xml:space="preserve"> </w:t>
      </w:r>
      <w:r>
        <w:rPr>
          <w:rFonts w:ascii="Arial" w:cs="Arial" w:eastAsia="Arial" w:hAnsi="Arial"/>
          <w:sz w:val="15"/>
          <w:szCs w:val="15"/>
          <w:color w:val="auto"/>
        </w:rPr>
        <w:t>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Arial" w:cs="Arial" w:eastAsia="Arial" w:hAnsi="Arial"/>
          <w:sz w:val="15"/>
          <w:szCs w:val="15"/>
          <w:b w:val="1"/>
          <w:bCs w:val="1"/>
          <w:color w:val="auto"/>
        </w:rPr>
        <w:t>Specified</w:t>
      </w:r>
      <w:r>
        <w:rPr>
          <w:rFonts w:ascii="Arial" w:cs="Arial" w:eastAsia="Arial" w:hAnsi="Arial"/>
          <w:sz w:val="15"/>
          <w:szCs w:val="15"/>
          <w:color w:val="auto"/>
        </w:rPr>
        <w:t xml:space="preserve"> </w:t>
      </w:r>
      <w:r>
        <w:rPr>
          <w:rFonts w:ascii="Arial" w:cs="Arial" w:eastAsia="Arial" w:hAnsi="Arial"/>
          <w:sz w:val="15"/>
          <w:szCs w:val="15"/>
          <w:b w:val="1"/>
          <w:bCs w:val="1"/>
          <w:color w:val="auto"/>
        </w:rPr>
        <w:t>Existing Revolving Credit Commitment</w:t>
      </w:r>
      <w:r>
        <w:rPr>
          <w:rFonts w:ascii="Arial" w:cs="Arial" w:eastAsia="Arial" w:hAnsi="Arial"/>
          <w:sz w:val="15"/>
          <w:szCs w:val="15"/>
          <w:color w:val="auto"/>
        </w:rPr>
        <w:t>”) unless (x) the Lenders providing existing Revolving Credit Loans receive the benefit of such more restrictive terms or</w:t>
      </w:r>
    </w:p>
    <w:p>
      <w:pPr>
        <w:spacing w:after="0" w:line="6" w:lineRule="exact"/>
        <w:rPr>
          <w:rFonts w:ascii="Arial" w:cs="Arial" w:eastAsia="Arial" w:hAnsi="Arial"/>
          <w:sz w:val="15"/>
          <w:szCs w:val="15"/>
          <w:color w:val="auto"/>
        </w:rPr>
      </w:pPr>
    </w:p>
    <w:p>
      <w:pPr>
        <w:ind w:left="240" w:hanging="237"/>
        <w:spacing w:after="0"/>
        <w:tabs>
          <w:tab w:leader="none" w:pos="2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any such provisions apply after the Revolving Credit Termination Date, in each case, to the extent provided in the applicable Extension Amendment; </w:t>
      </w:r>
      <w:r>
        <w:rPr>
          <w:rFonts w:ascii="Arial" w:cs="Arial" w:eastAsia="Arial" w:hAnsi="Arial"/>
          <w:sz w:val="15"/>
          <w:szCs w:val="15"/>
          <w:u w:val="single" w:color="auto"/>
          <w:color w:val="auto"/>
        </w:rPr>
        <w:t>provided</w:t>
      </w:r>
      <w:r>
        <w:rPr>
          <w:rFonts w:ascii="Arial" w:cs="Arial" w:eastAsia="Arial" w:hAnsi="Arial"/>
          <w:sz w:val="15"/>
          <w:szCs w:val="15"/>
          <w:color w:val="auto"/>
        </w:rPr>
        <w:t>,</w:t>
      </w:r>
    </w:p>
    <w:p>
      <w:pPr>
        <w:spacing w:after="0" w:line="8" w:lineRule="exact"/>
        <w:rPr>
          <w:sz w:val="20"/>
          <w:szCs w:val="20"/>
          <w:color w:val="auto"/>
        </w:rPr>
      </w:pPr>
    </w:p>
    <w:p>
      <w:pPr>
        <w:jc w:val="both"/>
        <w:spacing w:after="0" w:line="239" w:lineRule="auto"/>
        <w:rPr>
          <w:sz w:val="20"/>
          <w:szCs w:val="20"/>
          <w:color w:val="auto"/>
        </w:rPr>
      </w:pPr>
      <w:r>
        <w:rPr>
          <w:rFonts w:ascii="Arial" w:cs="Arial" w:eastAsia="Arial" w:hAnsi="Arial"/>
          <w:sz w:val="15"/>
          <w:szCs w:val="15"/>
          <w:u w:val="single" w:color="auto"/>
          <w:color w:val="auto"/>
        </w:rPr>
        <w:t>however</w:t>
      </w:r>
      <w:r>
        <w:rPr>
          <w:rFonts w:ascii="Arial" w:cs="Arial" w:eastAsia="Arial" w:hAnsi="Arial"/>
          <w:sz w:val="15"/>
          <w:szCs w:val="15"/>
          <w:color w:val="auto"/>
        </w:rPr>
        <w:t>, that (w) all or any of the final maturity dates of such Extended Revolving Credit Commitments may be delayed to later dates than the final maturity dates of the Specified Existing Revolving Credit Commitments, (x) (A) the interest margins with respect to the Extended Revolving Credit Commitments may be higher or lower than the interest margins for the Specified Existing Revolving Credit Commitments and/or (B) additional fees and premiums may be payable to the</w:t>
      </w:r>
    </w:p>
    <w:p>
      <w:pPr>
        <w:spacing w:after="0" w:line="233" w:lineRule="auto"/>
        <w:rPr>
          <w:sz w:val="20"/>
          <w:szCs w:val="20"/>
          <w:color w:val="auto"/>
        </w:rPr>
      </w:pPr>
      <w:r>
        <w:rPr>
          <w:rFonts w:ascii="Arial" w:cs="Arial" w:eastAsia="Arial" w:hAnsi="Arial"/>
          <w:sz w:val="15"/>
          <w:szCs w:val="15"/>
          <w:color w:val="auto"/>
        </w:rPr>
        <w:t xml:space="preserve">Lenders providing such Extended Revolving Credit Commitments in addition to or in lieu of any increased margins contemplated by the preceding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and</w:t>
      </w:r>
    </w:p>
    <w:p>
      <w:pPr>
        <w:spacing w:after="0" w:line="1" w:lineRule="exact"/>
        <w:rPr>
          <w:sz w:val="20"/>
          <w:szCs w:val="20"/>
          <w:color w:val="auto"/>
        </w:rPr>
      </w:pPr>
    </w:p>
    <w:p>
      <w:pPr>
        <w:ind w:firstLine="3"/>
        <w:spacing w:after="0" w:line="243" w:lineRule="auto"/>
        <w:tabs>
          <w:tab w:leader="none" w:pos="2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the revolving credit commitment fee rate with respect to the Extended Revolving Credit Commitments may be higher or lower than the revolving credit commitment fee rate for the Specified Existing Revolving Credit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to the contrary in this </w:t>
      </w:r>
      <w:r>
        <w:rPr>
          <w:rFonts w:ascii="Arial" w:cs="Arial" w:eastAsia="Arial" w:hAnsi="Arial"/>
          <w:sz w:val="15"/>
          <w:szCs w:val="15"/>
          <w:u w:val="single" w:color="auto"/>
          <w:color w:val="auto"/>
        </w:rPr>
        <w:t>Section 2.14(g)</w:t>
      </w:r>
      <w:r>
        <w:rPr>
          <w:rFonts w:ascii="Arial" w:cs="Arial" w:eastAsia="Arial" w:hAnsi="Arial"/>
          <w:sz w:val="15"/>
          <w:szCs w:val="15"/>
          <w:color w:val="auto"/>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15"/>
          <w:szCs w:val="15"/>
          <w:u w:val="single" w:color="auto"/>
          <w:color w:val="auto"/>
        </w:rPr>
        <w:t>Section 13.6</w:t>
      </w:r>
      <w:r>
        <w:rPr>
          <w:rFonts w:ascii="Arial" w:cs="Arial" w:eastAsia="Arial" w:hAnsi="Arial"/>
          <w:sz w:val="15"/>
          <w:szCs w:val="15"/>
          <w:color w:val="auto"/>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154" w:lineRule="exact"/>
        <w:rPr>
          <w:rFonts w:ascii="Arial" w:cs="Arial" w:eastAsia="Arial" w:hAnsi="Arial"/>
          <w:sz w:val="15"/>
          <w:szCs w:val="15"/>
          <w:color w:val="auto"/>
        </w:rPr>
      </w:pPr>
    </w:p>
    <w:p>
      <w:pPr>
        <w:ind w:right="20" w:firstLine="869"/>
        <w:spacing w:after="0" w:line="243" w:lineRule="auto"/>
        <w:tabs>
          <w:tab w:leader="none" w:pos="1238" w:val="left"/>
        </w:tabs>
        <w:numPr>
          <w:ilvl w:val="1"/>
          <w:numId w:val="72"/>
        </w:numPr>
        <w:rPr>
          <w:rFonts w:ascii="Arial" w:cs="Arial" w:eastAsia="Arial" w:hAnsi="Arial"/>
          <w:sz w:val="15"/>
          <w:szCs w:val="15"/>
          <w:color w:val="auto"/>
        </w:rPr>
      </w:pPr>
      <w:r>
        <w:rPr>
          <w:rFonts w:ascii="Arial" w:cs="Arial" w:eastAsia="Arial" w:hAnsi="Arial"/>
          <w:sz w:val="15"/>
          <w:szCs w:val="15"/>
          <w:color w:val="auto"/>
        </w:rPr>
        <w:t>Any Lender (an “</w:t>
      </w:r>
      <w:r>
        <w:rPr>
          <w:rFonts w:ascii="Arial" w:cs="Arial" w:eastAsia="Arial" w:hAnsi="Arial"/>
          <w:sz w:val="15"/>
          <w:szCs w:val="15"/>
          <w:b w:val="1"/>
          <w:bCs w:val="1"/>
          <w:color w:val="auto"/>
        </w:rPr>
        <w:t>Extending Lender</w:t>
      </w:r>
      <w:r>
        <w:rPr>
          <w:rFonts w:ascii="Arial" w:cs="Arial" w:eastAsia="Arial" w:hAnsi="Arial"/>
          <w:sz w:val="15"/>
          <w:szCs w:val="15"/>
          <w:color w:val="auto"/>
        </w:rPr>
        <w:t>”) wishing to have all or a portion of its Term Loans, Revolving Credit Commitments, New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5"/>
          <w:szCs w:val="15"/>
          <w:b w:val="1"/>
          <w:bCs w:val="1"/>
          <w:color w:val="auto"/>
        </w:rPr>
        <w:t>Extension Election</w:t>
      </w:r>
      <w:r>
        <w:rPr>
          <w:rFonts w:ascii="Arial" w:cs="Arial" w:eastAsia="Arial" w:hAnsi="Arial"/>
          <w:sz w:val="15"/>
          <w:szCs w:val="15"/>
          <w:color w:val="auto"/>
        </w:rPr>
        <w:t xml:space="preserve">”) on or prior to the date specified in such Extension Request of the amount of its Term Loans, Revolving Credit Commitments, New Revolving 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New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New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New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Swingline Loans under </w:t>
      </w:r>
      <w:r>
        <w:rPr>
          <w:rFonts w:ascii="Arial" w:cs="Arial" w:eastAsia="Arial" w:hAnsi="Arial"/>
          <w:sz w:val="15"/>
          <w:szCs w:val="15"/>
          <w:u w:val="single" w:color="auto"/>
          <w:color w:val="auto"/>
        </w:rPr>
        <w:t>Section 2.1(c)</w:t>
      </w:r>
      <w:r>
        <w:rPr>
          <w:rFonts w:ascii="Arial" w:cs="Arial" w:eastAsia="Arial" w:hAnsi="Arial"/>
          <w:sz w:val="15"/>
          <w:szCs w:val="15"/>
          <w:color w:val="auto"/>
        </w:rPr>
        <w:t xml:space="preserve"> and Letters of Credit under </w:t>
      </w:r>
      <w:r>
        <w:rPr>
          <w:rFonts w:ascii="Arial" w:cs="Arial" w:eastAsia="Arial" w:hAnsi="Arial"/>
          <w:sz w:val="15"/>
          <w:szCs w:val="15"/>
          <w:u w:val="single" w:color="auto"/>
          <w:color w:val="auto"/>
        </w:rPr>
        <w:t>Section 3</w:t>
      </w:r>
      <w:r>
        <w:rPr>
          <w:rFonts w:ascii="Arial" w:cs="Arial" w:eastAsia="Arial" w:hAnsi="Arial"/>
          <w:sz w:val="15"/>
          <w:szCs w:val="15"/>
          <w:color w:val="auto"/>
        </w:rPr>
        <w:t>, except that the applicable Extension Amendment may provide that the Swingline Maturity Date and/or the L/C Facility Maturity Date may be extended and the related obligations to make Swingline Loans and issue Letters of Credit may be continued so long as the Swingline Lender and/or the Letter of Credit Issuer, as applicable, have consented to such extensions in their sole discretion (it being understood that no consent of any other Lender shall be required in connection with any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(iv)  Extended Term Loans or Extended Revolving Credit Commitments, as applicable, shall be established pursuant to an amendment (an</w:t>
      </w:r>
    </w:p>
    <w:p>
      <w:pPr>
        <w:ind w:right="80"/>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Extension Amendment</w:t>
      </w:r>
      <w:r>
        <w:rPr>
          <w:rFonts w:ascii="Arial" w:cs="Arial" w:eastAsia="Arial" w:hAnsi="Arial"/>
          <w:sz w:val="15"/>
          <w:szCs w:val="15"/>
          <w:color w:val="auto"/>
        </w:rPr>
        <w:t xml:space="preserve">”) to this Agreement (which, except to the extent expressly contemplated by the penultimate sentence of this </w:t>
      </w:r>
      <w:r>
        <w:rPr>
          <w:rFonts w:ascii="Arial" w:cs="Arial" w:eastAsia="Arial" w:hAnsi="Arial"/>
          <w:sz w:val="15"/>
          <w:szCs w:val="15"/>
          <w:u w:val="single" w:color="auto"/>
          <w:color w:val="auto"/>
        </w:rPr>
        <w:t>Section 2.14(g)(iv)</w:t>
      </w:r>
      <w:r>
        <w:rPr>
          <w:rFonts w:ascii="Arial" w:cs="Arial" w:eastAsia="Arial" w:hAnsi="Arial"/>
          <w:sz w:val="15"/>
          <w:szCs w:val="15"/>
          <w:color w:val="auto"/>
        </w:rPr>
        <w:t xml:space="preserve"> and notwithstanding anything to the contrary set forth in </w:t>
      </w:r>
      <w:r>
        <w:rPr>
          <w:rFonts w:ascii="Arial" w:cs="Arial" w:eastAsia="Arial" w:hAnsi="Arial"/>
          <w:sz w:val="15"/>
          <w:szCs w:val="15"/>
          <w:u w:val="single" w:color="auto"/>
          <w:color w:val="auto"/>
        </w:rPr>
        <w:t>Section 13.1</w:t>
      </w:r>
      <w:r>
        <w:rPr>
          <w:rFonts w:ascii="Arial" w:cs="Arial" w:eastAsia="Arial" w:hAnsi="Arial"/>
          <w:sz w:val="15"/>
          <w:szCs w:val="15"/>
          <w:color w:val="auto"/>
        </w:rPr>
        <w:t>, shall not require the consent of any Lender other than the Extending Lenders with respect to the Extended Term Loans or Extended Revolving Credit Commitments, as applicable, established thereby) executed by the Credit Parties, the Administrative Agent</w:t>
      </w:r>
    </w:p>
    <w:p>
      <w:pPr>
        <w:ind w:right="200"/>
        <w:spacing w:after="0" w:line="239" w:lineRule="auto"/>
        <w:rPr>
          <w:sz w:val="20"/>
          <w:szCs w:val="20"/>
          <w:color w:val="auto"/>
        </w:rPr>
      </w:pPr>
      <w:r>
        <w:rPr>
          <w:rFonts w:ascii="Arial" w:cs="Arial" w:eastAsia="Arial" w:hAnsi="Arial"/>
          <w:sz w:val="15"/>
          <w:szCs w:val="15"/>
          <w:color w:val="auto"/>
        </w:rPr>
        <w:t xml:space="preserve">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Arial" w:cs="Arial" w:eastAsia="Arial" w:hAnsi="Arial"/>
          <w:sz w:val="15"/>
          <w:szCs w:val="15"/>
          <w:u w:val="single" w:color="auto"/>
          <w:color w:val="auto"/>
        </w:rPr>
        <w:t>Section 2.14(g)(i)</w:t>
      </w:r>
      <w:r>
        <w:rPr>
          <w:rFonts w:ascii="Arial" w:cs="Arial" w:eastAsia="Arial" w:hAnsi="Arial"/>
          <w:sz w:val="15"/>
          <w:szCs w:val="15"/>
          <w:color w:val="auto"/>
        </w:rPr>
        <w:t xml:space="preserve">, each Extension Amendment (x) shall amend the scheduled amortization payments pursuant to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or the applicable Joinder Agreement with respect to the Existing Term</w:t>
      </w:r>
    </w:p>
    <w:p>
      <w:pPr>
        <w:ind w:right="180"/>
        <w:spacing w:after="0" w:line="239" w:lineRule="auto"/>
        <w:rPr>
          <w:sz w:val="20"/>
          <w:szCs w:val="20"/>
          <w:color w:val="auto"/>
        </w:rPr>
      </w:pPr>
      <w:r>
        <w:rPr>
          <w:rFonts w:ascii="Arial" w:cs="Arial" w:eastAsia="Arial" w:hAnsi="Arial"/>
          <w:sz w:val="15"/>
          <w:szCs w:val="15"/>
          <w:color w:val="auto"/>
        </w:rPr>
        <w:t>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w:t>
      </w:r>
    </w:p>
    <w:p>
      <w:pPr>
        <w:ind w:right="40"/>
        <w:spacing w:after="0" w:line="239" w:lineRule="auto"/>
        <w:rPr>
          <w:sz w:val="20"/>
          <w:szCs w:val="20"/>
          <w:color w:val="auto"/>
        </w:rPr>
      </w:pPr>
      <w:r>
        <w:rPr>
          <w:rFonts w:ascii="Arial" w:cs="Arial" w:eastAsia="Arial" w:hAnsi="Arial"/>
          <w:sz w:val="15"/>
          <w:szCs w:val="15"/>
          <w:color w:val="auto"/>
        </w:rPr>
        <w:t xml:space="preserve">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5"/>
          <w:szCs w:val="15"/>
          <w:u w:val="single" w:color="auto"/>
          <w:color w:val="auto"/>
        </w:rPr>
        <w:t>Section 2.14(g)</w:t>
      </w:r>
      <w:r>
        <w:rPr>
          <w:rFonts w:ascii="Arial" w:cs="Arial" w:eastAsia="Arial" w:hAnsi="Arial"/>
          <w:sz w:val="15"/>
          <w:szCs w:val="15"/>
          <w:color w:val="auto"/>
        </w:rPr>
        <w:t xml:space="preserve"> and without limiting the generality or applicability of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to any Section</w:t>
      </w:r>
    </w:p>
    <w:p>
      <w:pPr>
        <w:ind w:right="20"/>
        <w:spacing w:after="0" w:line="239" w:lineRule="auto"/>
        <w:rPr>
          <w:sz w:val="20"/>
          <w:szCs w:val="20"/>
          <w:color w:val="auto"/>
        </w:rPr>
      </w:pPr>
      <w:r>
        <w:rPr>
          <w:rFonts w:ascii="Arial" w:cs="Arial" w:eastAsia="Arial" w:hAnsi="Arial"/>
          <w:sz w:val="15"/>
          <w:szCs w:val="15"/>
          <w:color w:val="auto"/>
        </w:rPr>
        <w:t>2.14 Additional Amendments, any Extension Amendment may provide for additional terms and/or additional amendments other than those referred to or contemplated above (any such additional amendment, a “</w:t>
      </w:r>
      <w:r>
        <w:rPr>
          <w:rFonts w:ascii="Arial" w:cs="Arial" w:eastAsia="Arial" w:hAnsi="Arial"/>
          <w:sz w:val="15"/>
          <w:szCs w:val="15"/>
          <w:b w:val="1"/>
          <w:bCs w:val="1"/>
          <w:color w:val="auto"/>
        </w:rPr>
        <w:t>Section 2.14 Additional Amendment</w:t>
      </w:r>
      <w:r>
        <w:rPr>
          <w:rFonts w:ascii="Arial" w:cs="Arial" w:eastAsia="Arial" w:hAnsi="Arial"/>
          <w:sz w:val="15"/>
          <w:szCs w:val="15"/>
          <w:color w:val="auto"/>
        </w:rPr>
        <w:t xml:space="preserve">”) to this Agreement and the other Credit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Section 2.14 Additional Amendments are within the requirements of </w:t>
      </w:r>
      <w:r>
        <w:rPr>
          <w:rFonts w:ascii="Arial" w:cs="Arial" w:eastAsia="Arial" w:hAnsi="Arial"/>
          <w:sz w:val="15"/>
          <w:szCs w:val="15"/>
          <w:u w:val="single" w:color="auto"/>
          <w:color w:val="auto"/>
        </w:rPr>
        <w:t>Section 2.14(g)(i)</w:t>
      </w:r>
      <w:r>
        <w:rPr>
          <w:rFonts w:ascii="Arial" w:cs="Arial" w:eastAsia="Arial" w:hAnsi="Arial"/>
          <w:sz w:val="15"/>
          <w:szCs w:val="15"/>
          <w:color w:val="auto"/>
        </w:rPr>
        <w:t xml:space="preserve"> and do not become effective prior to the time that such Section 2.14</w:t>
      </w:r>
    </w:p>
    <w:p>
      <w:pPr>
        <w:spacing w:after="0" w:line="239" w:lineRule="auto"/>
        <w:rPr>
          <w:sz w:val="20"/>
          <w:szCs w:val="20"/>
          <w:color w:val="auto"/>
        </w:rPr>
      </w:pPr>
      <w:r>
        <w:rPr>
          <w:rFonts w:ascii="Arial" w:cs="Arial" w:eastAsia="Arial" w:hAnsi="Arial"/>
          <w:sz w:val="15"/>
          <w:szCs w:val="15"/>
          <w:color w:val="auto"/>
        </w:rPr>
        <w:t>Additional Amendments have been consented to (including, without limitation, pursuant to (1) consents applicable to holders of New Term Loans and New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w:t>
      </w:r>
    </w:p>
    <w:p>
      <w:pPr>
        <w:spacing w:after="0"/>
        <w:rPr>
          <w:sz w:val="20"/>
          <w:szCs w:val="20"/>
          <w:color w:val="auto"/>
        </w:rPr>
      </w:pPr>
      <w:r>
        <w:rPr>
          <w:rFonts w:ascii="Arial" w:cs="Arial" w:eastAsia="Arial" w:hAnsi="Arial"/>
          <w:sz w:val="17"/>
          <w:szCs w:val="17"/>
          <w:color w:val="auto"/>
        </w:rPr>
        <w:t xml:space="preserve">such Section 2.14 Additional Amendments to become effective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64" w:lineRule="exact"/>
        <w:rPr>
          <w:sz w:val="20"/>
          <w:szCs w:val="20"/>
          <w:color w:val="auto"/>
        </w:rPr>
      </w:pPr>
    </w:p>
    <w:p>
      <w:pPr>
        <w:ind w:right="20" w:firstLine="869"/>
        <w:spacing w:after="0" w:line="228" w:lineRule="auto"/>
        <w:tabs>
          <w:tab w:leader="none" w:pos="12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(A) on any date on which any Existing Class is converted to extend the related scheduled maturity date(s) in accordance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 “</w:t>
      </w:r>
      <w:r>
        <w:rPr>
          <w:rFonts w:ascii="Arial" w:cs="Arial" w:eastAsia="Arial" w:hAnsi="Arial"/>
          <w:sz w:val="16"/>
          <w:szCs w:val="16"/>
          <w:b w:val="1"/>
          <w:bCs w:val="1"/>
          <w:color w:val="auto"/>
        </w:rPr>
        <w:t>Extension Date</w:t>
      </w:r>
      <w:r>
        <w:rPr>
          <w:rFonts w:ascii="Arial" w:cs="Arial" w:eastAsia="Arial" w:hAnsi="Arial"/>
          <w:sz w:val="16"/>
          <w:szCs w:val="16"/>
          <w:color w:val="auto"/>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164" w:lineRule="exact"/>
        <w:rPr>
          <w:rFonts w:ascii="Arial" w:cs="Arial" w:eastAsia="Arial" w:hAnsi="Arial"/>
          <w:sz w:val="16"/>
          <w:szCs w:val="16"/>
          <w:color w:val="auto"/>
        </w:rPr>
      </w:pPr>
    </w:p>
    <w:p>
      <w:pPr>
        <w:ind w:right="20" w:firstLine="869"/>
        <w:spacing w:after="0" w:line="257" w:lineRule="auto"/>
        <w:tabs>
          <w:tab w:leader="none" w:pos="1237"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The Administrative Agent and the Lenders (other than the Swingline Lender to the extent such consent is expressly required by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hereby consent to the consummation of the transactions contemplated by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5"/>
          <w:szCs w:val="15"/>
          <w:u w:val="single" w:color="auto"/>
          <w:color w:val="auto"/>
        </w:rPr>
        <w:t>Section 2.14</w:t>
      </w:r>
      <w:r>
        <w:rPr>
          <w:rFonts w:ascii="Arial" w:cs="Arial" w:eastAsia="Arial" w:hAnsi="Arial"/>
          <w:sz w:val="15"/>
          <w:szCs w:val="15"/>
          <w:color w:val="auto"/>
        </w:rPr>
        <w:t>.</w:t>
      </w:r>
    </w:p>
    <w:p>
      <w:pPr>
        <w:spacing w:after="0" w:line="14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5"/>
          <w:szCs w:val="15"/>
          <w:u w:val="single" w:color="auto"/>
          <w:color w:val="auto"/>
        </w:rPr>
        <w:t>Inability to Determine Rates</w:t>
      </w:r>
      <w:r>
        <w:rPr>
          <w:rFonts w:ascii="Arial" w:cs="Arial" w:eastAsia="Arial" w:hAnsi="Arial"/>
          <w:sz w:val="15"/>
          <w:szCs w:val="15"/>
          <w:color w:val="auto"/>
        </w:rPr>
        <w:t>.</w:t>
      </w:r>
    </w:p>
    <w:p>
      <w:pPr>
        <w:spacing w:after="0" w:line="178" w:lineRule="exact"/>
        <w:rPr>
          <w:sz w:val="20"/>
          <w:szCs w:val="20"/>
          <w:color w:val="auto"/>
        </w:rPr>
      </w:pPr>
    </w:p>
    <w:p>
      <w:pPr>
        <w:ind w:firstLine="1241"/>
        <w:spacing w:after="0" w:line="231" w:lineRule="auto"/>
        <w:tabs>
          <w:tab w:leader="none" w:pos="1643"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in connection with any request for a Term SOFR Loan or a conversion of ABR Loans to Term SOFR Loans or a continuation of any such Loans, as applicable, (i) the Administrative Agent determines (which determination shall be conclusive absent manifest error) that (A) no Successor Rate has been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accordance with </w:t>
      </w:r>
      <w:r>
        <w:rPr>
          <w:rFonts w:ascii="Arial" w:cs="Arial" w:eastAsia="Arial" w:hAnsi="Arial"/>
          <w:sz w:val="15"/>
          <w:szCs w:val="15"/>
          <w:u w:val="single" w:color="auto"/>
          <w:color w:val="auto"/>
        </w:rPr>
        <w:t>Section 2.15(b)</w:t>
      </w:r>
      <w:r>
        <w:rPr>
          <w:rFonts w:ascii="Arial" w:cs="Arial" w:eastAsia="Arial" w:hAnsi="Arial"/>
          <w:sz w:val="15"/>
          <w:szCs w:val="15"/>
          <w:color w:val="auto"/>
        </w:rPr>
        <w:t xml:space="preserve">, and the circumstances under </w:t>
      </w:r>
      <w:r>
        <w:rPr>
          <w:rFonts w:ascii="Arial" w:cs="Arial" w:eastAsia="Arial" w:hAnsi="Arial"/>
          <w:sz w:val="15"/>
          <w:szCs w:val="15"/>
          <w:u w:val="single" w:color="auto"/>
          <w:color w:val="auto"/>
        </w:rPr>
        <w:t>Section 2.15(b)(i)</w:t>
      </w:r>
      <w:r>
        <w:rPr>
          <w:rFonts w:ascii="Arial" w:cs="Arial" w:eastAsia="Arial" w:hAnsi="Arial"/>
          <w:sz w:val="15"/>
          <w:szCs w:val="15"/>
          <w:color w:val="auto"/>
        </w:rPr>
        <w:t xml:space="preserve"> or the SOFR Scheduled Unavailability Date has occurred, or (B) adequate and</w:t>
      </w:r>
    </w:p>
    <w:p>
      <w:pPr>
        <w:spacing w:after="0" w:line="22" w:lineRule="exact"/>
        <w:rPr>
          <w:sz w:val="20"/>
          <w:szCs w:val="20"/>
          <w:color w:val="auto"/>
        </w:rPr>
      </w:pPr>
    </w:p>
    <w:p>
      <w:pPr>
        <w:ind w:right="260"/>
        <w:spacing w:after="0" w:line="239" w:lineRule="auto"/>
        <w:rPr>
          <w:sz w:val="20"/>
          <w:szCs w:val="20"/>
          <w:color w:val="auto"/>
        </w:rPr>
      </w:pPr>
      <w:r>
        <w:rPr>
          <w:rFonts w:ascii="Arial" w:cs="Arial" w:eastAsia="Arial" w:hAnsi="Arial"/>
          <w:sz w:val="15"/>
          <w:szCs w:val="15"/>
          <w:color w:val="auto"/>
        </w:rPr>
        <w:t>reasonable means do not otherwise exist for determining Term SOFR for any requested Interest Period with respect to a proposed Term SOFR Loan or in connection with an existing or proposed ABR Loan, or (ii) the Administrative Agent or the Required Lenders determine that for any reason that Term SOFR for any requested Interest Period with respect to a proposed Term SOFR Loan does not adequately and fairly reflect the cost to such Lenders of funding such Term</w:t>
      </w:r>
    </w:p>
    <w:p>
      <w:pPr>
        <w:spacing w:after="0"/>
        <w:rPr>
          <w:sz w:val="20"/>
          <w:szCs w:val="20"/>
          <w:color w:val="auto"/>
        </w:rPr>
      </w:pPr>
      <w:r>
        <w:rPr>
          <w:rFonts w:ascii="Arial" w:cs="Arial" w:eastAsia="Arial" w:hAnsi="Arial"/>
          <w:sz w:val="17"/>
          <w:szCs w:val="17"/>
          <w:color w:val="auto"/>
        </w:rPr>
        <w:t>SOFR Loan, the Administrative Agent will promptly so notify the Borrower and each Lender.</w:t>
      </w:r>
    </w:p>
    <w:p>
      <w:pPr>
        <w:spacing w:after="0" w:line="164" w:lineRule="exact"/>
        <w:rPr>
          <w:sz w:val="20"/>
          <w:szCs w:val="20"/>
          <w:color w:val="auto"/>
        </w:rPr>
      </w:pPr>
    </w:p>
    <w:p>
      <w:pPr>
        <w:ind w:right="100" w:firstLine="172"/>
        <w:spacing w:after="0" w:line="251" w:lineRule="auto"/>
        <w:rPr>
          <w:sz w:val="20"/>
          <w:szCs w:val="20"/>
          <w:color w:val="auto"/>
        </w:rPr>
      </w:pPr>
      <w:r>
        <w:rPr>
          <w:rFonts w:ascii="Arial" w:cs="Arial" w:eastAsia="Arial" w:hAnsi="Arial"/>
          <w:sz w:val="15"/>
          <w:szCs w:val="15"/>
          <w:color w:val="auto"/>
        </w:rPr>
        <w:t>Thereafter, (x) the obligation of the Lenders to make or maintain Term SOFR Loans, or to convert ABR Loans to Term SOFR Loans, shall be suspended (to the extent of the affected Term SOFR Loans or Interest Periods), and (y) in the event of a determination described in the preceding sentence with respect to the Term</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 xml:space="preserve">SOFR component of ABR, the utilization of the Term SOFR component in determining ABR shall be suspended, in each case until the Administrative Agent (or, in the case of a determination by the Required Lenders described in </w:t>
      </w:r>
      <w:r>
        <w:rPr>
          <w:rFonts w:ascii="Arial" w:cs="Arial" w:eastAsia="Arial" w:hAnsi="Arial"/>
          <w:sz w:val="17"/>
          <w:szCs w:val="17"/>
          <w:u w:val="single" w:color="auto"/>
          <w:color w:val="auto"/>
        </w:rPr>
        <w:t>Section 2.15(a)(ii)</w:t>
      </w:r>
      <w:r>
        <w:rPr>
          <w:rFonts w:ascii="Arial" w:cs="Arial" w:eastAsia="Arial" w:hAnsi="Arial"/>
          <w:sz w:val="17"/>
          <w:szCs w:val="17"/>
          <w:color w:val="auto"/>
        </w:rPr>
        <w:t>, until the Administrative Agent upon instruction of the Required Lenders) revokes such notice.</w:t>
      </w:r>
    </w:p>
    <w:p>
      <w:pPr>
        <w:spacing w:after="0" w:line="170" w:lineRule="exact"/>
        <w:rPr>
          <w:sz w:val="20"/>
          <w:szCs w:val="20"/>
          <w:color w:val="auto"/>
        </w:rPr>
      </w:pPr>
    </w:p>
    <w:p>
      <w:pPr>
        <w:ind w:firstLine="172"/>
        <w:spacing w:after="0" w:line="230" w:lineRule="auto"/>
        <w:rPr>
          <w:sz w:val="20"/>
          <w:szCs w:val="20"/>
          <w:color w:val="auto"/>
        </w:rPr>
      </w:pPr>
      <w:r>
        <w:rPr>
          <w:rFonts w:ascii="Arial" w:cs="Arial" w:eastAsia="Arial" w:hAnsi="Arial"/>
          <w:sz w:val="16"/>
          <w:szCs w:val="16"/>
          <w:color w:val="auto"/>
        </w:rPr>
        <w:t>Upon receipt of such notice, (i) the Borrower may revoke any pending request for a Borrowing of, or conversion to, or continuation of Term SOFR Loans (to the extent of the affected Term SOFR Loans or Interest Periods) or, failing that, the Borrower will be deemed to have converted such request into a request for a Borrowing of ABR Loans in the amount specified therein and (ii) any outstanding Term SOFR Loans shall be deemed to have been converted to ABR Loans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immediately at the end of their respective applicable Interest Period.</w:t>
      </w:r>
    </w:p>
    <w:p>
      <w:pPr>
        <w:spacing w:after="0" w:line="164" w:lineRule="exact"/>
        <w:rPr>
          <w:sz w:val="20"/>
          <w:szCs w:val="20"/>
          <w:color w:val="auto"/>
        </w:rPr>
      </w:pPr>
    </w:p>
    <w:p>
      <w:pPr>
        <w:ind w:right="180" w:firstLine="1241"/>
        <w:spacing w:after="0" w:line="224" w:lineRule="auto"/>
        <w:tabs>
          <w:tab w:leader="none" w:pos="165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Replacement of Term SOFR or Successor Rate</w:t>
      </w:r>
      <w:r>
        <w:rPr>
          <w:rFonts w:ascii="Arial" w:cs="Arial" w:eastAsia="Arial" w:hAnsi="Arial"/>
          <w:sz w:val="17"/>
          <w:szCs w:val="17"/>
          <w:color w:val="auto"/>
        </w:rPr>
        <w:t>. Notwithstanding anything to the contrary in this Agreement or any other Credit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59" w:lineRule="exact"/>
        <w:rPr>
          <w:rFonts w:ascii="Arial" w:cs="Arial" w:eastAsia="Arial" w:hAnsi="Arial"/>
          <w:sz w:val="17"/>
          <w:szCs w:val="17"/>
          <w:color w:val="auto"/>
        </w:rPr>
      </w:pPr>
    </w:p>
    <w:p>
      <w:pPr>
        <w:ind w:left="620" w:right="180" w:firstLine="1549"/>
        <w:spacing w:after="0" w:line="231" w:lineRule="auto"/>
        <w:tabs>
          <w:tab w:leader="none" w:pos="2544" w:val="left"/>
        </w:tabs>
        <w:numPr>
          <w:ilvl w:val="1"/>
          <w:numId w:val="75"/>
        </w:numPr>
        <w:rPr>
          <w:rFonts w:ascii="Arial" w:cs="Arial" w:eastAsia="Arial" w:hAnsi="Arial"/>
          <w:sz w:val="17"/>
          <w:szCs w:val="17"/>
          <w:color w:val="auto"/>
        </w:rPr>
      </w:pPr>
      <w:r>
        <w:rPr>
          <w:rFonts w:ascii="Arial" w:cs="Arial" w:eastAsia="Arial" w:hAnsi="Arial"/>
          <w:sz w:val="17"/>
          <w:szCs w:val="17"/>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57" w:lineRule="exact"/>
        <w:rPr>
          <w:rFonts w:ascii="Arial" w:cs="Arial" w:eastAsia="Arial" w:hAnsi="Arial"/>
          <w:sz w:val="17"/>
          <w:szCs w:val="17"/>
          <w:color w:val="auto"/>
        </w:rPr>
      </w:pPr>
    </w:p>
    <w:p>
      <w:pPr>
        <w:ind w:left="620" w:right="40" w:firstLine="1549"/>
        <w:spacing w:after="0" w:line="233" w:lineRule="auto"/>
        <w:tabs>
          <w:tab w:leader="none" w:pos="25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Arial" w:cs="Arial" w:eastAsia="Arial" w:hAnsi="Arial"/>
          <w:sz w:val="16"/>
          <w:szCs w:val="16"/>
          <w:b w:val="1"/>
          <w:bCs w:val="1"/>
          <w:color w:val="auto"/>
        </w:rPr>
        <w:t>SOFR Scheduled Unavailability Date</w:t>
      </w:r>
      <w:r>
        <w:rPr>
          <w:rFonts w:ascii="Arial" w:cs="Arial" w:eastAsia="Arial" w:hAnsi="Arial"/>
          <w:sz w:val="16"/>
          <w:szCs w:val="16"/>
          <w:color w:val="auto"/>
        </w:rPr>
        <w:t>”);</w:t>
      </w:r>
    </w:p>
    <w:p>
      <w:pPr>
        <w:spacing w:after="0" w:line="151" w:lineRule="exact"/>
        <w:rPr>
          <w:sz w:val="20"/>
          <w:szCs w:val="20"/>
          <w:color w:val="auto"/>
        </w:rPr>
      </w:pPr>
    </w:p>
    <w:p>
      <w:pPr>
        <w:ind w:left="620"/>
        <w:spacing w:after="0" w:line="256" w:lineRule="auto"/>
        <w:rPr>
          <w:sz w:val="20"/>
          <w:szCs w:val="20"/>
          <w:color w:val="auto"/>
        </w:rPr>
      </w:pPr>
      <w:r>
        <w:rPr>
          <w:rFonts w:ascii="Arial" w:cs="Arial" w:eastAsia="Arial" w:hAnsi="Arial"/>
          <w:sz w:val="15"/>
          <w:szCs w:val="15"/>
          <w:color w:val="auto"/>
        </w:rPr>
        <w:t>then, on a date and time determined by the Administrative Agent (any such date, the “</w:t>
      </w:r>
      <w:r>
        <w:rPr>
          <w:rFonts w:ascii="Arial" w:cs="Arial" w:eastAsia="Arial" w:hAnsi="Arial"/>
          <w:sz w:val="15"/>
          <w:szCs w:val="15"/>
          <w:b w:val="1"/>
          <w:bCs w:val="1"/>
          <w:color w:val="auto"/>
        </w:rPr>
        <w:t>Term SOFR Replacement Date</w:t>
      </w:r>
      <w:r>
        <w:rPr>
          <w:rFonts w:ascii="Arial" w:cs="Arial" w:eastAsia="Arial" w:hAnsi="Arial"/>
          <w:sz w:val="15"/>
          <w:szCs w:val="15"/>
          <w:color w:val="auto"/>
        </w:rPr>
        <w:t>”), which date shall be at the end of an Interest Period or on the relevant interest payment date, as applicable, for interest calculated and, solely with respect to clause (ii) above, no later than</w:t>
      </w:r>
    </w:p>
    <w:p>
      <w:pPr>
        <w:ind w:left="620" w:right="160"/>
        <w:spacing w:after="0" w:line="234" w:lineRule="auto"/>
        <w:rPr>
          <w:sz w:val="20"/>
          <w:szCs w:val="20"/>
          <w:color w:val="auto"/>
        </w:rPr>
      </w:pPr>
      <w:r>
        <w:rPr>
          <w:rFonts w:ascii="Arial" w:cs="Arial" w:eastAsia="Arial" w:hAnsi="Arial"/>
          <w:sz w:val="16"/>
          <w:szCs w:val="16"/>
          <w:color w:val="auto"/>
        </w:rPr>
        <w:t xml:space="preserve">the Scheduled Unavailability Date, Term SOFR will be replaced hereunder and under any Credit Document with Daily Simple SOFR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SOFR Adjustment for any payment period for interest calculated that can be determined by the Administrative Agent, in each case, without any amendment to, or further action or consent of any other party to, this Agreement or any other Credit Document (the “</w:t>
      </w:r>
      <w:r>
        <w:rPr>
          <w:rFonts w:ascii="Arial" w:cs="Arial" w:eastAsia="Arial" w:hAnsi="Arial"/>
          <w:sz w:val="16"/>
          <w:szCs w:val="16"/>
          <w:b w:val="1"/>
          <w:bCs w:val="1"/>
          <w:color w:val="auto"/>
        </w:rPr>
        <w:t>Successor Rate</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the Successor Rate is Daily Simple SOFR plus the SOFR Adjustment, all interest payments will be payable on a quarterly basis.</w:t>
      </w:r>
    </w:p>
    <w:p>
      <w:pPr>
        <w:spacing w:after="0" w:line="178" w:lineRule="exact"/>
        <w:rPr>
          <w:sz w:val="20"/>
          <w:szCs w:val="20"/>
          <w:color w:val="auto"/>
        </w:rPr>
      </w:pPr>
    </w:p>
    <w:p>
      <w:pPr>
        <w:ind w:right="160" w:firstLine="344"/>
        <w:spacing w:after="0" w:line="251" w:lineRule="auto"/>
        <w:rPr>
          <w:sz w:val="20"/>
          <w:szCs w:val="20"/>
          <w:color w:val="auto"/>
        </w:rPr>
      </w:pPr>
      <w:r>
        <w:rPr>
          <w:rFonts w:ascii="Arial" w:cs="Arial" w:eastAsia="Arial" w:hAnsi="Arial"/>
          <w:sz w:val="15"/>
          <w:szCs w:val="15"/>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5"/>
          <w:szCs w:val="15"/>
          <w:u w:val="single" w:color="auto"/>
          <w:color w:val="auto"/>
        </w:rPr>
        <w:t>Section 2.15(b)(i)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have occurred with respect to the Successor Rate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 xml:space="preserve">then in effect, then in each case, the Administrative Agent and the Borrower may amend this Agreement solely for the purpose of replacing Term SOFR or any then current Successor Rate in accordance with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at the end of any Interest Period, relevant interest payment date or payment period for interest calculated,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with an alternative benchmark rate giving due consideration to any evolving or then existing convention for similar U.S. dollar denominated credit facilities</w:t>
      </w:r>
    </w:p>
    <w:p>
      <w:pPr>
        <w:spacing w:after="0" w:line="1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w:t>
      </w:r>
    </w:p>
    <w:p>
      <w:pPr>
        <w:ind w:right="480"/>
        <w:spacing w:after="0" w:line="220" w:lineRule="auto"/>
        <w:rPr>
          <w:sz w:val="20"/>
          <w:szCs w:val="20"/>
          <w:color w:val="auto"/>
        </w:rPr>
      </w:pPr>
      <w:r>
        <w:rPr>
          <w:rFonts w:ascii="Arial" w:cs="Arial" w:eastAsia="Arial" w:hAnsi="Arial"/>
          <w:sz w:val="17"/>
          <w:szCs w:val="17"/>
          <w:color w:val="auto"/>
        </w:rPr>
        <w:t>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Administrative Agent will promptly (in one or more notices) notify the Borrower and each Lender of the implementation of any Successor Rate.</w:t>
      </w:r>
    </w:p>
    <w:p>
      <w:pPr>
        <w:spacing w:after="0" w:line="190" w:lineRule="exact"/>
        <w:rPr>
          <w:sz w:val="20"/>
          <w:szCs w:val="20"/>
          <w:color w:val="auto"/>
        </w:rPr>
      </w:pPr>
    </w:p>
    <w:p>
      <w:pPr>
        <w:ind w:right="60" w:firstLine="619"/>
        <w:spacing w:after="0" w:line="251" w:lineRule="auto"/>
        <w:rPr>
          <w:sz w:val="20"/>
          <w:szCs w:val="20"/>
          <w:color w:val="auto"/>
        </w:rPr>
      </w:pPr>
      <w:r>
        <w:rPr>
          <w:rFonts w:ascii="Arial" w:cs="Arial" w:eastAsia="Arial" w:hAnsi="Arial"/>
          <w:sz w:val="15"/>
          <w:szCs w:val="15"/>
          <w:color w:val="auto"/>
        </w:rPr>
        <w:t xml:space="preserve">Any Successor Rate shall be applied in a manner consistent with prevailing market practice;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such prevailing market practice is not administratively feasible for the Administrative Agent, such Successor Rate shall be applied in a manner as otherwise reasonably determined by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w:t>
      </w:r>
    </w:p>
    <w:p>
      <w:pPr>
        <w:spacing w:after="0" w:line="164" w:lineRule="exact"/>
        <w:rPr>
          <w:sz w:val="20"/>
          <w:szCs w:val="20"/>
          <w:color w:val="auto"/>
        </w:rPr>
      </w:pPr>
    </w:p>
    <w:p>
      <w:pPr>
        <w:ind w:right="180" w:firstLine="619"/>
        <w:spacing w:after="0" w:line="236" w:lineRule="auto"/>
        <w:rPr>
          <w:sz w:val="20"/>
          <w:szCs w:val="20"/>
          <w:color w:val="auto"/>
        </w:rPr>
      </w:pPr>
      <w:r>
        <w:rPr>
          <w:rFonts w:ascii="Arial" w:cs="Arial" w:eastAsia="Arial" w:hAnsi="Arial"/>
          <w:sz w:val="17"/>
          <w:szCs w:val="17"/>
          <w:color w:val="auto"/>
        </w:rPr>
        <w:t>Notwithstanding anything else herein, if at any time any Successor Rate as so determined would otherwise be less than zero, the Successor Rate will be deemed to be zero for the purposes of this Agreement and the other Credit Documents.</w:t>
      </w:r>
    </w:p>
    <w:p>
      <w:pPr>
        <w:spacing w:after="0" w:line="170" w:lineRule="exact"/>
        <w:rPr>
          <w:sz w:val="20"/>
          <w:szCs w:val="20"/>
          <w:color w:val="auto"/>
        </w:rPr>
      </w:pPr>
    </w:p>
    <w:p>
      <w:pPr>
        <w:ind w:right="80" w:firstLine="619"/>
        <w:spacing w:after="0" w:line="230" w:lineRule="auto"/>
        <w:rPr>
          <w:sz w:val="20"/>
          <w:szCs w:val="20"/>
          <w:color w:val="auto"/>
        </w:rPr>
      </w:pPr>
      <w:r>
        <w:rPr>
          <w:rFonts w:ascii="Arial" w:cs="Arial" w:eastAsia="Arial" w:hAnsi="Arial"/>
          <w:sz w:val="16"/>
          <w:szCs w:val="16"/>
          <w:color w:val="auto"/>
        </w:rPr>
        <w:t xml:space="preserve">In connection with the implementation of a Successor Rate,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amendment effected, the</w:t>
      </w:r>
    </w:p>
    <w:p>
      <w:pPr>
        <w:spacing w:after="0" w:line="1" w:lineRule="exact"/>
        <w:rPr>
          <w:sz w:val="20"/>
          <w:szCs w:val="20"/>
          <w:color w:val="auto"/>
        </w:rPr>
      </w:pPr>
    </w:p>
    <w:p>
      <w:pPr>
        <w:ind w:right="160"/>
        <w:spacing w:after="0" w:line="227" w:lineRule="auto"/>
        <w:rPr>
          <w:sz w:val="20"/>
          <w:szCs w:val="20"/>
          <w:color w:val="auto"/>
        </w:rPr>
      </w:pPr>
      <w:r>
        <w:rPr>
          <w:rFonts w:ascii="Arial" w:cs="Arial" w:eastAsia="Arial" w:hAnsi="Arial"/>
          <w:sz w:val="17"/>
          <w:szCs w:val="17"/>
          <w:color w:val="auto"/>
        </w:rPr>
        <w:t>Administrative Agent shall post each such amendment implementing such Conforming Changes to the Borrower and the Lenders reasonably promptly after such amendment becomes effective.</w:t>
      </w:r>
    </w:p>
    <w:p>
      <w:pPr>
        <w:spacing w:after="0" w:line="158"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For purposes of this Section 2.15, those Lenders that either have not made, or do not have an obligation under this Agreement to make, the relevant Loans in Dollars shall be excluded from any determination of Required Lenders.</w:t>
      </w:r>
    </w:p>
    <w:p>
      <w:pPr>
        <w:spacing w:after="0" w:line="15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5"/>
          <w:szCs w:val="15"/>
          <w:u w:val="single" w:color="auto"/>
          <w:color w:val="auto"/>
        </w:rPr>
        <w:t>Defaulting Lenders</w:t>
      </w:r>
      <w:r>
        <w:rPr>
          <w:rFonts w:ascii="Arial" w:cs="Arial" w:eastAsia="Arial" w:hAnsi="Arial"/>
          <w:sz w:val="15"/>
          <w:szCs w:val="15"/>
          <w:color w:val="auto"/>
        </w:rPr>
        <w:t>.</w:t>
      </w:r>
    </w:p>
    <w:p>
      <w:pPr>
        <w:spacing w:after="0" w:line="178" w:lineRule="exact"/>
        <w:rPr>
          <w:sz w:val="20"/>
          <w:szCs w:val="20"/>
          <w:color w:val="auto"/>
        </w:rPr>
      </w:pPr>
    </w:p>
    <w:p>
      <w:pPr>
        <w:ind w:firstLine="622"/>
        <w:spacing w:after="0" w:line="248" w:lineRule="auto"/>
        <w:tabs>
          <w:tab w:leader="none" w:pos="123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0" w:lineRule="exact"/>
        <w:rPr>
          <w:rFonts w:ascii="Arial" w:cs="Arial" w:eastAsia="Arial" w:hAnsi="Arial"/>
          <w:sz w:val="17"/>
          <w:szCs w:val="17"/>
          <w:color w:val="auto"/>
        </w:rPr>
      </w:pPr>
    </w:p>
    <w:p>
      <w:pPr>
        <w:ind w:left="620" w:right="80" w:firstLine="868"/>
        <w:spacing w:after="0" w:line="236" w:lineRule="auto"/>
        <w:tabs>
          <w:tab w:leader="none" w:pos="1858"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620" w:right="40" w:firstLine="868"/>
        <w:spacing w:after="0" w:line="228" w:lineRule="auto"/>
        <w:tabs>
          <w:tab w:leader="none" w:pos="1858"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13.8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Letter of Credit Issuer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Letter of Credit Issuer’s Fronting Exposure with respect to such Defaulting Lender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the Swingline Lender against such Defaulting Lender as a result of such Defaulting Lender’s breach of its obligations under this Agreement; and </w:t>
      </w:r>
      <w:r>
        <w:rPr>
          <w:rFonts w:ascii="Arial" w:cs="Arial" w:eastAsia="Arial" w:hAnsi="Arial"/>
          <w:sz w:val="16"/>
          <w:szCs w:val="16"/>
          <w:i w:val="1"/>
          <w:iCs w:val="1"/>
          <w:color w:val="auto"/>
        </w:rPr>
        <w:t>seventh</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0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w:t>
      </w:r>
    </w:p>
    <w:p>
      <w:pPr>
        <w:spacing w:after="0" w:line="11" w:lineRule="exact"/>
        <w:rPr>
          <w:sz w:val="20"/>
          <w:szCs w:val="20"/>
          <w:color w:val="auto"/>
        </w:rPr>
      </w:pPr>
    </w:p>
    <w:p>
      <w:pPr>
        <w:ind w:left="600" w:right="160"/>
        <w:spacing w:after="0" w:line="239" w:lineRule="auto"/>
        <w:rPr>
          <w:sz w:val="20"/>
          <w:szCs w:val="20"/>
          <w:color w:val="auto"/>
        </w:rPr>
      </w:pPr>
      <w:r>
        <w:rPr>
          <w:rFonts w:ascii="Arial" w:cs="Arial" w:eastAsia="Arial" w:hAnsi="Arial"/>
          <w:sz w:val="15"/>
          <w:szCs w:val="15"/>
          <w:color w:val="auto"/>
        </w:rPr>
        <w:t xml:space="preserve">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were satisfied or waived, such payment shall be applied solely to pay the Loans of, and L/C Obligations owed to, all Non-Defaulting Lenders on a pro rata basis prior to being applied to the payment of</w:t>
      </w:r>
    </w:p>
    <w:p>
      <w:pPr>
        <w:ind w:left="600"/>
        <w:spacing w:after="0" w:line="239" w:lineRule="auto"/>
        <w:rPr>
          <w:sz w:val="20"/>
          <w:szCs w:val="20"/>
          <w:color w:val="auto"/>
        </w:rPr>
      </w:pPr>
      <w:r>
        <w:rPr>
          <w:rFonts w:ascii="Arial" w:cs="Arial" w:eastAsia="Arial" w:hAnsi="Arial"/>
          <w:sz w:val="15"/>
          <w:szCs w:val="15"/>
          <w:color w:val="auto"/>
        </w:rPr>
        <w:t xml:space="preserve">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5"/>
          <w:szCs w:val="15"/>
          <w:u w:val="single" w:color="auto"/>
          <w:color w:val="auto"/>
        </w:rPr>
        <w:t>Section 2.16(a)(iv)</w:t>
      </w:r>
      <w:r>
        <w:rPr>
          <w:rFonts w:ascii="Arial" w:cs="Arial" w:eastAsia="Arial" w:hAnsi="Arial"/>
          <w:sz w:val="15"/>
          <w:szCs w:val="15"/>
          <w:color w:val="auto"/>
        </w:rPr>
        <w:t>. Any payments, prepayments or other amounts paid or payable to a Defaulting Lender that are applied (or held) to pay amounts owed by a Defaulting Lender or</w:t>
      </w:r>
    </w:p>
    <w:p>
      <w:pPr>
        <w:ind w:left="600" w:right="40"/>
        <w:spacing w:after="0" w:line="227" w:lineRule="auto"/>
        <w:rPr>
          <w:sz w:val="20"/>
          <w:szCs w:val="20"/>
          <w:color w:val="auto"/>
        </w:rPr>
      </w:pPr>
      <w:r>
        <w:rPr>
          <w:rFonts w:ascii="Arial" w:cs="Arial" w:eastAsia="Arial" w:hAnsi="Arial"/>
          <w:sz w:val="17"/>
          <w:szCs w:val="17"/>
          <w:color w:val="auto"/>
        </w:rPr>
        <w:t xml:space="preserve">to post Cash Collateral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58" w:lineRule="exact"/>
        <w:rPr>
          <w:sz w:val="20"/>
          <w:szCs w:val="20"/>
          <w:color w:val="auto"/>
        </w:rPr>
      </w:pPr>
    </w:p>
    <w:p>
      <w:pPr>
        <w:ind w:left="1840" w:hanging="372"/>
        <w:spacing w:after="0"/>
        <w:tabs>
          <w:tab w:leader="none" w:pos="1840" w:val="left"/>
        </w:tabs>
        <w:numPr>
          <w:ilvl w:val="3"/>
          <w:numId w:val="77"/>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600" w:right="660" w:firstLine="621"/>
        <w:spacing w:after="0" w:line="226" w:lineRule="auto"/>
        <w:tabs>
          <w:tab w:leader="none" w:pos="1838"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No Defaulting Lender shall be entitled to receive any fee payable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69" w:lineRule="exact"/>
        <w:rPr>
          <w:rFonts w:ascii="Arial" w:cs="Arial" w:eastAsia="Arial" w:hAnsi="Arial"/>
          <w:sz w:val="17"/>
          <w:szCs w:val="17"/>
          <w:color w:val="auto"/>
        </w:rPr>
      </w:pPr>
    </w:p>
    <w:p>
      <w:pPr>
        <w:ind w:left="600" w:right="20" w:firstLine="621"/>
        <w:spacing w:after="0" w:line="226" w:lineRule="auto"/>
        <w:tabs>
          <w:tab w:leader="none" w:pos="1838"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600" w:right="20" w:firstLine="621"/>
        <w:spacing w:after="0" w:line="234" w:lineRule="auto"/>
        <w:tabs>
          <w:tab w:leader="none" w:pos="183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With respect to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160" w:lineRule="exact"/>
        <w:rPr>
          <w:rFonts w:ascii="Arial" w:cs="Arial" w:eastAsia="Arial" w:hAnsi="Arial"/>
          <w:sz w:val="16"/>
          <w:szCs w:val="16"/>
          <w:color w:val="auto"/>
        </w:rPr>
      </w:pPr>
    </w:p>
    <w:p>
      <w:pPr>
        <w:ind w:left="600" w:right="100" w:firstLine="698"/>
        <w:spacing w:after="0" w:line="218" w:lineRule="auto"/>
        <w:tabs>
          <w:tab w:leader="none" w:pos="1838" w:val="left"/>
        </w:tabs>
        <w:numPr>
          <w:ilvl w:val="2"/>
          <w:numId w:val="78"/>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13.22</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5" w:lineRule="exact"/>
        <w:rPr>
          <w:rFonts w:ascii="Arial" w:cs="Arial" w:eastAsia="Arial" w:hAnsi="Arial"/>
          <w:sz w:val="17"/>
          <w:szCs w:val="17"/>
          <w:color w:val="auto"/>
        </w:rPr>
      </w:pPr>
    </w:p>
    <w:p>
      <w:pPr>
        <w:ind w:left="600" w:right="40" w:firstLine="868"/>
        <w:spacing w:after="0" w:line="224" w:lineRule="auto"/>
        <w:tabs>
          <w:tab w:leader="none" w:pos="1837" w:val="left"/>
        </w:tabs>
        <w:numPr>
          <w:ilvl w:val="3"/>
          <w:numId w:val="78"/>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 Line Loans</w:t>
      </w:r>
      <w:r>
        <w:rPr>
          <w:rFonts w:ascii="Arial" w:cs="Arial" w:eastAsia="Arial" w:hAnsi="Arial"/>
          <w:sz w:val="17"/>
          <w:szCs w:val="17"/>
          <w:color w:val="auto"/>
        </w:rPr>
        <w:t xml:space="preserve">. If the reallocation described in </w:t>
      </w:r>
      <w:r>
        <w:rPr>
          <w:rFonts w:ascii="Arial" w:cs="Arial" w:eastAsia="Arial" w:hAnsi="Arial"/>
          <w:sz w:val="17"/>
          <w:szCs w:val="17"/>
          <w:u w:val="single" w:color="auto"/>
          <w:color w:val="auto"/>
        </w:rPr>
        <w:t>clause (a)(iv)</w:t>
      </w:r>
      <w:r>
        <w:rPr>
          <w:rFonts w:ascii="Arial" w:cs="Arial" w:eastAsia="Arial" w:hAnsi="Arial"/>
          <w:sz w:val="17"/>
          <w:szCs w:val="17"/>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7"/>
          <w:szCs w:val="17"/>
          <w:i w:val="1"/>
          <w:iCs w:val="1"/>
          <w:color w:val="auto"/>
        </w:rPr>
        <w:t>first</w:t>
      </w:r>
      <w:r>
        <w:rPr>
          <w:rFonts w:ascii="Arial" w:cs="Arial" w:eastAsia="Arial" w:hAnsi="Arial"/>
          <w:sz w:val="17"/>
          <w:szCs w:val="17"/>
          <w:color w:val="auto"/>
        </w:rPr>
        <w:t xml:space="preserve">, prepay Swingline Loans in an amount equal to the Swingline Lenders’ Fronting Exposure and (y) </w:t>
      </w:r>
      <w:r>
        <w:rPr>
          <w:rFonts w:ascii="Arial" w:cs="Arial" w:eastAsia="Arial" w:hAnsi="Arial"/>
          <w:sz w:val="17"/>
          <w:szCs w:val="17"/>
          <w:i w:val="1"/>
          <w:iCs w:val="1"/>
          <w:color w:val="auto"/>
        </w:rPr>
        <w:t>second</w:t>
      </w:r>
      <w:r>
        <w:rPr>
          <w:rFonts w:ascii="Arial" w:cs="Arial" w:eastAsia="Arial" w:hAnsi="Arial"/>
          <w:sz w:val="17"/>
          <w:szCs w:val="17"/>
          <w:color w:val="auto"/>
        </w:rPr>
        <w:t xml:space="preserve">, Cash Collateralize the Letter of Credit Issuers’ Fronting Exposure in accordance with the procedures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left="-20" w:right="40" w:firstLine="622"/>
        <w:spacing w:after="0" w:line="245" w:lineRule="auto"/>
        <w:tabs>
          <w:tab w:leader="none" w:pos="1218"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Defaulting Lender Cure</w:t>
      </w:r>
      <w:r>
        <w:rPr>
          <w:rFonts w:ascii="Arial" w:cs="Arial" w:eastAsia="Arial" w:hAnsi="Arial"/>
          <w:sz w:val="15"/>
          <w:szCs w:val="15"/>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5"/>
          <w:szCs w:val="15"/>
          <w:u w:val="single" w:color="auto"/>
          <w:color w:val="auto"/>
        </w:rPr>
        <w:t>Section 2.16(a)(iv)</w:t>
      </w:r>
      <w:r>
        <w:rPr>
          <w:rFonts w:ascii="Arial" w:cs="Arial" w:eastAsia="Arial" w:hAnsi="Arial"/>
          <w:sz w:val="15"/>
          <w:szCs w:val="15"/>
          <w:color w:val="auto"/>
        </w:rPr>
        <w:t xml:space="preserve">),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20"/>
          </w:cols>
          <w:pgMar w:left="340" w:top="1440" w:right="339" w:bottom="1440" w:gutter="0" w:footer="0" w:header="0"/>
        </w:sectPr>
      </w:pPr>
    </w:p>
    <w:bookmarkStart w:id="96" w:name="page97"/>
    <w:bookmarkEnd w:id="96"/>
    <w:p>
      <w:pPr>
        <w:spacing w:after="0" w:line="10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u w:val="single" w:color="auto"/>
          <w:color w:val="auto"/>
        </w:rPr>
        <w:t>Letters of Credit</w:t>
      </w:r>
    </w:p>
    <w:p>
      <w:pPr>
        <w:spacing w:after="0" w:line="19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Letters of Credit</w:t>
      </w:r>
      <w:r>
        <w:rPr>
          <w:rFonts w:ascii="Arial" w:cs="Arial" w:eastAsia="Arial" w:hAnsi="Arial"/>
          <w:sz w:val="15"/>
          <w:szCs w:val="15"/>
          <w:color w:val="auto"/>
        </w:rPr>
        <w:t>.</w:t>
      </w:r>
    </w:p>
    <w:p>
      <w:pPr>
        <w:spacing w:after="0" w:line="178" w:lineRule="exact"/>
        <w:rPr>
          <w:sz w:val="20"/>
          <w:szCs w:val="20"/>
          <w:color w:val="auto"/>
        </w:rPr>
      </w:pPr>
    </w:p>
    <w:p>
      <w:pPr>
        <w:ind w:right="40" w:firstLine="622"/>
        <w:spacing w:after="0" w:line="234" w:lineRule="auto"/>
        <w:tabs>
          <w:tab w:leader="none" w:pos="1238"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at any time and from time to time after the Second Restatement Effective Date and prior to the L/C Facility Maturity Date, the Letter of Credit Issuer agrees, in reliance upon the agreements of the Revolving Credit Lenders set forth in this Section 3, to issue from time to time from the Second Restatement Effective Date through the L/C Facility Maturity Date for the account of the Borrower (or, so long as the Borrower is the primary obligor, for the account of Holdings or any Restricted Subsidiary (other than the Borrower)) letters of credit (the “</w:t>
      </w:r>
      <w:r>
        <w:rPr>
          <w:rFonts w:ascii="Arial" w:cs="Arial" w:eastAsia="Arial" w:hAnsi="Arial"/>
          <w:sz w:val="16"/>
          <w:szCs w:val="16"/>
          <w:b w:val="1"/>
          <w:bCs w:val="1"/>
          <w:color w:val="auto"/>
        </w:rPr>
        <w:t>Letters of Credit</w:t>
      </w:r>
      <w:r>
        <w:rPr>
          <w:rFonts w:ascii="Arial" w:cs="Arial" w:eastAsia="Arial" w:hAnsi="Arial"/>
          <w:sz w:val="16"/>
          <w:szCs w:val="16"/>
          <w:color w:val="auto"/>
        </w:rPr>
        <w:t>” and each, a “</w:t>
      </w:r>
      <w:r>
        <w:rPr>
          <w:rFonts w:ascii="Arial" w:cs="Arial" w:eastAsia="Arial" w:hAnsi="Arial"/>
          <w:sz w:val="16"/>
          <w:szCs w:val="16"/>
          <w:b w:val="1"/>
          <w:bCs w:val="1"/>
          <w:color w:val="auto"/>
        </w:rPr>
        <w:t>Letter of Credit</w:t>
      </w:r>
      <w:r>
        <w:rPr>
          <w:rFonts w:ascii="Arial" w:cs="Arial" w:eastAsia="Arial" w:hAnsi="Arial"/>
          <w:sz w:val="16"/>
          <w:szCs w:val="16"/>
          <w:color w:val="auto"/>
        </w:rPr>
        <w:t>”) in such form as may be approved by the Letter of Credit Issuer in its reasonable discretion. Each Existing Letter of Credit shall be deemed to have been issued under this Agreement by the applicable Letter of Credit Issuer on the Second Restatement Effective Date.</w:t>
      </w:r>
    </w:p>
    <w:p>
      <w:pPr>
        <w:spacing w:after="0" w:line="161" w:lineRule="exact"/>
        <w:rPr>
          <w:rFonts w:ascii="Arial" w:cs="Arial" w:eastAsia="Arial" w:hAnsi="Arial"/>
          <w:sz w:val="16"/>
          <w:szCs w:val="16"/>
          <w:color w:val="auto"/>
        </w:rPr>
      </w:pPr>
    </w:p>
    <w:p>
      <w:pPr>
        <w:ind w:firstLine="622"/>
        <w:spacing w:after="0" w:line="228" w:lineRule="auto"/>
        <w:tabs>
          <w:tab w:leader="none" w:pos="1238"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the Letter of Credit Issuer after it has received a written notice from any Credit Party or the Administrative Agent or the Required Revolving Credit Lenders stating that a Default or Event of Default has occurred and is continuing until such time as the Letter of Credit Issuer shall have received a written notice of (x) rescission of such notice from the party or parties originally delivering such notice or (y) the waiver of such Default or Event of Default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firstLine="622"/>
        <w:spacing w:after="0" w:line="224" w:lineRule="auto"/>
        <w:tabs>
          <w:tab w:leader="none" w:pos="1238"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Upon at least two Business Days’ prior written notice to the Administrative Agent and the Letter of Credit Issuer (which notice the Administrative Agent shall promptly transmit to each of the Lenders), the Borrower shall have the right, on any day, permanently to terminate or reduce the Letter of Credit Commitment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w:t>
      </w:r>
    </w:p>
    <w:p>
      <w:pPr>
        <w:spacing w:after="0" w:line="157" w:lineRule="exact"/>
        <w:rPr>
          <w:rFonts w:ascii="Arial" w:cs="Arial" w:eastAsia="Arial" w:hAnsi="Arial"/>
          <w:sz w:val="17"/>
          <w:szCs w:val="17"/>
          <w:color w:val="auto"/>
        </w:rPr>
      </w:pPr>
    </w:p>
    <w:p>
      <w:pPr>
        <w:ind w:left="1240" w:hanging="618"/>
        <w:spacing w:after="0"/>
        <w:tabs>
          <w:tab w:leader="none" w:pos="1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[Reserved].</w:t>
      </w:r>
    </w:p>
    <w:p>
      <w:pPr>
        <w:spacing w:after="0" w:line="178" w:lineRule="exact"/>
        <w:rPr>
          <w:rFonts w:ascii="Arial" w:cs="Arial" w:eastAsia="Arial" w:hAnsi="Arial"/>
          <w:sz w:val="17"/>
          <w:szCs w:val="17"/>
          <w:color w:val="auto"/>
        </w:rPr>
      </w:pPr>
    </w:p>
    <w:p>
      <w:pPr>
        <w:ind w:left="1240" w:hanging="618"/>
        <w:spacing w:after="0"/>
        <w:tabs>
          <w:tab w:leader="none" w:pos="1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Letter of Credit Issuer shall not be under any obligation to issue any Letter of Credit if:</w:t>
      </w:r>
    </w:p>
    <w:p>
      <w:pPr>
        <w:spacing w:after="0" w:line="191" w:lineRule="exact"/>
        <w:rPr>
          <w:rFonts w:ascii="Arial" w:cs="Arial" w:eastAsia="Arial" w:hAnsi="Arial"/>
          <w:sz w:val="17"/>
          <w:szCs w:val="17"/>
          <w:color w:val="auto"/>
        </w:rPr>
      </w:pPr>
    </w:p>
    <w:p>
      <w:pPr>
        <w:ind w:left="620" w:firstLine="868"/>
        <w:spacing w:after="0" w:line="232" w:lineRule="auto"/>
        <w:tabs>
          <w:tab w:leader="none" w:pos="1858"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(in each case, for which the Letter of Credit Issuer is not otherwise compensated hereunder) not in effect on the Second Restatement Effective Date, or shall impose upon the Letter of Credit Issuer any unreimbursed loss, cost or expense which was not applicable on the Second Restatement Effective Date and which the Letter of Credit Issuer in good faith deems material to it;</w:t>
      </w:r>
    </w:p>
    <w:p>
      <w:pPr>
        <w:spacing w:after="0" w:line="157" w:lineRule="exact"/>
        <w:rPr>
          <w:rFonts w:ascii="Arial" w:cs="Arial" w:eastAsia="Arial" w:hAnsi="Arial"/>
          <w:sz w:val="16"/>
          <w:szCs w:val="16"/>
          <w:color w:val="auto"/>
        </w:rPr>
      </w:pPr>
    </w:p>
    <w:p>
      <w:pPr>
        <w:ind w:left="1860" w:hanging="372"/>
        <w:spacing w:after="0"/>
        <w:tabs>
          <w:tab w:leader="none" w:pos="18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Letter of Credit Issuer applicable to letters of credit</w:t>
      </w:r>
    </w:p>
    <w:p>
      <w:pPr>
        <w:ind w:left="620"/>
        <w:spacing w:after="0"/>
        <w:rPr>
          <w:rFonts w:ascii="Arial" w:cs="Arial" w:eastAsia="Arial" w:hAnsi="Arial"/>
          <w:sz w:val="16"/>
          <w:szCs w:val="16"/>
          <w:color w:val="auto"/>
        </w:rPr>
      </w:pPr>
      <w:r>
        <w:rPr>
          <w:rFonts w:ascii="Arial" w:cs="Arial" w:eastAsia="Arial" w:hAnsi="Arial"/>
          <w:sz w:val="17"/>
          <w:szCs w:val="17"/>
          <w:color w:val="auto"/>
        </w:rPr>
        <w:t>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06" w:lineRule="exact"/>
        <w:rPr>
          <w:sz w:val="20"/>
          <w:szCs w:val="20"/>
          <w:color w:val="auto"/>
        </w:rPr>
      </w:pPr>
    </w:p>
    <w:p>
      <w:pPr>
        <w:ind w:left="620" w:right="240" w:firstLine="868"/>
        <w:spacing w:after="0" w:line="248" w:lineRule="auto"/>
        <w:tabs>
          <w:tab w:leader="none" w:pos="1858" w:val="left"/>
        </w:tabs>
        <w:numPr>
          <w:ilvl w:val="1"/>
          <w:numId w:val="81"/>
        </w:numPr>
        <w:rPr>
          <w:rFonts w:ascii="Arial" w:cs="Arial" w:eastAsia="Arial" w:hAnsi="Arial"/>
          <w:sz w:val="17"/>
          <w:szCs w:val="17"/>
          <w:color w:val="auto"/>
        </w:rPr>
      </w:pPr>
      <w:r>
        <w:rPr>
          <w:rFonts w:ascii="Arial" w:cs="Arial" w:eastAsia="Arial" w:hAnsi="Arial"/>
          <w:sz w:val="17"/>
          <w:szCs w:val="17"/>
          <w:color w:val="auto"/>
        </w:rPr>
        <w:t>except as otherwise agreed by the Letter of Credit Issuer, such Letter of Credit is in an initial Stated Amount less than $50,000, in the case of a commercial Letter of Credit, or $10,000, in the case of a standby Letter of Credit;</w:t>
      </w:r>
    </w:p>
    <w:p>
      <w:pPr>
        <w:spacing w:after="0" w:line="150" w:lineRule="exact"/>
        <w:rPr>
          <w:rFonts w:ascii="Arial" w:cs="Arial" w:eastAsia="Arial" w:hAnsi="Arial"/>
          <w:sz w:val="17"/>
          <w:szCs w:val="17"/>
          <w:color w:val="auto"/>
        </w:rPr>
      </w:pPr>
    </w:p>
    <w:p>
      <w:pPr>
        <w:ind w:left="1860" w:hanging="372"/>
        <w:spacing w:after="0"/>
        <w:tabs>
          <w:tab w:leader="none" w:pos="18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such Letter of Credit is denominated in a currency other than Dollars;</w:t>
      </w:r>
    </w:p>
    <w:p>
      <w:pPr>
        <w:spacing w:after="0" w:line="178" w:lineRule="exact"/>
        <w:rPr>
          <w:rFonts w:ascii="Arial" w:cs="Arial" w:eastAsia="Arial" w:hAnsi="Arial"/>
          <w:sz w:val="17"/>
          <w:szCs w:val="17"/>
          <w:color w:val="auto"/>
        </w:rPr>
      </w:pPr>
    </w:p>
    <w:p>
      <w:pPr>
        <w:ind w:left="1860" w:hanging="372"/>
        <w:spacing w:after="0"/>
        <w:tabs>
          <w:tab w:leader="none" w:pos="18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202" w:lineRule="exact"/>
        <w:rPr>
          <w:rFonts w:ascii="Arial" w:cs="Arial" w:eastAsia="Arial" w:hAnsi="Arial"/>
          <w:sz w:val="16"/>
          <w:szCs w:val="16"/>
          <w:color w:val="auto"/>
        </w:rPr>
      </w:pPr>
    </w:p>
    <w:p>
      <w:pPr>
        <w:ind w:left="620" w:firstLine="868"/>
        <w:spacing w:after="0" w:line="264" w:lineRule="auto"/>
        <w:tabs>
          <w:tab w:leader="none" w:pos="1857" w:val="left"/>
        </w:tabs>
        <w:numPr>
          <w:ilvl w:val="1"/>
          <w:numId w:val="81"/>
        </w:numPr>
        <w:rPr>
          <w:rFonts w:ascii="Arial" w:cs="Arial" w:eastAsia="Arial" w:hAnsi="Arial"/>
          <w:sz w:val="15"/>
          <w:szCs w:val="15"/>
          <w:color w:val="auto"/>
        </w:rPr>
      </w:pPr>
      <w:r>
        <w:rPr>
          <w:rFonts w:ascii="Arial" w:cs="Arial" w:eastAsia="Arial" w:hAnsi="Arial"/>
          <w:sz w:val="15"/>
          <w:szCs w:val="15"/>
          <w:color w:val="auto"/>
        </w:rPr>
        <w:t xml:space="preserve">a default of any Revolving Credit Lender’s obligations to fund under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exists or any Revolving Credit Lender is at such time a Defaulting Lender hereunder, unless, in each case, the Borrower have entered into arrangements reasonably satisfactory to the Letter of Credit Issuer to eliminate the Letter of Credit Issuer’s risk with respect to such Revolving Credit Lender or such risk has been reallocated in accordance with </w:t>
      </w:r>
      <w:r>
        <w:rPr>
          <w:rFonts w:ascii="Arial" w:cs="Arial" w:eastAsia="Arial" w:hAnsi="Arial"/>
          <w:sz w:val="15"/>
          <w:szCs w:val="15"/>
          <w:u w:val="single" w:color="auto"/>
          <w:color w:val="auto"/>
        </w:rPr>
        <w:t>Section 2.16</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right="240" w:firstLine="622"/>
        <w:spacing w:after="0" w:line="236" w:lineRule="auto"/>
        <w:tabs>
          <w:tab w:leader="none" w:pos="12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Letter of Credit Issuer shall not increase the Stated Amount of any Letter of Credit if the Letter of Credit Issuer would not be permitted at such time to issue such Letter of Credit in its amended form under the terms hereof.</w:t>
      </w:r>
    </w:p>
    <w:p>
      <w:pPr>
        <w:spacing w:after="0" w:line="157" w:lineRule="exact"/>
        <w:rPr>
          <w:rFonts w:ascii="Arial" w:cs="Arial" w:eastAsia="Arial" w:hAnsi="Arial"/>
          <w:sz w:val="17"/>
          <w:szCs w:val="17"/>
          <w:color w:val="auto"/>
        </w:rPr>
      </w:pPr>
    </w:p>
    <w:p>
      <w:pPr>
        <w:jc w:val="both"/>
        <w:ind w:right="80" w:firstLine="622"/>
        <w:spacing w:after="0" w:line="231" w:lineRule="auto"/>
        <w:tabs>
          <w:tab w:leader="none" w:pos="12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57" w:lineRule="exact"/>
        <w:rPr>
          <w:rFonts w:ascii="Arial" w:cs="Arial" w:eastAsia="Arial" w:hAnsi="Arial"/>
          <w:sz w:val="17"/>
          <w:szCs w:val="17"/>
          <w:color w:val="auto"/>
        </w:rPr>
      </w:pPr>
    </w:p>
    <w:p>
      <w:pPr>
        <w:ind w:right="20" w:firstLine="622"/>
        <w:spacing w:after="0" w:line="238" w:lineRule="auto"/>
        <w:tabs>
          <w:tab w:leader="none" w:pos="12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included the Letter of Credit Issuer with respect to such acts or omissions, and (B) as additionally provided herein with respect to the Letter of Credit Issuer.</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Letter of Credit Requests</w:t>
      </w:r>
      <w:r>
        <w:rPr>
          <w:rFonts w:ascii="Arial" w:cs="Arial" w:eastAsia="Arial" w:hAnsi="Arial"/>
          <w:sz w:val="15"/>
          <w:szCs w:val="15"/>
          <w:color w:val="auto"/>
        </w:rPr>
        <w:t>.</w:t>
      </w:r>
    </w:p>
    <w:p>
      <w:pPr>
        <w:spacing w:after="0" w:line="178" w:lineRule="exact"/>
        <w:rPr>
          <w:sz w:val="20"/>
          <w:szCs w:val="20"/>
          <w:color w:val="auto"/>
        </w:rPr>
      </w:pPr>
    </w:p>
    <w:p>
      <w:pPr>
        <w:ind w:right="80" w:firstLine="622"/>
        <w:spacing w:after="0" w:line="221" w:lineRule="auto"/>
        <w:tabs>
          <w:tab w:leader="none" w:pos="1238" w:val="left"/>
        </w:tabs>
        <w:numPr>
          <w:ilvl w:val="1"/>
          <w:numId w:val="83"/>
        </w:numPr>
        <w:rPr>
          <w:rFonts w:ascii="Arial" w:cs="Arial" w:eastAsia="Arial" w:hAnsi="Arial"/>
          <w:sz w:val="17"/>
          <w:szCs w:val="17"/>
          <w:color w:val="auto"/>
        </w:rPr>
      </w:pPr>
      <w:r>
        <w:rPr>
          <w:rFonts w:ascii="Arial" w:cs="Arial" w:eastAsia="Arial" w:hAnsi="Arial"/>
          <w:sz w:val="17"/>
          <w:szCs w:val="17"/>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157" w:lineRule="exact"/>
        <w:rPr>
          <w:rFonts w:ascii="Arial" w:cs="Arial" w:eastAsia="Arial" w:hAnsi="Arial"/>
          <w:sz w:val="17"/>
          <w:szCs w:val="17"/>
          <w:color w:val="auto"/>
        </w:rPr>
      </w:pPr>
    </w:p>
    <w:p>
      <w:pPr>
        <w:ind w:right="100" w:firstLine="622"/>
        <w:spacing w:after="0" w:line="247" w:lineRule="auto"/>
        <w:tabs>
          <w:tab w:leader="none" w:pos="1238" w:val="left"/>
        </w:tabs>
        <w:numPr>
          <w:ilvl w:val="1"/>
          <w:numId w:val="83"/>
        </w:numPr>
        <w:rPr>
          <w:rFonts w:ascii="Arial" w:cs="Arial" w:eastAsia="Arial" w:hAnsi="Arial"/>
          <w:sz w:val="15"/>
          <w:szCs w:val="15"/>
          <w:color w:val="auto"/>
        </w:rPr>
      </w:pPr>
      <w:r>
        <w:rPr>
          <w:rFonts w:ascii="Arial" w:cs="Arial" w:eastAsia="Arial" w:hAnsi="Arial"/>
          <w:sz w:val="15"/>
          <w:szCs w:val="15"/>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w:t>
      </w:r>
    </w:p>
    <w:p>
      <w:pPr>
        <w:ind w:right="240" w:firstLine="3"/>
        <w:spacing w:after="0" w:line="215" w:lineRule="auto"/>
        <w:tabs>
          <w:tab w:leader="none" w:pos="2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172" w:lineRule="exact"/>
        <w:rPr>
          <w:rFonts w:ascii="Arial" w:cs="Arial" w:eastAsia="Arial" w:hAnsi="Arial"/>
          <w:sz w:val="17"/>
          <w:szCs w:val="17"/>
          <w:color w:val="auto"/>
        </w:rPr>
      </w:pPr>
    </w:p>
    <w:p>
      <w:pPr>
        <w:jc w:val="both"/>
        <w:ind w:right="40" w:firstLine="622"/>
        <w:spacing w:after="0"/>
        <w:tabs>
          <w:tab w:leader="none" w:pos="1238"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(solely with respect to any Letter of Credit issued on the Second Restatement Effective Date)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shall not then be satisfied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extent required thereby, then, subject to the terms and conditions hereof, the Letter of Credit Issuer shall, on the requested date, issue a Letter of Credit for the</w:t>
      </w:r>
    </w:p>
    <w:p>
      <w:pPr>
        <w:spacing w:after="0" w:line="22" w:lineRule="exact"/>
        <w:rPr>
          <w:sz w:val="20"/>
          <w:szCs w:val="20"/>
          <w:color w:val="auto"/>
        </w:rPr>
      </w:pPr>
    </w:p>
    <w:p>
      <w:pPr>
        <w:ind w:right="640"/>
        <w:spacing w:after="0" w:line="275" w:lineRule="auto"/>
        <w:rPr>
          <w:sz w:val="20"/>
          <w:szCs w:val="20"/>
          <w:color w:val="auto"/>
        </w:rPr>
      </w:pPr>
      <w:r>
        <w:rPr>
          <w:rFonts w:ascii="Arial" w:cs="Arial" w:eastAsia="Arial" w:hAnsi="Arial"/>
          <w:sz w:val="15"/>
          <w:szCs w:val="15"/>
          <w:color w:val="auto"/>
        </w:rPr>
        <w:t>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132" w:lineRule="exact"/>
        <w:rPr>
          <w:sz w:val="20"/>
          <w:szCs w:val="20"/>
          <w:color w:val="auto"/>
        </w:rPr>
      </w:pPr>
    </w:p>
    <w:p>
      <w:pPr>
        <w:ind w:right="40" w:firstLine="622"/>
        <w:spacing w:after="0" w:line="228" w:lineRule="auto"/>
        <w:tabs>
          <w:tab w:leader="none" w:pos="123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Borrower so requests in any Letter of Credit Request, the Letter of Credit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are not then satisfied, and in each such case directing the Letter of Credit Issuer not to permit such extension.</w:t>
      </w:r>
    </w:p>
    <w:p>
      <w:pPr>
        <w:spacing w:after="0" w:line="177" w:lineRule="exact"/>
        <w:rPr>
          <w:rFonts w:ascii="Arial" w:cs="Arial" w:eastAsia="Arial" w:hAnsi="Arial"/>
          <w:sz w:val="16"/>
          <w:szCs w:val="16"/>
          <w:color w:val="auto"/>
        </w:rPr>
      </w:pPr>
    </w:p>
    <w:p>
      <w:pPr>
        <w:ind w:right="120" w:firstLine="622"/>
        <w:spacing w:after="0" w:line="224" w:lineRule="auto"/>
        <w:tabs>
          <w:tab w:leader="none" w:pos="12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Promptly after its delivery of any Letter of Credit or any amendment to a Letter of Credit to an advising bank with respect thereto or to the beneficiary thereof, the Letter of Credit Issuer will also deliver to the Borrower and the Administrative Agent a true and complete copy of such Letter of Credit or amendment. On the first Business Day of each month, the Letter of Credit Issuer shall provide the Administrative Agent a list of all Letters of Credit issued by it that are outstanding at such time.</w:t>
      </w:r>
    </w:p>
    <w:p>
      <w:pPr>
        <w:spacing w:after="0" w:line="159" w:lineRule="exact"/>
        <w:rPr>
          <w:rFonts w:ascii="Arial" w:cs="Arial" w:eastAsia="Arial" w:hAnsi="Arial"/>
          <w:sz w:val="17"/>
          <w:szCs w:val="17"/>
          <w:color w:val="auto"/>
        </w:rPr>
      </w:pPr>
    </w:p>
    <w:p>
      <w:pPr>
        <w:ind w:right="140" w:firstLine="622"/>
        <w:spacing w:after="0" w:line="236" w:lineRule="auto"/>
        <w:tabs>
          <w:tab w:leader="none" w:pos="12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7"/>
          <w:szCs w:val="17"/>
          <w:u w:val="single" w:color="auto"/>
          <w:color w:val="auto"/>
        </w:rPr>
        <w:t>Section 3.1(b)</w:t>
      </w:r>
      <w:r>
        <w:rPr>
          <w:rFonts w:ascii="Arial" w:cs="Arial" w:eastAsia="Arial" w:hAnsi="Arial"/>
          <w:sz w:val="17"/>
          <w:szCs w:val="17"/>
          <w:color w:val="auto"/>
        </w:rPr>
        <w: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u w:val="single" w:color="auto"/>
          <w:color w:val="auto"/>
        </w:rPr>
        <w:t>Letter of Credit Participations</w:t>
      </w:r>
      <w:r>
        <w:rPr>
          <w:rFonts w:ascii="Arial" w:cs="Arial" w:eastAsia="Arial" w:hAnsi="Arial"/>
          <w:sz w:val="15"/>
          <w:szCs w:val="15"/>
          <w:color w:val="auto"/>
        </w:rPr>
        <w:t>.</w:t>
      </w:r>
    </w:p>
    <w:p>
      <w:pPr>
        <w:spacing w:after="0" w:line="178" w:lineRule="exact"/>
        <w:rPr>
          <w:sz w:val="20"/>
          <w:szCs w:val="20"/>
          <w:color w:val="auto"/>
        </w:rPr>
      </w:pPr>
    </w:p>
    <w:p>
      <w:pPr>
        <w:ind w:right="60" w:firstLine="622"/>
        <w:spacing w:after="0" w:line="249" w:lineRule="auto"/>
        <w:tabs>
          <w:tab w:leader="none" w:pos="1238"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5"/>
          <w:szCs w:val="15"/>
          <w:u w:val="single" w:color="auto"/>
          <w:color w:val="auto"/>
        </w:rPr>
        <w:t>Section 3.3</w:t>
      </w:r>
      <w:r>
        <w:rPr>
          <w:rFonts w:ascii="Arial" w:cs="Arial" w:eastAsia="Arial" w:hAnsi="Arial"/>
          <w:sz w:val="15"/>
          <w:szCs w:val="15"/>
          <w:color w:val="auto"/>
        </w:rPr>
        <w:t>, an “</w:t>
      </w:r>
      <w:r>
        <w:rPr>
          <w:rFonts w:ascii="Arial" w:cs="Arial" w:eastAsia="Arial" w:hAnsi="Arial"/>
          <w:sz w:val="15"/>
          <w:szCs w:val="15"/>
          <w:b w:val="1"/>
          <w:bCs w:val="1"/>
          <w:color w:val="auto"/>
        </w:rPr>
        <w:t>L/C Participant</w:t>
      </w:r>
      <w:r>
        <w:rPr>
          <w:rFonts w:ascii="Arial" w:cs="Arial" w:eastAsia="Arial" w:hAnsi="Arial"/>
          <w:sz w:val="15"/>
          <w:szCs w:val="15"/>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5"/>
          <w:szCs w:val="15"/>
          <w:b w:val="1"/>
          <w:bCs w:val="1"/>
          <w:color w:val="auto"/>
        </w:rPr>
        <w:t>L/C Participation</w:t>
      </w:r>
      <w:r>
        <w:rPr>
          <w:rFonts w:ascii="Arial" w:cs="Arial" w:eastAsia="Arial" w:hAnsi="Arial"/>
          <w:sz w:val="15"/>
          <w:szCs w:val="15"/>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Letter of Credit Fees will be paid directly to the Administrative Agent for the ratable account of the L/C Participants as provided in </w:t>
      </w:r>
      <w:r>
        <w:rPr>
          <w:rFonts w:ascii="Arial" w:cs="Arial" w:eastAsia="Arial" w:hAnsi="Arial"/>
          <w:sz w:val="15"/>
          <w:szCs w:val="15"/>
          <w:u w:val="single" w:color="auto"/>
          <w:color w:val="auto"/>
        </w:rPr>
        <w:t>Section 4.1(b)</w:t>
      </w:r>
      <w:r>
        <w:rPr>
          <w:rFonts w:ascii="Arial" w:cs="Arial" w:eastAsia="Arial" w:hAnsi="Arial"/>
          <w:sz w:val="15"/>
          <w:szCs w:val="15"/>
          <w:color w:val="auto"/>
        </w:rPr>
        <w:t xml:space="preserve"> and the L/C Participants shall have no right to receive any portion of any Fronting Fees.</w:t>
      </w:r>
    </w:p>
    <w:p>
      <w:pPr>
        <w:spacing w:after="0" w:line="152" w:lineRule="exact"/>
        <w:rPr>
          <w:rFonts w:ascii="Arial" w:cs="Arial" w:eastAsia="Arial" w:hAnsi="Arial"/>
          <w:sz w:val="15"/>
          <w:szCs w:val="15"/>
          <w:color w:val="auto"/>
        </w:rPr>
      </w:pPr>
    </w:p>
    <w:p>
      <w:pPr>
        <w:ind w:right="20" w:firstLine="622"/>
        <w:spacing w:after="0" w:line="238" w:lineRule="auto"/>
        <w:tabs>
          <w:tab w:leader="none" w:pos="1238"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157" w:lineRule="exact"/>
        <w:rPr>
          <w:rFonts w:ascii="Arial" w:cs="Arial" w:eastAsia="Arial" w:hAnsi="Arial"/>
          <w:sz w:val="16"/>
          <w:szCs w:val="16"/>
          <w:color w:val="auto"/>
        </w:rPr>
      </w:pPr>
    </w:p>
    <w:p>
      <w:pPr>
        <w:ind w:firstLine="622"/>
        <w:spacing w:after="0" w:line="253" w:lineRule="auto"/>
        <w:tabs>
          <w:tab w:leader="none" w:pos="1238"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5"/>
          <w:szCs w:val="15"/>
          <w:u w:val="single" w:color="auto"/>
          <w:color w:val="auto"/>
        </w:rPr>
        <w:t>Section 3.4(a)</w:t>
      </w:r>
      <w:r>
        <w:rPr>
          <w:rFonts w:ascii="Arial" w:cs="Arial" w:eastAsia="Arial" w:hAnsi="Arial"/>
          <w:sz w:val="15"/>
          <w:szCs w:val="15"/>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such payment available to the Administrative Agent for the account of the Letter of Credit Issuer, such L/C Participant agrees to pay to the Administrative Agent</w:t>
      </w:r>
    </w:p>
    <w:p>
      <w:pPr>
        <w:spacing w:after="0" w:line="22"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color w:val="auto"/>
        </w:rPr>
        <w:t>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that are reasonably and customarily charged by the Letter of Credit Issuer in connection with the</w:t>
      </w:r>
    </w:p>
    <w:p>
      <w:pPr>
        <w:spacing w:after="0" w:line="239" w:lineRule="auto"/>
        <w:rPr>
          <w:sz w:val="20"/>
          <w:szCs w:val="20"/>
          <w:color w:val="auto"/>
        </w:rPr>
      </w:pPr>
      <w:r>
        <w:rPr>
          <w:rFonts w:ascii="Arial" w:cs="Arial" w:eastAsia="Arial" w:hAnsi="Arial"/>
          <w:sz w:val="15"/>
          <w:szCs w:val="15"/>
          <w:color w:val="auto"/>
        </w:rPr>
        <w:t>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w:t>
      </w:r>
    </w:p>
    <w:p>
      <w:pPr>
        <w:ind w:right="260"/>
        <w:spacing w:after="0" w:line="227" w:lineRule="auto"/>
        <w:rPr>
          <w:sz w:val="20"/>
          <w:szCs w:val="20"/>
          <w:color w:val="auto"/>
        </w:rPr>
      </w:pPr>
      <w:r>
        <w:rPr>
          <w:rFonts w:ascii="Arial" w:cs="Arial" w:eastAsia="Arial" w:hAnsi="Arial"/>
          <w:sz w:val="17"/>
          <w:szCs w:val="17"/>
          <w:color w:val="auto"/>
        </w:rPr>
        <w:t>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158" w:lineRule="exact"/>
        <w:rPr>
          <w:sz w:val="20"/>
          <w:szCs w:val="20"/>
          <w:color w:val="auto"/>
        </w:rPr>
      </w:pPr>
    </w:p>
    <w:p>
      <w:pPr>
        <w:ind w:right="100" w:firstLine="622"/>
        <w:spacing w:after="0" w:line="234" w:lineRule="auto"/>
        <w:tabs>
          <w:tab w:leader="none" w:pos="1238"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Overnight Rate.</w:t>
      </w:r>
    </w:p>
    <w:p>
      <w:pPr>
        <w:spacing w:after="0" w:line="161" w:lineRule="exact"/>
        <w:rPr>
          <w:rFonts w:ascii="Arial" w:cs="Arial" w:eastAsia="Arial" w:hAnsi="Arial"/>
          <w:sz w:val="16"/>
          <w:szCs w:val="16"/>
          <w:color w:val="auto"/>
        </w:rPr>
      </w:pPr>
    </w:p>
    <w:p>
      <w:pPr>
        <w:ind w:right="120" w:firstLine="622"/>
        <w:spacing w:after="0" w:line="231" w:lineRule="auto"/>
        <w:tabs>
          <w:tab w:leader="none" w:pos="123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57" w:lineRule="exact"/>
        <w:rPr>
          <w:rFonts w:ascii="Arial" w:cs="Arial" w:eastAsia="Arial" w:hAnsi="Arial"/>
          <w:sz w:val="17"/>
          <w:szCs w:val="17"/>
          <w:color w:val="auto"/>
        </w:rPr>
      </w:pPr>
    </w:p>
    <w:p>
      <w:pPr>
        <w:ind w:right="120" w:firstLine="622"/>
        <w:spacing w:after="0" w:line="224" w:lineRule="auto"/>
        <w:tabs>
          <w:tab w:leader="none" w:pos="123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Letter of Credit Issuer pursuant to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is required to be returned, each Lender shall pay to the Administrative Agent for the account of the Letter of Credit Issuer its Revolving Credit Commitment Percentage thereof on demand of the Administrative Agent,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Agreement to Repay Letter of Credit Drawings</w:t>
      </w:r>
      <w:r>
        <w:rPr>
          <w:rFonts w:ascii="Arial" w:cs="Arial" w:eastAsia="Arial" w:hAnsi="Arial"/>
          <w:sz w:val="15"/>
          <w:szCs w:val="15"/>
          <w:color w:val="auto"/>
        </w:rPr>
        <w:t>.</w:t>
      </w:r>
    </w:p>
    <w:p>
      <w:pPr>
        <w:spacing w:after="0" w:line="178" w:lineRule="exact"/>
        <w:rPr>
          <w:sz w:val="20"/>
          <w:szCs w:val="20"/>
          <w:color w:val="auto"/>
        </w:rPr>
      </w:pPr>
    </w:p>
    <w:p>
      <w:pPr>
        <w:ind w:right="40" w:firstLine="622"/>
        <w:spacing w:after="0" w:line="242" w:lineRule="auto"/>
        <w:tabs>
          <w:tab w:leader="none" w:pos="1238"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5"/>
          <w:szCs w:val="15"/>
          <w:b w:val="1"/>
          <w:bCs w:val="1"/>
          <w:color w:val="auto"/>
        </w:rPr>
        <w:t>Unpaid Drawing</w:t>
      </w:r>
      <w:r>
        <w:rPr>
          <w:rFonts w:ascii="Arial" w:cs="Arial" w:eastAsia="Arial" w:hAnsi="Arial"/>
          <w:sz w:val="15"/>
          <w:szCs w:val="15"/>
          <w:color w:val="auto"/>
        </w:rPr>
        <w:t>”) no later than the date that is one Business Day after the date on which the Borrower receives written notice of such payment or disbursement (the “</w:t>
      </w:r>
      <w:r>
        <w:rPr>
          <w:rFonts w:ascii="Arial" w:cs="Arial" w:eastAsia="Arial" w:hAnsi="Arial"/>
          <w:sz w:val="15"/>
          <w:szCs w:val="15"/>
          <w:b w:val="1"/>
          <w:bCs w:val="1"/>
          <w:color w:val="auto"/>
        </w:rPr>
        <w:t>Reimbursement</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with interest on the amount so paid or disbursed by the Letter of Credit Issuer, to the extent not reimbursed prior to 5:00 p.m. (New York City time) on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Reimbursement Date, from the Reimbursement Date to the date the Letter of Credit Issuer is reimbursed therefor at a rate per annum that shall at all times be the Applicable Margin for ABR Loans that are Revolving Credit Loans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ABR as in effect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contained in this Agreement to the contrary, (i) unless the Borrower shall have notified the Administrative Agent and the relevant Letter of Credit Issuer prior to 1:00 p.m.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Loans solely for purpose of reimbursing the Letter of Credit Issuer for the related Unpaid Drawing. In the event that the Borrower fails to Cash</w:t>
      </w:r>
    </w:p>
    <w:p>
      <w:pPr>
        <w:spacing w:after="0" w:line="11" w:lineRule="exact"/>
        <w:rPr>
          <w:sz w:val="20"/>
          <w:szCs w:val="20"/>
          <w:color w:val="auto"/>
        </w:rPr>
      </w:pPr>
    </w:p>
    <w:p>
      <w:pPr>
        <w:ind w:right="380"/>
        <w:spacing w:after="0" w:line="239" w:lineRule="auto"/>
        <w:rPr>
          <w:sz w:val="20"/>
          <w:szCs w:val="20"/>
          <w:color w:val="auto"/>
        </w:rPr>
      </w:pPr>
      <w:r>
        <w:rPr>
          <w:rFonts w:ascii="Arial" w:cs="Arial" w:eastAsia="Arial" w:hAnsi="Arial"/>
          <w:sz w:val="15"/>
          <w:szCs w:val="15"/>
          <w:color w:val="auto"/>
        </w:rPr>
        <w:t xml:space="preserve">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except that the Letter of Credit Issuer shall hold the proceeds received from the L/C Participants as contemplated above as cash collateral for such Letter of Credit to reimburse any Drawing under such Letter of</w:t>
      </w:r>
    </w:p>
    <w:p>
      <w:pPr>
        <w:ind w:right="80"/>
        <w:spacing w:after="0" w:line="239" w:lineRule="auto"/>
        <w:rPr>
          <w:sz w:val="20"/>
          <w:szCs w:val="20"/>
          <w:color w:val="auto"/>
        </w:rPr>
      </w:pPr>
      <w:r>
        <w:rPr>
          <w:rFonts w:ascii="Arial" w:cs="Arial" w:eastAsia="Arial" w:hAnsi="Arial"/>
          <w:sz w:val="15"/>
          <w:szCs w:val="15"/>
          <w:color w:val="auto"/>
        </w:rPr>
        <w:t>Credit and shall use such proceeds first, to reimburse itself for any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w:t>
      </w:r>
    </w:p>
    <w:p>
      <w:pPr>
        <w:ind w:right="800"/>
        <w:spacing w:after="0" w:line="22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affect the Borrower’s obligation to repay all outstanding Revolving Credit Loans when due in accordance with the terms of this Agreement.</w:t>
      </w:r>
    </w:p>
    <w:p>
      <w:pPr>
        <w:spacing w:after="0" w:line="158" w:lineRule="exact"/>
        <w:rPr>
          <w:sz w:val="20"/>
          <w:szCs w:val="20"/>
          <w:color w:val="auto"/>
        </w:rPr>
      </w:pPr>
    </w:p>
    <w:p>
      <w:pPr>
        <w:jc w:val="both"/>
        <w:ind w:right="380" w:firstLine="622"/>
        <w:spacing w:after="0" w:line="231" w:lineRule="auto"/>
        <w:tabs>
          <w:tab w:leader="none" w:pos="123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7" w:lineRule="exact"/>
        <w:rPr>
          <w:rFonts w:ascii="Arial" w:cs="Arial" w:eastAsia="Arial" w:hAnsi="Arial"/>
          <w:sz w:val="17"/>
          <w:szCs w:val="17"/>
          <w:color w:val="auto"/>
        </w:rPr>
      </w:pPr>
    </w:p>
    <w:p>
      <w:pPr>
        <w:ind w:left="1860" w:hanging="372"/>
        <w:spacing w:after="0"/>
        <w:tabs>
          <w:tab w:leader="none" w:pos="18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lack of validity or enforceability of this Agreement or any of the other Credit Documents;</w:t>
      </w:r>
    </w:p>
    <w:p>
      <w:pPr>
        <w:spacing w:after="0" w:line="191" w:lineRule="exact"/>
        <w:rPr>
          <w:rFonts w:ascii="Arial" w:cs="Arial" w:eastAsia="Arial" w:hAnsi="Arial"/>
          <w:sz w:val="17"/>
          <w:szCs w:val="17"/>
          <w:color w:val="auto"/>
        </w:rPr>
      </w:pPr>
    </w:p>
    <w:p>
      <w:pPr>
        <w:ind w:left="620" w:firstLine="868"/>
        <w:spacing w:after="0" w:line="259" w:lineRule="auto"/>
        <w:tabs>
          <w:tab w:leader="none" w:pos="1858" w:val="left"/>
        </w:tabs>
        <w:numPr>
          <w:ilvl w:val="1"/>
          <w:numId w:val="89"/>
        </w:numPr>
        <w:rPr>
          <w:rFonts w:ascii="Arial" w:cs="Arial" w:eastAsia="Arial" w:hAnsi="Arial"/>
          <w:sz w:val="15"/>
          <w:szCs w:val="15"/>
          <w:color w:val="auto"/>
        </w:rPr>
      </w:pPr>
      <w:r>
        <w:rPr>
          <w:rFonts w:ascii="Arial" w:cs="Arial" w:eastAsia="Arial" w:hAnsi="Arial"/>
          <w:sz w:val="15"/>
          <w:szCs w:val="15"/>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44" w:lineRule="exact"/>
        <w:rPr>
          <w:rFonts w:ascii="Arial" w:cs="Arial" w:eastAsia="Arial" w:hAnsi="Arial"/>
          <w:sz w:val="15"/>
          <w:szCs w:val="15"/>
          <w:color w:val="auto"/>
        </w:rPr>
      </w:pPr>
    </w:p>
    <w:p>
      <w:pPr>
        <w:ind w:left="620" w:right="140" w:firstLine="868"/>
        <w:spacing w:after="0" w:line="231" w:lineRule="auto"/>
        <w:tabs>
          <w:tab w:leader="none" w:pos="1858"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7" w:lineRule="exact"/>
        <w:rPr>
          <w:rFonts w:ascii="Arial" w:cs="Arial" w:eastAsia="Arial" w:hAnsi="Arial"/>
          <w:sz w:val="17"/>
          <w:szCs w:val="17"/>
          <w:color w:val="auto"/>
        </w:rPr>
      </w:pPr>
    </w:p>
    <w:p>
      <w:pPr>
        <w:ind w:left="620" w:right="120" w:firstLine="868"/>
        <w:spacing w:after="0" w:line="231" w:lineRule="auto"/>
        <w:tabs>
          <w:tab w:leader="none" w:pos="1857" w:val="left"/>
        </w:tabs>
        <w:numPr>
          <w:ilvl w:val="1"/>
          <w:numId w:val="89"/>
        </w:numPr>
        <w:rPr>
          <w:rFonts w:ascii="Arial" w:cs="Arial" w:eastAsia="Arial" w:hAnsi="Arial"/>
          <w:sz w:val="17"/>
          <w:szCs w:val="17"/>
          <w:color w:val="auto"/>
        </w:rPr>
      </w:pPr>
      <w:r>
        <w:rPr>
          <w:rFonts w:ascii="Arial" w:cs="Arial" w:eastAsia="Arial" w:hAnsi="Arial"/>
          <w:sz w:val="17"/>
          <w:szCs w:val="17"/>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157" w:lineRule="exact"/>
        <w:rPr>
          <w:rFonts w:ascii="Arial" w:cs="Arial" w:eastAsia="Arial" w:hAnsi="Arial"/>
          <w:sz w:val="17"/>
          <w:szCs w:val="17"/>
          <w:color w:val="auto"/>
        </w:rPr>
      </w:pPr>
    </w:p>
    <w:p>
      <w:pPr>
        <w:ind w:left="620" w:right="100" w:firstLine="868"/>
        <w:spacing w:after="0" w:line="231" w:lineRule="auto"/>
        <w:tabs>
          <w:tab w:leader="none" w:pos="1857"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or the ISP;</w:t>
      </w:r>
    </w:p>
    <w:p>
      <w:pPr>
        <w:spacing w:after="0" w:line="157" w:lineRule="exact"/>
        <w:rPr>
          <w:rFonts w:ascii="Arial" w:cs="Arial" w:eastAsia="Arial" w:hAnsi="Arial"/>
          <w:sz w:val="17"/>
          <w:szCs w:val="17"/>
          <w:color w:val="auto"/>
        </w:rPr>
      </w:pPr>
    </w:p>
    <w:p>
      <w:pPr>
        <w:jc w:val="both"/>
        <w:ind w:left="620" w:right="100" w:firstLine="868"/>
        <w:spacing w:after="0" w:line="259" w:lineRule="auto"/>
        <w:tabs>
          <w:tab w:leader="none" w:pos="1857" w:val="left"/>
        </w:tabs>
        <w:numPr>
          <w:ilvl w:val="1"/>
          <w:numId w:val="89"/>
        </w:numPr>
        <w:rPr>
          <w:rFonts w:ascii="Arial" w:cs="Arial" w:eastAsia="Arial" w:hAnsi="Arial"/>
          <w:sz w:val="15"/>
          <w:szCs w:val="15"/>
          <w:color w:val="auto"/>
        </w:rPr>
      </w:pPr>
      <w:r>
        <w:rPr>
          <w:rFonts w:ascii="Arial" w:cs="Arial" w:eastAsia="Arial" w:hAnsi="Arial"/>
          <w:sz w:val="15"/>
          <w:szCs w:val="15"/>
          <w:color w:val="auto"/>
        </w:rPr>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144" w:lineRule="exact"/>
        <w:rPr>
          <w:rFonts w:ascii="Arial" w:cs="Arial" w:eastAsia="Arial" w:hAnsi="Arial"/>
          <w:sz w:val="15"/>
          <w:szCs w:val="15"/>
          <w:color w:val="auto"/>
        </w:rPr>
      </w:pPr>
    </w:p>
    <w:p>
      <w:pPr>
        <w:ind w:left="1860" w:hanging="372"/>
        <w:spacing w:after="0"/>
        <w:tabs>
          <w:tab w:leader="none" w:pos="18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202" w:lineRule="exact"/>
        <w:rPr>
          <w:rFonts w:ascii="Arial" w:cs="Arial" w:eastAsia="Arial" w:hAnsi="Arial"/>
          <w:sz w:val="16"/>
          <w:szCs w:val="16"/>
          <w:color w:val="auto"/>
        </w:rPr>
      </w:pPr>
    </w:p>
    <w:p>
      <w:pPr>
        <w:ind w:left="1860" w:hanging="372"/>
        <w:spacing w:after="0"/>
        <w:tabs>
          <w:tab w:leader="none" w:pos="18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adverse change in any relevant exchange rates or in the relevant currency markets generally; or</w:t>
      </w:r>
    </w:p>
    <w:p>
      <w:pPr>
        <w:spacing w:after="0" w:line="178" w:lineRule="exact"/>
        <w:rPr>
          <w:rFonts w:ascii="Arial" w:cs="Arial" w:eastAsia="Arial" w:hAnsi="Arial"/>
          <w:sz w:val="17"/>
          <w:szCs w:val="17"/>
          <w:color w:val="auto"/>
        </w:rPr>
      </w:pPr>
    </w:p>
    <w:p>
      <w:pPr>
        <w:jc w:val="both"/>
        <w:ind w:left="620" w:right="100" w:firstLine="868"/>
        <w:spacing w:after="0" w:line="231" w:lineRule="auto"/>
        <w:tabs>
          <w:tab w:leader="none" w:pos="1857"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57" w:lineRule="exact"/>
        <w:rPr>
          <w:rFonts w:ascii="Arial" w:cs="Arial" w:eastAsia="Arial" w:hAnsi="Arial"/>
          <w:sz w:val="17"/>
          <w:szCs w:val="17"/>
          <w:color w:val="auto"/>
        </w:rPr>
      </w:pPr>
    </w:p>
    <w:p>
      <w:pPr>
        <w:ind w:right="40" w:firstLine="622"/>
        <w:spacing w:after="0" w:line="236" w:lineRule="auto"/>
        <w:tabs>
          <w:tab w:leader="none" w:pos="123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Borrower shall not be obligated to reimburse the Letter of Credit Issuer for any wrongful payment made by the Letter of Credit Issuer under the Letter of Credit issued by it as a result of acts or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06" w:lineRule="exact"/>
        <w:rPr>
          <w:sz w:val="20"/>
          <w:szCs w:val="20"/>
          <w:color w:val="auto"/>
        </w:rPr>
      </w:pPr>
    </w:p>
    <w:p>
      <w:pPr>
        <w:ind w:right="460"/>
        <w:spacing w:after="0" w:line="248" w:lineRule="auto"/>
        <w:rPr>
          <w:sz w:val="20"/>
          <w:szCs w:val="20"/>
          <w:color w:val="auto"/>
        </w:rPr>
      </w:pPr>
      <w:r>
        <w:rPr>
          <w:rFonts w:ascii="Arial" w:cs="Arial" w:eastAsia="Arial" w:hAnsi="Arial"/>
          <w:sz w:val="17"/>
          <w:szCs w:val="17"/>
          <w:color w:val="auto"/>
        </w:rPr>
        <w:t>constituting willful misconduct or gross negligence on the part of the Letter of Credit Issuer as determined in the final non-appealable judgment of a court of competent jurisdiction.</w:t>
      </w:r>
    </w:p>
    <w:p>
      <w:pPr>
        <w:spacing w:after="0" w:line="150" w:lineRule="exact"/>
        <w:rPr>
          <w:sz w:val="20"/>
          <w:szCs w:val="20"/>
          <w:color w:val="auto"/>
        </w:rPr>
      </w:pPr>
    </w:p>
    <w:p>
      <w:pPr>
        <w:ind w:right="340" w:firstLine="619"/>
        <w:spacing w:after="0" w:line="23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Increased Costs</w:t>
      </w:r>
      <w:r>
        <w:rPr>
          <w:rFonts w:ascii="Arial" w:cs="Arial" w:eastAsia="Arial" w:hAnsi="Arial"/>
          <w:sz w:val="16"/>
          <w:szCs w:val="16"/>
          <w:color w:val="auto"/>
        </w:rPr>
        <w:t>. If after the Second Restatement Effective Date, the adoption of any applicable law, treaty, rule, or regulation, or any change therein, or any change in the interpretation or administration thereof by any Governmental Authority, central bank or comparable agency charged with the</w:t>
      </w:r>
    </w:p>
    <w:p>
      <w:pPr>
        <w:ind w:right="240"/>
        <w:spacing w:after="0" w:line="239" w:lineRule="auto"/>
        <w:rPr>
          <w:sz w:val="20"/>
          <w:szCs w:val="20"/>
          <w:color w:val="auto"/>
        </w:rPr>
      </w:pPr>
      <w:r>
        <w:rPr>
          <w:rFonts w:ascii="Arial" w:cs="Arial" w:eastAsia="Arial" w:hAnsi="Arial"/>
          <w:sz w:val="15"/>
          <w:szCs w:val="15"/>
          <w:color w:val="auto"/>
        </w:rPr>
        <w:t>interpretation or administration thereof, or actual compliance by the Letter of Credit Issuer or any L/C Participant with any request or directive made or adopted after the Second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w:t>
      </w:r>
    </w:p>
    <w:p>
      <w:pPr>
        <w:ind w:right="300"/>
        <w:spacing w:after="0" w:line="239" w:lineRule="auto"/>
        <w:rPr>
          <w:sz w:val="20"/>
          <w:szCs w:val="20"/>
          <w:color w:val="auto"/>
        </w:rPr>
      </w:pPr>
      <w:r>
        <w:rPr>
          <w:rFonts w:ascii="Arial" w:cs="Arial" w:eastAsia="Arial" w:hAnsi="Arial"/>
          <w:sz w:val="15"/>
          <w:szCs w:val="15"/>
          <w:color w:val="auto"/>
        </w:rPr>
        <w:t>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w:t>
      </w:r>
    </w:p>
    <w:p>
      <w:pPr>
        <w:spacing w:after="0" w:line="239" w:lineRule="auto"/>
        <w:rPr>
          <w:sz w:val="20"/>
          <w:szCs w:val="20"/>
          <w:color w:val="auto"/>
        </w:rPr>
      </w:pPr>
      <w:r>
        <w:rPr>
          <w:rFonts w:ascii="Arial" w:cs="Arial" w:eastAsia="Arial" w:hAnsi="Arial"/>
          <w:sz w:val="15"/>
          <w:szCs w:val="15"/>
          <w:color w:val="auto"/>
        </w:rPr>
        <w:t>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w:t>
      </w:r>
    </w:p>
    <w:p>
      <w:pPr>
        <w:jc w:val="both"/>
        <w:ind w:right="100"/>
        <w:spacing w:after="0" w:line="239" w:lineRule="auto"/>
        <w:rPr>
          <w:sz w:val="20"/>
          <w:szCs w:val="20"/>
          <w:color w:val="auto"/>
        </w:rPr>
      </w:pPr>
      <w:r>
        <w:rPr>
          <w:rFonts w:ascii="Arial" w:cs="Arial" w:eastAsia="Arial" w:hAnsi="Arial"/>
          <w:sz w:val="15"/>
          <w:szCs w:val="15"/>
          <w:color w:val="auto"/>
        </w:rPr>
        <w:t>Issuer or such L/C Participant, as the case may be (a copy of which notice shall be sent by the Letter of Credit Issuer or such L/C Participant to the Administrative Agent (with respect to a Letter of Credit issued on account of the Borrower (or Holdings or other Restricted Subsidiary))), the Borrower shall pay to the Letter of Credit Issuer or such L/C Participant such actual additional amount or amounts as will compensate the Letter of Credit Issuer or such L/C Participant for such</w:t>
      </w:r>
    </w:p>
    <w:p>
      <w:pPr>
        <w:ind w:right="120"/>
        <w:spacing w:after="0" w:line="239" w:lineRule="auto"/>
        <w:rPr>
          <w:sz w:val="20"/>
          <w:szCs w:val="20"/>
          <w:color w:val="auto"/>
        </w:rPr>
      </w:pPr>
      <w:r>
        <w:rPr>
          <w:rFonts w:ascii="Arial" w:cs="Arial" w:eastAsia="Arial" w:hAnsi="Arial"/>
          <w:sz w:val="15"/>
          <w:szCs w:val="15"/>
          <w:color w:val="auto"/>
        </w:rPr>
        <w:t>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Second Restatement Effective Date. A certificate submitted to the Borrower by the relevant Letter of Credit Issuer or an L/C Participant, as the case may be (a</w:t>
      </w:r>
    </w:p>
    <w:p>
      <w:pPr>
        <w:jc w:val="both"/>
        <w:ind w:right="20"/>
        <w:spacing w:after="0" w:line="220" w:lineRule="auto"/>
        <w:rPr>
          <w:sz w:val="20"/>
          <w:szCs w:val="20"/>
          <w:color w:val="auto"/>
        </w:rPr>
      </w:pPr>
      <w:r>
        <w:rPr>
          <w:rFonts w:ascii="Arial" w:cs="Arial" w:eastAsia="Arial" w:hAnsi="Arial"/>
          <w:sz w:val="17"/>
          <w:szCs w:val="17"/>
          <w:color w:val="auto"/>
        </w:rPr>
        <w:t>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u w:val="single" w:color="auto"/>
          <w:color w:val="auto"/>
        </w:rPr>
        <w:t>New or Successor Letter of Credit Issuer</w:t>
      </w:r>
      <w:r>
        <w:rPr>
          <w:rFonts w:ascii="Arial" w:cs="Arial" w:eastAsia="Arial" w:hAnsi="Arial"/>
          <w:sz w:val="15"/>
          <w:szCs w:val="15"/>
          <w:color w:val="auto"/>
        </w:rPr>
        <w:t>.</w:t>
      </w:r>
    </w:p>
    <w:p>
      <w:pPr>
        <w:spacing w:after="0" w:line="178" w:lineRule="exact"/>
        <w:rPr>
          <w:sz w:val="20"/>
          <w:szCs w:val="20"/>
          <w:color w:val="auto"/>
        </w:rPr>
      </w:pPr>
    </w:p>
    <w:p>
      <w:pPr>
        <w:ind w:firstLine="622"/>
        <w:spacing w:after="0" w:line="241" w:lineRule="auto"/>
        <w:tabs>
          <w:tab w:leader="none" w:pos="1238"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A Letter of Credit Issuer may resign as the Letter of Credit Issuer upon 60 days’ prior written notice to the Administrative Agent, the Lenders, Holdings, and the Borrower. The Borrower may replace a Letter of Credit Issuer for any reason upon written notice to the Administrative Agent and the Letter of Credit Issuer. The Borrower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5"/>
          <w:szCs w:val="15"/>
          <w:u w:val="single" w:color="auto"/>
          <w:color w:val="auto"/>
        </w:rPr>
        <w:t>Sections 4.1(b)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4.1(d)</w:t>
      </w:r>
      <w:r>
        <w:rPr>
          <w:rFonts w:ascii="Arial" w:cs="Arial" w:eastAsia="Arial" w:hAnsi="Arial"/>
          <w:sz w:val="15"/>
          <w:szCs w:val="15"/>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Letters of Credit naming the resigning or replaced Letter of Credit Issuer as beneficiary for each outstanding Letter of Credit issued by the resigning or replaced</w:t>
      </w:r>
    </w:p>
    <w:p>
      <w:pPr>
        <w:spacing w:after="0" w:line="2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w:t>
      </w:r>
    </w:p>
    <w:p>
      <w:pPr>
        <w:ind w:right="40"/>
        <w:spacing w:after="0" w:line="227" w:lineRule="auto"/>
        <w:rPr>
          <w:sz w:val="20"/>
          <w:szCs w:val="20"/>
          <w:color w:val="auto"/>
        </w:rPr>
      </w:pPr>
      <w:r>
        <w:rPr>
          <w:rFonts w:ascii="Arial" w:cs="Arial" w:eastAsia="Arial" w:hAnsi="Arial"/>
          <w:sz w:val="17"/>
          <w:szCs w:val="17"/>
          <w:color w:val="auto"/>
        </w:rPr>
        <w:t>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158" w:lineRule="exact"/>
        <w:rPr>
          <w:sz w:val="20"/>
          <w:szCs w:val="20"/>
          <w:color w:val="auto"/>
        </w:rPr>
      </w:pPr>
    </w:p>
    <w:p>
      <w:pPr>
        <w:ind w:right="160" w:firstLine="622"/>
        <w:spacing w:after="0" w:line="247" w:lineRule="auto"/>
        <w:tabs>
          <w:tab w:leader="none" w:pos="1238"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To the extent there are, at the time of any resignation or replacement as set forth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5"/>
          <w:szCs w:val="15"/>
          <w:u w:val="single" w:color="auto"/>
          <w:color w:val="auto"/>
        </w:rPr>
        <w:t>clause</w:t>
      </w:r>
    </w:p>
    <w:p>
      <w:pPr>
        <w:ind w:left="240" w:hanging="237"/>
        <w:spacing w:after="0"/>
        <w:tabs>
          <w:tab w:leader="none" w:pos="240" w:val="left"/>
        </w:tabs>
        <w:numPr>
          <w:ilvl w:val="0"/>
          <w:numId w:val="92"/>
        </w:numPr>
        <w:rPr>
          <w:rFonts w:ascii="Arial" w:cs="Arial" w:eastAsia="Arial" w:hAnsi="Arial"/>
          <w:sz w:val="17"/>
          <w:szCs w:val="17"/>
          <w:u w:val="single" w:color="auto"/>
          <w:color w:val="auto"/>
        </w:rPr>
      </w:pPr>
      <w:r>
        <w:rPr>
          <w:rFonts w:ascii="Arial" w:cs="Arial" w:eastAsia="Arial" w:hAnsi="Arial"/>
          <w:sz w:val="17"/>
          <w:szCs w:val="17"/>
          <w:color w:val="auto"/>
        </w:rPr>
        <w:t>above.</w:t>
      </w:r>
    </w:p>
    <w:p>
      <w:pPr>
        <w:spacing w:after="0" w:line="164" w:lineRule="exact"/>
        <w:rPr>
          <w:sz w:val="20"/>
          <w:szCs w:val="20"/>
          <w:color w:val="auto"/>
        </w:rPr>
      </w:pPr>
    </w:p>
    <w:p>
      <w:pPr>
        <w:ind w:right="20" w:firstLine="619"/>
        <w:spacing w:after="0" w:line="251"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Role of Letter of Credit Issuer</w:t>
      </w:r>
      <w:r>
        <w:rPr>
          <w:rFonts w:ascii="Arial" w:cs="Arial" w:eastAsia="Arial" w:hAnsi="Arial"/>
          <w:sz w:val="15"/>
          <w:szCs w:val="15"/>
          <w:color w:val="auto"/>
        </w:rPr>
        <w:t>. Each Lender and the Borrower agree that, in paying any drawing under a Letter of Credit, the Letter of Credit Issuer shall not have any responsibility to obtain any document (other than any sight draft, certificates and documents expressly required by the Letter of Credit) or</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Revolving Credit Lenders; (ii)</w:t>
      </w:r>
    </w:p>
    <w:p>
      <w:pPr>
        <w:jc w:val="both"/>
        <w:ind w:right="200"/>
        <w:spacing w:after="0" w:line="239" w:lineRule="auto"/>
        <w:rPr>
          <w:sz w:val="20"/>
          <w:szCs w:val="20"/>
          <w:color w:val="auto"/>
        </w:rPr>
      </w:pPr>
      <w:r>
        <w:rPr>
          <w:rFonts w:ascii="Arial" w:cs="Arial" w:eastAsia="Arial" w:hAnsi="Arial"/>
          <w:sz w:val="15"/>
          <w:szCs w:val="15"/>
          <w:color w:val="auto"/>
        </w:rPr>
        <w:t xml:space="preserve">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w:t>
      </w:r>
    </w:p>
    <w:p>
      <w:pPr>
        <w:ind w:right="80"/>
        <w:spacing w:after="0" w:line="239" w:lineRule="auto"/>
        <w:rPr>
          <w:sz w:val="20"/>
          <w:szCs w:val="20"/>
          <w:color w:val="auto"/>
        </w:rPr>
      </w:pPr>
      <w:r>
        <w:rPr>
          <w:rFonts w:ascii="Arial" w:cs="Arial" w:eastAsia="Arial" w:hAnsi="Arial"/>
          <w:sz w:val="15"/>
          <w:szCs w:val="15"/>
          <w:color w:val="auto"/>
        </w:rPr>
        <w:t xml:space="preserve">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anything in such</w:t>
      </w:r>
    </w:p>
    <w:p>
      <w:pPr>
        <w:ind w:right="80"/>
        <w:spacing w:after="0" w:line="239" w:lineRule="auto"/>
        <w:rPr>
          <w:sz w:val="20"/>
          <w:szCs w:val="20"/>
          <w:color w:val="auto"/>
        </w:rPr>
      </w:pPr>
      <w:r>
        <w:rPr>
          <w:rFonts w:ascii="Arial" w:cs="Arial" w:eastAsia="Arial" w:hAnsi="Arial"/>
          <w:sz w:val="15"/>
          <w:szCs w:val="15"/>
          <w:color w:val="auto"/>
        </w:rPr>
        <w:t>Section to the contrary notwithstanding, the Borrower may have a claim against the Letter of Credit Issuer, and the Letter of Credit Issuer may be liable to the Borrower, to the extent, but only to the extent, of any direct, as opposed to consequential or exemplary, damages suffered by the Borrower which the Borrower proves were caused by the Letter of Credit Issuer’s willful misconduct or gross negligence or the Letter of Credit Issuer’s willful failure to pay under any Letter of</w:t>
      </w:r>
    </w:p>
    <w:p>
      <w:pPr>
        <w:ind w:right="40"/>
        <w:spacing w:after="0" w:line="239" w:lineRule="auto"/>
        <w:rPr>
          <w:sz w:val="20"/>
          <w:szCs w:val="20"/>
          <w:color w:val="auto"/>
        </w:rPr>
      </w:pPr>
      <w:r>
        <w:rPr>
          <w:rFonts w:ascii="Arial" w:cs="Arial" w:eastAsia="Arial" w:hAnsi="Arial"/>
          <w:sz w:val="15"/>
          <w:szCs w:val="15"/>
          <w:color w:val="auto"/>
        </w:rPr>
        <w:t>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w:t>
      </w:r>
    </w:p>
    <w:p>
      <w:pPr>
        <w:spacing w:after="0" w:line="220" w:lineRule="auto"/>
        <w:rPr>
          <w:sz w:val="20"/>
          <w:szCs w:val="20"/>
          <w:color w:val="auto"/>
        </w:rPr>
      </w:pPr>
      <w:r>
        <w:rPr>
          <w:rFonts w:ascii="Arial" w:cs="Arial" w:eastAsia="Arial" w:hAnsi="Arial"/>
          <w:sz w:val="17"/>
          <w:szCs w:val="17"/>
          <w:color w:val="auto"/>
        </w:rPr>
        <w:t>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0"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The Letter of Credit Issuer may send a Letter of Credit or conduct any communication to or from the beneficiary via the Society for Worldwide Interbank Financial Telecommunication (“</w:t>
      </w:r>
      <w:r>
        <w:rPr>
          <w:rFonts w:ascii="Arial" w:cs="Arial" w:eastAsia="Arial" w:hAnsi="Arial"/>
          <w:sz w:val="15"/>
          <w:szCs w:val="15"/>
          <w:b w:val="1"/>
          <w:bCs w:val="1"/>
          <w:color w:val="auto"/>
        </w:rPr>
        <w:t>SWIFT</w:t>
      </w:r>
      <w:r>
        <w:rPr>
          <w:rFonts w:ascii="Arial" w:cs="Arial" w:eastAsia="Arial" w:hAnsi="Arial"/>
          <w:sz w:val="15"/>
          <w:szCs w:val="15"/>
          <w:color w:val="auto"/>
        </w:rPr>
        <w:t>”) message or overnight courier, or any other commercially reasonable means of communicating with a beneficiary.</w:t>
      </w:r>
    </w:p>
    <w:p>
      <w:pPr>
        <w:spacing w:after="0" w:line="11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5"/>
          <w:szCs w:val="15"/>
          <w:u w:val="single" w:color="auto"/>
          <w:color w:val="auto"/>
        </w:rPr>
        <w:t>Cash Collateral</w:t>
      </w:r>
      <w:r>
        <w:rPr>
          <w:rFonts w:ascii="Arial" w:cs="Arial" w:eastAsia="Arial" w:hAnsi="Arial"/>
          <w:sz w:val="15"/>
          <w:szCs w:val="15"/>
          <w:color w:val="auto"/>
        </w:rPr>
        <w:t>.</w:t>
      </w:r>
    </w:p>
    <w:p>
      <w:pPr>
        <w:spacing w:after="0" w:line="191" w:lineRule="exact"/>
        <w:rPr>
          <w:sz w:val="20"/>
          <w:szCs w:val="20"/>
          <w:color w:val="auto"/>
        </w:rPr>
      </w:pPr>
    </w:p>
    <w:p>
      <w:pPr>
        <w:ind w:right="80" w:firstLine="622"/>
        <w:spacing w:after="0" w:line="242" w:lineRule="auto"/>
        <w:tabs>
          <w:tab w:leader="none" w:pos="1238"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Certain Credit Support Events</w:t>
      </w:r>
      <w:r>
        <w:rPr>
          <w:rFonts w:ascii="Arial" w:cs="Arial" w:eastAsia="Arial" w:hAnsi="Arial"/>
          <w:sz w:val="15"/>
          <w:szCs w:val="15"/>
          <w:color w:val="auto"/>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Arial" w:cs="Arial" w:eastAsia="Arial" w:hAnsi="Arial"/>
          <w:sz w:val="15"/>
          <w:szCs w:val="15"/>
          <w:u w:val="single" w:color="auto"/>
          <w:color w:val="auto"/>
        </w:rPr>
        <w:t>Section 11.13</w:t>
      </w:r>
      <w:r>
        <w:rPr>
          <w:rFonts w:ascii="Arial" w:cs="Arial" w:eastAsia="Arial" w:hAnsi="Arial"/>
          <w:sz w:val="15"/>
          <w:szCs w:val="15"/>
          <w:color w:val="auto"/>
        </w:rPr>
        <w:t>, or</w:t>
      </w:r>
    </w:p>
    <w:p>
      <w:pPr>
        <w:spacing w:after="0" w:line="1" w:lineRule="exact"/>
        <w:rPr>
          <w:rFonts w:ascii="Arial" w:cs="Arial" w:eastAsia="Arial" w:hAnsi="Arial"/>
          <w:sz w:val="15"/>
          <w:szCs w:val="15"/>
          <w:color w:val="auto"/>
        </w:rPr>
      </w:pPr>
    </w:p>
    <w:p>
      <w:pPr>
        <w:ind w:left="300" w:hanging="297"/>
        <w:spacing w:after="0" w:line="235" w:lineRule="auto"/>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2.16(a)(v)</w:t>
      </w:r>
      <w:r>
        <w:rPr>
          <w:rFonts w:ascii="Arial" w:cs="Arial" w:eastAsia="Arial" w:hAnsi="Arial"/>
          <w:sz w:val="16"/>
          <w:szCs w:val="16"/>
          <w:color w:val="auto"/>
        </w:rPr>
        <w:t xml:space="preserve"> are in effect, the Borrower shall immediately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or within one Business Day (in all other</w:t>
      </w:r>
    </w:p>
    <w:p>
      <w:pPr>
        <w:jc w:val="both"/>
        <w:ind w:right="200"/>
        <w:spacing w:after="0" w:line="220" w:lineRule="auto"/>
        <w:rPr>
          <w:sz w:val="20"/>
          <w:szCs w:val="20"/>
          <w:color w:val="auto"/>
        </w:rPr>
      </w:pPr>
      <w:r>
        <w:rPr>
          <w:rFonts w:ascii="Arial" w:cs="Arial" w:eastAsia="Arial" w:hAnsi="Arial"/>
          <w:sz w:val="17"/>
          <w:szCs w:val="17"/>
          <w:color w:val="auto"/>
        </w:rPr>
        <w:t xml:space="preserve">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158" w:lineRule="exact"/>
        <w:rPr>
          <w:sz w:val="20"/>
          <w:szCs w:val="20"/>
          <w:color w:val="auto"/>
        </w:rPr>
      </w:pPr>
    </w:p>
    <w:p>
      <w:pPr>
        <w:ind w:right="300" w:firstLine="622"/>
        <w:spacing w:after="0" w:line="248" w:lineRule="auto"/>
        <w:tabs>
          <w:tab w:leader="none" w:pos="123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The Borrower, and to the extent provided by any Defaulting Lender, such Defaulting Lender, hereby grant to (and subject to the control of) the Administrative Agent, for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Administrative Agent, the Letter of Credit Issuer and the Lenders, and agree to maintain, a first priority security interest in all such cash, deposit accounts and</w:t>
      </w:r>
    </w:p>
    <w:p>
      <w:pPr>
        <w:spacing w:after="0" w:line="22"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 xml:space="preserve">all balances therein as described in </w:t>
      </w:r>
      <w:r>
        <w:rPr>
          <w:rFonts w:ascii="Arial" w:cs="Arial" w:eastAsia="Arial" w:hAnsi="Arial"/>
          <w:sz w:val="15"/>
          <w:szCs w:val="15"/>
          <w:u w:val="single" w:color="auto"/>
          <w:color w:val="auto"/>
        </w:rPr>
        <w:t>Section 3.8(a)</w:t>
      </w:r>
      <w:r>
        <w:rPr>
          <w:rFonts w:ascii="Arial" w:cs="Arial" w:eastAsia="Arial" w:hAnsi="Arial"/>
          <w:sz w:val="15"/>
          <w:szCs w:val="15"/>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5"/>
          <w:szCs w:val="15"/>
          <w:u w:val="single" w:color="auto"/>
          <w:color w:val="auto"/>
        </w:rPr>
        <w:t>Section 3.8(c)</w:t>
      </w:r>
      <w:r>
        <w:rPr>
          <w:rFonts w:ascii="Arial" w:cs="Arial" w:eastAsia="Arial" w:hAnsi="Arial"/>
          <w:sz w:val="15"/>
          <w:szCs w:val="15"/>
          <w:color w:val="auto"/>
        </w:rPr>
        <w:t>. If at any time the Administrative Agent determines that Cash Collateral is subject to any right or claim of any Person other than the Administrative Agent or the Letter of Credit Issuer as herein provided, other than Permitted</w:t>
      </w:r>
    </w:p>
    <w:p>
      <w:pPr>
        <w:ind w:right="400"/>
        <w:spacing w:after="0" w:line="239" w:lineRule="auto"/>
        <w:rPr>
          <w:sz w:val="20"/>
          <w:szCs w:val="20"/>
          <w:color w:val="auto"/>
        </w:rPr>
      </w:pPr>
      <w:r>
        <w:rPr>
          <w:rFonts w:ascii="Arial" w:cs="Arial" w:eastAsia="Arial" w:hAnsi="Arial"/>
          <w:sz w:val="15"/>
          <w:szCs w:val="15"/>
          <w:color w:val="auto"/>
        </w:rPr>
        <w:t>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w:t>
      </w:r>
    </w:p>
    <w:p>
      <w:pPr>
        <w:ind w:right="340"/>
        <w:spacing w:after="0" w:line="227" w:lineRule="auto"/>
        <w:rPr>
          <w:sz w:val="20"/>
          <w:szCs w:val="20"/>
          <w:color w:val="auto"/>
        </w:rPr>
      </w:pPr>
      <w:r>
        <w:rPr>
          <w:rFonts w:ascii="Arial" w:cs="Arial" w:eastAsia="Arial" w:hAnsi="Arial"/>
          <w:sz w:val="17"/>
          <w:szCs w:val="17"/>
          <w:color w:val="auto"/>
        </w:rPr>
        <w:t>Administrative Agent. The Borrower shall pay on demand therefor from time to time all customary account opening, activity and other administrative fees and charges in connection with the maintenance and disbursement of Cash Collateral.</w:t>
      </w:r>
    </w:p>
    <w:p>
      <w:pPr>
        <w:spacing w:after="0" w:line="158" w:lineRule="exact"/>
        <w:rPr>
          <w:sz w:val="20"/>
          <w:szCs w:val="20"/>
          <w:color w:val="auto"/>
        </w:rPr>
      </w:pPr>
    </w:p>
    <w:p>
      <w:pPr>
        <w:ind w:right="200" w:firstLine="622"/>
        <w:spacing w:after="0" w:line="238" w:lineRule="auto"/>
        <w:tabs>
          <w:tab w:leader="none" w:pos="123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2" w:lineRule="exact"/>
        <w:rPr>
          <w:rFonts w:ascii="Arial" w:cs="Arial" w:eastAsia="Arial" w:hAnsi="Arial"/>
          <w:sz w:val="16"/>
          <w:szCs w:val="16"/>
          <w:color w:val="auto"/>
        </w:rPr>
      </w:pPr>
    </w:p>
    <w:p>
      <w:pPr>
        <w:ind w:right="320" w:firstLine="622"/>
        <w:spacing w:after="0" w:line="238" w:lineRule="auto"/>
        <w:tabs>
          <w:tab w:leader="none" w:pos="1238"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13.6(b)(ii)</w:t>
      </w:r>
      <w:r>
        <w:rPr>
          <w:rFonts w:ascii="Arial" w:cs="Arial" w:eastAsia="Arial" w:hAnsi="Arial"/>
          <w:sz w:val="16"/>
          <w:szCs w:val="16"/>
          <w:color w:val="auto"/>
        </w:rPr>
        <w:t>) or there is no longer existing an Event of Default) or (ii) the determination by the Administrative Agent and the Letter of Credit Issuer that there exists excess Cash Collateral.</w:t>
      </w:r>
    </w:p>
    <w:p>
      <w:pPr>
        <w:spacing w:after="0" w:line="16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Applicability of ISP</w:t>
      </w:r>
      <w:r>
        <w:rPr>
          <w:rFonts w:ascii="Arial" w:cs="Arial" w:eastAsia="Arial" w:hAnsi="Arial"/>
          <w:sz w:val="16"/>
          <w:szCs w:val="16"/>
          <w:color w:val="auto"/>
        </w:rPr>
        <w:t>. Unless otherwise expressly agreed by the Letter of Credit Issuer and the applicable Borrower when a Letter of Credit is issued (including any such agreement applicable to an Existing Letter of Credit), the rules of the ISP shall apply to each standby Letter of Credit. Notwithstanding</w:t>
      </w:r>
    </w:p>
    <w:p>
      <w:pPr>
        <w:jc w:val="both"/>
        <w:spacing w:after="0" w:line="239" w:lineRule="auto"/>
        <w:rPr>
          <w:sz w:val="20"/>
          <w:szCs w:val="20"/>
          <w:color w:val="auto"/>
        </w:rPr>
      </w:pPr>
      <w:r>
        <w:rPr>
          <w:rFonts w:ascii="Arial" w:cs="Arial" w:eastAsia="Arial" w:hAnsi="Arial"/>
          <w:sz w:val="15"/>
          <w:szCs w:val="15"/>
          <w:color w:val="auto"/>
        </w:rPr>
        <w:t>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w:t>
      </w:r>
    </w:p>
    <w:p>
      <w:pPr>
        <w:jc w:val="both"/>
        <w:spacing w:after="0" w:line="220" w:lineRule="auto"/>
        <w:rPr>
          <w:sz w:val="20"/>
          <w:szCs w:val="20"/>
          <w:color w:val="auto"/>
        </w:rPr>
      </w:pPr>
      <w:r>
        <w:rPr>
          <w:rFonts w:ascii="Arial" w:cs="Arial" w:eastAsia="Arial" w:hAnsi="Arial"/>
          <w:sz w:val="17"/>
          <w:szCs w:val="17"/>
          <w:color w:val="auto"/>
        </w:rPr>
        <w:t>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Conflict with Issuer Documents</w:t>
      </w:r>
      <w:r>
        <w:rPr>
          <w:rFonts w:ascii="Arial" w:cs="Arial" w:eastAsia="Arial" w:hAnsi="Arial"/>
          <w:sz w:val="17"/>
          <w:szCs w:val="17"/>
          <w:color w:val="auto"/>
        </w:rPr>
        <w:t>. In the event of any conflict between the terms hereof and the terms of any Issuer Document, the terms hereof shall control and any grant of security interest in any Issuer Documents shall be void.</w:t>
      </w:r>
    </w:p>
    <w:p>
      <w:pPr>
        <w:spacing w:after="0" w:line="15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auto"/>
        </w:rPr>
        <w:t>Letters of Credit Issued for Restricted Subsidiaries</w:t>
      </w:r>
      <w:r>
        <w:rPr>
          <w:rFonts w:ascii="Arial" w:cs="Arial" w:eastAsia="Arial" w:hAnsi="Arial"/>
          <w:sz w:val="15"/>
          <w:szCs w:val="15"/>
          <w:color w:val="auto"/>
        </w:rPr>
        <w:t>. Notwithstanding that a Letter of Credit issued or outstanding hereunder is in support of any</w:t>
      </w:r>
    </w:p>
    <w:p>
      <w:pPr>
        <w:ind w:right="160"/>
        <w:spacing w:after="0" w:line="239" w:lineRule="auto"/>
        <w:rPr>
          <w:sz w:val="20"/>
          <w:szCs w:val="20"/>
          <w:color w:val="auto"/>
        </w:rPr>
      </w:pPr>
      <w:r>
        <w:rPr>
          <w:rFonts w:ascii="Arial" w:cs="Arial" w:eastAsia="Arial" w:hAnsi="Arial"/>
          <w:sz w:val="15"/>
          <w:szCs w:val="15"/>
          <w:color w:val="auto"/>
        </w:rPr>
        <w:t>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w:t>
      </w:r>
    </w:p>
    <w:p>
      <w:pPr>
        <w:spacing w:after="0"/>
        <w:rPr>
          <w:sz w:val="20"/>
          <w:szCs w:val="20"/>
          <w:color w:val="auto"/>
        </w:rPr>
      </w:pPr>
      <w:r>
        <w:rPr>
          <w:rFonts w:ascii="Arial" w:cs="Arial" w:eastAsia="Arial" w:hAnsi="Arial"/>
          <w:sz w:val="17"/>
          <w:szCs w:val="17"/>
          <w:color w:val="auto"/>
        </w:rPr>
        <w:t>and the other Restricted Subsidiaries.</w:t>
      </w:r>
    </w:p>
    <w:p>
      <w:pPr>
        <w:spacing w:after="0" w:line="164" w:lineRule="exact"/>
        <w:rPr>
          <w:sz w:val="20"/>
          <w:szCs w:val="20"/>
          <w:color w:val="auto"/>
        </w:rPr>
      </w:pPr>
    </w:p>
    <w:p>
      <w:pPr>
        <w:ind w:right="220" w:firstLine="619"/>
        <w:spacing w:after="0" w:line="23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Provisions Related to Extended Revolving Credit Commitments</w:t>
      </w:r>
      <w:r>
        <w:rPr>
          <w:rFonts w:ascii="Arial" w:cs="Arial" w:eastAsia="Arial" w:hAnsi="Arial"/>
          <w:sz w:val="16"/>
          <w:szCs w:val="16"/>
          <w:color w:val="auto"/>
        </w:rPr>
        <w:t>. If the Letter of Credit Expiration Date in respect of any tranche of Revolving Credit Commitments occurs prior to the expiry date of any Letter of Credit, then (i) if consented to by the Letter of Credit Issuer which issued such Letter of</w:t>
      </w:r>
    </w:p>
    <w:p>
      <w:pPr>
        <w:ind w:right="20"/>
        <w:spacing w:after="0" w:line="239" w:lineRule="auto"/>
        <w:rPr>
          <w:sz w:val="20"/>
          <w:szCs w:val="20"/>
          <w:color w:val="auto"/>
        </w:rPr>
      </w:pPr>
      <w:r>
        <w:rPr>
          <w:rFonts w:ascii="Arial" w:cs="Arial" w:eastAsia="Arial" w:hAnsi="Arial"/>
          <w:sz w:val="15"/>
          <w:szCs w:val="15"/>
          <w:color w:val="auto"/>
        </w:rPr>
        <w:t xml:space="preserve">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5"/>
          <w:szCs w:val="15"/>
          <w:u w:val="single" w:color="auto"/>
          <w:color w:val="auto"/>
        </w:rPr>
        <w:t>Sections 3.3</w:t>
      </w:r>
    </w:p>
    <w:p>
      <w:pPr>
        <w:ind w:right="40"/>
        <w:spacing w:after="0" w:line="220"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3.4</w:t>
      </w:r>
      <w:r>
        <w:rPr>
          <w:rFonts w:ascii="Arial" w:cs="Arial" w:eastAsia="Arial" w:hAnsi="Arial"/>
          <w:sz w:val="17"/>
          <w:szCs w:val="17"/>
          <w:color w:val="auto"/>
        </w:rPr>
        <w:t>)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Letter of Credit may be so reallocated) and (ii) to the extent not reallocated pursuant to immediately preceding </w:t>
      </w:r>
      <w:r>
        <w:rPr>
          <w:rFonts w:ascii="Arial" w:cs="Arial" w:eastAsia="Arial" w:hAnsi="Arial"/>
          <w:sz w:val="15"/>
          <w:szCs w:val="15"/>
          <w:u w:val="single" w:color="auto"/>
          <w:color w:val="auto"/>
        </w:rPr>
        <w:t>clause (i)</w:t>
      </w:r>
      <w:r>
        <w:rPr>
          <w:rFonts w:ascii="Arial" w:cs="Arial" w:eastAsia="Arial" w:hAnsi="Arial"/>
          <w:sz w:val="15"/>
          <w:szCs w:val="15"/>
          <w:color w:val="auto"/>
        </w:rPr>
        <w:t>, the Borrower shall Cash Collateralize any</w:t>
      </w:r>
    </w:p>
    <w:p>
      <w:pPr>
        <w:spacing w:after="0" w:line="22" w:lineRule="exact"/>
        <w:rPr>
          <w:sz w:val="20"/>
          <w:szCs w:val="20"/>
          <w:color w:val="auto"/>
        </w:rPr>
      </w:pPr>
    </w:p>
    <w:p>
      <w:pPr>
        <w:ind w:right="200"/>
        <w:spacing w:after="0" w:line="227" w:lineRule="auto"/>
        <w:rPr>
          <w:sz w:val="20"/>
          <w:szCs w:val="20"/>
          <w:color w:val="auto"/>
        </w:rPr>
      </w:pPr>
      <w:r>
        <w:rPr>
          <w:rFonts w:ascii="Arial" w:cs="Arial" w:eastAsia="Arial" w:hAnsi="Arial"/>
          <w:sz w:val="17"/>
          <w:szCs w:val="17"/>
          <w:color w:val="auto"/>
        </w:rPr>
        <w:t xml:space="preserve">such Letter of Credit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158"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4"/>
          <w:szCs w:val="14"/>
          <w:u w:val="single" w:color="auto"/>
          <w:color w:val="auto"/>
        </w:rPr>
        <w:t>Fees</w:t>
      </w:r>
    </w:p>
    <w:p>
      <w:pPr>
        <w:spacing w:after="0" w:line="19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178" w:lineRule="exact"/>
        <w:rPr>
          <w:sz w:val="20"/>
          <w:szCs w:val="20"/>
          <w:color w:val="auto"/>
        </w:rPr>
      </w:pPr>
    </w:p>
    <w:p>
      <w:pPr>
        <w:ind w:firstLine="622"/>
        <w:spacing w:after="0" w:line="221" w:lineRule="auto"/>
        <w:tabs>
          <w:tab w:leader="none" w:pos="12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for each day from the Second Restatement Effective Date to the Revolving Credit Termination Date. Each Commitment Fee shall be payable (x) quarterly in arrears on the last Business Day of March, June, September and December and (y) on the Revolving Credit Termination Date (for the period ended on such date for which no payment has been received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above), and shall be computed for each day during such period at a rate per annum equal to the Commitment Fee Rate in effect on such day on the Available Commitment in effect on such day.</w:t>
      </w:r>
    </w:p>
    <w:p>
      <w:pPr>
        <w:spacing w:after="0" w:line="157" w:lineRule="exact"/>
        <w:rPr>
          <w:rFonts w:ascii="Arial" w:cs="Arial" w:eastAsia="Arial" w:hAnsi="Arial"/>
          <w:sz w:val="17"/>
          <w:szCs w:val="17"/>
          <w:color w:val="auto"/>
        </w:rPr>
      </w:pPr>
    </w:p>
    <w:p>
      <w:pPr>
        <w:ind w:right="100" w:firstLine="622"/>
        <w:spacing w:after="0" w:line="234" w:lineRule="auto"/>
        <w:tabs>
          <w:tab w:leader="none" w:pos="1238"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for the period from the date of issuance of such Letter of Credit to the termination date of such Letter of Credit computed at the per annum rate for each day equal to the Applicable Margin. Except as provided below, such Letter of Credit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61" w:lineRule="exact"/>
        <w:rPr>
          <w:rFonts w:ascii="Arial" w:cs="Arial" w:eastAsia="Arial" w:hAnsi="Arial"/>
          <w:sz w:val="16"/>
          <w:szCs w:val="16"/>
          <w:color w:val="auto"/>
        </w:rPr>
      </w:pPr>
    </w:p>
    <w:p>
      <w:pPr>
        <w:ind w:right="240" w:firstLine="622"/>
        <w:spacing w:after="0" w:line="236" w:lineRule="auto"/>
        <w:tabs>
          <w:tab w:leader="none" w:pos="12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69" w:lineRule="exact"/>
        <w:rPr>
          <w:rFonts w:ascii="Arial" w:cs="Arial" w:eastAsia="Arial" w:hAnsi="Arial"/>
          <w:sz w:val="17"/>
          <w:szCs w:val="17"/>
          <w:color w:val="auto"/>
        </w:rPr>
      </w:pPr>
    </w:p>
    <w:p>
      <w:pPr>
        <w:ind w:right="180" w:firstLine="622"/>
        <w:spacing w:after="0" w:line="218" w:lineRule="auto"/>
        <w:tabs>
          <w:tab w:leader="none" w:pos="12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Letter of Credit Issuer a fee in Dollars in respect of each Letter of Credit issued by it to the Borrower (the “</w:t>
      </w:r>
      <w:r>
        <w:rPr>
          <w:rFonts w:ascii="Arial" w:cs="Arial" w:eastAsia="Arial" w:hAnsi="Arial"/>
          <w:sz w:val="17"/>
          <w:szCs w:val="17"/>
          <w:b w:val="1"/>
          <w:bCs w:val="1"/>
          <w:color w:val="auto"/>
        </w:rPr>
        <w:t>Fronting Fee</w:t>
      </w:r>
      <w:r>
        <w:rPr>
          <w:rFonts w:ascii="Arial" w:cs="Arial" w:eastAsia="Arial" w:hAnsi="Arial"/>
          <w:sz w:val="17"/>
          <w:szCs w:val="17"/>
          <w:color w:val="auto"/>
        </w:rPr>
        <w:t>”), for the period from the date of issuance of such Letter of Credit to the termination date of such Letter of Credit, computed at the rate for each day equal to 0.125% per annum on the actual daily Stated Amount of such Letter of Credit (or at such other rate per annum as agreed in writing between the Borrower and the Letter of Credit Issuer). Such Fronting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72" w:lineRule="exact"/>
        <w:rPr>
          <w:rFonts w:ascii="Arial" w:cs="Arial" w:eastAsia="Arial" w:hAnsi="Arial"/>
          <w:sz w:val="17"/>
          <w:szCs w:val="17"/>
          <w:color w:val="auto"/>
        </w:rPr>
      </w:pPr>
    </w:p>
    <w:p>
      <w:pPr>
        <w:ind w:right="180" w:firstLine="622"/>
        <w:spacing w:after="0" w:line="224" w:lineRule="auto"/>
        <w:tabs>
          <w:tab w:leader="none" w:pos="12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Without duplication, the Borrower agrees to pay directly to the Letter of Credit Issuer in Dollars upon each issuance or renewal of, drawing under, and/or amendment of, a Letter of Credit issued by it such amount as shall at the time of such issuance or renewal of, drawing under, and/or amendment be the processing charge that the Letter of Credit Issuer is customarily charging for issuances or renewals of, drawings under or amendments of, letters of credit issued by it.</w:t>
      </w:r>
    </w:p>
    <w:p>
      <w:pPr>
        <w:spacing w:after="0" w:line="159" w:lineRule="exact"/>
        <w:rPr>
          <w:rFonts w:ascii="Arial" w:cs="Arial" w:eastAsia="Arial" w:hAnsi="Arial"/>
          <w:sz w:val="17"/>
          <w:szCs w:val="17"/>
          <w:color w:val="auto"/>
        </w:rPr>
      </w:pPr>
    </w:p>
    <w:p>
      <w:pPr>
        <w:ind w:left="1240" w:hanging="618"/>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89" w:lineRule="exact"/>
        <w:rPr>
          <w:rFonts w:ascii="Arial" w:cs="Arial" w:eastAsia="Arial" w:hAnsi="Arial"/>
          <w:sz w:val="16"/>
          <w:szCs w:val="16"/>
          <w:color w:val="auto"/>
        </w:rPr>
      </w:pPr>
    </w:p>
    <w:p>
      <w:pPr>
        <w:ind w:right="40" w:firstLine="622"/>
        <w:spacing w:after="0" w:line="248" w:lineRule="auto"/>
        <w:tabs>
          <w:tab w:leader="none" w:pos="12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such fees as stipulated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fully earned when paid and shall not be refundable for any reason whatsoever.</w:t>
      </w:r>
    </w:p>
    <w:p>
      <w:pPr>
        <w:spacing w:after="0" w:line="150" w:lineRule="exact"/>
        <w:rPr>
          <w:sz w:val="20"/>
          <w:szCs w:val="20"/>
          <w:color w:val="auto"/>
        </w:rPr>
      </w:pPr>
    </w:p>
    <w:p>
      <w:pPr>
        <w:ind w:right="20" w:firstLine="619"/>
        <w:spacing w:after="0" w:line="23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Voluntary Reduction of Revolving Credit Commitments</w:t>
      </w:r>
      <w:r>
        <w:rPr>
          <w:rFonts w:ascii="Arial" w:cs="Arial" w:eastAsia="Arial" w:hAnsi="Arial"/>
          <w:sz w:val="16"/>
          <w:szCs w:val="16"/>
          <w:color w:val="auto"/>
        </w:rPr>
        <w:t>. Upon at least two Business Days’ prior written notice to the Administrative Agent at the Administrative Agent’s Office (which notice the Administrative Agent shall promptly transmit to each of the Lenders), the Borrower shall have the right, without</w:t>
      </w:r>
    </w:p>
    <w:p>
      <w:pPr>
        <w:ind w:right="180"/>
        <w:spacing w:after="0" w:line="233" w:lineRule="auto"/>
        <w:rPr>
          <w:sz w:val="20"/>
          <w:szCs w:val="20"/>
          <w:color w:val="auto"/>
        </w:rPr>
      </w:pPr>
      <w:r>
        <w:rPr>
          <w:rFonts w:ascii="Arial" w:cs="Arial" w:eastAsia="Arial" w:hAnsi="Arial"/>
          <w:sz w:val="15"/>
          <w:szCs w:val="15"/>
          <w:color w:val="auto"/>
        </w:rPr>
        <w:t xml:space="preserve">premium or penalty, on any day, permanently to terminate or reduce the Revolving Credit Commitments in whole or in part;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any such reduction shall apply proportionately and permanently to reduce the Revolving Credit Commitment of each of the Lenders of any applicable Class, except that</w:t>
      </w:r>
    </w:p>
    <w:p>
      <w:pPr>
        <w:jc w:val="both"/>
        <w:ind w:right="80" w:firstLine="3"/>
        <w:spacing w:after="0" w:line="225" w:lineRule="auto"/>
        <w:tabs>
          <w:tab w:leader="none" w:pos="20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notwithstanding the foregoing, in connection with the establishment on any date of any Extended Revolving Credit Commitments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the Revolving Credit Commitments of any one or more Lenders providing any such Extended Revolving Credit Commitments on such date shall be reduced in an amount equal to the amount of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Commitments so extended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after giving effect to any such reduction and to the repayment of any Revolving Credit Loans made on</w:t>
      </w:r>
    </w:p>
    <w:p>
      <w:pPr>
        <w:spacing w:after="0" w:line="2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with respect to the ratable allocation of payments hereunder, with such allocation being determined after giving effect to any conversion pursuant to </w:t>
      </w:r>
      <w:r>
        <w:rPr>
          <w:rFonts w:ascii="Arial" w:cs="Arial" w:eastAsia="Arial" w:hAnsi="Arial"/>
          <w:sz w:val="15"/>
          <w:szCs w:val="15"/>
          <w:u w:val="single" w:color="auto"/>
          <w:color w:val="auto"/>
        </w:rPr>
        <w:t>Section 2.14(g)</w:t>
      </w:r>
      <w:r>
        <w:rPr>
          <w:rFonts w:ascii="Arial" w:cs="Arial" w:eastAsia="Arial" w:hAnsi="Arial"/>
          <w:sz w:val="15"/>
          <w:szCs w:val="15"/>
          <w:color w:val="auto"/>
        </w:rPr>
        <w:t xml:space="preserve"> of</w:t>
      </w:r>
    </w:p>
    <w:p>
      <w:pPr>
        <w:ind w:right="20"/>
        <w:spacing w:after="0" w:line="239" w:lineRule="auto"/>
        <w:rPr>
          <w:sz w:val="20"/>
          <w:szCs w:val="20"/>
          <w:color w:val="auto"/>
        </w:rPr>
      </w:pPr>
      <w:r>
        <w:rPr>
          <w:rFonts w:ascii="Arial" w:cs="Arial" w:eastAsia="Arial" w:hAnsi="Arial"/>
          <w:sz w:val="15"/>
          <w:szCs w:val="15"/>
          <w:color w:val="auto"/>
        </w:rPr>
        <w:t xml:space="preserve">Revolving Credit Commitments and Revolving Credit Loans into Extended Revolving Credit Commitments and Extended Revolving Credit Loans pursuant to </w:t>
      </w:r>
      <w:r>
        <w:rPr>
          <w:rFonts w:ascii="Arial" w:cs="Arial" w:eastAsia="Arial" w:hAnsi="Arial"/>
          <w:sz w:val="15"/>
          <w:szCs w:val="15"/>
          <w:u w:val="single" w:color="auto"/>
          <w:color w:val="auto"/>
        </w:rPr>
        <w:t>Section 2.14(g)</w:t>
      </w:r>
      <w:r>
        <w:rPr>
          <w:rFonts w:ascii="Arial" w:cs="Arial" w:eastAsia="Arial" w:hAnsi="Arial"/>
          <w:sz w:val="15"/>
          <w:szCs w:val="15"/>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w:t>
      </w:r>
    </w:p>
    <w:p>
      <w:pPr>
        <w:spacing w:after="0" w:line="239" w:lineRule="auto"/>
        <w:rPr>
          <w:sz w:val="20"/>
          <w:szCs w:val="20"/>
          <w:color w:val="auto"/>
        </w:rPr>
      </w:pPr>
      <w:r>
        <w:rPr>
          <w:rFonts w:ascii="Arial" w:cs="Arial" w:eastAsia="Arial" w:hAnsi="Arial"/>
          <w:sz w:val="15"/>
          <w:szCs w:val="15"/>
          <w:color w:val="auto"/>
        </w:rPr>
        <w:t xml:space="preserve">reduction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w:t>
      </w:r>
    </w:p>
    <w:p>
      <w:pPr>
        <w:spacing w:after="0"/>
        <w:rPr>
          <w:sz w:val="20"/>
          <w:szCs w:val="20"/>
          <w:color w:val="auto"/>
        </w:rPr>
      </w:pPr>
      <w:r>
        <w:rPr>
          <w:rFonts w:ascii="Arial" w:cs="Arial" w:eastAsia="Arial" w:hAnsi="Arial"/>
          <w:sz w:val="17"/>
          <w:szCs w:val="17"/>
          <w:color w:val="auto"/>
        </w:rPr>
        <w:t>aggregate Revolving Credit Commitment of such Class.</w:t>
      </w:r>
    </w:p>
    <w:p>
      <w:pPr>
        <w:spacing w:after="0" w:line="16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u w:val="single" w:color="auto"/>
          <w:color w:val="auto"/>
        </w:rPr>
        <w:t>Mandatory Termination of Commitments</w:t>
      </w:r>
      <w:r>
        <w:rPr>
          <w:rFonts w:ascii="Arial" w:cs="Arial" w:eastAsia="Arial" w:hAnsi="Arial"/>
          <w:sz w:val="15"/>
          <w:szCs w:val="15"/>
          <w:color w:val="auto"/>
        </w:rPr>
        <w:t>.</w:t>
      </w:r>
    </w:p>
    <w:p>
      <w:pPr>
        <w:spacing w:after="0" w:line="178" w:lineRule="exact"/>
        <w:rPr>
          <w:sz w:val="20"/>
          <w:szCs w:val="20"/>
          <w:color w:val="auto"/>
        </w:rPr>
      </w:pPr>
    </w:p>
    <w:p>
      <w:pPr>
        <w:ind w:right="80" w:firstLine="622"/>
        <w:spacing w:after="0" w:line="248" w:lineRule="auto"/>
        <w:tabs>
          <w:tab w:leader="none" w:pos="12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Term A Loan Commitment shall terminate in full on the Second Restatement Effective Date immediately following the funding of the Term A Loan thereunder.</w:t>
      </w:r>
    </w:p>
    <w:p>
      <w:pPr>
        <w:spacing w:after="0" w:line="150" w:lineRule="exact"/>
        <w:rPr>
          <w:rFonts w:ascii="Arial" w:cs="Arial" w:eastAsia="Arial" w:hAnsi="Arial"/>
          <w:sz w:val="17"/>
          <w:szCs w:val="17"/>
          <w:color w:val="auto"/>
        </w:rPr>
      </w:pPr>
    </w:p>
    <w:p>
      <w:pPr>
        <w:ind w:left="1240" w:hanging="618"/>
        <w:spacing w:after="0"/>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Revolving Credit Commitment shall terminate at 5:00 p.m. (New York City time) on the Revolving Credit Maturity Date.</w:t>
      </w:r>
    </w:p>
    <w:p>
      <w:pPr>
        <w:spacing w:after="0" w:line="178" w:lineRule="exact"/>
        <w:rPr>
          <w:rFonts w:ascii="Arial" w:cs="Arial" w:eastAsia="Arial" w:hAnsi="Arial"/>
          <w:sz w:val="17"/>
          <w:szCs w:val="17"/>
          <w:color w:val="auto"/>
        </w:rPr>
      </w:pPr>
    </w:p>
    <w:p>
      <w:pPr>
        <w:ind w:left="1240" w:hanging="618"/>
        <w:spacing w:after="0"/>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Swingline Commitment shall terminate at 5:00 p.m. (New York City time) on the Swingline Maturity Date.</w:t>
      </w:r>
    </w:p>
    <w:p>
      <w:pPr>
        <w:spacing w:after="0" w:line="191" w:lineRule="exact"/>
        <w:rPr>
          <w:rFonts w:ascii="Arial" w:cs="Arial" w:eastAsia="Arial" w:hAnsi="Arial"/>
          <w:sz w:val="17"/>
          <w:szCs w:val="17"/>
          <w:color w:val="auto"/>
        </w:rPr>
      </w:pPr>
    </w:p>
    <w:p>
      <w:pPr>
        <w:ind w:right="240" w:firstLine="622"/>
        <w:spacing w:after="0" w:line="236" w:lineRule="auto"/>
        <w:tabs>
          <w:tab w:leader="none" w:pos="12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New Term Loan Commitment for any Series shall, unless otherwise provided in the applicable Joinder Agreement, terminate at 5:00 p.m. (New York City time) on the Increased Amount Date for such Series.</w:t>
      </w:r>
    </w:p>
    <w:p>
      <w:pPr>
        <w:spacing w:after="0" w:line="15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4"/>
          <w:szCs w:val="14"/>
          <w:u w:val="single" w:color="auto"/>
          <w:color w:val="auto"/>
        </w:rPr>
        <w:t>Payments</w:t>
      </w:r>
    </w:p>
    <w:p>
      <w:pPr>
        <w:spacing w:after="0" w:line="191" w:lineRule="exact"/>
        <w:rPr>
          <w:sz w:val="20"/>
          <w:szCs w:val="20"/>
          <w:color w:val="auto"/>
        </w:rPr>
      </w:pPr>
    </w:p>
    <w:p>
      <w:pPr>
        <w:jc w:val="both"/>
        <w:ind w:right="300" w:firstLine="619"/>
        <w:spacing w:after="0" w:line="24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Voluntary Prepayments</w:t>
      </w:r>
      <w:r>
        <w:rPr>
          <w:rFonts w:ascii="Arial" w:cs="Arial" w:eastAsia="Arial" w:hAnsi="Arial"/>
          <w:sz w:val="15"/>
          <w:szCs w:val="15"/>
          <w:color w:val="auto"/>
        </w:rPr>
        <w:t xml:space="preserve">. The Borrower shall have the right to prepay Loans, including Term Loans, Revolving Credit Loans, and Swingline Loans, as applicable, in each case, other than as set forth in </w:t>
      </w:r>
      <w:r>
        <w:rPr>
          <w:rFonts w:ascii="Arial" w:cs="Arial" w:eastAsia="Arial" w:hAnsi="Arial"/>
          <w:sz w:val="15"/>
          <w:szCs w:val="15"/>
          <w:u w:val="single" w:color="auto"/>
          <w:color w:val="auto"/>
        </w:rPr>
        <w:t>Section 5.1(b)</w:t>
      </w:r>
      <w:r>
        <w:rPr>
          <w:rFonts w:ascii="Arial" w:cs="Arial" w:eastAsia="Arial" w:hAnsi="Arial"/>
          <w:sz w:val="15"/>
          <w:szCs w:val="15"/>
          <w:color w:val="auto"/>
        </w:rPr>
        <w:t>, without premium or penalty, in whole or in part from time to time on the following terms and conditions: (1) the Borrower shall give the Administrative Agent at the Administrative Agent’s Office a Prepayment Notice specifying the amount of</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such prepayment and (in the case of Term SOFR Loans) the specific Borrowing(s) pursuant to which made, which Prepayment Notice shall be given by the Borrower no later than 12:00 Noon (New York City time) (i) in the case of Term SOFR Loans, two U.S. Government Securities Business Days prior to, (ii) in the case of ABR Loans (other than Swingline Loans), one Business Day prior to or (ii) in the case of Swingline Loans, on, the date of such prepayment and shall</w:t>
      </w:r>
    </w:p>
    <w:p>
      <w:pPr>
        <w:jc w:val="both"/>
        <w:ind w:right="220"/>
        <w:spacing w:after="0" w:line="239" w:lineRule="auto"/>
        <w:rPr>
          <w:sz w:val="20"/>
          <w:szCs w:val="20"/>
          <w:color w:val="auto"/>
        </w:rPr>
      </w:pPr>
      <w:r>
        <w:rPr>
          <w:rFonts w:ascii="Arial" w:cs="Arial" w:eastAsia="Arial" w:hAnsi="Arial"/>
          <w:sz w:val="15"/>
          <w:szCs w:val="15"/>
          <w:color w:val="auto"/>
        </w:rPr>
        <w:t>promptly be transmitted by the Administrative Agent to each of the Lenders or the Swingline Lender, as the case may be; (2) each partial prepayment of (i) any Borrowing of Term SOFR Loans shall be in a minimum amount of $5,000,000 and in multiples of $1,000,000 in excess thereof, (ii) any ABR Loans (other than Swingline Loans) shall be in a minimum amount of $1,000,000 and in multiples of $100,000 in excess thereof, and (iii) Swingline Loans shall be in a minimum</w:t>
      </w:r>
    </w:p>
    <w:p>
      <w:pPr>
        <w:ind w:right="100"/>
        <w:spacing w:after="0" w:line="239" w:lineRule="auto"/>
        <w:rPr>
          <w:sz w:val="20"/>
          <w:szCs w:val="20"/>
          <w:color w:val="auto"/>
        </w:rPr>
      </w:pPr>
      <w:r>
        <w:rPr>
          <w:rFonts w:ascii="Arial" w:cs="Arial" w:eastAsia="Arial" w:hAnsi="Arial"/>
          <w:sz w:val="15"/>
          <w:szCs w:val="15"/>
          <w:color w:val="auto"/>
        </w:rPr>
        <w:t xml:space="preserve">amount of $500,000 and in multiples of $100,000 in excess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partial prepayment of Term SOFR Loans made pursuant to a single Borrowing shall reduce the outstanding Term SOFR Loans made pursuant to such Borrowing to an amount less than the applicable Minimum Borrowing Amount for such Term SOFR Loans, and (3) in the case of any prepayment of Term SOFR Loans pursuant to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on any day other than the last day of an</w:t>
      </w:r>
    </w:p>
    <w:p>
      <w:pPr>
        <w:ind w:right="120"/>
        <w:spacing w:after="0" w:line="239" w:lineRule="auto"/>
        <w:rPr>
          <w:sz w:val="20"/>
          <w:szCs w:val="20"/>
          <w:color w:val="auto"/>
        </w:rPr>
      </w:pPr>
      <w:r>
        <w:rPr>
          <w:rFonts w:ascii="Arial" w:cs="Arial" w:eastAsia="Arial" w:hAnsi="Arial"/>
          <w:sz w:val="15"/>
          <w:szCs w:val="15"/>
          <w:color w:val="auto"/>
        </w:rPr>
        <w:t xml:space="preserve">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Each prepayment in respect of any Term Loans pursuant to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shall be applied to the Class or Classes of Term Loans as the Borrower may</w:t>
      </w:r>
    </w:p>
    <w:p>
      <w:pPr>
        <w:ind w:right="120"/>
        <w:spacing w:after="0" w:line="239" w:lineRule="auto"/>
        <w:rPr>
          <w:sz w:val="20"/>
          <w:szCs w:val="20"/>
          <w:color w:val="auto"/>
        </w:rPr>
      </w:pPr>
      <w:r>
        <w:rPr>
          <w:rFonts w:ascii="Arial" w:cs="Arial" w:eastAsia="Arial" w:hAnsi="Arial"/>
          <w:sz w:val="15"/>
          <w:szCs w:val="15"/>
          <w:color w:val="auto"/>
        </w:rPr>
        <w:t xml:space="preserve">specify. Such notice may be given by telephone;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telephonic notice must be confirmed promptly by delivery to the Administrative Agent of a written Prepayment Notice. Each prepayment in respect of any Term Loans pursuant to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shall be (a) applied to the Class or Classes of Term Loans as the Borrower may specify and (b) applied to reduce any Term A Loan Repayment Amounts, New Term Loan Repayment Amounts, and, subject to </w:t>
      </w:r>
      <w:r>
        <w:rPr>
          <w:rFonts w:ascii="Arial" w:cs="Arial" w:eastAsia="Arial" w:hAnsi="Arial"/>
          <w:sz w:val="15"/>
          <w:szCs w:val="15"/>
          <w:u w:val="single" w:color="auto"/>
          <w:color w:val="auto"/>
        </w:rPr>
        <w:t>Section</w:t>
      </w:r>
    </w:p>
    <w:p>
      <w:pPr>
        <w:ind w:right="260"/>
        <w:spacing w:after="0" w:line="220" w:lineRule="auto"/>
        <w:rPr>
          <w:sz w:val="20"/>
          <w:szCs w:val="20"/>
          <w:color w:val="auto"/>
        </w:rPr>
      </w:pPr>
      <w:r>
        <w:rPr>
          <w:rFonts w:ascii="Arial" w:cs="Arial" w:eastAsia="Arial" w:hAnsi="Arial"/>
          <w:sz w:val="17"/>
          <w:szCs w:val="17"/>
          <w:u w:val="single" w:color="auto"/>
          <w:color w:val="auto"/>
        </w:rPr>
        <w:t>2.14(g)</w:t>
      </w:r>
      <w:r>
        <w:rPr>
          <w:rFonts w:ascii="Arial" w:cs="Arial" w:eastAsia="Arial" w:hAnsi="Arial"/>
          <w:sz w:val="17"/>
          <w:szCs w:val="17"/>
          <w:color w:val="auto"/>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such prepayment shall not be applied to any Term Loan or Revolving Credit Loan of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0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u w:val="single" w:color="auto"/>
          <w:color w:val="auto"/>
        </w:rPr>
        <w:t>Mandatory Prepayments</w:t>
      </w:r>
      <w:r>
        <w:rPr>
          <w:rFonts w:ascii="Arial" w:cs="Arial" w:eastAsia="Arial" w:hAnsi="Arial"/>
          <w:sz w:val="15"/>
          <w:szCs w:val="15"/>
          <w:color w:val="auto"/>
        </w:rPr>
        <w:t>.</w:t>
      </w:r>
    </w:p>
    <w:p>
      <w:pPr>
        <w:spacing w:after="0" w:line="191" w:lineRule="exact"/>
        <w:rPr>
          <w:sz w:val="20"/>
          <w:szCs w:val="20"/>
          <w:color w:val="auto"/>
        </w:rPr>
      </w:pPr>
    </w:p>
    <w:p>
      <w:pPr>
        <w:ind w:left="1240" w:hanging="618"/>
        <w:spacing w:after="0"/>
        <w:tabs>
          <w:tab w:leader="none" w:pos="124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Term Loan Prepayments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620" w:right="20" w:firstLine="868"/>
        <w:spacing w:after="0" w:line="244" w:lineRule="auto"/>
        <w:tabs>
          <w:tab w:leader="none" w:pos="1858"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below, Term Loans with an equivalent principal amount equal to 100% of the Net Cash Proceeds from such Prepayment Event;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Arial" w:cs="Arial" w:eastAsia="Arial" w:hAnsi="Arial"/>
          <w:sz w:val="15"/>
          <w:szCs w:val="15"/>
          <w:i w:val="1"/>
          <w:iCs w:val="1"/>
          <w:color w:val="auto"/>
        </w:rPr>
        <w:t>multiplied</w:t>
      </w:r>
      <w:r>
        <w:rPr>
          <w:rFonts w:ascii="Arial" w:cs="Arial" w:eastAsia="Arial" w:hAnsi="Arial"/>
          <w:sz w:val="15"/>
          <w:szCs w:val="15"/>
          <w:color w:val="auto"/>
        </w:rPr>
        <w:t xml:space="preserve"> by (y) a fraction, the numerator of which is the outstanding principal amount of the Permitted Other Indebtedness with a Lien on the Collateral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spacing w:after="0" w:line="156" w:lineRule="exact"/>
        <w:rPr>
          <w:rFonts w:ascii="Arial" w:cs="Arial" w:eastAsia="Arial" w:hAnsi="Arial"/>
          <w:sz w:val="15"/>
          <w:szCs w:val="15"/>
          <w:color w:val="auto"/>
        </w:rPr>
      </w:pPr>
    </w:p>
    <w:p>
      <w:pPr>
        <w:ind w:left="620" w:right="100" w:firstLine="868"/>
        <w:spacing w:after="0" w:line="248" w:lineRule="auto"/>
        <w:tabs>
          <w:tab w:leader="none" w:pos="185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On each occasion that Permitted Other Indebtedness is issued or incurred pursuant to </w:t>
      </w:r>
      <w:r>
        <w:rPr>
          <w:rFonts w:ascii="Arial" w:cs="Arial" w:eastAsia="Arial" w:hAnsi="Arial"/>
          <w:sz w:val="16"/>
          <w:szCs w:val="16"/>
          <w:u w:val="single" w:color="auto"/>
          <w:color w:val="auto"/>
        </w:rPr>
        <w:t>Section 10.1(w)</w:t>
      </w:r>
      <w:r>
        <w:rPr>
          <w:rFonts w:ascii="Arial" w:cs="Arial" w:eastAsia="Arial" w:hAnsi="Arial"/>
          <w:sz w:val="16"/>
          <w:szCs w:val="16"/>
          <w:color w:val="auto"/>
        </w:rPr>
        <w:t xml:space="preserve">, the Borrower shall within three Business Days of receipt of the Net Cash Proceeds of such Permitted Other Indebtedness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 principal amount equal to 100% of the Net Cash Proceeds from such issuance or incurrence of Permitted Other Indebtedness.</w:t>
      </w:r>
    </w:p>
    <w:p>
      <w:pPr>
        <w:spacing w:after="0" w:line="151" w:lineRule="exact"/>
        <w:rPr>
          <w:rFonts w:ascii="Arial" w:cs="Arial" w:eastAsia="Arial" w:hAnsi="Arial"/>
          <w:sz w:val="16"/>
          <w:szCs w:val="16"/>
          <w:color w:val="auto"/>
        </w:rPr>
      </w:pPr>
    </w:p>
    <w:p>
      <w:pPr>
        <w:ind w:left="620" w:firstLine="868"/>
        <w:spacing w:after="0" w:line="243" w:lineRule="auto"/>
        <w:tabs>
          <w:tab w:leader="none" w:pos="1858"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provisions of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(A) to the extent that any or all of the Net Cash Proceeds of any Prepayment Event by a Foreign Subsidiary giving rise to a prepayment pursuant to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(a “</w:t>
      </w:r>
      <w:r>
        <w:rPr>
          <w:rFonts w:ascii="Arial" w:cs="Arial" w:eastAsia="Arial" w:hAnsi="Arial"/>
          <w:sz w:val="15"/>
          <w:szCs w:val="15"/>
          <w:b w:val="1"/>
          <w:bCs w:val="1"/>
          <w:color w:val="auto"/>
        </w:rPr>
        <w:t>Foreign Prepayment Event</w:t>
      </w:r>
      <w:r>
        <w:rPr>
          <w:rFonts w:ascii="Arial" w:cs="Arial" w:eastAsia="Arial" w:hAnsi="Arial"/>
          <w:sz w:val="15"/>
          <w:szCs w:val="15"/>
          <w:color w:val="auto"/>
        </w:rPr>
        <w:t xml:space="preserve">”) are prohibited or delayed by any Requirement of Law from being repatriated to the Credit Parties, an amount equal to the portion of such Net Cash Proceeds so affected will not be required to be applied to repay Loans at the times provided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as the case may be, but only so long, as the applicable Requirement of Law will not permit repatriation to the Credit Parties (the Credit Parties hereby agreeing to cause the applicable Foreign Subsidiary to promptly take all actions reasonably required by the applicable Requirement of Law to permit repatriation), and once a repatriation of any of such affected Net Cash Proceeds is permitted under the applicable Requirement of Law, an amount equal to such Net Cash Proceeds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as applicable, and (B) to the extent that the Borrower has determined in good faith that repatriation of any of or all the Net Cash Proceeds of any Foreign Prepayment Event would have a material adverse tax consequence with respect to such Net Cash Proceeds, an amount equal to the Net Cash Proceeds so affected may be retained by the applicable Foreign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on or before the date on which any Net Cash Proceeds from any Foreign Prepayment Event so retained would otherwise have been required to be applied to reinvestments or prepayments pursuant to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(x) the Borrower shall apply an amount equal to such Net Cash Proceeds to such reinvestments or prepayments as if such Net Cash Proceeds had been received by the Credit Parties rather than such Foreign Subsidiary, less the amount of any taxes that would have been payable or reserved against if such Net Cash Proceeds had been repatriated (or, if less, the Net Cash Proceeds that would be calculated if received by such Foreign Subsidiary) or (y) such Net Cash Proceeds shall be applied to the repayment of Indebtedness of a Foreign Subsidiary. For the avoidance of doubt, nothing in this Agreement, including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shall be construed to require any Foreign Subsidiary to repatriate cash.</w:t>
      </w:r>
    </w:p>
    <w:p>
      <w:pPr>
        <w:spacing w:after="0" w:line="331" w:lineRule="exact"/>
        <w:rPr>
          <w:rFonts w:ascii="Arial" w:cs="Arial" w:eastAsia="Arial" w:hAnsi="Arial"/>
          <w:sz w:val="15"/>
          <w:szCs w:val="15"/>
          <w:color w:val="auto"/>
        </w:rPr>
      </w:pPr>
    </w:p>
    <w:p>
      <w:pPr>
        <w:ind w:right="120" w:firstLine="622"/>
        <w:spacing w:after="0" w:line="224" w:lineRule="auto"/>
        <w:tabs>
          <w:tab w:leader="none" w:pos="123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Repayment of Revolving Credit Loans</w:t>
      </w:r>
      <w:r>
        <w:rPr>
          <w:rFonts w:ascii="Arial" w:cs="Arial" w:eastAsia="Arial" w:hAnsi="Arial"/>
          <w:sz w:val="17"/>
          <w:szCs w:val="17"/>
          <w:color w:val="auto"/>
        </w:rPr>
        <w:t>. 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in an amount equal to such excess. If after giving effect to the prepayment of all outstanding Revolving Loans of such Class, the Revolving Credit Exposures of such Class exceed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06"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Credit Commitment of such Class then in effect, the Borrower shall Cash Collateralize the Letters of Credit Outstanding in relation to such Class to the extent of such excess.</w:t>
      </w:r>
    </w:p>
    <w:p>
      <w:pPr>
        <w:spacing w:after="0" w:line="150" w:lineRule="exact"/>
        <w:rPr>
          <w:sz w:val="20"/>
          <w:szCs w:val="20"/>
          <w:color w:val="auto"/>
        </w:rPr>
      </w:pPr>
    </w:p>
    <w:p>
      <w:pPr>
        <w:ind w:firstLine="622"/>
        <w:spacing w:after="0" w:line="231" w:lineRule="auto"/>
        <w:tabs>
          <w:tab w:leader="none" w:pos="123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Application to Repayment Amounts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each prepayment of Term Loans required by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shall be allocated pro rata among the Term A Loans, New Term Loans and 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with respect to each such prepayment, the Borrower will, not later than the date specified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Term A Lender, New Term Loan Lender, or Lender of Extended Term Loans, as applicable.</w:t>
      </w:r>
    </w:p>
    <w:p>
      <w:pPr>
        <w:spacing w:after="0" w:line="159" w:lineRule="exact"/>
        <w:rPr>
          <w:rFonts w:ascii="Arial" w:cs="Arial" w:eastAsia="Arial" w:hAnsi="Arial"/>
          <w:sz w:val="16"/>
          <w:szCs w:val="16"/>
          <w:color w:val="auto"/>
        </w:rPr>
      </w:pPr>
    </w:p>
    <w:p>
      <w:pPr>
        <w:ind w:right="60" w:firstLine="622"/>
        <w:spacing w:after="0" w:line="234" w:lineRule="auto"/>
        <w:tabs>
          <w:tab w:leader="none" w:pos="123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Application to Term Loans</w:t>
      </w:r>
      <w:r>
        <w:rPr>
          <w:rFonts w:ascii="Arial" w:cs="Arial" w:eastAsia="Arial" w:hAnsi="Arial"/>
          <w:sz w:val="16"/>
          <w:szCs w:val="16"/>
          <w:color w:val="auto"/>
        </w:rPr>
        <w:t xml:space="preserve">. With respect to each prepayment of Term Loans required by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Borrower may, if applicable,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Lender has provided a Rejection Notice in compliance with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20" w:firstLine="622"/>
        <w:spacing w:after="0" w:line="234" w:lineRule="auto"/>
        <w:tabs>
          <w:tab w:leader="none" w:pos="123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each prepayment of any Loans made pursuant to a Borrowing shall be applied pro rata among such Loans; and (z) notwithstanding the provisions of the preceding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40" w:firstLine="622"/>
        <w:spacing w:after="0" w:line="230" w:lineRule="auto"/>
        <w:tabs>
          <w:tab w:leader="none" w:pos="123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Rejection Right</w:t>
      </w:r>
      <w:r>
        <w:rPr>
          <w:rFonts w:ascii="Arial" w:cs="Arial" w:eastAsia="Arial" w:hAnsi="Arial"/>
          <w:sz w:val="16"/>
          <w:szCs w:val="16"/>
          <w:color w:val="auto"/>
        </w:rPr>
        <w:t xml:space="preserve">. Holdings or the Borrower shall notify the Administrative Agent in writing of any mandatory prepayment of Term Loans required to be made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Permitted Other Indebtedness under </w:t>
      </w:r>
      <w:r>
        <w:rPr>
          <w:rFonts w:ascii="Arial" w:cs="Arial" w:eastAsia="Arial" w:hAnsi="Arial"/>
          <w:sz w:val="16"/>
          <w:szCs w:val="16"/>
          <w:u w:val="single" w:color="auto"/>
          <w:color w:val="auto"/>
        </w:rPr>
        <w:t>Section 5.2(a)(iii)</w:t>
      </w:r>
      <w:r>
        <w:rPr>
          <w:rFonts w:ascii="Arial" w:cs="Arial" w:eastAsia="Arial" w:hAnsi="Arial"/>
          <w:sz w:val="16"/>
          <w:szCs w:val="16"/>
          <w:color w:val="auto"/>
        </w:rPr>
        <w:t xml:space="preserve"> (such declined amounts, the “</w:t>
      </w:r>
      <w:r>
        <w:rPr>
          <w:rFonts w:ascii="Arial" w:cs="Arial" w:eastAsia="Arial" w:hAnsi="Arial"/>
          <w:sz w:val="16"/>
          <w:szCs w:val="16"/>
          <w:b w:val="1"/>
          <w:bCs w:val="1"/>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by providing written notice (each, a “</w:t>
      </w:r>
      <w:r>
        <w:rPr>
          <w:rFonts w:ascii="Arial" w:cs="Arial" w:eastAsia="Arial" w:hAnsi="Arial"/>
          <w:sz w:val="16"/>
          <w:szCs w:val="16"/>
          <w:b w:val="1"/>
          <w:bCs w:val="1"/>
          <w:color w:val="auto"/>
        </w:rPr>
        <w:t>Rejection Notice</w:t>
      </w:r>
      <w:r>
        <w:rPr>
          <w:rFonts w:ascii="Arial" w:cs="Arial" w:eastAsia="Arial" w:hAnsi="Arial"/>
          <w:sz w:val="16"/>
          <w:szCs w:val="16"/>
          <w:color w:val="auto"/>
        </w:rPr>
        <w:t>”) to the Administrative 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u w:val="single" w:color="auto"/>
          <w:color w:val="auto"/>
        </w:rPr>
        <w:t>Method and Place of Payment</w:t>
      </w:r>
      <w:r>
        <w:rPr>
          <w:rFonts w:ascii="Arial" w:cs="Arial" w:eastAsia="Arial" w:hAnsi="Arial"/>
          <w:sz w:val="15"/>
          <w:szCs w:val="15"/>
          <w:color w:val="auto"/>
        </w:rPr>
        <w:t>.</w:t>
      </w:r>
    </w:p>
    <w:p>
      <w:pPr>
        <w:spacing w:after="0" w:line="191" w:lineRule="exact"/>
        <w:rPr>
          <w:sz w:val="20"/>
          <w:szCs w:val="20"/>
          <w:color w:val="auto"/>
        </w:rPr>
      </w:pPr>
    </w:p>
    <w:p>
      <w:pPr>
        <w:ind w:firstLine="622"/>
        <w:spacing w:after="0" w:line="216" w:lineRule="auto"/>
        <w:tabs>
          <w:tab w:leader="none" w:pos="123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180"/>
          </w:cols>
          <w:pgMar w:left="320" w:top="1440" w:right="399" w:bottom="1440" w:gutter="0" w:footer="0" w:header="0"/>
        </w:sectPr>
      </w:pPr>
    </w:p>
    <w:bookmarkStart w:id="108" w:name="page109"/>
    <w:bookmarkEnd w:id="108"/>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constitute the making of such payment to the extent of such funds held in such account. All repayments or prepayments of any Loans (whether of principal, interest</w:t>
      </w:r>
    </w:p>
    <w:p>
      <w:pPr>
        <w:spacing w:after="0" w:line="22"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2:00 p.m. (New York City time) or, otherwise, on the next Business Day in the Administrative Agent’s</w:t>
      </w:r>
    </w:p>
    <w:p>
      <w:pPr>
        <w:spacing w:after="0"/>
        <w:rPr>
          <w:sz w:val="20"/>
          <w:szCs w:val="20"/>
          <w:color w:val="auto"/>
        </w:rPr>
      </w:pPr>
      <w:r>
        <w:rPr>
          <w:rFonts w:ascii="Arial" w:cs="Arial" w:eastAsia="Arial" w:hAnsi="Arial"/>
          <w:sz w:val="17"/>
          <w:szCs w:val="17"/>
          <w:color w:val="auto"/>
        </w:rPr>
        <w:t>sole discretion) like funds relating to the payment of principal or interest or Fees ratably to the Lenders entitled thereto.</w:t>
      </w:r>
    </w:p>
    <w:p>
      <w:pPr>
        <w:spacing w:after="0" w:line="164" w:lineRule="exact"/>
        <w:rPr>
          <w:sz w:val="20"/>
          <w:szCs w:val="20"/>
          <w:color w:val="auto"/>
        </w:rPr>
      </w:pPr>
    </w:p>
    <w:p>
      <w:pPr>
        <w:ind w:right="20" w:firstLine="622"/>
        <w:spacing w:after="0" w:line="221" w:lineRule="auto"/>
        <w:tabs>
          <w:tab w:leader="none" w:pos="12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payments under this Agreement that are made later than 2:00 p.m. (New York City time) may be deemed to have been made on the next succeeding Business Day in the Administrative Agent’s sole discretion for purposes of calculating interest thereon (or, in the case of the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u w:val="single" w:color="auto"/>
          <w:color w:val="auto"/>
        </w:rPr>
        <w:t>Net Payments</w:t>
      </w:r>
      <w:r>
        <w:rPr>
          <w:rFonts w:ascii="Arial" w:cs="Arial" w:eastAsia="Arial" w:hAnsi="Arial"/>
          <w:sz w:val="15"/>
          <w:szCs w:val="15"/>
          <w:color w:val="auto"/>
        </w:rPr>
        <w:t>.</w:t>
      </w:r>
    </w:p>
    <w:p>
      <w:pPr>
        <w:spacing w:after="0" w:line="178" w:lineRule="exact"/>
        <w:rPr>
          <w:sz w:val="20"/>
          <w:szCs w:val="20"/>
          <w:color w:val="auto"/>
        </w:rPr>
      </w:pPr>
    </w:p>
    <w:p>
      <w:pPr>
        <w:ind w:left="1240" w:hanging="618"/>
        <w:spacing w:after="0"/>
        <w:tabs>
          <w:tab w:leader="none" w:pos="124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0" w:firstLine="869"/>
        <w:spacing w:after="0" w:line="248" w:lineRule="auto"/>
        <w:tabs>
          <w:tab w:leader="none" w:pos="1238"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150" w:lineRule="exact"/>
        <w:rPr>
          <w:rFonts w:ascii="Arial" w:cs="Arial" w:eastAsia="Arial" w:hAnsi="Arial"/>
          <w:sz w:val="17"/>
          <w:szCs w:val="17"/>
          <w:color w:val="auto"/>
        </w:rPr>
      </w:pPr>
    </w:p>
    <w:p>
      <w:pPr>
        <w:ind w:right="40" w:firstLine="869"/>
        <w:spacing w:after="0" w:line="232" w:lineRule="auto"/>
        <w:tabs>
          <w:tab w:leader="none" w:pos="123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If any Credit Party, the Administrative Agent or any other applicable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60" w:lineRule="exact"/>
        <w:rPr>
          <w:rFonts w:ascii="Arial" w:cs="Arial" w:eastAsia="Arial" w:hAnsi="Arial"/>
          <w:sz w:val="16"/>
          <w:szCs w:val="16"/>
          <w:color w:val="auto"/>
        </w:rPr>
      </w:pPr>
    </w:p>
    <w:p>
      <w:pPr>
        <w:ind w:firstLine="622"/>
        <w:spacing w:after="0" w:line="231" w:lineRule="auto"/>
        <w:tabs>
          <w:tab w:leader="none" w:pos="1238"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w:t>
      </w:r>
      <w:r>
        <w:rPr>
          <w:rFonts w:ascii="Arial" w:cs="Arial" w:eastAsia="Arial" w:hAnsi="Arial"/>
          <w:sz w:val="17"/>
          <w:szCs w:val="17"/>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57" w:lineRule="exact"/>
        <w:rPr>
          <w:rFonts w:ascii="Arial" w:cs="Arial" w:eastAsia="Arial" w:hAnsi="Arial"/>
          <w:sz w:val="17"/>
          <w:szCs w:val="17"/>
          <w:color w:val="auto"/>
        </w:rPr>
      </w:pPr>
    </w:p>
    <w:p>
      <w:pPr>
        <w:ind w:firstLine="622"/>
        <w:spacing w:after="0" w:line="230" w:lineRule="auto"/>
        <w:tabs>
          <w:tab w:leader="none" w:pos="123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Without limiting the provisions of subsection (a) or (b) above, the Borrower shall indemnify the Administrative Agent and each Lender, and shall make payment in respect thereof within 15 days after demand therefor, for the full amount of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payable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170" w:lineRule="exact"/>
        <w:rPr>
          <w:rFonts w:ascii="Arial" w:cs="Arial" w:eastAsia="Arial" w:hAnsi="Arial"/>
          <w:sz w:val="16"/>
          <w:szCs w:val="16"/>
          <w:color w:val="auto"/>
        </w:rPr>
      </w:pPr>
    </w:p>
    <w:p>
      <w:pPr>
        <w:jc w:val="both"/>
        <w:ind w:right="100" w:firstLine="622"/>
        <w:spacing w:after="0" w:line="238" w:lineRule="auto"/>
        <w:tabs>
          <w:tab w:leader="none" w:pos="123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After any payment of Taxes by any Credit Party or the Administrative Agent to a Governmental Authority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06" w:lineRule="exact"/>
        <w:rPr>
          <w:sz w:val="20"/>
          <w:szCs w:val="20"/>
          <w:color w:val="auto"/>
        </w:rPr>
      </w:pPr>
    </w:p>
    <w:p>
      <w:pPr>
        <w:ind w:left="1220" w:hanging="618"/>
        <w:spacing w:after="0"/>
        <w:tabs>
          <w:tab w:leader="none" w:pos="122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Status of Lenders and Tax Documentation</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20" w:firstLine="869"/>
        <w:spacing w:after="0" w:line="228" w:lineRule="auto"/>
        <w:tabs>
          <w:tab w:leader="none" w:pos="121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(including any specific documentation set forth in subsection (ii) below) shall be delivered by such Lender (i) on or prior to the Second Restatement Effective Date (or on or prior to the date it becomes a party to this Agreement), (ii) on or before any date on which such documentation expires or becomes obsolete or invalid, (iii)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w:t>
      </w:r>
    </w:p>
    <w:p>
      <w:pPr>
        <w:spacing w:after="0" w:line="171" w:lineRule="exact"/>
        <w:rPr>
          <w:rFonts w:ascii="Arial" w:cs="Arial" w:eastAsia="Arial" w:hAnsi="Arial"/>
          <w:sz w:val="16"/>
          <w:szCs w:val="16"/>
          <w:color w:val="auto"/>
        </w:rPr>
      </w:pPr>
    </w:p>
    <w:p>
      <w:pPr>
        <w:ind w:left="1220" w:hanging="371"/>
        <w:spacing w:after="0"/>
        <w:tabs>
          <w:tab w:leader="none" w:pos="12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Without limiting the generality of the foregoing:</w:t>
      </w:r>
    </w:p>
    <w:p>
      <w:pPr>
        <w:spacing w:after="0" w:line="172" w:lineRule="exact"/>
        <w:rPr>
          <w:rFonts w:ascii="Arial" w:cs="Arial" w:eastAsia="Arial" w:hAnsi="Arial"/>
          <w:sz w:val="17"/>
          <w:szCs w:val="17"/>
          <w:color w:val="auto"/>
        </w:rPr>
      </w:pPr>
    </w:p>
    <w:p>
      <w:pPr>
        <w:ind w:left="600" w:right="200" w:firstLine="621"/>
        <w:spacing w:after="0" w:line="262" w:lineRule="auto"/>
        <w:tabs>
          <w:tab w:leader="none" w:pos="1838" w:val="left"/>
        </w:tabs>
        <w:numPr>
          <w:ilvl w:val="2"/>
          <w:numId w:val="105"/>
        </w:numPr>
        <w:rPr>
          <w:rFonts w:ascii="Arial" w:cs="Arial" w:eastAsia="Arial" w:hAnsi="Arial"/>
          <w:sz w:val="15"/>
          <w:szCs w:val="15"/>
          <w:color w:val="auto"/>
        </w:rPr>
      </w:pPr>
      <w:r>
        <w:rPr>
          <w:rFonts w:ascii="Arial" w:cs="Arial" w:eastAsia="Arial" w:hAnsi="Arial"/>
          <w:sz w:val="15"/>
          <w:szCs w:val="15"/>
          <w:color w:val="auto"/>
        </w:rPr>
        <w:t>any Lender that is a “United States person” within the meaning of Section 7701(a)(30) of the Code (a “</w:t>
      </w:r>
      <w:r>
        <w:rPr>
          <w:rFonts w:ascii="Arial" w:cs="Arial" w:eastAsia="Arial" w:hAnsi="Arial"/>
          <w:sz w:val="15"/>
          <w:szCs w:val="15"/>
          <w:b w:val="1"/>
          <w:bCs w:val="1"/>
          <w:color w:val="auto"/>
        </w:rPr>
        <w:t>U.S. Lender</w:t>
      </w:r>
      <w:r>
        <w:rPr>
          <w:rFonts w:ascii="Arial" w:cs="Arial" w:eastAsia="Arial" w:hAnsi="Arial"/>
          <w:sz w:val="15"/>
          <w:szCs w:val="15"/>
          <w:color w:val="auto"/>
        </w:rPr>
        <w:t>”)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42" w:lineRule="exact"/>
        <w:rPr>
          <w:rFonts w:ascii="Arial" w:cs="Arial" w:eastAsia="Arial" w:hAnsi="Arial"/>
          <w:sz w:val="15"/>
          <w:szCs w:val="15"/>
          <w:color w:val="auto"/>
        </w:rPr>
      </w:pPr>
    </w:p>
    <w:p>
      <w:pPr>
        <w:ind w:left="600" w:right="140" w:firstLine="621"/>
        <w:spacing w:after="0" w:line="231" w:lineRule="auto"/>
        <w:tabs>
          <w:tab w:leader="none" w:pos="1838" w:val="left"/>
        </w:tabs>
        <w:numPr>
          <w:ilvl w:val="2"/>
          <w:numId w:val="105"/>
        </w:numPr>
        <w:rPr>
          <w:rFonts w:ascii="Arial" w:cs="Arial" w:eastAsia="Arial" w:hAnsi="Arial"/>
          <w:sz w:val="17"/>
          <w:szCs w:val="17"/>
          <w:color w:val="auto"/>
        </w:rPr>
      </w:pPr>
      <w:r>
        <w:rPr>
          <w:rFonts w:ascii="Arial" w:cs="Arial" w:eastAsia="Arial" w:hAnsi="Arial"/>
          <w:sz w:val="17"/>
          <w:szCs w:val="17"/>
          <w:color w:val="auto"/>
        </w:rPr>
        <w:t>each Non-U.S. Lender that is entitled under the Code or any applicable treaty to an exemption from or reduction of U.S. federal withholding tax with respect to any payments hereunder or under any other Credit Document shall deliver to the Borrower and the Administrative Agent (in such number of copies as shall be requested by the recipient) whichever of the following is applicable:</w:t>
      </w:r>
    </w:p>
    <w:p>
      <w:pPr>
        <w:spacing w:after="0" w:line="157" w:lineRule="exact"/>
        <w:rPr>
          <w:rFonts w:ascii="Arial" w:cs="Arial" w:eastAsia="Arial" w:hAnsi="Arial"/>
          <w:sz w:val="17"/>
          <w:szCs w:val="17"/>
          <w:color w:val="auto"/>
        </w:rPr>
      </w:pPr>
    </w:p>
    <w:p>
      <w:pPr>
        <w:ind w:left="1220" w:right="460" w:firstLine="620"/>
        <w:spacing w:after="0" w:line="248" w:lineRule="auto"/>
        <w:tabs>
          <w:tab w:leader="none" w:pos="2211" w:val="left"/>
        </w:tabs>
        <w:numPr>
          <w:ilvl w:val="3"/>
          <w:numId w:val="105"/>
        </w:numPr>
        <w:rPr>
          <w:rFonts w:ascii="Arial" w:cs="Arial" w:eastAsia="Arial" w:hAnsi="Arial"/>
          <w:sz w:val="17"/>
          <w:szCs w:val="17"/>
          <w:color w:val="010000"/>
        </w:rPr>
      </w:pPr>
      <w:r>
        <w:rPr>
          <w:rFonts w:ascii="Arial" w:cs="Arial" w:eastAsia="Arial" w:hAnsi="Arial"/>
          <w:sz w:val="17"/>
          <w:szCs w:val="17"/>
          <w:color w:val="auto"/>
        </w:rPr>
        <w:t>executed originals of Internal Revenue Service Form W-8BEN or W-8BEN-E, as applicable, (or any successor form thereto) claiming eligibility for benefits of an income tax treaty to which the United States is a party;</w:t>
      </w:r>
    </w:p>
    <w:p>
      <w:pPr>
        <w:spacing w:after="0" w:line="150" w:lineRule="exact"/>
        <w:rPr>
          <w:rFonts w:ascii="Arial" w:cs="Arial" w:eastAsia="Arial" w:hAnsi="Arial"/>
          <w:sz w:val="17"/>
          <w:szCs w:val="17"/>
          <w:color w:val="010000"/>
        </w:rPr>
      </w:pPr>
    </w:p>
    <w:p>
      <w:pPr>
        <w:ind w:left="2220" w:hanging="380"/>
        <w:spacing w:after="0"/>
        <w:tabs>
          <w:tab w:leader="none" w:pos="2220" w:val="left"/>
        </w:tabs>
        <w:numPr>
          <w:ilvl w:val="3"/>
          <w:numId w:val="105"/>
        </w:numPr>
        <w:rPr>
          <w:rFonts w:ascii="Arial" w:cs="Arial" w:eastAsia="Arial" w:hAnsi="Arial"/>
          <w:sz w:val="17"/>
          <w:szCs w:val="17"/>
          <w:color w:val="010000"/>
        </w:rPr>
      </w:pPr>
      <w:r>
        <w:rPr>
          <w:rFonts w:ascii="Arial" w:cs="Arial" w:eastAsia="Arial" w:hAnsi="Arial"/>
          <w:sz w:val="17"/>
          <w:szCs w:val="17"/>
          <w:color w:val="auto"/>
        </w:rPr>
        <w:t>executed originals of Internal Revenue Service Form W-8ECI (or any successor form thereto);</w:t>
      </w:r>
    </w:p>
    <w:p>
      <w:pPr>
        <w:spacing w:after="0" w:line="178" w:lineRule="exact"/>
        <w:rPr>
          <w:rFonts w:ascii="Arial" w:cs="Arial" w:eastAsia="Arial" w:hAnsi="Arial"/>
          <w:sz w:val="17"/>
          <w:szCs w:val="17"/>
          <w:color w:val="010000"/>
        </w:rPr>
      </w:pPr>
    </w:p>
    <w:p>
      <w:pPr>
        <w:ind w:left="1220" w:firstLine="620"/>
        <w:spacing w:after="0" w:line="234" w:lineRule="auto"/>
        <w:tabs>
          <w:tab w:leader="none" w:pos="2211" w:val="left"/>
        </w:tabs>
        <w:numPr>
          <w:ilvl w:val="3"/>
          <w:numId w:val="105"/>
        </w:numPr>
        <w:rPr>
          <w:rFonts w:ascii="Arial" w:cs="Arial" w:eastAsia="Arial" w:hAnsi="Arial"/>
          <w:sz w:val="16"/>
          <w:szCs w:val="16"/>
          <w:color w:val="010000"/>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J-4</w:t>
      </w:r>
      <w:r>
        <w:rPr>
          <w:rFonts w:ascii="Arial" w:cs="Arial" w:eastAsia="Arial" w:hAnsi="Arial"/>
          <w:sz w:val="16"/>
          <w:szCs w:val="16"/>
          <w:color w:val="auto"/>
        </w:rPr>
        <w:t>,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 Lender’s conduct of a United States trade or business and (y) executed originals of Internal Revenue Service Form W-8BEN or W-8BEN-E, as applicable (or any successor thereto);</w:t>
      </w:r>
    </w:p>
    <w:p>
      <w:pPr>
        <w:spacing w:after="0" w:line="161" w:lineRule="exact"/>
        <w:rPr>
          <w:rFonts w:ascii="Arial" w:cs="Arial" w:eastAsia="Arial" w:hAnsi="Arial"/>
          <w:sz w:val="16"/>
          <w:szCs w:val="16"/>
          <w:color w:val="010000"/>
        </w:rPr>
      </w:pPr>
    </w:p>
    <w:p>
      <w:pPr>
        <w:ind w:left="1220" w:right="60" w:firstLine="620"/>
        <w:spacing w:after="0" w:line="238" w:lineRule="auto"/>
        <w:tabs>
          <w:tab w:leader="none" w:pos="2211" w:val="left"/>
        </w:tabs>
        <w:numPr>
          <w:ilvl w:val="3"/>
          <w:numId w:val="105"/>
        </w:numPr>
        <w:rPr>
          <w:rFonts w:ascii="Arial" w:cs="Arial" w:eastAsia="Arial" w:hAnsi="Arial"/>
          <w:sz w:val="16"/>
          <w:szCs w:val="16"/>
          <w:color w:val="010000"/>
        </w:rPr>
      </w:pPr>
      <w:r>
        <w:rPr>
          <w:rFonts w:ascii="Arial" w:cs="Arial" w:eastAsia="Arial" w:hAnsi="Arial"/>
          <w:sz w:val="16"/>
          <w:szCs w:val="16"/>
          <w:color w:val="auto"/>
        </w:rPr>
        <w:t>where such Lender is a partnership (for U.S. federal income tax purposes) or otherwise not a beneficial owner (e.g., where such Lender has sold a participation), IRS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Non-U.S. Lender is a partnership and not a participating Lender, the Non-Bank Tax Certificate(s) may be provided by the Non-U.S. Lender on behalf of the direct or indirect partner(s)); or</w:t>
      </w:r>
    </w:p>
    <w:p>
      <w:pPr>
        <w:spacing w:after="0" w:line="157" w:lineRule="exact"/>
        <w:rPr>
          <w:rFonts w:ascii="Arial" w:cs="Arial" w:eastAsia="Arial" w:hAnsi="Arial"/>
          <w:sz w:val="16"/>
          <w:szCs w:val="16"/>
          <w:color w:val="010000"/>
        </w:rPr>
      </w:pPr>
    </w:p>
    <w:p>
      <w:pPr>
        <w:ind w:left="1220" w:right="20" w:firstLine="620"/>
        <w:spacing w:after="0" w:line="236" w:lineRule="auto"/>
        <w:tabs>
          <w:tab w:leader="none" w:pos="2211" w:val="left"/>
        </w:tabs>
        <w:numPr>
          <w:ilvl w:val="3"/>
          <w:numId w:val="105"/>
        </w:numPr>
        <w:rPr>
          <w:rFonts w:ascii="Arial" w:cs="Arial" w:eastAsia="Arial" w:hAnsi="Arial"/>
          <w:sz w:val="17"/>
          <w:szCs w:val="17"/>
          <w:color w:val="010000"/>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20"/>
          </w:cols>
          <w:pgMar w:left="340" w:top="1440" w:right="339" w:bottom="1440" w:gutter="0" w:footer="0" w:header="0"/>
        </w:sectPr>
      </w:pPr>
    </w:p>
    <w:bookmarkStart w:id="110" w:name="page111"/>
    <w:bookmarkEnd w:id="110"/>
    <w:p>
      <w:pPr>
        <w:spacing w:after="0" w:line="106" w:lineRule="exact"/>
        <w:rPr>
          <w:sz w:val="20"/>
          <w:szCs w:val="20"/>
          <w:color w:val="auto"/>
        </w:rPr>
      </w:pPr>
    </w:p>
    <w:p>
      <w:pPr>
        <w:ind w:left="1220"/>
        <w:spacing w:after="0" w:line="248" w:lineRule="auto"/>
        <w:rPr>
          <w:sz w:val="20"/>
          <w:szCs w:val="20"/>
          <w:color w:val="auto"/>
        </w:rPr>
      </w:pPr>
      <w:r>
        <w:rPr>
          <w:rFonts w:ascii="Arial" w:cs="Arial" w:eastAsia="Arial" w:hAnsi="Arial"/>
          <w:sz w:val="17"/>
          <w:szCs w:val="17"/>
          <w:color w:val="auto"/>
        </w:rPr>
        <w:t>such supplementary documentation as may be prescribed by applicable laws to permit the Borrower or the Administrative Agent to determine the withholding or deduction required to be made;</w:t>
      </w:r>
    </w:p>
    <w:p>
      <w:pPr>
        <w:spacing w:after="0" w:line="150" w:lineRule="exact"/>
        <w:rPr>
          <w:sz w:val="20"/>
          <w:szCs w:val="20"/>
          <w:color w:val="auto"/>
        </w:rPr>
      </w:pPr>
    </w:p>
    <w:p>
      <w:pPr>
        <w:ind w:left="600" w:right="20" w:firstLine="621"/>
        <w:spacing w:after="0" w:line="230" w:lineRule="auto"/>
        <w:tabs>
          <w:tab w:leader="none" w:pos="1838"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6"/>
          <w:szCs w:val="16"/>
          <w:u w:val="single" w:color="auto"/>
          <w:color w:val="auto"/>
        </w:rPr>
        <w:t>clause (C)</w:t>
      </w:r>
      <w:r>
        <w:rPr>
          <w:rFonts w:ascii="Arial" w:cs="Arial" w:eastAsia="Arial" w:hAnsi="Arial"/>
          <w:sz w:val="16"/>
          <w:szCs w:val="16"/>
          <w:color w:val="auto"/>
        </w:rPr>
        <w:t>, “FATCA” shall include any amendments made to FATCA after the date of this Agreement; and</w:t>
      </w:r>
    </w:p>
    <w:p>
      <w:pPr>
        <w:spacing w:after="0" w:line="175" w:lineRule="exact"/>
        <w:rPr>
          <w:rFonts w:ascii="Arial" w:cs="Arial" w:eastAsia="Arial" w:hAnsi="Arial"/>
          <w:sz w:val="16"/>
          <w:szCs w:val="16"/>
          <w:color w:val="auto"/>
        </w:rPr>
      </w:pPr>
    </w:p>
    <w:p>
      <w:pPr>
        <w:ind w:left="600" w:firstLine="621"/>
        <w:spacing w:after="0" w:line="224" w:lineRule="auto"/>
        <w:tabs>
          <w:tab w:leader="none" w:pos="1838" w:val="left"/>
        </w:tabs>
        <w:numPr>
          <w:ilvl w:val="2"/>
          <w:numId w:val="106"/>
        </w:numPr>
        <w:rPr>
          <w:rFonts w:ascii="Arial" w:cs="Arial" w:eastAsia="Arial" w:hAnsi="Arial"/>
          <w:sz w:val="17"/>
          <w:szCs w:val="17"/>
          <w:color w:val="auto"/>
        </w:rPr>
      </w:pPr>
      <w:r>
        <w:rPr>
          <w:rFonts w:ascii="Arial" w:cs="Arial" w:eastAsia="Arial" w:hAnsi="Arial"/>
          <w:sz w:val="17"/>
          <w:szCs w:val="17"/>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 of the Code), it shall provide applicable Form W-8 (together with required accompanying documentation) with respect to payments to be received by it on behalf of the Lenders.</w:t>
      </w:r>
    </w:p>
    <w:p>
      <w:pPr>
        <w:spacing w:after="0" w:line="159" w:lineRule="exact"/>
        <w:rPr>
          <w:rFonts w:ascii="Arial" w:cs="Arial" w:eastAsia="Arial" w:hAnsi="Arial"/>
          <w:sz w:val="17"/>
          <w:szCs w:val="17"/>
          <w:color w:val="auto"/>
        </w:rPr>
      </w:pPr>
    </w:p>
    <w:p>
      <w:pPr>
        <w:ind w:left="-20" w:right="940" w:firstLine="869"/>
        <w:spacing w:after="0" w:line="236" w:lineRule="auto"/>
        <w:tabs>
          <w:tab w:leader="none" w:pos="121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5.4</w:t>
      </w:r>
      <w:r>
        <w:rPr>
          <w:rFonts w:ascii="Arial" w:cs="Arial" w:eastAsia="Arial" w:hAnsi="Arial"/>
          <w:sz w:val="17"/>
          <w:szCs w:val="17"/>
          <w:color w:val="auto"/>
        </w:rPr>
        <w:t>, no Lender or the Administrative Agent shall be required to deliver any documentation that it is not legally eligible to deliver.</w:t>
      </w:r>
    </w:p>
    <w:p>
      <w:pPr>
        <w:spacing w:after="0" w:line="169" w:lineRule="exact"/>
        <w:rPr>
          <w:rFonts w:ascii="Arial" w:cs="Arial" w:eastAsia="Arial" w:hAnsi="Arial"/>
          <w:sz w:val="17"/>
          <w:szCs w:val="17"/>
          <w:color w:val="auto"/>
        </w:rPr>
      </w:pPr>
    </w:p>
    <w:p>
      <w:pPr>
        <w:ind w:left="-20" w:firstLine="622"/>
        <w:spacing w:after="0" w:line="227" w:lineRule="auto"/>
        <w:tabs>
          <w:tab w:leader="none" w:pos="121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it deems confidential). Notwithstanding anything to the contrary in this paragraph (f), in no event will the Administrative Agent or any Lender be required to pay any amount to an indemnifying party pursuant to this paragraph (f)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161" w:lineRule="exact"/>
        <w:rPr>
          <w:rFonts w:ascii="Arial" w:cs="Arial" w:eastAsia="Arial" w:hAnsi="Arial"/>
          <w:sz w:val="16"/>
          <w:szCs w:val="16"/>
          <w:color w:val="auto"/>
        </w:rPr>
      </w:pPr>
    </w:p>
    <w:p>
      <w:pPr>
        <w:ind w:left="-20" w:right="240" w:firstLine="622"/>
        <w:spacing w:after="0" w:line="248" w:lineRule="auto"/>
        <w:tabs>
          <w:tab w:leader="none" w:pos="121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For the avoidance of doubt, for purposes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the term “Lender” includes any Letter of Credit Issuer and any Swingline Lender and the term “applicable law” includes FATCA.</w:t>
      </w:r>
    </w:p>
    <w:p>
      <w:pPr>
        <w:spacing w:after="0" w:line="150" w:lineRule="exact"/>
        <w:rPr>
          <w:rFonts w:ascii="Arial" w:cs="Arial" w:eastAsia="Arial" w:hAnsi="Arial"/>
          <w:sz w:val="17"/>
          <w:szCs w:val="17"/>
          <w:color w:val="auto"/>
        </w:rPr>
      </w:pPr>
    </w:p>
    <w:p>
      <w:pPr>
        <w:ind w:left="-20" w:right="300" w:firstLine="622"/>
        <w:spacing w:after="0" w:line="231" w:lineRule="auto"/>
        <w:tabs>
          <w:tab w:leader="none" w:pos="121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Each party’s obligations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00"/>
          </w:cols>
          <w:pgMar w:left="340" w:top="1440" w:right="359" w:bottom="1440" w:gutter="0" w:footer="0" w:header="0"/>
        </w:sectPr>
      </w:pPr>
    </w:p>
    <w:bookmarkStart w:id="111" w:name="page112"/>
    <w:bookmarkEnd w:id="111"/>
    <w:p>
      <w:pPr>
        <w:spacing w:after="0" w:line="10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5"/>
          <w:szCs w:val="15"/>
          <w:u w:val="single" w:color="auto"/>
          <w:color w:val="auto"/>
        </w:rPr>
        <w:t>Computations of Interest and Fees</w:t>
      </w:r>
      <w:r>
        <w:rPr>
          <w:rFonts w:ascii="Arial" w:cs="Arial" w:eastAsia="Arial" w:hAnsi="Arial"/>
          <w:sz w:val="15"/>
          <w:szCs w:val="15"/>
          <w:color w:val="auto"/>
        </w:rPr>
        <w:t>.</w:t>
      </w:r>
    </w:p>
    <w:p>
      <w:pPr>
        <w:spacing w:after="0" w:line="191" w:lineRule="exact"/>
        <w:rPr>
          <w:sz w:val="20"/>
          <w:szCs w:val="20"/>
          <w:color w:val="auto"/>
        </w:rPr>
      </w:pPr>
    </w:p>
    <w:p>
      <w:pPr>
        <w:ind w:right="420" w:firstLine="622"/>
        <w:spacing w:after="0" w:line="295" w:lineRule="auto"/>
        <w:tabs>
          <w:tab w:leader="none" w:pos="123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Except as provided in the next succeeding sentence, interest on Term SOFR Loans shall be calculated on the basis of a 360-day year for the actual days elapsed. Interest on ABR Loans shall be calculated on the basis of a 365- (or 366-, as the case may be) day year for the actual days elapsed.</w:t>
      </w:r>
    </w:p>
    <w:p>
      <w:pPr>
        <w:spacing w:after="0" w:line="117" w:lineRule="exact"/>
        <w:rPr>
          <w:rFonts w:ascii="Arial" w:cs="Arial" w:eastAsia="Arial" w:hAnsi="Arial"/>
          <w:sz w:val="15"/>
          <w:szCs w:val="15"/>
          <w:color w:val="auto"/>
        </w:rPr>
      </w:pPr>
    </w:p>
    <w:p>
      <w:pPr>
        <w:ind w:left="1240" w:hanging="618"/>
        <w:spacing w:after="0"/>
        <w:tabs>
          <w:tab w:leader="none" w:pos="12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Fees and the average daily Stated Amount of Letters of Credit shall be calculated on the basis of a 360-day year for the actual days elapsed.</w:t>
      </w:r>
    </w:p>
    <w:p>
      <w:pPr>
        <w:spacing w:after="0" w:line="20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5.6</w:t>
      </w:r>
      <w:r>
        <w:rPr>
          <w:rFonts w:ascii="Arial" w:cs="Arial" w:eastAsia="Arial" w:hAnsi="Arial"/>
          <w:sz w:val="15"/>
          <w:szCs w:val="15"/>
          <w:u w:val="single" w:color="auto"/>
          <w:color w:val="auto"/>
        </w:rPr>
        <w:t>Limit on Rate of Interest</w:t>
      </w:r>
      <w:r>
        <w:rPr>
          <w:rFonts w:ascii="Arial" w:cs="Arial" w:eastAsia="Arial" w:hAnsi="Arial"/>
          <w:sz w:val="15"/>
          <w:szCs w:val="15"/>
          <w:color w:val="auto"/>
        </w:rPr>
        <w:t>.</w:t>
      </w:r>
    </w:p>
    <w:p>
      <w:pPr>
        <w:spacing w:after="0" w:line="178" w:lineRule="exact"/>
        <w:rPr>
          <w:sz w:val="20"/>
          <w:szCs w:val="20"/>
          <w:color w:val="auto"/>
        </w:rPr>
      </w:pPr>
    </w:p>
    <w:p>
      <w:pPr>
        <w:ind w:right="60" w:firstLine="622"/>
        <w:spacing w:after="0" w:line="231" w:lineRule="auto"/>
        <w:tabs>
          <w:tab w:leader="none" w:pos="123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Payment Shall Exceed Lawful Rate</w:t>
      </w:r>
      <w:r>
        <w:rPr>
          <w:rFonts w:ascii="Arial" w:cs="Arial" w:eastAsia="Arial" w:hAnsi="Arial"/>
          <w:sz w:val="17"/>
          <w:szCs w:val="17"/>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57" w:lineRule="exact"/>
        <w:rPr>
          <w:rFonts w:ascii="Arial" w:cs="Arial" w:eastAsia="Arial" w:hAnsi="Arial"/>
          <w:sz w:val="17"/>
          <w:szCs w:val="17"/>
          <w:color w:val="auto"/>
        </w:rPr>
      </w:pPr>
    </w:p>
    <w:p>
      <w:pPr>
        <w:ind w:right="280" w:firstLine="622"/>
        <w:spacing w:after="0" w:line="295" w:lineRule="auto"/>
        <w:tabs>
          <w:tab w:leader="none" w:pos="1238"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Payment at Highest Lawful Rate</w:t>
      </w:r>
      <w:r>
        <w:rPr>
          <w:rFonts w:ascii="Arial" w:cs="Arial" w:eastAsia="Arial" w:hAnsi="Arial"/>
          <w:sz w:val="15"/>
          <w:szCs w:val="15"/>
          <w:color w:val="auto"/>
        </w:rPr>
        <w:t xml:space="preserve">. If the Borrower is not obliged to make a payment that it would otherwise be required to make, as a result of </w:t>
      </w:r>
      <w:r>
        <w:rPr>
          <w:rFonts w:ascii="Arial" w:cs="Arial" w:eastAsia="Arial" w:hAnsi="Arial"/>
          <w:sz w:val="15"/>
          <w:szCs w:val="15"/>
          <w:u w:val="single" w:color="auto"/>
          <w:color w:val="auto"/>
        </w:rPr>
        <w:t>Section 5.6(a)</w:t>
      </w:r>
      <w:r>
        <w:rPr>
          <w:rFonts w:ascii="Arial" w:cs="Arial" w:eastAsia="Arial" w:hAnsi="Arial"/>
          <w:sz w:val="15"/>
          <w:szCs w:val="15"/>
          <w:color w:val="auto"/>
        </w:rPr>
        <w:t>, the Borrower shall make such payment to the maximum extent permitted by or consistent with applicable laws, rules, and regulations.</w:t>
      </w:r>
    </w:p>
    <w:p>
      <w:pPr>
        <w:spacing w:after="0" w:line="130" w:lineRule="exact"/>
        <w:rPr>
          <w:rFonts w:ascii="Arial" w:cs="Arial" w:eastAsia="Arial" w:hAnsi="Arial"/>
          <w:sz w:val="15"/>
          <w:szCs w:val="15"/>
          <w:color w:val="auto"/>
        </w:rPr>
      </w:pPr>
    </w:p>
    <w:p>
      <w:pPr>
        <w:ind w:firstLine="622"/>
        <w:spacing w:after="0" w:line="230" w:lineRule="auto"/>
        <w:tabs>
          <w:tab w:leader="none" w:pos="1238"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Adjustment if Any Payment Exceeds Lawful Rate</w:t>
      </w:r>
      <w:r>
        <w:rPr>
          <w:rFonts w:ascii="Arial" w:cs="Arial" w:eastAsia="Arial" w:hAnsi="Arial"/>
          <w:sz w:val="16"/>
          <w:szCs w:val="16"/>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Notwithstanding the foregoing, and after giving effect to all adjustments contemplated thereby, if any Lender shall have received from the Borrower an</w:t>
      </w:r>
    </w:p>
    <w:p>
      <w:pPr>
        <w:spacing w:after="0" w:line="11" w:lineRule="exact"/>
        <w:rPr>
          <w:sz w:val="20"/>
          <w:szCs w:val="20"/>
          <w:color w:val="auto"/>
        </w:rPr>
      </w:pPr>
    </w:p>
    <w:p>
      <w:pPr>
        <w:ind w:right="540"/>
        <w:spacing w:after="0" w:line="220" w:lineRule="auto"/>
        <w:rPr>
          <w:sz w:val="20"/>
          <w:szCs w:val="20"/>
          <w:color w:val="auto"/>
        </w:rPr>
      </w:pPr>
      <w:r>
        <w:rPr>
          <w:rFonts w:ascii="Arial" w:cs="Arial" w:eastAsia="Arial" w:hAnsi="Arial"/>
          <w:sz w:val="17"/>
          <w:szCs w:val="17"/>
          <w:color w:val="auto"/>
        </w:rPr>
        <w:t>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u w:val="single" w:color="auto"/>
          <w:color w:val="auto"/>
        </w:rPr>
        <w:t>Conditions Precedent to Initial Borrowing</w:t>
      </w:r>
    </w:p>
    <w:p>
      <w:pPr>
        <w:spacing w:after="0" w:line="178" w:lineRule="exact"/>
        <w:rPr>
          <w:sz w:val="20"/>
          <w:szCs w:val="20"/>
          <w:color w:val="auto"/>
        </w:rPr>
      </w:pPr>
    </w:p>
    <w:p>
      <w:pPr>
        <w:ind w:right="560" w:firstLine="619"/>
        <w:spacing w:after="0" w:line="236" w:lineRule="auto"/>
        <w:rPr>
          <w:sz w:val="20"/>
          <w:szCs w:val="20"/>
          <w:color w:val="auto"/>
        </w:rPr>
      </w:pPr>
      <w:r>
        <w:rPr>
          <w:rFonts w:ascii="Arial" w:cs="Arial" w:eastAsia="Arial" w:hAnsi="Arial"/>
          <w:sz w:val="17"/>
          <w:szCs w:val="17"/>
          <w:color w:val="auto"/>
        </w:rPr>
        <w:t>The obligation of any Lender to make any Loan hereunder on the Second Restatement Effective Date is subject to the satisfaction of the following conditions precedent, except as otherwise agreed between the Borrower and the Administrative Agent.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u w:val="single" w:color="auto"/>
          <w:color w:val="auto"/>
        </w:rPr>
        <w:t>Credit Documents</w:t>
      </w:r>
      <w:r>
        <w:rPr>
          <w:rFonts w:ascii="Arial" w:cs="Arial" w:eastAsia="Arial" w:hAnsi="Arial"/>
          <w:sz w:val="15"/>
          <w:szCs w:val="15"/>
          <w:color w:val="auto"/>
        </w:rPr>
        <w:t>.</w:t>
      </w:r>
    </w:p>
    <w:p>
      <w:pPr>
        <w:spacing w:after="0" w:line="178" w:lineRule="exact"/>
        <w:rPr>
          <w:sz w:val="20"/>
          <w:szCs w:val="20"/>
          <w:color w:val="auto"/>
        </w:rPr>
      </w:pPr>
    </w:p>
    <w:p>
      <w:pPr>
        <w:ind w:right="220" w:firstLine="619"/>
        <w:spacing w:after="0" w:line="236" w:lineRule="auto"/>
        <w:rPr>
          <w:sz w:val="20"/>
          <w:szCs w:val="20"/>
          <w:color w:val="auto"/>
        </w:rPr>
      </w:pPr>
      <w:r>
        <w:rPr>
          <w:rFonts w:ascii="Arial" w:cs="Arial" w:eastAsia="Arial" w:hAnsi="Arial"/>
          <w:sz w:val="17"/>
          <w:szCs w:val="17"/>
          <w:color w:val="auto"/>
        </w:rPr>
        <w:t xml:space="preserve">The Administrative Agent (or its counsel) shall have received the Second Restatement Agreement, executed and delivered by the Administrative Agent, each Lender listed on </w:t>
      </w:r>
      <w:r>
        <w:rPr>
          <w:rFonts w:ascii="Arial" w:cs="Arial" w:eastAsia="Arial" w:hAnsi="Arial"/>
          <w:sz w:val="17"/>
          <w:szCs w:val="17"/>
          <w:u w:val="single" w:color="auto"/>
          <w:color w:val="auto"/>
        </w:rPr>
        <w:t>Schedule 1.1(b)</w:t>
      </w:r>
      <w:r>
        <w:rPr>
          <w:rFonts w:ascii="Arial" w:cs="Arial" w:eastAsia="Arial" w:hAnsi="Arial"/>
          <w:sz w:val="17"/>
          <w:szCs w:val="17"/>
          <w:color w:val="auto"/>
        </w:rPr>
        <w:t>, each Letter of Credit Issuer, Holdings, the Borrower and each Guarantor.</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u w:val="single" w:color="auto"/>
          <w:color w:val="auto"/>
        </w:rPr>
        <w:t>Collateral</w:t>
      </w:r>
      <w:r>
        <w:rPr>
          <w:rFonts w:ascii="Arial" w:cs="Arial" w:eastAsia="Arial" w:hAnsi="Arial"/>
          <w:sz w:val="15"/>
          <w:szCs w:val="15"/>
          <w:color w:val="auto"/>
        </w:rPr>
        <w:t>. Except for any items referred to on</w:t>
      </w:r>
      <w:r>
        <w:rPr>
          <w:rFonts w:ascii="Arial" w:cs="Arial" w:eastAsia="Arial" w:hAnsi="Arial"/>
          <w:sz w:val="15"/>
          <w:szCs w:val="15"/>
          <w:u w:val="single" w:color="auto"/>
          <w:color w:val="auto"/>
        </w:rPr>
        <w:t xml:space="preserve"> Schedule 9.14</w:t>
      </w:r>
      <w:r>
        <w:rPr>
          <w:rFonts w:ascii="Arial" w:cs="Arial" w:eastAsia="Arial" w:hAnsi="Arial"/>
          <w:sz w:val="15"/>
          <w:szCs w:val="15"/>
          <w:color w:val="auto"/>
        </w:rPr>
        <w:t>:</w:t>
      </w:r>
    </w:p>
    <w:p>
      <w:pPr>
        <w:spacing w:after="0" w:line="178" w:lineRule="exact"/>
        <w:rPr>
          <w:sz w:val="20"/>
          <w:szCs w:val="20"/>
          <w:color w:val="auto"/>
        </w:rPr>
      </w:pPr>
    </w:p>
    <w:p>
      <w:pPr>
        <w:ind w:left="1860" w:hanging="619"/>
        <w:spacing w:after="0"/>
        <w:tabs>
          <w:tab w:leader="none" w:pos="18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Collateral Agent shall have received updated schedules to the Security Agreement;</w:t>
      </w:r>
    </w:p>
    <w:p>
      <w:pPr>
        <w:spacing w:after="0" w:line="178" w:lineRule="exact"/>
        <w:rPr>
          <w:rFonts w:ascii="Arial" w:cs="Arial" w:eastAsia="Arial" w:hAnsi="Arial"/>
          <w:sz w:val="17"/>
          <w:szCs w:val="17"/>
          <w:color w:val="auto"/>
        </w:rPr>
      </w:pPr>
    </w:p>
    <w:p>
      <w:pPr>
        <w:ind w:left="620" w:right="80" w:firstLine="621"/>
        <w:spacing w:after="0" w:line="248" w:lineRule="auto"/>
        <w:tabs>
          <w:tab w:leader="none" w:pos="18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150" w:lineRule="exact"/>
        <w:rPr>
          <w:rFonts w:ascii="Arial" w:cs="Arial" w:eastAsia="Arial" w:hAnsi="Arial"/>
          <w:sz w:val="17"/>
          <w:szCs w:val="17"/>
          <w:color w:val="auto"/>
        </w:rPr>
      </w:pPr>
    </w:p>
    <w:p>
      <w:pPr>
        <w:ind w:left="620" w:right="360" w:firstLine="621"/>
        <w:spacing w:after="0" w:line="236" w:lineRule="auto"/>
        <w:tabs>
          <w:tab w:leader="none" w:pos="18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Collateral Agent shall have received the certificates representing securities of the Borrower and of each Credit Party’s Wholly-Owned Restricted Subsidiaries that are Domestic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06" w:lineRule="exact"/>
        <w:rPr>
          <w:sz w:val="20"/>
          <w:szCs w:val="20"/>
          <w:color w:val="auto"/>
        </w:rPr>
      </w:pPr>
    </w:p>
    <w:p>
      <w:pPr>
        <w:ind w:left="620" w:right="40"/>
        <w:spacing w:after="0" w:line="248" w:lineRule="auto"/>
        <w:rPr>
          <w:sz w:val="20"/>
          <w:szCs w:val="20"/>
          <w:color w:val="auto"/>
        </w:rPr>
      </w:pPr>
      <w:r>
        <w:rPr>
          <w:rFonts w:ascii="Arial" w:cs="Arial" w:eastAsia="Arial" w:hAnsi="Arial"/>
          <w:sz w:val="17"/>
          <w:szCs w:val="17"/>
          <w:color w:val="auto"/>
        </w:rPr>
        <w:t>to the extent required to be delivered under the Security Documents and pledged under the Security Documents to the extent certificated, accompanied by instruments of transfer and undated stock powers or allonges endorsed in blank; and</w:t>
      </w:r>
    </w:p>
    <w:p>
      <w:pPr>
        <w:spacing w:after="0" w:line="150" w:lineRule="exact"/>
        <w:rPr>
          <w:sz w:val="20"/>
          <w:szCs w:val="20"/>
          <w:color w:val="auto"/>
        </w:rPr>
      </w:pPr>
    </w:p>
    <w:p>
      <w:pPr>
        <w:ind w:left="620" w:right="100" w:firstLine="621"/>
        <w:spacing w:after="0" w:line="231" w:lineRule="auto"/>
        <w:tabs>
          <w:tab w:leader="none" w:pos="18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Uniform Commercial Code financing statements (and amendments thereto)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158" w:lineRule="exact"/>
        <w:rPr>
          <w:sz w:val="20"/>
          <w:szCs w:val="20"/>
          <w:color w:val="auto"/>
        </w:rPr>
      </w:pPr>
    </w:p>
    <w:p>
      <w:pPr>
        <w:ind w:right="340" w:firstLine="619"/>
        <w:spacing w:after="0" w:line="23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(or its counsel) shall have received the executed legal opinion, in customary form, of (i) Simpson Thacher &amp; Bartlett LLP, special New York counsel to the Credit Parties and (ii) Kilpatrick Townsend &amp; Stockton LLP, special Georgia counsel to the Credit</w:t>
      </w:r>
    </w:p>
    <w:p>
      <w:pPr>
        <w:spacing w:after="0"/>
        <w:rPr>
          <w:sz w:val="20"/>
          <w:szCs w:val="20"/>
          <w:color w:val="auto"/>
        </w:rPr>
      </w:pPr>
      <w:r>
        <w:rPr>
          <w:rFonts w:ascii="Arial" w:cs="Arial" w:eastAsia="Arial" w:hAnsi="Arial"/>
          <w:sz w:val="17"/>
          <w:szCs w:val="17"/>
          <w:color w:val="auto"/>
        </w:rPr>
        <w:t>Parties. Holdings and the Borrower hereby instruct and agree to instruct the other Credit Parties to have such counsel deliver such legal opinions.</w:t>
      </w:r>
    </w:p>
    <w:p>
      <w:pPr>
        <w:spacing w:after="0" w:line="164" w:lineRule="exact"/>
        <w:rPr>
          <w:sz w:val="20"/>
          <w:szCs w:val="20"/>
          <w:color w:val="auto"/>
        </w:rPr>
      </w:pPr>
    </w:p>
    <w:p>
      <w:pPr>
        <w:ind w:right="140" w:firstLine="619"/>
        <w:spacing w:after="0" w:line="251"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Closing Certificates</w:t>
      </w:r>
      <w:r>
        <w:rPr>
          <w:rFonts w:ascii="Arial" w:cs="Arial" w:eastAsia="Arial" w:hAnsi="Arial"/>
          <w:sz w:val="15"/>
          <w:szCs w:val="15"/>
          <w:color w:val="auto"/>
        </w:rPr>
        <w:t xml:space="preserve">. The Administrative Agent (or its counsel) shall have received a certificate of (x) each of Holdings and the Borrower, dated the Second Restatement Effective Date, substantially in the form of </w:t>
      </w:r>
      <w:r>
        <w:rPr>
          <w:rFonts w:ascii="Arial" w:cs="Arial" w:eastAsia="Arial" w:hAnsi="Arial"/>
          <w:sz w:val="15"/>
          <w:szCs w:val="15"/>
          <w:u w:val="single" w:color="auto"/>
          <w:color w:val="auto"/>
        </w:rPr>
        <w:t>Exhibit E</w:t>
      </w:r>
      <w:r>
        <w:rPr>
          <w:rFonts w:ascii="Arial" w:cs="Arial" w:eastAsia="Arial" w:hAnsi="Arial"/>
          <w:sz w:val="15"/>
          <w:szCs w:val="15"/>
          <w:color w:val="auto"/>
        </w:rPr>
        <w:t>, with appropriate insertions, executed by any Authorized Officer (or in the case of</w:t>
      </w:r>
    </w:p>
    <w:p>
      <w:pPr>
        <w:spacing w:after="0" w:line="1" w:lineRule="exact"/>
        <w:rPr>
          <w:sz w:val="20"/>
          <w:szCs w:val="20"/>
          <w:color w:val="auto"/>
        </w:rPr>
      </w:pPr>
    </w:p>
    <w:p>
      <w:pPr>
        <w:ind w:right="180"/>
        <w:spacing w:after="0" w:line="220" w:lineRule="auto"/>
        <w:rPr>
          <w:sz w:val="20"/>
          <w:szCs w:val="20"/>
          <w:color w:val="auto"/>
        </w:rPr>
      </w:pPr>
      <w:r>
        <w:rPr>
          <w:rFonts w:ascii="Arial" w:cs="Arial" w:eastAsia="Arial" w:hAnsi="Arial"/>
          <w:sz w:val="17"/>
          <w:szCs w:val="17"/>
          <w:color w:val="auto"/>
        </w:rPr>
        <w:t xml:space="preserve">Holdings any Director or authorized agent of Holdings) and the Secretary or any Assistant Secretary of Holdings or the Borrower (or in the case of Holdings any Director or authorized agent of Holdings), as applicable, and attaching the documents referred to in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(y) an Authorized Officer certifying compliance with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6.10</w:t>
      </w:r>
      <w:r>
        <w:rPr>
          <w:rFonts w:ascii="Arial" w:cs="Arial" w:eastAsia="Arial" w:hAnsi="Arial"/>
          <w:sz w:val="17"/>
          <w:szCs w:val="17"/>
          <w:color w:val="auto"/>
        </w:rPr>
        <w:t>.</w:t>
      </w:r>
    </w:p>
    <w:p>
      <w:pPr>
        <w:spacing w:after="0" w:line="170" w:lineRule="exact"/>
        <w:rPr>
          <w:sz w:val="20"/>
          <w:szCs w:val="20"/>
          <w:color w:val="auto"/>
        </w:rPr>
      </w:pPr>
    </w:p>
    <w:p>
      <w:pPr>
        <w:ind w:right="240" w:firstLine="619"/>
        <w:spacing w:after="0" w:line="245"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Authorization of Proceedings of the Credit Parties; Corporate Documents</w:t>
      </w:r>
      <w:r>
        <w:rPr>
          <w:rFonts w:ascii="Arial" w:cs="Arial" w:eastAsia="Arial" w:hAnsi="Arial"/>
          <w:sz w:val="15"/>
          <w:szCs w:val="15"/>
          <w:color w:val="auto"/>
        </w:rPr>
        <w:t>. The Administrative Agent shall have received (i) a copy of the resolutions of the board of directors or other managers of each Credit Party (or a duly authorized committee thereof) authorizing (a) the execution, delivery, and performance of the Credit Documents (and any agreements relating thereto) to which it is a party and (b) in the case of the Borrower, the extensions of credit</w:t>
      </w:r>
    </w:p>
    <w:p>
      <w:pPr>
        <w:spacing w:after="0" w:line="1" w:lineRule="exact"/>
        <w:rPr>
          <w:sz w:val="20"/>
          <w:szCs w:val="20"/>
          <w:color w:val="auto"/>
        </w:rPr>
      </w:pPr>
    </w:p>
    <w:p>
      <w:pPr>
        <w:ind w:right="120"/>
        <w:spacing w:after="0" w:line="220" w:lineRule="auto"/>
        <w:rPr>
          <w:sz w:val="20"/>
          <w:szCs w:val="20"/>
          <w:color w:val="auto"/>
        </w:rPr>
      </w:pPr>
      <w:r>
        <w:rPr>
          <w:rFonts w:ascii="Arial" w:cs="Arial" w:eastAsia="Arial" w:hAnsi="Arial"/>
          <w:sz w:val="17"/>
          <w:szCs w:val="17"/>
          <w:color w:val="auto"/>
        </w:rPr>
        <w:t>contemplated hereunder, (ii) the Certificate of Incorporation and By-Laws, Certificate of Formation and Operating Agreement or other comparable organizational documents, as applicable, of each Credit Party, and (iii) signature and incumbency certificates (or other comparable documents evidencing the same) of the Authorized Officers of each Credit Party executing the Credit Documents to which it is a party.</w:t>
      </w:r>
    </w:p>
    <w:p>
      <w:pPr>
        <w:spacing w:after="0" w:line="170" w:lineRule="exact"/>
        <w:rPr>
          <w:sz w:val="20"/>
          <w:szCs w:val="20"/>
          <w:color w:val="auto"/>
        </w:rPr>
      </w:pPr>
    </w:p>
    <w:p>
      <w:pPr>
        <w:ind w:right="20" w:firstLine="619"/>
        <w:spacing w:after="0" w:line="245"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Fees</w:t>
      </w:r>
      <w:r>
        <w:rPr>
          <w:rFonts w:ascii="Arial" w:cs="Arial" w:eastAsia="Arial" w:hAnsi="Arial"/>
          <w:sz w:val="15"/>
          <w:szCs w:val="15"/>
          <w:color w:val="auto"/>
        </w:rPr>
        <w:t>. The Agents and Lenders shall have received, substantially simultaneously with the funding of the Term A Loans, fees and, to the extent invoiced at least three business days prior to the Second Restatement Effective Date (except as otherwise reasonably agreed by the Borrower) expenses in the amounts previously agreed in writing to be received on the Second Restatement Effective Date (which amounts may, at the Borrower’s option, be offset against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proceeds of the Term A Loans).</w:t>
      </w:r>
    </w:p>
    <w:p>
      <w:pPr>
        <w:spacing w:after="0" w:line="16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5"/>
          <w:szCs w:val="15"/>
          <w:u w:val="single" w:color="auto"/>
          <w:color w:val="auto"/>
        </w:rPr>
        <w:t>Representations and Warranties; No Default</w:t>
      </w:r>
      <w:r>
        <w:rPr>
          <w:rFonts w:ascii="Arial" w:cs="Arial" w:eastAsia="Arial" w:hAnsi="Arial"/>
          <w:sz w:val="15"/>
          <w:szCs w:val="15"/>
          <w:color w:val="auto"/>
        </w:rPr>
        <w:t>. On the Second Restatement Effective Date, the condition set forth in Section 7.1 shall be satisfied.</w:t>
      </w:r>
    </w:p>
    <w:p>
      <w:pPr>
        <w:spacing w:after="0" w:line="17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5"/>
          <w:szCs w:val="15"/>
          <w:u w:val="single" w:color="auto"/>
          <w:color w:val="auto"/>
        </w:rPr>
        <w:t>Solvency Certificate</w:t>
      </w:r>
      <w:r>
        <w:rPr>
          <w:rFonts w:ascii="Arial" w:cs="Arial" w:eastAsia="Arial" w:hAnsi="Arial"/>
          <w:sz w:val="15"/>
          <w:szCs w:val="15"/>
          <w:color w:val="auto"/>
        </w:rPr>
        <w:t>. On the Second Restatement Effective Date, the Administrative Agent shall have received a certificate from the Chief</w:t>
      </w:r>
    </w:p>
    <w:p>
      <w:pPr>
        <w:spacing w:after="0" w:line="275" w:lineRule="auto"/>
        <w:rPr>
          <w:sz w:val="20"/>
          <w:szCs w:val="20"/>
          <w:color w:val="auto"/>
        </w:rPr>
      </w:pPr>
      <w:r>
        <w:rPr>
          <w:rFonts w:ascii="Arial" w:cs="Arial" w:eastAsia="Arial" w:hAnsi="Arial"/>
          <w:sz w:val="15"/>
          <w:szCs w:val="15"/>
          <w:color w:val="auto"/>
        </w:rPr>
        <w:t>Executive Officer, President, the Chief Financial Officer, the Treasurer, the Vice President-Finance, a Director, a Manager, or any other senior financial officer of Holdings to the effect that after giving effect to the consummation of the Transactions, Holdings on a consolidated basis with the Restricted Subsidiaries is Solvent.</w:t>
      </w:r>
    </w:p>
    <w:p>
      <w:pPr>
        <w:spacing w:after="0" w:line="13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6.9</w:t>
      </w:r>
      <w:r>
        <w:rPr>
          <w:sz w:val="20"/>
          <w:szCs w:val="20"/>
          <w:color w:val="auto"/>
        </w:rPr>
        <w:tab/>
      </w:r>
      <w:r>
        <w:rPr>
          <w:rFonts w:ascii="Arial" w:cs="Arial" w:eastAsia="Arial" w:hAnsi="Arial"/>
          <w:sz w:val="16"/>
          <w:szCs w:val="16"/>
          <w:u w:val="single" w:color="auto"/>
          <w:color w:val="auto"/>
        </w:rPr>
        <w:t>KYC Information</w:t>
      </w:r>
      <w:r>
        <w:rPr>
          <w:rFonts w:ascii="Arial" w:cs="Arial" w:eastAsia="Arial" w:hAnsi="Arial"/>
          <w:sz w:val="16"/>
          <w:szCs w:val="16"/>
          <w:color w:val="auto"/>
        </w:rPr>
        <w:t>.</w:t>
      </w:r>
    </w:p>
    <w:p>
      <w:pPr>
        <w:spacing w:after="0" w:line="191" w:lineRule="exact"/>
        <w:rPr>
          <w:sz w:val="20"/>
          <w:szCs w:val="20"/>
          <w:color w:val="auto"/>
        </w:rPr>
      </w:pPr>
    </w:p>
    <w:p>
      <w:pPr>
        <w:ind w:right="220" w:firstLine="622"/>
        <w:spacing w:after="0"/>
        <w:tabs>
          <w:tab w:leader="none" w:pos="12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Upon the reasonable request of any Lender made at least ten days prior to the Second Restatement Effective Date, the Borrower shall have provided to such Lender the documentation and other information so requested in connection with applicable “know your customer” and anti-money-laundering rules and regulations, including the PATRIOT Act, in each case at least three days prior to the Second Restatement Effective Date.</w:t>
      </w:r>
    </w:p>
    <w:p>
      <w:pPr>
        <w:spacing w:after="0" w:line="169" w:lineRule="exact"/>
        <w:rPr>
          <w:rFonts w:ascii="Arial" w:cs="Arial" w:eastAsia="Arial" w:hAnsi="Arial"/>
          <w:sz w:val="16"/>
          <w:szCs w:val="16"/>
          <w:color w:val="auto"/>
        </w:rPr>
      </w:pPr>
    </w:p>
    <w:p>
      <w:pPr>
        <w:ind w:right="280" w:firstLine="622"/>
        <w:spacing w:after="0" w:line="236" w:lineRule="auto"/>
        <w:tabs>
          <w:tab w:leader="none" w:pos="123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At least three days prior to the Second Restatement Effective Date, if the Borrower qualifies as a “legal entity customer” under the Beneficial Ownership Regulation, the Borrower shall deliver a Beneficial Ownership Certification in relation to the Borrower.</w:t>
      </w:r>
    </w:p>
    <w:p>
      <w:pPr>
        <w:spacing w:after="0" w:line="157" w:lineRule="exact"/>
        <w:rPr>
          <w:sz w:val="20"/>
          <w:szCs w:val="20"/>
          <w:color w:val="auto"/>
        </w:rPr>
      </w:pPr>
    </w:p>
    <w:p>
      <w:pPr>
        <w:ind w:right="900" w:firstLine="619"/>
        <w:spacing w:after="0" w:line="248"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Refinancing</w:t>
      </w:r>
      <w:r>
        <w:rPr>
          <w:rFonts w:ascii="Arial" w:cs="Arial" w:eastAsia="Arial" w:hAnsi="Arial"/>
          <w:sz w:val="17"/>
          <w:szCs w:val="17"/>
          <w:color w:val="auto"/>
        </w:rPr>
        <w:t>. Substantially simultaneously with the funding of the Term A Loans, the Second Restatement Date Refinancing shall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06"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Notice of Term Loan Borrowing</w:t>
      </w:r>
      <w:r>
        <w:rPr>
          <w:rFonts w:ascii="Arial" w:cs="Arial" w:eastAsia="Arial" w:hAnsi="Arial"/>
          <w:sz w:val="17"/>
          <w:szCs w:val="17"/>
          <w:color w:val="auto"/>
        </w:rPr>
        <w:t xml:space="preserve">. The Administrative Agent (or its counsel) shall have received a Notice of Borrowing with respect to the Term A Loan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0" w:lineRule="exact"/>
        <w:rPr>
          <w:sz w:val="20"/>
          <w:szCs w:val="20"/>
          <w:color w:val="auto"/>
        </w:rPr>
      </w:pPr>
    </w:p>
    <w:p>
      <w:pPr>
        <w:ind w:firstLine="619"/>
        <w:spacing w:after="0" w:line="251" w:lineRule="auto"/>
        <w:rPr>
          <w:sz w:val="20"/>
          <w:szCs w:val="20"/>
          <w:color w:val="auto"/>
        </w:rPr>
      </w:pPr>
      <w:r>
        <w:rPr>
          <w:rFonts w:ascii="Arial" w:cs="Arial" w:eastAsia="Arial" w:hAnsi="Arial"/>
          <w:sz w:val="15"/>
          <w:szCs w:val="15"/>
          <w:color w:val="auto"/>
        </w:rPr>
        <w:t xml:space="preserve">For purposes of determining compliance with the conditions specified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on the Second Restatement Effective Date, each Lender that has signed the Second Restatement Agreement shall be deemed to have consented to, approved or accepted or to be satisfied with, each document or other matter required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thereunder to be consented to or approved by or acceptable or satisfactory to a Lender unless the Administrative Agent shall have received notice from such Lender prior to the proposed Second Restatement Effective Date specifying its objection thereto.</w:t>
      </w:r>
    </w:p>
    <w:p>
      <w:pPr>
        <w:spacing w:after="0" w:line="158"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u w:val="single" w:color="auto"/>
          <w:color w:val="auto"/>
        </w:rPr>
        <w:t>Conditions Precedent to All Credit Events on and after the Second Restatement Effective Date</w:t>
      </w:r>
    </w:p>
    <w:p>
      <w:pPr>
        <w:spacing w:after="0" w:line="191" w:lineRule="exact"/>
        <w:rPr>
          <w:sz w:val="20"/>
          <w:szCs w:val="20"/>
          <w:color w:val="auto"/>
        </w:rPr>
      </w:pPr>
    </w:p>
    <w:p>
      <w:pPr>
        <w:ind w:firstLine="619"/>
        <w:spacing w:after="0" w:line="245" w:lineRule="auto"/>
        <w:rPr>
          <w:sz w:val="20"/>
          <w:szCs w:val="20"/>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the agreement of each Lender to make any Loan requested to be made by it on any date (excluding (i) Mandatory Borrowings and Revolving Credit Loans required to be made by the Revolving Credit Lenders in respect of Unpaid Drawings pursuant to </w:t>
      </w:r>
      <w:r>
        <w:rPr>
          <w:rFonts w:ascii="Arial" w:cs="Arial" w:eastAsia="Arial" w:hAnsi="Arial"/>
          <w:sz w:val="15"/>
          <w:szCs w:val="15"/>
          <w:u w:val="single" w:color="auto"/>
          <w:color w:val="auto"/>
        </w:rPr>
        <w:t>Sections 3.3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and (ii) borrowings under </w:t>
      </w:r>
      <w:r>
        <w:rPr>
          <w:rFonts w:ascii="Arial" w:cs="Arial" w:eastAsia="Arial" w:hAnsi="Arial"/>
          <w:sz w:val="15"/>
          <w:szCs w:val="15"/>
          <w:u w:val="single" w:color="auto"/>
          <w:color w:val="auto"/>
        </w:rPr>
        <w:t>Sections 2.14</w:t>
      </w:r>
      <w:r>
        <w:rPr>
          <w:rFonts w:ascii="Arial" w:cs="Arial" w:eastAsia="Arial" w:hAnsi="Arial"/>
          <w:sz w:val="15"/>
          <w:szCs w:val="15"/>
          <w:color w:val="auto"/>
        </w:rPr>
        <w:t>) and the obligation of the Letter of Credit Issuer to issue Letters of Credit on any date on or after the Second Restatement Effective Date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satisfaction (or waiver) of the following conditions precedent:</w:t>
      </w:r>
    </w:p>
    <w:p>
      <w:pPr>
        <w:spacing w:after="0" w:line="164" w:lineRule="exact"/>
        <w:rPr>
          <w:sz w:val="20"/>
          <w:szCs w:val="20"/>
          <w:color w:val="auto"/>
        </w:rPr>
      </w:pPr>
    </w:p>
    <w:p>
      <w:pPr>
        <w:ind w:right="260" w:firstLine="619"/>
        <w:spacing w:after="0" w:line="23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Default; Representations and Warranties</w:t>
      </w:r>
      <w:r>
        <w:rPr>
          <w:rFonts w:ascii="Arial" w:cs="Arial" w:eastAsia="Arial" w:hAnsi="Arial"/>
          <w:sz w:val="16"/>
          <w:szCs w:val="16"/>
          <w:color w:val="auto"/>
        </w:rPr>
        <w:t xml:space="preserve">. At the time of each Credit Event and also after giving effect thereto (other than any Credit Event pursuant to any Loan made pursuant to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(which shall be subject to the terms of </w:t>
      </w:r>
      <w:r>
        <w:rPr>
          <w:rFonts w:ascii="Arial" w:cs="Arial" w:eastAsia="Arial" w:hAnsi="Arial"/>
          <w:sz w:val="16"/>
          <w:szCs w:val="16"/>
          <w:u w:val="single" w:color="auto"/>
          <w:color w:val="auto"/>
        </w:rPr>
        <w:t>Section 2.14(a)</w:t>
      </w:r>
      <w:r>
        <w:rPr>
          <w:rFonts w:ascii="Arial" w:cs="Arial" w:eastAsia="Arial" w:hAnsi="Arial"/>
          <w:sz w:val="16"/>
          <w:szCs w:val="16"/>
          <w:color w:val="auto"/>
        </w:rPr>
        <w:t>) (a) no Default or Event of Default shall have</w:t>
      </w:r>
    </w:p>
    <w:p>
      <w:pPr>
        <w:jc w:val="both"/>
        <w:spacing w:after="0" w:line="239" w:lineRule="auto"/>
        <w:rPr>
          <w:sz w:val="20"/>
          <w:szCs w:val="20"/>
          <w:color w:val="auto"/>
        </w:rPr>
      </w:pPr>
      <w:r>
        <w:rPr>
          <w:rFonts w:ascii="Arial" w:cs="Arial" w:eastAsia="Arial" w:hAnsi="Arial"/>
          <w:sz w:val="15"/>
          <w:szCs w:val="15"/>
          <w:color w:val="auto"/>
        </w:rPr>
        <w:t>occurred and be continuing and (b) all representations and warranties made by any Credit Party contained herein or in the other Credit Documents shall be true and correct in all material respects (provided 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w:t>
      </w:r>
    </w:p>
    <w:p>
      <w:pPr>
        <w:ind w:right="100"/>
        <w:spacing w:after="0" w:line="239" w:lineRule="auto"/>
        <w:rPr>
          <w:sz w:val="20"/>
          <w:szCs w:val="20"/>
          <w:color w:val="auto"/>
        </w:rPr>
      </w:pPr>
      <w:r>
        <w:rPr>
          <w:rFonts w:ascii="Arial" w:cs="Arial" w:eastAsia="Arial" w:hAnsi="Arial"/>
          <w:sz w:val="15"/>
          <w:szCs w:val="15"/>
          <w:color w:val="auto"/>
        </w:rPr>
        <w:t xml:space="preserve">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solely with respect to any Credit event pursuant to any Incremental Term Loan</w:t>
      </w:r>
    </w:p>
    <w:p>
      <w:pPr>
        <w:ind w:right="160"/>
        <w:spacing w:after="0" w:line="243" w:lineRule="auto"/>
        <w:rPr>
          <w:sz w:val="20"/>
          <w:szCs w:val="20"/>
          <w:color w:val="auto"/>
        </w:rPr>
      </w:pPr>
      <w:r>
        <w:rPr>
          <w:rFonts w:ascii="Arial" w:cs="Arial" w:eastAsia="Arial" w:hAnsi="Arial"/>
          <w:sz w:val="16"/>
          <w:szCs w:val="16"/>
          <w:color w:val="auto"/>
        </w:rPr>
        <w:t>made pursuant to Section 2.14(a), in connection with a Permitted Acquisition or other Investment permitted hereunder, all representations and warranties shall be subject to customary Sungard and “funds certain” provisions as reasonably agreed by the Borrower and the Administrative Agent.</w:t>
      </w:r>
    </w:p>
    <w:p>
      <w:pPr>
        <w:spacing w:after="0" w:line="15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191" w:lineRule="exact"/>
        <w:rPr>
          <w:sz w:val="20"/>
          <w:szCs w:val="20"/>
          <w:color w:val="auto"/>
        </w:rPr>
      </w:pPr>
    </w:p>
    <w:p>
      <w:pPr>
        <w:ind w:right="260" w:firstLine="622"/>
        <w:spacing w:after="0" w:line="236" w:lineRule="auto"/>
        <w:tabs>
          <w:tab w:leader="none" w:pos="12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Prior to the making of each Term Loan after the Second Restatement Effective Date, the Administrative Agent shall have received a Notice of Borrowing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right="100" w:firstLine="622"/>
        <w:spacing w:after="0" w:line="248" w:lineRule="auto"/>
        <w:tabs>
          <w:tab w:leader="none" w:pos="12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Prior to the making of each Revolving Credit Loan (other than any Revolving Credit Loan made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each Swingline Loan, the Administrative Agent shall have received a Notice of Borrowing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ind w:right="440" w:firstLine="622"/>
        <w:spacing w:after="0" w:line="236" w:lineRule="auto"/>
        <w:tabs>
          <w:tab w:leader="none" w:pos="12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7"/>
          <w:szCs w:val="17"/>
          <w:u w:val="single" w:color="auto"/>
          <w:color w:val="auto"/>
        </w:rPr>
        <w:t>Section 3.2(a)</w:t>
      </w:r>
      <w:r>
        <w:rPr>
          <w:rFonts w:ascii="Arial" w:cs="Arial" w:eastAsia="Arial" w:hAnsi="Arial"/>
          <w:sz w:val="17"/>
          <w:szCs w:val="17"/>
          <w:color w:val="auto"/>
        </w:rPr>
        <w:t>.</w:t>
      </w:r>
    </w:p>
    <w:p>
      <w:pPr>
        <w:spacing w:after="0" w:line="170" w:lineRule="exact"/>
        <w:rPr>
          <w:sz w:val="20"/>
          <w:szCs w:val="20"/>
          <w:color w:val="auto"/>
        </w:rPr>
      </w:pPr>
    </w:p>
    <w:p>
      <w:pPr>
        <w:ind w:right="740"/>
        <w:spacing w:after="0" w:line="236" w:lineRule="auto"/>
        <w:rPr>
          <w:sz w:val="20"/>
          <w:szCs w:val="20"/>
          <w:color w:val="auto"/>
        </w:rPr>
      </w:pPr>
      <w:r>
        <w:rPr>
          <w:rFonts w:ascii="Arial" w:cs="Arial" w:eastAsia="Arial" w:hAnsi="Arial"/>
          <w:sz w:val="17"/>
          <w:szCs w:val="17"/>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above have been satisfied as of that time.</w:t>
      </w:r>
    </w:p>
    <w:p>
      <w:pPr>
        <w:spacing w:after="0" w:line="15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5"/>
          <w:szCs w:val="15"/>
          <w:u w:val="single" w:color="auto"/>
          <w:color w:val="auto"/>
        </w:rPr>
        <w:t>Representations and Warranties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order to induce the Lenders to enter into this Agreement, to make the Loans and issue or participate in Letters of Credit as provided for herein,</w:t>
      </w:r>
    </w:p>
    <w:p>
      <w:pPr>
        <w:spacing w:after="0" w:line="218" w:lineRule="auto"/>
        <w:rPr>
          <w:sz w:val="20"/>
          <w:szCs w:val="20"/>
          <w:color w:val="auto"/>
        </w:rPr>
      </w:pPr>
      <w:r>
        <w:rPr>
          <w:rFonts w:ascii="Arial" w:cs="Arial" w:eastAsia="Arial" w:hAnsi="Arial"/>
          <w:sz w:val="16"/>
          <w:szCs w:val="16"/>
          <w:color w:val="auto"/>
        </w:rPr>
        <w:t>Holdings and the Borrower make the following representations and warranties to the Lenders, all of which shall survive the execution and delivery of this</w:t>
      </w:r>
    </w:p>
    <w:p>
      <w:pPr>
        <w:spacing w:after="0"/>
        <w:rPr>
          <w:sz w:val="20"/>
          <w:szCs w:val="20"/>
          <w:color w:val="auto"/>
        </w:rPr>
      </w:pPr>
      <w:r>
        <w:rPr>
          <w:rFonts w:ascii="Arial" w:cs="Arial" w:eastAsia="Arial" w:hAnsi="Arial"/>
          <w:sz w:val="15"/>
          <w:szCs w:val="15"/>
          <w:color w:val="auto"/>
        </w:rPr>
        <w:t>Agreement and the making of the Loans and the issuance of the Letters of Credit (it being understood that the following representations and warranties shall be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deemed made with respect to any Foreign Subsidiary only to the extent relevant under applicable law):</w:t>
      </w:r>
    </w:p>
    <w:p>
      <w:pPr>
        <w:spacing w:after="0" w:line="164" w:lineRule="exact"/>
        <w:rPr>
          <w:sz w:val="20"/>
          <w:szCs w:val="20"/>
          <w:color w:val="auto"/>
        </w:rPr>
      </w:pPr>
    </w:p>
    <w:p>
      <w:pPr>
        <w:ind w:right="320" w:firstLine="619"/>
        <w:spacing w:after="0" w:line="23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Corporate Status</w:t>
      </w:r>
      <w:r>
        <w:rPr>
          <w:rFonts w:ascii="Arial" w:cs="Arial" w:eastAsia="Arial" w:hAnsi="Arial"/>
          <w:sz w:val="17"/>
          <w:szCs w:val="17"/>
          <w:color w:val="auto"/>
        </w:rPr>
        <w:t>. Each Credit Party (a) is a duly organized and validly existing corporation, limited liability company or other entity in good standing (if applicable) under the laws of the jurisdiction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organization and has the corporate, limited liability company or other organizational power and authority to own its property and assets and to transact the business</w:t>
      </w:r>
    </w:p>
    <w:p>
      <w:pPr>
        <w:spacing w:after="0" w:line="2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u w:val="single" w:color="auto"/>
          <w:color w:val="auto"/>
        </w:rPr>
        <w:t>Corporate Power and Authority</w:t>
      </w:r>
      <w:r>
        <w:rPr>
          <w:rFonts w:ascii="Arial" w:cs="Arial" w:eastAsia="Arial" w:hAnsi="Arial"/>
          <w:sz w:val="15"/>
          <w:szCs w:val="15"/>
          <w:color w:val="auto"/>
        </w:rPr>
        <w:t>. Each Credit Party has the corporate or other organizational power and authority to execute, deliver and carry out</w:t>
      </w:r>
    </w:p>
    <w:p>
      <w:pPr>
        <w:ind w:right="60"/>
        <w:spacing w:after="0" w:line="239" w:lineRule="auto"/>
        <w:rPr>
          <w:sz w:val="20"/>
          <w:szCs w:val="20"/>
          <w:color w:val="auto"/>
        </w:rPr>
      </w:pPr>
      <w:r>
        <w:rPr>
          <w:rFonts w:ascii="Arial" w:cs="Arial" w:eastAsia="Arial" w:hAnsi="Arial"/>
          <w:sz w:val="15"/>
          <w:szCs w:val="15"/>
          <w:color w:val="auto"/>
        </w:rPr>
        <w:t>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w:t>
      </w:r>
    </w:p>
    <w:p>
      <w:pPr>
        <w:ind w:right="60"/>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w:t>
      </w:r>
    </w:p>
    <w:p>
      <w:pPr>
        <w:spacing w:after="0"/>
        <w:rPr>
          <w:sz w:val="20"/>
          <w:szCs w:val="20"/>
          <w:color w:val="auto"/>
        </w:rPr>
      </w:pPr>
      <w:r>
        <w:rPr>
          <w:rFonts w:ascii="Arial" w:cs="Arial" w:eastAsia="Arial" w:hAnsi="Arial"/>
          <w:sz w:val="17"/>
          <w:szCs w:val="17"/>
          <w:color w:val="auto"/>
        </w:rPr>
        <w:t>and subject to general principles of equity.</w:t>
      </w:r>
    </w:p>
    <w:p>
      <w:pPr>
        <w:spacing w:after="0" w:line="164" w:lineRule="exact"/>
        <w:rPr>
          <w:sz w:val="20"/>
          <w:szCs w:val="20"/>
          <w:color w:val="auto"/>
        </w:rPr>
      </w:pPr>
    </w:p>
    <w:p>
      <w:pPr>
        <w:jc w:val="both"/>
        <w:ind w:right="120" w:firstLine="619"/>
        <w:spacing w:after="0" w:line="251"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No Violation</w:t>
      </w:r>
      <w:r>
        <w:rPr>
          <w:rFonts w:ascii="Arial" w:cs="Arial" w:eastAsia="Arial" w:hAnsi="Arial"/>
          <w:sz w:val="15"/>
          <w:szCs w:val="15"/>
          <w:color w:val="auto"/>
        </w:rPr>
        <w:t>. Neither the execution, delivery or performance by any Credit Party of the Credit Documents to which it is a party nor compliance with the terms and provisions thereof and the other transactions contemplated hereby or thereby will (a) contravene any applicable provision of any material law,</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w:t>
      </w:r>
    </w:p>
    <w:p>
      <w:pPr>
        <w:spacing w:after="0" w:line="233" w:lineRule="auto"/>
        <w:rPr>
          <w:sz w:val="20"/>
          <w:szCs w:val="20"/>
          <w:color w:val="auto"/>
        </w:rPr>
      </w:pPr>
      <w:r>
        <w:rPr>
          <w:rFonts w:ascii="Arial" w:cs="Arial" w:eastAsia="Arial" w:hAnsi="Arial"/>
          <w:sz w:val="15"/>
          <w:szCs w:val="15"/>
          <w:color w:val="auto"/>
        </w:rPr>
        <w:t>the terms of any material indenture, loan agreement, lease agreement, mortgage, deed of trust, agreement or other material instrument to which such Credit Party</w:t>
      </w:r>
    </w:p>
    <w:p>
      <w:pPr>
        <w:spacing w:after="0" w:line="219" w:lineRule="auto"/>
        <w:rPr>
          <w:sz w:val="20"/>
          <w:szCs w:val="20"/>
          <w:color w:val="auto"/>
        </w:rPr>
      </w:pPr>
      <w:r>
        <w:rPr>
          <w:rFonts w:ascii="Arial" w:cs="Arial" w:eastAsia="Arial" w:hAnsi="Arial"/>
          <w:sz w:val="16"/>
          <w:szCs w:val="16"/>
          <w:color w:val="auto"/>
        </w:rPr>
        <w:t>or any of the Restricted Subsidiaries is a party or by which it or any of its property or assets is bound (any such term, covenant, condition or provision, a</w:t>
      </w:r>
    </w:p>
    <w:p>
      <w:pPr>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Contractual Requirement</w:t>
      </w:r>
      <w:r>
        <w:rPr>
          <w:rFonts w:ascii="Arial" w:cs="Arial" w:eastAsia="Arial" w:hAnsi="Arial"/>
          <w:sz w:val="16"/>
          <w:szCs w:val="16"/>
          <w:color w:val="auto"/>
        </w:rPr>
        <w:t>”) other than any such breach, default or Lien that would not reasonably be expected to result in a Material Adverse Effect or (c)</w:t>
      </w:r>
    </w:p>
    <w:p>
      <w:pPr>
        <w:spacing w:after="0" w:line="1" w:lineRule="exact"/>
        <w:rPr>
          <w:sz w:val="20"/>
          <w:szCs w:val="20"/>
          <w:color w:val="auto"/>
        </w:rPr>
      </w:pPr>
    </w:p>
    <w:p>
      <w:pPr>
        <w:ind w:right="780"/>
        <w:spacing w:after="0" w:line="227" w:lineRule="auto"/>
        <w:rPr>
          <w:sz w:val="20"/>
          <w:szCs w:val="20"/>
          <w:color w:val="auto"/>
        </w:rPr>
      </w:pPr>
      <w:r>
        <w:rPr>
          <w:rFonts w:ascii="Arial" w:cs="Arial" w:eastAsia="Arial" w:hAnsi="Arial"/>
          <w:sz w:val="17"/>
          <w:szCs w:val="17"/>
          <w:color w:val="auto"/>
        </w:rPr>
        <w:t>violate any provision of the certificate of incorporation, by-laws, articles or other organizational documents of such Credit Party or any of the Restricted Subsidiaries.</w:t>
      </w:r>
    </w:p>
    <w:p>
      <w:pPr>
        <w:spacing w:after="0" w:line="158" w:lineRule="exact"/>
        <w:rPr>
          <w:sz w:val="20"/>
          <w:szCs w:val="20"/>
          <w:color w:val="auto"/>
        </w:rPr>
      </w:pPr>
    </w:p>
    <w:p>
      <w:pPr>
        <w:ind w:right="300" w:firstLine="619"/>
        <w:spacing w:after="0" w:line="24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Holdings or the Borrower, threatened in writing against Holdings, the Borrower or any of the Restricted Subsidiaries that would reasonably be expected to result in a Material Adverse Effect.</w:t>
      </w:r>
    </w:p>
    <w:p>
      <w:pPr>
        <w:spacing w:after="0" w:line="150" w:lineRule="exact"/>
        <w:rPr>
          <w:sz w:val="20"/>
          <w:szCs w:val="20"/>
          <w:color w:val="auto"/>
        </w:rPr>
      </w:pPr>
    </w:p>
    <w:p>
      <w:pPr>
        <w:ind w:right="40" w:firstLine="619"/>
        <w:spacing w:after="0" w:line="23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Margin Regulations</w:t>
      </w:r>
      <w:r>
        <w:rPr>
          <w:rFonts w:ascii="Arial" w:cs="Arial" w:eastAsia="Arial" w:hAnsi="Arial"/>
          <w:sz w:val="17"/>
          <w:szCs w:val="17"/>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ind w:firstLine="619"/>
        <w:spacing w:after="0" w:line="245"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Governmental Approvals</w:t>
      </w:r>
      <w:r>
        <w:rPr>
          <w:rFonts w:ascii="Arial" w:cs="Arial" w:eastAsia="Arial" w:hAnsi="Arial"/>
          <w:sz w:val="15"/>
          <w:szCs w:val="15"/>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w:t>
      </w:r>
    </w:p>
    <w:p>
      <w:pPr>
        <w:spacing w:after="0" w:line="1" w:lineRule="exact"/>
        <w:rPr>
          <w:sz w:val="20"/>
          <w:szCs w:val="20"/>
          <w:color w:val="auto"/>
        </w:rPr>
      </w:pPr>
    </w:p>
    <w:p>
      <w:pPr>
        <w:ind w:right="320"/>
        <w:spacing w:after="0" w:line="227" w:lineRule="auto"/>
        <w:rPr>
          <w:sz w:val="20"/>
          <w:szCs w:val="20"/>
          <w:color w:val="auto"/>
        </w:rPr>
      </w:pPr>
      <w:r>
        <w:rPr>
          <w:rFonts w:ascii="Arial" w:cs="Arial" w:eastAsia="Arial" w:hAnsi="Arial"/>
          <w:sz w:val="17"/>
          <w:szCs w:val="17"/>
          <w:color w:val="auto"/>
        </w:rPr>
        <w:t>such licenses, approvals, authorizations, registrations, filings or consents the failure of which to obtain or make would not reasonably be expected to result in a Material Adverse Effect.</w:t>
      </w:r>
    </w:p>
    <w:p>
      <w:pPr>
        <w:spacing w:after="0" w:line="158" w:lineRule="exact"/>
        <w:rPr>
          <w:sz w:val="20"/>
          <w:szCs w:val="20"/>
          <w:color w:val="auto"/>
        </w:rPr>
      </w:pPr>
    </w:p>
    <w:p>
      <w:pPr>
        <w:ind w:right="140" w:firstLine="619"/>
        <w:spacing w:after="0" w:line="24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None of Holdings, the Borrower, or any other Restricted Subsidiary is an “investment company” within the meaning of the Investment Company Act of 1940, as amended.</w:t>
      </w:r>
    </w:p>
    <w:p>
      <w:pPr>
        <w:spacing w:after="0" w:line="15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5"/>
          <w:szCs w:val="15"/>
          <w:u w:val="single" w:color="auto"/>
          <w:color w:val="auto"/>
        </w:rPr>
        <w:t>True and Complete Disclosure</w:t>
      </w:r>
      <w:r>
        <w:rPr>
          <w:rFonts w:ascii="Arial" w:cs="Arial" w:eastAsia="Arial" w:hAnsi="Arial"/>
          <w:sz w:val="15"/>
          <w:szCs w:val="15"/>
          <w:color w:val="auto"/>
        </w:rPr>
        <w:t>.</w:t>
      </w:r>
    </w:p>
    <w:p>
      <w:pPr>
        <w:spacing w:after="0" w:line="178" w:lineRule="exact"/>
        <w:rPr>
          <w:sz w:val="20"/>
          <w:szCs w:val="20"/>
          <w:color w:val="auto"/>
        </w:rPr>
      </w:pPr>
    </w:p>
    <w:p>
      <w:pPr>
        <w:ind w:right="80" w:firstLine="622"/>
        <w:spacing w:after="0" w:line="231" w:lineRule="auto"/>
        <w:tabs>
          <w:tab w:leader="none" w:pos="12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None of the written factual information and written data (taken as a whole) heretofore or contemporaneously furnished by or on behalf of Holdings, the Borrower, any of the other Restricted Subsidiaries or any of their respective authorized representatives to the Administrative Agent, any Documentation Agent, Syndication Agent, any Joint Lead Arranger and Bookrunner, and/or any Lender on or before the Second Restatement Effective Date (including all such written information and data contained in (i) the Lender Presentation (as updated prior to the Second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6"/>
          <w:szCs w:val="16"/>
          <w:u w:val="single" w:color="auto"/>
          <w:color w:val="auto"/>
        </w:rPr>
        <w:t>Section 8.8(a)</w:t>
      </w:r>
      <w:r>
        <w:rPr>
          <w:rFonts w:ascii="Arial" w:cs="Arial" w:eastAsia="Arial" w:hAnsi="Arial"/>
          <w:sz w:val="16"/>
          <w:szCs w:val="16"/>
          <w:color w:val="auto"/>
        </w:rPr>
        <w:t xml:space="preserve">, such factual information and data shall not include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financial information, projections, estimates (including financial estimates, forecasts,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other forward-looking information) or other forward looking information and information of a general economic or general industry nature.</w:t>
      </w:r>
    </w:p>
    <w:p>
      <w:pPr>
        <w:spacing w:after="0" w:line="191" w:lineRule="exact"/>
        <w:rPr>
          <w:sz w:val="20"/>
          <w:szCs w:val="20"/>
          <w:color w:val="auto"/>
        </w:rPr>
      </w:pPr>
    </w:p>
    <w:p>
      <w:pPr>
        <w:jc w:val="both"/>
        <w:ind w:right="100" w:firstLine="622"/>
        <w:spacing w:after="0" w:line="224" w:lineRule="auto"/>
        <w:tabs>
          <w:tab w:leader="none" w:pos="123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57" w:lineRule="exact"/>
        <w:rPr>
          <w:rFonts w:ascii="Arial" w:cs="Arial" w:eastAsia="Arial" w:hAnsi="Arial"/>
          <w:sz w:val="17"/>
          <w:szCs w:val="17"/>
          <w:color w:val="auto"/>
        </w:rPr>
      </w:pPr>
    </w:p>
    <w:p>
      <w:pPr>
        <w:ind w:left="1240" w:hanging="618"/>
        <w:spacing w:after="0"/>
        <w:tabs>
          <w:tab w:leader="none" w:pos="1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of the Second Restatement Effective Date, the information included in the Beneficial Ownership Certification is true and correct in all</w:t>
      </w:r>
    </w:p>
    <w:p>
      <w:pPr>
        <w:spacing w:after="0"/>
        <w:rPr>
          <w:rFonts w:ascii="Arial" w:cs="Arial" w:eastAsia="Arial" w:hAnsi="Arial"/>
          <w:sz w:val="16"/>
          <w:szCs w:val="16"/>
          <w:color w:val="auto"/>
        </w:rPr>
      </w:pPr>
      <w:r>
        <w:rPr>
          <w:rFonts w:ascii="Arial" w:cs="Arial" w:eastAsia="Arial" w:hAnsi="Arial"/>
          <w:sz w:val="17"/>
          <w:szCs w:val="17"/>
          <w:color w:val="auto"/>
        </w:rPr>
        <w:t>material respects.</w:t>
      </w:r>
    </w:p>
    <w:p>
      <w:pPr>
        <w:spacing w:after="0" w:line="17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5"/>
          <w:szCs w:val="15"/>
          <w:u w:val="single" w:color="auto"/>
          <w:color w:val="auto"/>
        </w:rPr>
        <w:t>Financial Condition; Financial Statements</w:t>
      </w:r>
      <w:r>
        <w:rPr>
          <w:rFonts w:ascii="Arial" w:cs="Arial" w:eastAsia="Arial" w:hAnsi="Arial"/>
          <w:sz w:val="15"/>
          <w:szCs w:val="15"/>
          <w:color w:val="auto"/>
        </w:rPr>
        <w:t>.</w:t>
      </w:r>
    </w:p>
    <w:p>
      <w:pPr>
        <w:spacing w:after="0" w:line="178" w:lineRule="exact"/>
        <w:rPr>
          <w:sz w:val="20"/>
          <w:szCs w:val="20"/>
          <w:color w:val="auto"/>
        </w:rPr>
      </w:pPr>
    </w:p>
    <w:p>
      <w:pPr>
        <w:ind w:right="120" w:firstLine="622"/>
        <w:spacing w:after="0" w:line="238" w:lineRule="auto"/>
        <w:tabs>
          <w:tab w:leader="none" w:pos="123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 The unaudited historical consolidated financial information of Holdings set forth in the Lender Presentation, and (ii) the Historical Financial Statements, in each case present fairly in all material respects the combined financial position of Holdings at the respective dates of said information, statements and results of operations for the respective periods covered thereby. The financial statements referred to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have been prepared in accordance with GAAP consistently applied except to the extent provided in the notes to said financial statements.</w:t>
      </w:r>
    </w:p>
    <w:p>
      <w:pPr>
        <w:spacing w:after="0" w:line="159" w:lineRule="exact"/>
        <w:rPr>
          <w:rFonts w:ascii="Arial" w:cs="Arial" w:eastAsia="Arial" w:hAnsi="Arial"/>
          <w:sz w:val="16"/>
          <w:szCs w:val="16"/>
          <w:color w:val="auto"/>
        </w:rPr>
      </w:pPr>
    </w:p>
    <w:p>
      <w:pPr>
        <w:ind w:left="1240" w:hanging="618"/>
        <w:spacing w:after="0"/>
        <w:tabs>
          <w:tab w:leader="none" w:pos="12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There has been no Material Adverse Effect since the Second Restatement Effective Date.</w:t>
      </w:r>
    </w:p>
    <w:p>
      <w:pPr>
        <w:spacing w:after="0" w:line="191"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Each Lender and the Administrative Agent hereby acknowledges and agrees that Holdings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70" w:lineRule="exact"/>
        <w:rPr>
          <w:sz w:val="20"/>
          <w:szCs w:val="20"/>
          <w:color w:val="auto"/>
        </w:rPr>
      </w:pPr>
    </w:p>
    <w:p>
      <w:pPr>
        <w:ind w:right="340" w:firstLine="619"/>
        <w:spacing w:after="0" w:line="26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Compliance with Laws; No Default</w:t>
      </w:r>
      <w:r>
        <w:rPr>
          <w:rFonts w:ascii="Arial" w:cs="Arial" w:eastAsia="Arial" w:hAnsi="Arial"/>
          <w:sz w:val="16"/>
          <w:szCs w:val="16"/>
          <w:color w:val="auto"/>
        </w:rPr>
        <w:t>. Each Credit Party is in compliance with all Requirements of Law applicable to it or its property, except where the failure to be in compliance would not reasonably be expected to result in a Material Adverse Effect. No Default has occurred and is continuing.</w:t>
      </w:r>
    </w:p>
    <w:p>
      <w:pPr>
        <w:spacing w:after="0" w:line="14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5"/>
          <w:szCs w:val="15"/>
          <w:u w:val="single" w:color="auto"/>
          <w:color w:val="auto"/>
        </w:rPr>
        <w:t>Anti-Corruption, Sanctions and Anti-Money Laundering Compliance</w:t>
      </w:r>
      <w:r>
        <w:rPr>
          <w:rFonts w:ascii="Arial" w:cs="Arial" w:eastAsia="Arial" w:hAnsi="Arial"/>
          <w:sz w:val="15"/>
          <w:szCs w:val="15"/>
          <w:color w:val="auto"/>
        </w:rPr>
        <w:t>. The Credit Parties have instituted and maintained policies and procedures</w:t>
      </w:r>
    </w:p>
    <w:p>
      <w:pPr>
        <w:ind w:right="100"/>
        <w:spacing w:after="0" w:line="239" w:lineRule="auto"/>
        <w:rPr>
          <w:sz w:val="20"/>
          <w:szCs w:val="20"/>
          <w:color w:val="auto"/>
        </w:rPr>
      </w:pPr>
      <w:r>
        <w:rPr>
          <w:rFonts w:ascii="Arial" w:cs="Arial" w:eastAsia="Arial" w:hAnsi="Arial"/>
          <w:sz w:val="15"/>
          <w:szCs w:val="15"/>
          <w:color w:val="auto"/>
        </w:rPr>
        <w:t>reasonably designed to promote and achieve compliance with Anti-Corruption Laws and Sanctions and each Credit Party, their respective Subsidiaries, and to the knowledge of each Credit Party, their respective Related Parties, are in compliance, in all material respects, with Anti-Corruption Laws, Sanctions, the Trading with the Enemy Act, as amended and Anti-Money Laundering Laws. None of the Credit Parties, their respective Subsidiaries, and to the knowledge of the Credit</w:t>
      </w:r>
    </w:p>
    <w:p>
      <w:pPr>
        <w:ind w:right="300"/>
        <w:spacing w:after="0" w:line="239" w:lineRule="auto"/>
        <w:rPr>
          <w:sz w:val="20"/>
          <w:szCs w:val="20"/>
          <w:color w:val="auto"/>
        </w:rPr>
      </w:pPr>
      <w:r>
        <w:rPr>
          <w:rFonts w:ascii="Arial" w:cs="Arial" w:eastAsia="Arial" w:hAnsi="Arial"/>
          <w:sz w:val="15"/>
          <w:szCs w:val="15"/>
          <w:color w:val="auto"/>
        </w:rPr>
        <w:t>Parties, their respective Related Parties, is (a) the subject or target of Sanctions, (b) included on List of Specially Designated Nationals by the United States Treasury Department’s Office of Foreign Assets Control (“</w:t>
      </w:r>
      <w:r>
        <w:rPr>
          <w:rFonts w:ascii="Arial" w:cs="Arial" w:eastAsia="Arial" w:hAnsi="Arial"/>
          <w:sz w:val="15"/>
          <w:szCs w:val="15"/>
          <w:b w:val="1"/>
          <w:bCs w:val="1"/>
          <w:color w:val="auto"/>
        </w:rPr>
        <w:t>OFAC</w:t>
      </w:r>
      <w:r>
        <w:rPr>
          <w:rFonts w:ascii="Arial" w:cs="Arial" w:eastAsia="Arial" w:hAnsi="Arial"/>
          <w:sz w:val="15"/>
          <w:szCs w:val="15"/>
          <w:color w:val="auto"/>
        </w:rPr>
        <w:t xml:space="preserve"> ”) or any similar list enforced by any other relevant sanctions authority or (c) is located, organized or resident in a Designated Jurisdiction. No Borrowing or Letter of Credit, use of proceeds or other transaction contemplated by this Agreement will</w:t>
      </w:r>
    </w:p>
    <w:p>
      <w:pPr>
        <w:spacing w:after="0"/>
        <w:rPr>
          <w:sz w:val="20"/>
          <w:szCs w:val="20"/>
          <w:color w:val="auto"/>
        </w:rPr>
      </w:pPr>
      <w:r>
        <w:rPr>
          <w:rFonts w:ascii="Arial" w:cs="Arial" w:eastAsia="Arial" w:hAnsi="Arial"/>
          <w:sz w:val="17"/>
          <w:szCs w:val="17"/>
          <w:color w:val="auto"/>
        </w:rPr>
        <w:t>violate any Anti-Corruption Law or applicable Sanctions.</w:t>
      </w:r>
    </w:p>
    <w:p>
      <w:pPr>
        <w:spacing w:after="0" w:line="164" w:lineRule="exact"/>
        <w:rPr>
          <w:sz w:val="20"/>
          <w:szCs w:val="20"/>
          <w:color w:val="auto"/>
        </w:rPr>
      </w:pPr>
    </w:p>
    <w:p>
      <w:pPr>
        <w:ind w:right="80" w:firstLine="619"/>
        <w:spacing w:after="0" w:line="251" w:lineRule="auto"/>
        <w:rPr>
          <w:sz w:val="20"/>
          <w:szCs w:val="20"/>
          <w:color w:val="auto"/>
        </w:rPr>
      </w:pPr>
      <w:r>
        <w:rPr>
          <w:rFonts w:ascii="Arial" w:cs="Arial" w:eastAsia="Arial" w:hAnsi="Arial"/>
          <w:sz w:val="15"/>
          <w:szCs w:val="15"/>
          <w:color w:val="auto"/>
        </w:rPr>
        <w:t xml:space="preserve">8.12 </w:t>
      </w:r>
      <w:r>
        <w:rPr>
          <w:rFonts w:ascii="Arial" w:cs="Arial" w:eastAsia="Arial" w:hAnsi="Arial"/>
          <w:sz w:val="15"/>
          <w:szCs w:val="15"/>
          <w:u w:val="single" w:color="auto"/>
          <w:color w:val="auto"/>
        </w:rPr>
        <w:t>Tax Matters</w:t>
      </w:r>
      <w:r>
        <w:rPr>
          <w:rFonts w:ascii="Arial" w:cs="Arial" w:eastAsia="Arial" w:hAnsi="Arial"/>
          <w:sz w:val="15"/>
          <w:szCs w:val="15"/>
          <w:color w:val="auto"/>
        </w:rPr>
        <w:t>. Except as would not reasonably be expected to have a Material Adverse Effect, (a) each of Holdings, the Borrower and each of the other Restricted Subsidiaries has filed all Tax returns required to be filed by it and has timely paid all Taxes payable by it (whether or not shown on a Tax return</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and including in its capacity as withholding agent) that have become due, other than those being contested in good faith and by proper proceedings if it has maintained adequate reserves (in the good faith judgment of management of Holdings, the Borrower or such Restricted Subsidiary, as applicable) with respect thereto in accordance with GAAP and (b) each of Holdings, the Borrower and each of the Restricted Subsidiaries has paid, or has provided adequate reserves (in</w:t>
      </w:r>
    </w:p>
    <w:p>
      <w:pPr>
        <w:ind w:right="120"/>
        <w:spacing w:after="0" w:line="220" w:lineRule="auto"/>
        <w:rPr>
          <w:sz w:val="20"/>
          <w:szCs w:val="20"/>
          <w:color w:val="auto"/>
        </w:rPr>
      </w:pPr>
      <w:r>
        <w:rPr>
          <w:rFonts w:ascii="Arial" w:cs="Arial" w:eastAsia="Arial" w:hAnsi="Arial"/>
          <w:sz w:val="17"/>
          <w:szCs w:val="17"/>
          <w:color w:val="auto"/>
        </w:rPr>
        <w:t>the good faith judgment of management of Holdings, the Borrower or such Restricted Subsidiary, as applicable) in accordance with GAAP for the payment of all Taxes not yet due and payable. There is no current or proposed Tax assessment, deficiency or other claim against Holdings, the Borrower or any Restricted Subsidiary that would reasonably be expected to result in a Material Adverse Effect.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8.13</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178" w:lineRule="exact"/>
        <w:rPr>
          <w:sz w:val="20"/>
          <w:szCs w:val="20"/>
          <w:color w:val="auto"/>
        </w:rPr>
      </w:pPr>
    </w:p>
    <w:p>
      <w:pPr>
        <w:ind w:left="1240" w:hanging="618"/>
        <w:spacing w:after="0"/>
        <w:tabs>
          <w:tab w:leader="none" w:pos="12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a Material Adverse Effect, no ERISA Event has occurred or is reasonably expected to occur.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9" w:lineRule="exact"/>
        <w:rPr>
          <w:rFonts w:ascii="Arial" w:cs="Arial" w:eastAsia="Arial" w:hAnsi="Arial"/>
          <w:sz w:val="15"/>
          <w:szCs w:val="15"/>
          <w:color w:val="auto"/>
        </w:rPr>
      </w:pPr>
    </w:p>
    <w:p>
      <w:pPr>
        <w:ind w:left="5480"/>
        <w:spacing w:after="0"/>
        <w:rPr>
          <w:rFonts w:ascii="Arial" w:cs="Arial" w:eastAsia="Arial" w:hAnsi="Arial"/>
          <w:sz w:val="15"/>
          <w:szCs w:val="15"/>
          <w:color w:val="auto"/>
        </w:rPr>
      </w:pPr>
      <w:r>
        <w:rPr>
          <w:rFonts w:ascii="Arial" w:cs="Arial" w:eastAsia="Arial" w:hAnsi="Arial"/>
          <w:sz w:val="17"/>
          <w:szCs w:val="17"/>
          <w:color w:val="auto"/>
        </w:rPr>
        <w:t>-90-</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06" w:lineRule="exact"/>
        <w:rPr>
          <w:sz w:val="20"/>
          <w:szCs w:val="20"/>
          <w:color w:val="auto"/>
        </w:rPr>
      </w:pPr>
    </w:p>
    <w:p>
      <w:pPr>
        <w:ind w:left="1240" w:hanging="618"/>
        <w:spacing w:after="0"/>
        <w:tabs>
          <w:tab w:leader="none" w:pos="12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a Material Adverse Effect, no Foreign Plan Event has occurred or is reasonably expected 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occur.</w:t>
      </w:r>
    </w:p>
    <w:p>
      <w:pPr>
        <w:spacing w:after="0" w:line="16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 </w:t>
      </w:r>
      <w:r>
        <w:rPr>
          <w:rFonts w:ascii="Arial" w:cs="Arial" w:eastAsia="Arial" w:hAnsi="Arial"/>
          <w:sz w:val="17"/>
          <w:szCs w:val="17"/>
          <w:u w:val="single" w:color="auto"/>
          <w:color w:val="auto"/>
        </w:rPr>
        <w:t>Schedule 8.14</w:t>
      </w:r>
      <w:r>
        <w:rPr>
          <w:rFonts w:ascii="Arial" w:cs="Arial" w:eastAsia="Arial" w:hAnsi="Arial"/>
          <w:sz w:val="17"/>
          <w:szCs w:val="17"/>
          <w:color w:val="auto"/>
        </w:rPr>
        <w:t xml:space="preserve"> lists each Subsidiary of Holdings and the Borrower (and the direct and indirect ownership interest of Holdings and the Borrower therein), in each case existing on the Second Restatement Effective Date.</w:t>
      </w:r>
    </w:p>
    <w:p>
      <w:pPr>
        <w:spacing w:after="0" w:line="170"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5"/>
          <w:szCs w:val="15"/>
          <w:color w:val="auto"/>
        </w:rPr>
        <w:t xml:space="preserve">8.15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Each of Holdings, the Borrower and the other Restricted Subsidiaries owns or has the right to use all Intellectual Property that is used in or otherwise necessary for the operation of their respective businesses as currently conducted, except where the failure of the foregoing would not reasonably be expected to have a Material Adverse Effect. The operation of their respective businesses by each of Holdings, the Borrower, and the other Restricted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Subsidiaries does not infringe upon, misappropriate, violate or otherwise conflict with the Intellectual Property of any third party, except as would not reasonably be expected to have a Material Adverse Effect.</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8.16</w:t>
      </w:r>
      <w:r>
        <w:rPr>
          <w:sz w:val="20"/>
          <w:szCs w:val="20"/>
          <w:color w:val="auto"/>
        </w:rPr>
        <w:tab/>
      </w:r>
      <w:r>
        <w:rPr>
          <w:rFonts w:ascii="Arial" w:cs="Arial" w:eastAsia="Arial" w:hAnsi="Arial"/>
          <w:sz w:val="15"/>
          <w:szCs w:val="15"/>
          <w:u w:val="single" w:color="auto"/>
          <w:color w:val="auto"/>
        </w:rPr>
        <w:t>Environmental Laws</w:t>
      </w:r>
      <w:r>
        <w:rPr>
          <w:rFonts w:ascii="Arial" w:cs="Arial" w:eastAsia="Arial" w:hAnsi="Arial"/>
          <w:sz w:val="15"/>
          <w:szCs w:val="15"/>
          <w:color w:val="auto"/>
        </w:rPr>
        <w:t>.</w:t>
      </w:r>
    </w:p>
    <w:p>
      <w:pPr>
        <w:spacing w:after="0" w:line="191" w:lineRule="exact"/>
        <w:rPr>
          <w:sz w:val="20"/>
          <w:szCs w:val="20"/>
          <w:color w:val="auto"/>
        </w:rPr>
      </w:pPr>
    </w:p>
    <w:p>
      <w:pPr>
        <w:ind w:firstLine="622"/>
        <w:spacing w:after="0" w:line="249" w:lineRule="auto"/>
        <w:tabs>
          <w:tab w:leader="none" w:pos="123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8.16</w:t>
      </w:r>
      <w:r>
        <w:rPr>
          <w:rFonts w:ascii="Arial" w:cs="Arial" w:eastAsia="Arial" w:hAnsi="Arial"/>
          <w:sz w:val="15"/>
          <w:szCs w:val="15"/>
          <w:color w:val="auto"/>
        </w:rPr>
        <w:t>, or as would not reasonably be expected to have a Material Adverse Effect: (i) each of Holdings, the Borrower, and the other Restricted Subsidiaries and their respective operations and properties are in compliance with all applicable Environmental Laws; (ii) none of Holdings, the Borrower, or any other Restricted Subsidiary has received written notice of any Environmental Claim; (iii) none of Holdings,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Holdings, the Borrower or any of the Restricted Subsidiaries.</w:t>
      </w:r>
    </w:p>
    <w:p>
      <w:pPr>
        <w:spacing w:after="0" w:line="163" w:lineRule="exact"/>
        <w:rPr>
          <w:rFonts w:ascii="Arial" w:cs="Arial" w:eastAsia="Arial" w:hAnsi="Arial"/>
          <w:sz w:val="15"/>
          <w:szCs w:val="15"/>
          <w:color w:val="auto"/>
        </w:rPr>
      </w:pPr>
    </w:p>
    <w:p>
      <w:pPr>
        <w:ind w:right="20" w:firstLine="622"/>
        <w:spacing w:after="0" w:line="224" w:lineRule="auto"/>
        <w:tabs>
          <w:tab w:leader="none" w:pos="123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8.16</w:t>
      </w:r>
      <w:r>
        <w:rPr>
          <w:rFonts w:ascii="Arial" w:cs="Arial" w:eastAsia="Arial" w:hAnsi="Arial"/>
          <w:sz w:val="17"/>
          <w:szCs w:val="17"/>
          <w:color w:val="auto"/>
        </w:rPr>
        <w:t>, none of Holdings,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6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8.17</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178" w:lineRule="exact"/>
        <w:rPr>
          <w:sz w:val="20"/>
          <w:szCs w:val="20"/>
          <w:color w:val="auto"/>
        </w:rPr>
      </w:pPr>
    </w:p>
    <w:p>
      <w:pPr>
        <w:ind w:right="80" w:firstLine="622"/>
        <w:spacing w:after="0" w:line="234" w:lineRule="auto"/>
        <w:tabs>
          <w:tab w:leader="none" w:pos="123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Each of Holdings, the Borrower, and the other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(b) no Mortgage encumbers improved Real Estate that is located in an area that has been identified by the Secretary of Housing and Urban Development as an area having special flood hazards within the meaning of the National Flood Insurance Act of 1968, as amended, unless flood insurance available under such act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140" w:firstLine="622"/>
        <w:spacing w:after="0" w:line="248" w:lineRule="auto"/>
        <w:tabs>
          <w:tab w:leader="none" w:pos="123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is a list of each real property owned by any Credit Party as of the Second Restatement Effective Date having a Fair Market Value in excess of $20,000,000.</w:t>
      </w:r>
    </w:p>
    <w:p>
      <w:pPr>
        <w:spacing w:after="0" w:line="150" w:lineRule="exact"/>
        <w:rPr>
          <w:sz w:val="20"/>
          <w:szCs w:val="20"/>
          <w:color w:val="auto"/>
        </w:rPr>
      </w:pPr>
    </w:p>
    <w:p>
      <w:pPr>
        <w:ind w:firstLine="619"/>
        <w:spacing w:after="0" w:line="236"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Solvency</w:t>
      </w:r>
      <w:r>
        <w:rPr>
          <w:rFonts w:ascii="Arial" w:cs="Arial" w:eastAsia="Arial" w:hAnsi="Arial"/>
          <w:sz w:val="17"/>
          <w:szCs w:val="17"/>
          <w:color w:val="auto"/>
        </w:rPr>
        <w:t>. On the Second Restatement Effective Date (after giving effect to the Transactions) immediately following the making of the Loans and after giving effect to the application of the proceeds of such Loans, Holdings on a consolidated basis with its Subsidiaries will be Solvent.</w:t>
      </w:r>
    </w:p>
    <w:p>
      <w:pPr>
        <w:spacing w:after="0" w:line="15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8.19</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On the Second Restatement Effective Date, the use of proceeds of the Loans will not violate the PATRIOT Act in any material</w:t>
      </w:r>
    </w:p>
    <w:p>
      <w:pPr>
        <w:spacing w:after="0"/>
        <w:rPr>
          <w:sz w:val="20"/>
          <w:szCs w:val="20"/>
          <w:color w:val="auto"/>
        </w:rPr>
      </w:pPr>
      <w:r>
        <w:rPr>
          <w:rFonts w:ascii="Arial" w:cs="Arial" w:eastAsia="Arial" w:hAnsi="Arial"/>
          <w:sz w:val="17"/>
          <w:szCs w:val="17"/>
          <w:color w:val="auto"/>
        </w:rPr>
        <w:t>respect.</w:t>
      </w:r>
    </w:p>
    <w:p>
      <w:pPr>
        <w:spacing w:after="0" w:line="16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8.20</w:t>
      </w:r>
      <w:r>
        <w:rPr>
          <w:sz w:val="20"/>
          <w:szCs w:val="20"/>
          <w:color w:val="auto"/>
        </w:rPr>
        <w:tab/>
      </w:r>
      <w:r>
        <w:rPr>
          <w:rFonts w:ascii="Arial" w:cs="Arial" w:eastAsia="Arial" w:hAnsi="Arial"/>
          <w:sz w:val="15"/>
          <w:szCs w:val="15"/>
          <w:u w:val="single" w:color="auto"/>
          <w:color w:val="auto"/>
        </w:rPr>
        <w:t>EEA Financial Institutions</w:t>
      </w:r>
      <w:r>
        <w:rPr>
          <w:rFonts w:ascii="Arial" w:cs="Arial" w:eastAsia="Arial" w:hAnsi="Arial"/>
          <w:sz w:val="15"/>
          <w:szCs w:val="15"/>
          <w:color w:val="auto"/>
        </w:rPr>
        <w:t>. No Credit Party is an Affected Financial Institution.</w:t>
      </w:r>
    </w:p>
    <w:p>
      <w:pPr>
        <w:spacing w:after="0" w:line="19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6"/>
          <w:szCs w:val="16"/>
          <w:u w:val="single" w:color="auto"/>
          <w:color w:val="auto"/>
        </w:rPr>
        <w:t>Affirmative Covenants</w:t>
      </w:r>
    </w:p>
    <w:p>
      <w:pPr>
        <w:spacing w:after="0" w:line="178" w:lineRule="exact"/>
        <w:rPr>
          <w:sz w:val="20"/>
          <w:szCs w:val="20"/>
          <w:color w:val="auto"/>
        </w:rPr>
      </w:pPr>
    </w:p>
    <w:p>
      <w:pPr>
        <w:ind w:right="220" w:firstLine="619"/>
        <w:spacing w:after="0" w:line="236" w:lineRule="auto"/>
        <w:rPr>
          <w:sz w:val="20"/>
          <w:szCs w:val="20"/>
          <w:color w:val="auto"/>
        </w:rPr>
      </w:pPr>
      <w:r>
        <w:rPr>
          <w:rFonts w:ascii="Arial" w:cs="Arial" w:eastAsia="Arial" w:hAnsi="Arial"/>
          <w:sz w:val="17"/>
          <w:szCs w:val="17"/>
          <w:color w:val="auto"/>
        </w:rPr>
        <w:t>Each of Holdings and the Borrower hereby covenants and agrees that on the Second Restatement Effective Date and thereafter, until the Commitments, the Swingline Commitment and each Letter of Credit have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or been collateralized in accordance with the terms of this Agreement and the Loans and Unpaid Drawings, together with interest, Fees and all other Obligations</w:t>
      </w:r>
    </w:p>
    <w:p>
      <w:pPr>
        <w:spacing w:after="0" w:line="22" w:lineRule="exact"/>
        <w:rPr>
          <w:sz w:val="20"/>
          <w:szCs w:val="20"/>
          <w:color w:val="auto"/>
        </w:rPr>
      </w:pPr>
    </w:p>
    <w:p>
      <w:pPr>
        <w:ind w:right="320"/>
        <w:spacing w:after="0" w:line="227" w:lineRule="auto"/>
        <w:rPr>
          <w:sz w:val="20"/>
          <w:szCs w:val="20"/>
          <w:color w:val="auto"/>
        </w:rPr>
      </w:pPr>
      <w:r>
        <w:rPr>
          <w:rFonts w:ascii="Arial" w:cs="Arial" w:eastAsia="Arial" w:hAnsi="Arial"/>
          <w:sz w:val="17"/>
          <w:szCs w:val="17"/>
          <w:color w:val="auto"/>
        </w:rPr>
        <w:t>incurred hereunder (other than contingent indemnity obligations, Secured Hedge Obligations and Secured Cash Management Obligations and Letters of Credit collateralized in accordance with the terms of this Agreement), are paid in full:</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u w:val="single" w:color="auto"/>
          <w:color w:val="auto"/>
        </w:rPr>
        <w:t>Information Covenants</w:t>
      </w:r>
      <w:r>
        <w:rPr>
          <w:rFonts w:ascii="Arial" w:cs="Arial" w:eastAsia="Arial" w:hAnsi="Arial"/>
          <w:sz w:val="15"/>
          <w:szCs w:val="15"/>
          <w:color w:val="auto"/>
        </w:rPr>
        <w:t>. The Borrower will furnish to the Administrative Agent (which shall promptly make such information available to the</w:t>
      </w:r>
    </w:p>
    <w:p>
      <w:pPr>
        <w:spacing w:after="0"/>
        <w:rPr>
          <w:sz w:val="20"/>
          <w:szCs w:val="20"/>
          <w:color w:val="auto"/>
        </w:rPr>
      </w:pPr>
      <w:r>
        <w:rPr>
          <w:rFonts w:ascii="Arial" w:cs="Arial" w:eastAsia="Arial" w:hAnsi="Arial"/>
          <w:sz w:val="17"/>
          <w:szCs w:val="17"/>
          <w:color w:val="auto"/>
        </w:rPr>
        <w:t>Lenders in accordance with its customary practice):</w:t>
      </w:r>
    </w:p>
    <w:p>
      <w:pPr>
        <w:spacing w:after="0" w:line="164" w:lineRule="exact"/>
        <w:rPr>
          <w:sz w:val="20"/>
          <w:szCs w:val="20"/>
          <w:color w:val="auto"/>
        </w:rPr>
      </w:pPr>
    </w:p>
    <w:p>
      <w:pPr>
        <w:ind w:left="620" w:right="100" w:firstLine="621"/>
        <w:spacing w:after="0" w:line="215" w:lineRule="auto"/>
        <w:tabs>
          <w:tab w:leader="none" w:pos="185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(commencing with the fiscal year ending December 30, 2023), the consolidated balance sheets of Holdings and the Restricted Subsidiaries as at the end of each fiscal year, and the related consolidated statements of operations and cash flows for such fiscal year, setting forth comparative consolidated and/or combined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Holdings or any of the Material Subsidiaries (or group of Subsidiaries that together would constitute a Material Subsidiary) as a going concern (other than any exception, explanatory paragraph or qualification, that is expressly solely with respect to, or expressly resulting solely from, (i) an upcoming maturity date under any Indebtedness occurring within one year from the time such opinion is delivered or (ii) any potential inability to satisfy a financial maintenance covenant on a future date or in a future period).</w:t>
      </w:r>
    </w:p>
    <w:p>
      <w:pPr>
        <w:spacing w:after="0" w:line="175" w:lineRule="exact"/>
        <w:rPr>
          <w:rFonts w:ascii="Arial" w:cs="Arial" w:eastAsia="Arial" w:hAnsi="Arial"/>
          <w:sz w:val="17"/>
          <w:szCs w:val="17"/>
          <w:color w:val="auto"/>
        </w:rPr>
      </w:pPr>
    </w:p>
    <w:p>
      <w:pPr>
        <w:ind w:left="620" w:firstLine="621"/>
        <w:spacing w:after="0" w:line="243" w:lineRule="auto"/>
        <w:tabs>
          <w:tab w:leader="none" w:pos="1858"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Quarterly Financial Statements</w:t>
      </w:r>
      <w:r>
        <w:rPr>
          <w:rFonts w:ascii="Arial" w:cs="Arial" w:eastAsia="Arial" w:hAnsi="Arial"/>
          <w:sz w:val="15"/>
          <w:szCs w:val="15"/>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Holdings (or, if such financial statements are not required to be filed with the SEC, on or before the date that is 45 days after the end of each such quarterly accounting period), the consolidated balance sheets of Holdings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September 30, 2023 setting forth comparative consolidated and/or combined figures for the related periods in the prior fiscal year or, in the case of such consolidated balance sheet, for the last day of the related period in the prior fiscal year, all of which shall be certified by an Authorized Officer of Holdings as fairly presenting in all material respects the financial condition, results of operations and cash flows of Holdings and its Restricted Subsidiaries in accordance with GAAP (except as noted therein), subject to changes resulting from normal year-end adjustments and the absence of footnotes, and, with respect to fiscal 2014 reporting periods, subject to finalization of the purchase price allocation to the fair value of assets acquired and liabilities assumed in the Original Transactions, as required by GAAP.</w:t>
      </w:r>
    </w:p>
    <w:p>
      <w:pPr>
        <w:spacing w:after="0" w:line="173" w:lineRule="exact"/>
        <w:rPr>
          <w:rFonts w:ascii="Arial" w:cs="Arial" w:eastAsia="Arial" w:hAnsi="Arial"/>
          <w:sz w:val="15"/>
          <w:szCs w:val="15"/>
          <w:color w:val="auto"/>
        </w:rPr>
      </w:pPr>
    </w:p>
    <w:p>
      <w:pPr>
        <w:ind w:left="620" w:right="60" w:firstLine="621"/>
        <w:spacing w:after="0" w:line="245" w:lineRule="auto"/>
        <w:tabs>
          <w:tab w:leader="none" w:pos="1858"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Budgets</w:t>
      </w:r>
      <w:r>
        <w:rPr>
          <w:rFonts w:ascii="Arial" w:cs="Arial" w:eastAsia="Arial" w:hAnsi="Arial"/>
          <w:sz w:val="15"/>
          <w:szCs w:val="15"/>
          <w:color w:val="auto"/>
        </w:rPr>
        <w:t xml:space="preserve">. In the event that Holdings (or any Parent Entity) ceases to provide public guidance or provides public guidance that is substantially less in scope than the most recent annual guidance provided by National Vision Holdings, Inc. prior to the Second Restatement Effective Date, within 90 days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w:t>
      </w:r>
      <w:r>
        <w:rPr>
          <w:rFonts w:ascii="Arial" w:cs="Arial" w:eastAsia="Arial" w:hAnsi="Arial"/>
          <w:sz w:val="15"/>
          <w:szCs w:val="15"/>
          <w:u w:val="single" w:color="auto"/>
          <w:color w:val="auto"/>
        </w:rPr>
        <w:t>Section 9.1(a)</w:t>
      </w:r>
      <w:r>
        <w:rPr>
          <w:rFonts w:ascii="Arial" w:cs="Arial" w:eastAsia="Arial" w:hAnsi="Arial"/>
          <w:sz w:val="15"/>
          <w:szCs w:val="15"/>
          <w:color w:val="auto"/>
        </w:rPr>
        <w:t>, setting forth the principal assumptions upon which such budget is based (collectively, the “</w:t>
      </w:r>
      <w:r>
        <w:rPr>
          <w:rFonts w:ascii="Arial" w:cs="Arial" w:eastAsia="Arial" w:hAnsi="Arial"/>
          <w:sz w:val="15"/>
          <w:szCs w:val="15"/>
          <w:b w:val="1"/>
          <w:bCs w:val="1"/>
          <w:color w:val="auto"/>
        </w:rPr>
        <w:t>Projections</w:t>
      </w:r>
      <w:r>
        <w:rPr>
          <w:rFonts w:ascii="Arial" w:cs="Arial" w:eastAsia="Arial" w:hAnsi="Arial"/>
          <w:sz w:val="15"/>
          <w:szCs w:val="15"/>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168" w:lineRule="exact"/>
        <w:rPr>
          <w:rFonts w:ascii="Arial" w:cs="Arial" w:eastAsia="Arial" w:hAnsi="Arial"/>
          <w:sz w:val="15"/>
          <w:szCs w:val="15"/>
          <w:color w:val="auto"/>
        </w:rPr>
      </w:pPr>
    </w:p>
    <w:p>
      <w:pPr>
        <w:ind w:left="620" w:right="300" w:firstLine="621"/>
        <w:spacing w:after="0" w:line="220" w:lineRule="auto"/>
        <w:tabs>
          <w:tab w:leader="none" w:pos="185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xml:space="preserve">. Not later than five days after the delivery of the financial statements provided for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 certificate of an Authorized Officer of Holdings or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end of such fiscal year or period, as the case may be, from the Restricted Subsidiaries and Unrestricted Subsidiaries, respectively, provided to the</w:t>
      </w:r>
    </w:p>
    <w:p>
      <w:pPr>
        <w:spacing w:after="0" w:line="11" w:lineRule="exact"/>
        <w:rPr>
          <w:sz w:val="20"/>
          <w:szCs w:val="20"/>
          <w:color w:val="auto"/>
        </w:rPr>
      </w:pPr>
    </w:p>
    <w:p>
      <w:pPr>
        <w:jc w:val="both"/>
        <w:ind w:right="80"/>
        <w:spacing w:after="0" w:line="239" w:lineRule="auto"/>
        <w:rPr>
          <w:sz w:val="20"/>
          <w:szCs w:val="20"/>
          <w:color w:val="auto"/>
        </w:rPr>
      </w:pPr>
      <w:r>
        <w:rPr>
          <w:rFonts w:ascii="Arial" w:cs="Arial" w:eastAsia="Arial" w:hAnsi="Arial"/>
          <w:sz w:val="15"/>
          <w:szCs w:val="15"/>
          <w:color w:val="auto"/>
        </w:rPr>
        <w:t xml:space="preserve">Lenders on the Second Restatement Effective Date or the most recent fiscal year or period, as the case may be and (ii) the reasonably detailed calculation of the then applicable financial maintenance covenants under </w:t>
      </w:r>
      <w:r>
        <w:rPr>
          <w:rFonts w:ascii="Arial" w:cs="Arial" w:eastAsia="Arial" w:hAnsi="Arial"/>
          <w:sz w:val="15"/>
          <w:szCs w:val="15"/>
          <w:u w:val="single" w:color="auto"/>
          <w:color w:val="auto"/>
        </w:rPr>
        <w:t>Section 10.7</w:t>
      </w:r>
      <w:r>
        <w:rPr>
          <w:rFonts w:ascii="Arial" w:cs="Arial" w:eastAsia="Arial" w:hAnsi="Arial"/>
          <w:sz w:val="15"/>
          <w:szCs w:val="15"/>
          <w:color w:val="auto"/>
        </w:rPr>
        <w:t xml:space="preserve">. At the time of the delivery of the financial statements provided for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9.1(a)</w:t>
      </w:r>
      <w:r>
        <w:rPr>
          <w:rFonts w:ascii="Arial" w:cs="Arial" w:eastAsia="Arial" w:hAnsi="Arial"/>
          <w:sz w:val="15"/>
          <w:szCs w:val="15"/>
          <w:color w:val="auto"/>
        </w:rPr>
        <w:t>, a certificate of an Authorized Officer of Holdings or the Borrower setting forth changes to the legal name, jurisdiction of formation, type of entity</w:t>
      </w:r>
    </w:p>
    <w:p>
      <w:pPr>
        <w:spacing w:after="0" w:line="254" w:lineRule="auto"/>
        <w:rPr>
          <w:sz w:val="20"/>
          <w:szCs w:val="20"/>
          <w:color w:val="auto"/>
        </w:rPr>
      </w:pPr>
      <w:r>
        <w:rPr>
          <w:rFonts w:ascii="Arial" w:cs="Arial" w:eastAsia="Arial" w:hAnsi="Arial"/>
          <w:sz w:val="15"/>
          <w:szCs w:val="15"/>
          <w:color w:val="auto"/>
        </w:rPr>
        <w:t xml:space="preserve">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Second Restatement Effective Date or the date of the most recent certificate delivered pursuant to this </w:t>
      </w:r>
      <w:r>
        <w:rPr>
          <w:rFonts w:ascii="Arial" w:cs="Arial" w:eastAsia="Arial" w:hAnsi="Arial"/>
          <w:sz w:val="15"/>
          <w:szCs w:val="15"/>
          <w:u w:val="single" w:color="auto"/>
          <w:color w:val="auto"/>
        </w:rPr>
        <w:t>clause (d)</w:t>
      </w:r>
      <w:r>
        <w:rPr>
          <w:rFonts w:ascii="Arial" w:cs="Arial" w:eastAsia="Arial" w:hAnsi="Arial"/>
          <w:sz w:val="15"/>
          <w:szCs w:val="15"/>
          <w:color w:val="auto"/>
        </w:rPr>
        <w:t>, as the case may be.</w:t>
      </w:r>
    </w:p>
    <w:p>
      <w:pPr>
        <w:spacing w:after="0" w:line="160" w:lineRule="exact"/>
        <w:rPr>
          <w:sz w:val="20"/>
          <w:szCs w:val="20"/>
          <w:color w:val="auto"/>
        </w:rPr>
      </w:pPr>
    </w:p>
    <w:p>
      <w:pPr>
        <w:ind w:right="100" w:firstLine="621"/>
        <w:spacing w:after="0" w:line="221" w:lineRule="auto"/>
        <w:tabs>
          <w:tab w:leader="none" w:pos="1238"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Notice of Default or Litigation</w:t>
      </w:r>
      <w:r>
        <w:rPr>
          <w:rFonts w:ascii="Arial" w:cs="Arial" w:eastAsia="Arial" w:hAnsi="Arial"/>
          <w:sz w:val="17"/>
          <w:szCs w:val="17"/>
          <w:color w:val="auto"/>
        </w:rPr>
        <w:t>. Promptly after an Authorized Officer of Holdings or any of the Restricted Subsidiaries obtains knowledge thereof, notice of (i) the occurrence of any event that constitutes a Default or Event of Default, which notice shall specify the nature thereof, the period of existence thereof and what action Holdings proposes to take with respect thereto and (ii) any litigation or governmental proceeding pending against Holdings or any of the Subsidiaries that would reasonably be expected to be determined adversely and, if so determined, to result in a Material Adverse Effect.</w:t>
      </w:r>
    </w:p>
    <w:p>
      <w:pPr>
        <w:spacing w:after="0" w:line="157" w:lineRule="exact"/>
        <w:rPr>
          <w:rFonts w:ascii="Arial" w:cs="Arial" w:eastAsia="Arial" w:hAnsi="Arial"/>
          <w:sz w:val="17"/>
          <w:szCs w:val="17"/>
          <w:color w:val="auto"/>
        </w:rPr>
      </w:pPr>
    </w:p>
    <w:p>
      <w:pPr>
        <w:ind w:right="240" w:firstLine="621"/>
        <w:spacing w:after="0" w:line="231" w:lineRule="auto"/>
        <w:tabs>
          <w:tab w:leader="none" w:pos="1238"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Environmental Matters</w:t>
      </w:r>
      <w:r>
        <w:rPr>
          <w:rFonts w:ascii="Arial" w:cs="Arial" w:eastAsia="Arial" w:hAnsi="Arial"/>
          <w:sz w:val="17"/>
          <w:szCs w:val="17"/>
          <w:color w:val="auto"/>
        </w:rPr>
        <w:t>. Promptly after an Authorized Officer of Holdings or any of the Restricted Subsidiaries obtains knowledge of any one or more of the following environmental matters, unless such environmental matters would not reasonably be expected to result in a Material Adverse Effect, notice of:</w:t>
      </w:r>
    </w:p>
    <w:p>
      <w:pPr>
        <w:spacing w:after="0" w:line="157" w:lineRule="exact"/>
        <w:rPr>
          <w:rFonts w:ascii="Arial" w:cs="Arial" w:eastAsia="Arial" w:hAnsi="Arial"/>
          <w:sz w:val="17"/>
          <w:szCs w:val="17"/>
          <w:color w:val="auto"/>
        </w:rPr>
      </w:pPr>
    </w:p>
    <w:p>
      <w:pPr>
        <w:ind w:left="1860" w:hanging="373"/>
        <w:spacing w:after="0"/>
        <w:tabs>
          <w:tab w:leader="none" w:pos="18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pending or threatened Environmental Claim against any Credit Party or any Real Estate; and</w:t>
      </w:r>
    </w:p>
    <w:p>
      <w:pPr>
        <w:spacing w:after="0" w:line="191" w:lineRule="exact"/>
        <w:rPr>
          <w:rFonts w:ascii="Arial" w:cs="Arial" w:eastAsia="Arial" w:hAnsi="Arial"/>
          <w:sz w:val="17"/>
          <w:szCs w:val="17"/>
          <w:color w:val="auto"/>
        </w:rPr>
      </w:pPr>
    </w:p>
    <w:p>
      <w:pPr>
        <w:ind w:left="620" w:right="540" w:firstLine="867"/>
        <w:spacing w:after="0" w:line="236" w:lineRule="auto"/>
        <w:tabs>
          <w:tab w:leader="none" w:pos="185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57" w:lineRule="exact"/>
        <w:rPr>
          <w:sz w:val="20"/>
          <w:szCs w:val="20"/>
          <w:color w:val="auto"/>
        </w:rPr>
      </w:pPr>
    </w:p>
    <w:p>
      <w:pPr>
        <w:ind w:right="520"/>
        <w:spacing w:after="0" w:line="278" w:lineRule="auto"/>
        <w:rPr>
          <w:sz w:val="20"/>
          <w:szCs w:val="20"/>
          <w:color w:val="auto"/>
        </w:rPr>
      </w:pPr>
      <w:r>
        <w:rPr>
          <w:rFonts w:ascii="Arial" w:cs="Arial" w:eastAsia="Arial" w:hAnsi="Arial"/>
          <w:sz w:val="16"/>
          <w:szCs w:val="16"/>
          <w:color w:val="auto"/>
        </w:rPr>
        <w:t>All such notices shall describe in reasonable detail the nature of the claim, investigation or removal, remedial or other corrective action in response thereto. The term “</w:t>
      </w:r>
      <w:r>
        <w:rPr>
          <w:rFonts w:ascii="Arial" w:cs="Arial" w:eastAsia="Arial" w:hAnsi="Arial"/>
          <w:sz w:val="16"/>
          <w:szCs w:val="16"/>
          <w:b w:val="1"/>
          <w:bCs w:val="1"/>
          <w:color w:val="auto"/>
        </w:rPr>
        <w:t>Real Estate</w:t>
      </w:r>
      <w:r>
        <w:rPr>
          <w:rFonts w:ascii="Arial" w:cs="Arial" w:eastAsia="Arial" w:hAnsi="Arial"/>
          <w:sz w:val="16"/>
          <w:szCs w:val="16"/>
          <w:color w:val="auto"/>
        </w:rPr>
        <w:t>” shall mean land, buildings, facilities and improvements owned or leased by any Credit Party.</w:t>
      </w:r>
    </w:p>
    <w:p>
      <w:pPr>
        <w:spacing w:after="0" w:line="128" w:lineRule="exact"/>
        <w:rPr>
          <w:sz w:val="20"/>
          <w:szCs w:val="20"/>
          <w:color w:val="auto"/>
        </w:rPr>
      </w:pPr>
    </w:p>
    <w:p>
      <w:pPr>
        <w:ind w:firstLine="621"/>
        <w:spacing w:after="0" w:line="228" w:lineRule="auto"/>
        <w:tabs>
          <w:tab w:leader="none" w:pos="1238"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Holdings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Holdings or any of the Restricted Subsidiaries shall send to the holders of any publicly issued debt of Holdings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(including, without limitation, information and documentation reasonably requested by the Administrative Agent or any Lender for purposes of compliance with applicable “know your customer” requirements under the PATRIOT Act or other applicable anti-money laundering laws);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62" w:lineRule="exact"/>
        <w:rPr>
          <w:rFonts w:ascii="Arial" w:cs="Arial" w:eastAsia="Arial" w:hAnsi="Arial"/>
          <w:sz w:val="16"/>
          <w:szCs w:val="16"/>
          <w:color w:val="auto"/>
        </w:rPr>
      </w:pPr>
    </w:p>
    <w:p>
      <w:pPr>
        <w:ind w:right="60" w:firstLine="621"/>
        <w:spacing w:after="0" w:line="231" w:lineRule="auto"/>
        <w:tabs>
          <w:tab w:leader="none" w:pos="123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Patriot Act/Beneficial Ownership Regulation.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620"/>
          </w:cols>
          <w:pgMar w:left="940" w:top="1440" w:right="339" w:bottom="1440" w:gutter="0" w:footer="0" w:header="0"/>
        </w:sectPr>
      </w:pPr>
    </w:p>
    <w:bookmarkStart w:id="119" w:name="page120"/>
    <w:bookmarkEnd w:id="119"/>
    <w:p>
      <w:pPr>
        <w:spacing w:after="0" w:line="1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Notwithstanding the foregoing, the obligations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may be satisfied with respect to financial information of Holdings</w:t>
      </w:r>
    </w:p>
    <w:p>
      <w:pPr>
        <w:spacing w:after="0" w:line="22" w:lineRule="exact"/>
        <w:rPr>
          <w:sz w:val="20"/>
          <w:szCs w:val="20"/>
          <w:color w:val="auto"/>
        </w:rPr>
      </w:pPr>
    </w:p>
    <w:p>
      <w:pPr>
        <w:jc w:val="both"/>
        <w:ind w:right="40"/>
        <w:spacing w:after="0" w:line="239" w:lineRule="auto"/>
        <w:rPr>
          <w:sz w:val="20"/>
          <w:szCs w:val="20"/>
          <w:color w:val="auto"/>
        </w:rPr>
      </w:pPr>
      <w:r>
        <w:rPr>
          <w:rFonts w:ascii="Arial" w:cs="Arial" w:eastAsia="Arial" w:hAnsi="Arial"/>
          <w:sz w:val="15"/>
          <w:szCs w:val="15"/>
          <w:color w:val="auto"/>
        </w:rPr>
        <w:t xml:space="preserve">and the Restricted Subsidiaries by furnishing (A) the applicable financial statements of the Borrower or any direct or indirect parent of Holdings or (B) Holdings’ (or any direct or indirect parent thereof), as applicable, Form 10-K or 10-Q, as applicable, filed with the SEC;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each of </w:t>
      </w:r>
      <w:r>
        <w:rPr>
          <w:rFonts w:ascii="Arial" w:cs="Arial" w:eastAsia="Arial" w:hAnsi="Arial"/>
          <w:sz w:val="15"/>
          <w:szCs w:val="15"/>
          <w:u w:val="single" w:color="auto"/>
          <w:color w:val="auto"/>
        </w:rPr>
        <w:t>subclauses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paragraph, to the extent such information relates to a parent of Holdings, such information is accompanied by consolidating or other information</w:t>
      </w:r>
    </w:p>
    <w:p>
      <w:pPr>
        <w:jc w:val="both"/>
        <w:ind w:right="60"/>
        <w:spacing w:after="0" w:line="227" w:lineRule="auto"/>
        <w:rPr>
          <w:sz w:val="20"/>
          <w:szCs w:val="20"/>
          <w:color w:val="auto"/>
        </w:rPr>
      </w:pPr>
      <w:r>
        <w:rPr>
          <w:rFonts w:ascii="Arial" w:cs="Arial" w:eastAsia="Arial" w:hAnsi="Arial"/>
          <w:sz w:val="17"/>
          <w:szCs w:val="17"/>
          <w:color w:val="auto"/>
        </w:rPr>
        <w:t>that explains in reasonable detail the differences between the information relating to such parent, on the one hand, and the information relating to Holdings and the Restricted Subsidiaries on a standalone basis, on the other hand.</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Documents required to be delivered pursuant to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(g)</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(to the extent any such documents are included in materials</w:t>
      </w:r>
    </w:p>
    <w:p>
      <w:pPr>
        <w:spacing w:after="0" w:line="2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otherwise filed with the SEC) may be delivered electronically and if so delivered, shall be deemed to have been delivered on the earliest date on which (i) Holdings posts such documents, or provides a link thereto on Holdings’ website on the Internet; (ii) such documents are posted on Holdings’ behalf on IntraLinks/IntraAgency or another website, if any, to which each Lender and the Administrative Agent have access (whether a commercial, third-party website or</w:t>
      </w:r>
    </w:p>
    <w:p>
      <w:pPr>
        <w:ind w:right="200"/>
        <w:spacing w:after="0" w:line="239" w:lineRule="auto"/>
        <w:rPr>
          <w:sz w:val="20"/>
          <w:szCs w:val="20"/>
          <w:color w:val="auto"/>
        </w:rPr>
      </w:pPr>
      <w:r>
        <w:rPr>
          <w:rFonts w:ascii="Arial" w:cs="Arial" w:eastAsia="Arial" w:hAnsi="Arial"/>
          <w:sz w:val="15"/>
          <w:szCs w:val="15"/>
          <w:color w:val="auto"/>
        </w:rPr>
        <w:t xml:space="preserve">whether sponsored by the Administrative Agent), or (iii) such financial statements and/or other documents are posted on the SEC’s website on the internet at www.sec.gov; </w:t>
      </w:r>
      <w:r>
        <w:rPr>
          <w:rFonts w:ascii="Arial" w:cs="Arial" w:eastAsia="Arial" w:hAnsi="Arial"/>
          <w:sz w:val="15"/>
          <w:szCs w:val="15"/>
          <w:u w:val="single" w:color="auto"/>
          <w:color w:val="auto"/>
        </w:rPr>
        <w:t>provided</w:t>
      </w:r>
      <w:r>
        <w:rPr>
          <w:rFonts w:ascii="Arial" w:cs="Arial" w:eastAsia="Arial" w:hAnsi="Arial"/>
          <w:sz w:val="15"/>
          <w:szCs w:val="15"/>
          <w:color w:val="auto"/>
        </w:rPr>
        <w:t>, that, (A) the Borrower shall, at the request of the Administrative Agent, continue to deliver copies (which delivery may be by electronic transmission ) of such documents to the Administrative Agent and (B) the Borrower shall notify (which notification may be by facsimile or electronic</w:t>
      </w:r>
    </w:p>
    <w:p>
      <w:pPr>
        <w:jc w:val="both"/>
        <w:ind w:right="60"/>
        <w:spacing w:after="0" w:line="220" w:lineRule="auto"/>
        <w:rPr>
          <w:sz w:val="20"/>
          <w:szCs w:val="20"/>
          <w:color w:val="auto"/>
        </w:rPr>
      </w:pPr>
      <w:r>
        <w:rPr>
          <w:rFonts w:ascii="Arial" w:cs="Arial" w:eastAsia="Arial" w:hAnsi="Arial"/>
          <w:sz w:val="17"/>
          <w:szCs w:val="17"/>
          <w:color w:val="auto"/>
        </w:rPr>
        <w:t>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70" w:lineRule="exact"/>
        <w:rPr>
          <w:sz w:val="20"/>
          <w:szCs w:val="20"/>
          <w:color w:val="auto"/>
        </w:rPr>
      </w:pPr>
    </w:p>
    <w:p>
      <w:pPr>
        <w:ind w:right="140" w:firstLine="619"/>
        <w:spacing w:after="0"/>
        <w:rPr>
          <w:sz w:val="20"/>
          <w:szCs w:val="20"/>
          <w:color w:val="auto"/>
        </w:rPr>
      </w:pPr>
      <w:r>
        <w:rPr>
          <w:rFonts w:ascii="Arial" w:cs="Arial" w:eastAsia="Arial" w:hAnsi="Arial"/>
          <w:sz w:val="16"/>
          <w:szCs w:val="16"/>
          <w:color w:val="auto"/>
        </w:rPr>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70" w:lineRule="exact"/>
        <w:rPr>
          <w:sz w:val="20"/>
          <w:szCs w:val="20"/>
          <w:color w:val="auto"/>
        </w:rPr>
      </w:pPr>
    </w:p>
    <w:p>
      <w:pPr>
        <w:ind w:right="20" w:firstLine="619"/>
        <w:spacing w:after="0" w:line="245"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Books, Records, and Inspections</w:t>
      </w:r>
      <w:r>
        <w:rPr>
          <w:rFonts w:ascii="Arial" w:cs="Arial" w:eastAsia="Arial" w:hAnsi="Arial"/>
          <w:sz w:val="15"/>
          <w:szCs w:val="15"/>
          <w:color w:val="auto"/>
        </w:rPr>
        <w:t>. Holdings will, and will cause each Restricted Subsidiary to, permit officers and designated representatives of the Administrative Agent or the Required Lenders to visit and inspect any of the properties or assets of Holdings and any such Subsidiary in whomsoever’s possession to the extent that it is within such party’s control to permit such inspection (and shall use commercially reasonable efforts to cause such inspection to be</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permitted to the extent that it is not within such party’s control to permit such inspection), and to examine the books and records of Holdings and any such Subsidiary and discuss the affairs, finances and accounts of Holdings and of any such Subsidiary with, and be advised as to the same by, its and their officers and independent accountants, all at such reasonable times and intervals and to such reasonable extent as the Administrative Agent or the Required Lenders may desire</w:t>
      </w:r>
    </w:p>
    <w:p>
      <w:pPr>
        <w:ind w:right="40"/>
        <w:spacing w:after="0" w:line="239" w:lineRule="auto"/>
        <w:rPr>
          <w:sz w:val="20"/>
          <w:szCs w:val="20"/>
          <w:color w:val="auto"/>
        </w:rPr>
      </w:pPr>
      <w:r>
        <w:rPr>
          <w:rFonts w:ascii="Arial" w:cs="Arial" w:eastAsia="Arial" w:hAnsi="Arial"/>
          <w:sz w:val="15"/>
          <w:szCs w:val="15"/>
          <w:color w:val="auto"/>
        </w:rPr>
        <w:t xml:space="preserve">(and subject, in the case of any such meetings or advice from such independent accountants, to such accountants’ customary policies and procedures);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5"/>
          <w:szCs w:val="15"/>
          <w:u w:val="single" w:color="auto"/>
          <w:color w:val="auto"/>
        </w:rPr>
        <w:t>Section 9.2</w:t>
      </w:r>
      <w:r>
        <w:rPr>
          <w:rFonts w:ascii="Arial" w:cs="Arial" w:eastAsia="Arial" w:hAnsi="Arial"/>
          <w:sz w:val="15"/>
          <w:szCs w:val="15"/>
          <w:color w:val="auto"/>
        </w:rPr>
        <w:t>, (b) the Administrative Agent shall not exercise such rights more than one</w:t>
      </w:r>
    </w:p>
    <w:p>
      <w:pPr>
        <w:ind w:right="40"/>
        <w:spacing w:after="0" w:line="239" w:lineRule="auto"/>
        <w:rPr>
          <w:sz w:val="20"/>
          <w:szCs w:val="20"/>
          <w:color w:val="auto"/>
        </w:rPr>
      </w:pPr>
      <w:r>
        <w:rPr>
          <w:rFonts w:ascii="Arial" w:cs="Arial" w:eastAsia="Arial" w:hAnsi="Arial"/>
          <w:sz w:val="15"/>
          <w:szCs w:val="15"/>
          <w:color w:val="auto"/>
        </w:rPr>
        <w:t xml:space="preserve">time in any calendar year, which such visit will be at Holdings’ expense, and (c) notwithstanding anything to the contrary in this </w:t>
      </w:r>
      <w:r>
        <w:rPr>
          <w:rFonts w:ascii="Arial" w:cs="Arial" w:eastAsia="Arial" w:hAnsi="Arial"/>
          <w:sz w:val="15"/>
          <w:szCs w:val="15"/>
          <w:u w:val="single" w:color="auto"/>
          <w:color w:val="auto"/>
        </w:rPr>
        <w:t>Section 9.2</w:t>
      </w:r>
      <w:r>
        <w:rPr>
          <w:rFonts w:ascii="Arial" w:cs="Arial" w:eastAsia="Arial" w:hAnsi="Arial"/>
          <w:sz w:val="15"/>
          <w:szCs w:val="15"/>
          <w:color w:val="auto"/>
        </w:rPr>
        <w:t>, none of Holdings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w:t>
      </w:r>
    </w:p>
    <w:p>
      <w:pPr>
        <w:ind w:right="320"/>
        <w:spacing w:after="0" w:line="239" w:lineRule="auto"/>
        <w:rPr>
          <w:sz w:val="20"/>
          <w:szCs w:val="20"/>
          <w:color w:val="auto"/>
        </w:rPr>
      </w:pPr>
      <w:r>
        <w:rPr>
          <w:rFonts w:ascii="Arial" w:cs="Arial" w:eastAsia="Arial" w:hAnsi="Arial"/>
          <w:sz w:val="15"/>
          <w:szCs w:val="15"/>
          <w:color w:val="auto"/>
        </w:rPr>
        <w:t xml:space="preserve">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when an Event of Default exists, the Administrative Agent (or any of its respective representatives or independent contractors) or any representative of the Required Lenders may do any of the foregoing at the</w:t>
      </w:r>
    </w:p>
    <w:p>
      <w:pPr>
        <w:ind w:right="40"/>
        <w:spacing w:after="0" w:line="227" w:lineRule="auto"/>
        <w:rPr>
          <w:sz w:val="20"/>
          <w:szCs w:val="20"/>
          <w:color w:val="auto"/>
        </w:rPr>
      </w:pPr>
      <w:r>
        <w:rPr>
          <w:rFonts w:ascii="Arial" w:cs="Arial" w:eastAsia="Arial" w:hAnsi="Arial"/>
          <w:sz w:val="17"/>
          <w:szCs w:val="17"/>
          <w:color w:val="auto"/>
        </w:rPr>
        <w:t>expense of Holdings at any time during normal business hours and upon reasonable advance notice. The Administrative Agent and the Required Lenders shall give Holdings the opportunity to participate in any discussions with Holdings’ independent public accountants.</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5"/>
          <w:szCs w:val="15"/>
          <w:u w:val="single" w:color="auto"/>
          <w:color w:val="auto"/>
        </w:rPr>
        <w:t>Maintenance of Insurance</w:t>
      </w:r>
      <w:r>
        <w:rPr>
          <w:rFonts w:ascii="Arial" w:cs="Arial" w:eastAsia="Arial" w:hAnsi="Arial"/>
          <w:sz w:val="15"/>
          <w:szCs w:val="15"/>
          <w:color w:val="auto"/>
        </w:rPr>
        <w:t>. (a) Holdings will, and will cause each Material Subsidiary to, at all times maintain in full force and effect, pursuant to</w:t>
      </w:r>
    </w:p>
    <w:p>
      <w:pPr>
        <w:ind w:right="20"/>
        <w:spacing w:after="0" w:line="237" w:lineRule="auto"/>
        <w:rPr>
          <w:sz w:val="20"/>
          <w:szCs w:val="20"/>
          <w:color w:val="auto"/>
        </w:rPr>
      </w:pPr>
      <w:r>
        <w:rPr>
          <w:rFonts w:ascii="Arial" w:cs="Arial" w:eastAsia="Arial" w:hAnsi="Arial"/>
          <w:sz w:val="15"/>
          <w:szCs w:val="15"/>
          <w:color w:val="auto"/>
        </w:rPr>
        <w:t>self-insurance arrangements or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the availability of insurance on a cost-effective basis) and against at least such risks (and with such risk retentions) as Holdings believes (in the good faith judgment of management</w:t>
      </w:r>
    </w:p>
    <w:p>
      <w:pPr>
        <w:spacing w:after="0" w:line="2" w:lineRule="exact"/>
        <w:rPr>
          <w:sz w:val="20"/>
          <w:szCs w:val="20"/>
          <w:color w:val="auto"/>
        </w:rPr>
      </w:pPr>
    </w:p>
    <w:p>
      <w:pPr>
        <w:ind w:right="200"/>
        <w:spacing w:after="0" w:line="227" w:lineRule="auto"/>
        <w:rPr>
          <w:sz w:val="20"/>
          <w:szCs w:val="20"/>
          <w:color w:val="auto"/>
        </w:rPr>
      </w:pPr>
      <w:r>
        <w:rPr>
          <w:rFonts w:ascii="Arial" w:cs="Arial" w:eastAsia="Arial" w:hAnsi="Arial"/>
          <w:sz w:val="17"/>
          <w:szCs w:val="17"/>
          <w:color w:val="auto"/>
        </w:rPr>
        <w:t>of Holdings) is reasonable and prudent in light of the size and nature of its business and the availability of insurance on a cost-effective basis; and will furnish to the Administrative Agent, promptly following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request from the Administrative Agent, information presented in reasonable detail as to the insurance so carried and (b) with respect to each Mortgaged Property,</w:t>
      </w:r>
    </w:p>
    <w:p>
      <w:pPr>
        <w:spacing w:after="0" w:line="22" w:lineRule="exact"/>
        <w:rPr>
          <w:sz w:val="20"/>
          <w:szCs w:val="20"/>
          <w:color w:val="auto"/>
        </w:rPr>
      </w:pPr>
    </w:p>
    <w:p>
      <w:pPr>
        <w:ind w:right="280"/>
        <w:spacing w:after="0" w:line="239" w:lineRule="auto"/>
        <w:rPr>
          <w:sz w:val="20"/>
          <w:szCs w:val="20"/>
          <w:color w:val="auto"/>
        </w:rPr>
      </w:pPr>
      <w:r>
        <w:rPr>
          <w:rFonts w:ascii="Arial" w:cs="Arial" w:eastAsia="Arial" w:hAnsi="Arial"/>
          <w:sz w:val="15"/>
          <w:szCs w:val="15"/>
          <w:color w:val="auto"/>
        </w:rPr>
        <w:t>Holdings will obtain flood insurance in such total amount as may reasonably be required by the Collateral Agent but in any event in the minimum amount as required by law, if at any time the area in which any improvements located on any Mortgaged Property is designated a “special flood hazard area” in any Flood Insurance Rate Map published by the Federal Emergency Management Agency (or any successor agency), and otherwise comply with the National Flood</w:t>
      </w:r>
    </w:p>
    <w:p>
      <w:pPr>
        <w:ind w:right="380"/>
        <w:spacing w:after="0" w:line="254" w:lineRule="auto"/>
        <w:rPr>
          <w:sz w:val="20"/>
          <w:szCs w:val="20"/>
          <w:color w:val="auto"/>
        </w:rPr>
      </w:pPr>
      <w:r>
        <w:rPr>
          <w:rFonts w:ascii="Arial" w:cs="Arial" w:eastAsia="Arial" w:hAnsi="Arial"/>
          <w:sz w:val="15"/>
          <w:szCs w:val="15"/>
          <w:color w:val="auto"/>
        </w:rPr>
        <w:t>Insurance Program as set forth in the Flood Disaster Protection Act of 1973, as amended from time to time. Each such policy of insurance shall (i) name the Collateral Agent, on behalf of the Secured Parties as an additional insured thereunder as its interests may appear and (ii) in the case of each casualty insurance policy, contain a loss payable clause or endorsement that names the Collateral Agent, on behalf of the Secured Parties as the loss payee thereunder.</w:t>
      </w:r>
    </w:p>
    <w:p>
      <w:pPr>
        <w:spacing w:after="0" w:line="160" w:lineRule="exact"/>
        <w:rPr>
          <w:sz w:val="20"/>
          <w:szCs w:val="20"/>
          <w:color w:val="auto"/>
        </w:rPr>
      </w:pPr>
    </w:p>
    <w:p>
      <w:pPr>
        <w:ind w:right="20" w:firstLine="619"/>
        <w:spacing w:after="0" w:line="245"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Payment of Taxes</w:t>
      </w:r>
      <w:r>
        <w:rPr>
          <w:rFonts w:ascii="Arial" w:cs="Arial" w:eastAsia="Arial" w:hAnsi="Arial"/>
          <w:sz w:val="15"/>
          <w:szCs w:val="15"/>
          <w:color w:val="auto"/>
        </w:rPr>
        <w:t>. Holdings will pay and discharge,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 xml:space="preserve">become a material Lien upon any properties of Holdings or any of the Restricted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Holdings nor any of the Restricted Subsidiaries shall be required to pay any such Tax that is being contested in good faith and by proper proceedings if it has maintained adequate reserves (in the good faith judgment of management of Holdings) with respect thereto in accordance with GAAP and the failure to pay would not reasonably be expected to result</w:t>
      </w:r>
    </w:p>
    <w:p>
      <w:pPr>
        <w:spacing w:after="0"/>
        <w:rPr>
          <w:sz w:val="20"/>
          <w:szCs w:val="20"/>
          <w:color w:val="auto"/>
        </w:rPr>
      </w:pPr>
      <w:r>
        <w:rPr>
          <w:rFonts w:ascii="Arial" w:cs="Arial" w:eastAsia="Arial" w:hAnsi="Arial"/>
          <w:sz w:val="17"/>
          <w:szCs w:val="17"/>
          <w:color w:val="auto"/>
        </w:rPr>
        <w:t>in a Material Adverse Effect.</w:t>
      </w:r>
    </w:p>
    <w:p>
      <w:pPr>
        <w:spacing w:after="0" w:line="164" w:lineRule="exact"/>
        <w:rPr>
          <w:sz w:val="20"/>
          <w:szCs w:val="20"/>
          <w:color w:val="auto"/>
        </w:rPr>
      </w:pPr>
    </w:p>
    <w:p>
      <w:pPr>
        <w:ind w:right="80" w:firstLine="619"/>
        <w:spacing w:after="0" w:line="23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Preservation of Existence; Consolidated Corporate Franchises</w:t>
      </w:r>
      <w:r>
        <w:rPr>
          <w:rFonts w:ascii="Arial" w:cs="Arial" w:eastAsia="Arial" w:hAnsi="Arial"/>
          <w:sz w:val="16"/>
          <w:szCs w:val="16"/>
          <w:color w:val="auto"/>
        </w:rPr>
        <w:t>. Holdings and the Borrower will, and will cause each Material Subsidiary to, take all actions necessary (a) to preserve and keep in full force and effect its existence, organizational rights and authority and (b) to maintain its rights, privileges</w:t>
      </w:r>
    </w:p>
    <w:p>
      <w:pPr>
        <w:ind w:right="60"/>
        <w:spacing w:after="0" w:line="220" w:lineRule="auto"/>
        <w:rPr>
          <w:sz w:val="20"/>
          <w:szCs w:val="20"/>
          <w:color w:val="auto"/>
        </w:rPr>
      </w:pPr>
      <w:r>
        <w:rPr>
          <w:rFonts w:ascii="Arial" w:cs="Arial" w:eastAsia="Arial" w:hAnsi="Arial"/>
          <w:sz w:val="17"/>
          <w:szCs w:val="17"/>
          <w:color w:val="auto"/>
        </w:rPr>
        <w:t xml:space="preserve">(including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Holdings and its Subsidiaries may consummate any transaction permitted under Permitted Investments and </w:t>
      </w:r>
      <w:r>
        <w:rPr>
          <w:rFonts w:ascii="Arial" w:cs="Arial" w:eastAsia="Arial" w:hAnsi="Arial"/>
          <w:sz w:val="17"/>
          <w:szCs w:val="17"/>
          <w:u w:val="single" w:color="auto"/>
          <w:color w:val="auto"/>
        </w:rPr>
        <w:t>Sections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10.5</w:t>
      </w:r>
      <w:r>
        <w:rPr>
          <w:rFonts w:ascii="Arial" w:cs="Arial" w:eastAsia="Arial" w:hAnsi="Arial"/>
          <w:sz w:val="17"/>
          <w:szCs w:val="17"/>
          <w:color w:val="auto"/>
        </w:rPr>
        <w:t>.</w:t>
      </w:r>
    </w:p>
    <w:p>
      <w:pPr>
        <w:spacing w:after="0" w:line="170" w:lineRule="exact"/>
        <w:rPr>
          <w:sz w:val="20"/>
          <w:szCs w:val="20"/>
          <w:color w:val="auto"/>
        </w:rPr>
      </w:pPr>
    </w:p>
    <w:p>
      <w:pPr>
        <w:jc w:val="both"/>
        <w:ind w:right="280" w:firstLine="619"/>
        <w:spacing w:after="0" w:line="245" w:lineRule="auto"/>
        <w:rPr>
          <w:sz w:val="20"/>
          <w:szCs w:val="20"/>
          <w:color w:val="auto"/>
        </w:rPr>
      </w:pPr>
      <w:r>
        <w:rPr>
          <w:rFonts w:ascii="Arial" w:cs="Arial" w:eastAsia="Arial" w:hAnsi="Arial"/>
          <w:sz w:val="15"/>
          <w:szCs w:val="15"/>
          <w:color w:val="auto"/>
        </w:rPr>
        <w:t xml:space="preserve">9.6 </w:t>
      </w:r>
      <w:r>
        <w:rPr>
          <w:rFonts w:ascii="Arial" w:cs="Arial" w:eastAsia="Arial" w:hAnsi="Arial"/>
          <w:sz w:val="15"/>
          <w:szCs w:val="15"/>
          <w:u w:val="single" w:color="auto"/>
          <w:color w:val="auto"/>
        </w:rPr>
        <w:t>Compliance with Statutes, Regulations, Etc.</w:t>
      </w:r>
      <w:r>
        <w:rPr>
          <w:rFonts w:ascii="Arial" w:cs="Arial" w:eastAsia="Arial" w:hAnsi="Arial"/>
          <w:sz w:val="15"/>
          <w:szCs w:val="15"/>
          <w:color w:val="auto"/>
        </w:rPr>
        <w:t xml:space="preserve"> Holdings will, and will cause each Restricted Subsidiary to, (a) comply with all applicable laws, rules, regulations, and orders applicable to it or its property, including, without limitation, applicable Sanctions and Anti-Corruption Laws, as amended, and the rules and regulations promulgated thereunder, and all governmental approvals or authorizations required to conduct its business, and to maintain all such</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w:t>
      </w:r>
    </w:p>
    <w:p>
      <w:pPr>
        <w:ind w:right="40"/>
        <w:spacing w:after="0" w:line="239" w:lineRule="auto"/>
        <w:rPr>
          <w:sz w:val="20"/>
          <w:szCs w:val="20"/>
          <w:color w:val="auto"/>
        </w:rPr>
      </w:pPr>
      <w:r>
        <w:rPr>
          <w:rFonts w:ascii="Arial" w:cs="Arial" w:eastAsia="Arial" w:hAnsi="Arial"/>
          <w:sz w:val="15"/>
          <w:szCs w:val="15"/>
          <w:color w:val="auto"/>
        </w:rPr>
        <w:t xml:space="preserve">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Arial" w:cs="Arial" w:eastAsia="Arial" w:hAnsi="Arial"/>
          <w:sz w:val="15"/>
          <w:szCs w:val="15"/>
          <w:u w:val="single" w:color="auto"/>
          <w:color w:val="auto"/>
        </w:rPr>
        <w:t>(a)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9.6</w:t>
      </w:r>
      <w:r>
        <w:rPr>
          <w:rFonts w:ascii="Arial" w:cs="Arial" w:eastAsia="Arial" w:hAnsi="Arial"/>
          <w:sz w:val="15"/>
          <w:szCs w:val="15"/>
          <w:color w:val="auto"/>
        </w:rPr>
        <w:t>, where the failure to do so would not</w:t>
      </w:r>
    </w:p>
    <w:p>
      <w:pPr>
        <w:spacing w:after="0"/>
        <w:rPr>
          <w:sz w:val="20"/>
          <w:szCs w:val="20"/>
          <w:color w:val="auto"/>
        </w:rPr>
      </w:pPr>
      <w:r>
        <w:rPr>
          <w:rFonts w:ascii="Arial" w:cs="Arial" w:eastAsia="Arial" w:hAnsi="Arial"/>
          <w:sz w:val="17"/>
          <w:szCs w:val="17"/>
          <w:color w:val="auto"/>
        </w:rPr>
        <w:t>reasonably be expected to result in a Material Adverse Effect.</w:t>
      </w:r>
    </w:p>
    <w:p>
      <w:pPr>
        <w:spacing w:after="0" w:line="164" w:lineRule="exact"/>
        <w:rPr>
          <w:sz w:val="20"/>
          <w:szCs w:val="20"/>
          <w:color w:val="auto"/>
        </w:rPr>
      </w:pPr>
    </w:p>
    <w:p>
      <w:pPr>
        <w:ind w:right="40" w:firstLine="619"/>
        <w:spacing w:after="0" w:line="251"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u w:val="single" w:color="auto"/>
          <w:color w:val="auto"/>
        </w:rPr>
        <w:t>ERISA</w:t>
      </w:r>
      <w:r>
        <w:rPr>
          <w:rFonts w:ascii="Arial" w:cs="Arial" w:eastAsia="Arial" w:hAnsi="Arial"/>
          <w:sz w:val="15"/>
          <w:szCs w:val="15"/>
          <w:color w:val="auto"/>
        </w:rPr>
        <w:t>. (a) Holdings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 xml:space="preserve">Subsidiaries is obligated to contribute;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Administrative Agent promptly after receipt thereof; and further provided, that the rights granted to the Administrative Agent in this Section shall be exercised not more than once during a 12-month period, and (b) Holdings will notify the Administrative Agent promptly following the occurrence of any ERISA Event or Foreign Plan Event that, alone or together with any other ERISA Events or Foreign Plan Events that have occurred, would reasonably be expected to result in</w:t>
      </w:r>
    </w:p>
    <w:p>
      <w:pPr>
        <w:spacing w:after="0"/>
        <w:rPr>
          <w:sz w:val="20"/>
          <w:szCs w:val="20"/>
          <w:color w:val="auto"/>
        </w:rPr>
      </w:pPr>
      <w:r>
        <w:rPr>
          <w:rFonts w:ascii="Arial" w:cs="Arial" w:eastAsia="Arial" w:hAnsi="Arial"/>
          <w:sz w:val="17"/>
          <w:szCs w:val="17"/>
          <w:color w:val="auto"/>
        </w:rPr>
        <w:t>liability of any Credit Party that would reasonably be expected to have a Material Adverse Effect.</w:t>
      </w:r>
    </w:p>
    <w:p>
      <w:pPr>
        <w:spacing w:after="0" w:line="164" w:lineRule="exact"/>
        <w:rPr>
          <w:sz w:val="20"/>
          <w:szCs w:val="20"/>
          <w:color w:val="auto"/>
        </w:rPr>
      </w:pPr>
    </w:p>
    <w:p>
      <w:pPr>
        <w:jc w:val="both"/>
        <w:ind w:right="180" w:firstLine="619"/>
        <w:spacing w:after="0" w:line="22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Holdings will, and will cause each of the Restricted Subsidiaries to, keep and maintain all property material to the conduct of its business in good working order and condition, ordinary wear and tear, casualty, and condemnation excepted, except to the extent that the failure to do so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0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5"/>
          <w:szCs w:val="15"/>
          <w:u w:val="single" w:color="auto"/>
          <w:color w:val="auto"/>
        </w:rPr>
        <w:t>Transactions with Affiliates</w:t>
      </w:r>
      <w:r>
        <w:rPr>
          <w:rFonts w:ascii="Arial" w:cs="Arial" w:eastAsia="Arial" w:hAnsi="Arial"/>
          <w:sz w:val="15"/>
          <w:szCs w:val="15"/>
          <w:color w:val="auto"/>
        </w:rPr>
        <w:t>. Holdings will conduct, and cause each of the Restricted Subsidiaries to conduct, all transactions with any of its</w:t>
      </w:r>
    </w:p>
    <w:p>
      <w:pPr>
        <w:ind w:right="320"/>
        <w:spacing w:after="0" w:line="239" w:lineRule="auto"/>
        <w:rPr>
          <w:sz w:val="20"/>
          <w:szCs w:val="20"/>
          <w:color w:val="auto"/>
        </w:rPr>
      </w:pPr>
      <w:r>
        <w:rPr>
          <w:rFonts w:ascii="Arial" w:cs="Arial" w:eastAsia="Arial" w:hAnsi="Arial"/>
          <w:sz w:val="15"/>
          <w:szCs w:val="15"/>
          <w:color w:val="auto"/>
        </w:rPr>
        <w:t>Affiliates (other than Holdings and the Restricted Subsidiaries) involving aggregate payments or consideration in excess of $2,500,000 for any individual transaction or series of related transactions on terms that are at least substantially as favorable to Holdings or such Restricted Subsidiary as it would obtain in a comparable arm’s-length transaction with a Person that is not an Affiliate, as determined by the board of directors of Holdings or such Restricted Subsidiary in</w:t>
      </w:r>
    </w:p>
    <w:p>
      <w:pPr>
        <w:ind w:right="360"/>
        <w:spacing w:after="0" w:line="239" w:lineRule="auto"/>
        <w:rPr>
          <w:sz w:val="20"/>
          <w:szCs w:val="20"/>
          <w:color w:val="auto"/>
        </w:rPr>
      </w:pPr>
      <w:r>
        <w:rPr>
          <w:rFonts w:ascii="Arial" w:cs="Arial" w:eastAsia="Arial" w:hAnsi="Arial"/>
          <w:sz w:val="15"/>
          <w:szCs w:val="15"/>
          <w:color w:val="auto"/>
        </w:rPr>
        <w:t xml:space="preserve">good faith;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restrictions shall not apply to (a) the payment of fees for management, consulting, and financial services rendered to Holdings and the Restricted Subsidiaries and customary investment banking fees for services rendered to Holdings and the Subsidiaries in connection with divestitures, acquisitions, financings and other transactions which payments are approved by a majority of the board of directors of Holdings in good faith, (b)</w:t>
      </w:r>
    </w:p>
    <w:p>
      <w:pPr>
        <w:ind w:right="260"/>
        <w:spacing w:after="0" w:line="239" w:lineRule="auto"/>
        <w:rPr>
          <w:sz w:val="20"/>
          <w:szCs w:val="20"/>
          <w:color w:val="auto"/>
        </w:rPr>
      </w:pPr>
      <w:r>
        <w:rPr>
          <w:rFonts w:ascii="Arial" w:cs="Arial" w:eastAsia="Arial" w:hAnsi="Arial"/>
          <w:sz w:val="15"/>
          <w:szCs w:val="15"/>
          <w:color w:val="auto"/>
        </w:rPr>
        <w:t xml:space="preserve">transactions permitted by </w:t>
      </w:r>
      <w:r>
        <w:rPr>
          <w:rFonts w:ascii="Arial" w:cs="Arial" w:eastAsia="Arial" w:hAnsi="Arial"/>
          <w:sz w:val="15"/>
          <w:szCs w:val="15"/>
          <w:u w:val="single" w:color="auto"/>
          <w:color w:val="auto"/>
        </w:rPr>
        <w:t>Section 10.5</w:t>
      </w:r>
      <w:r>
        <w:rPr>
          <w:rFonts w:ascii="Arial" w:cs="Arial" w:eastAsia="Arial" w:hAnsi="Arial"/>
          <w:sz w:val="15"/>
          <w:szCs w:val="15"/>
          <w:color w:val="auto"/>
        </w:rPr>
        <w:t>, (c) consummation of the Transactions and the payment of the Transaction Expenses, (d) the issuance of Capital Stock or Stock Equivalents of Holdings (or any direct or indirect parent thereof) or any of its Subsidiaries not otherwise prohibited by the Credit Documents, (e) loans, advances and other transactions between or among Holdings, any Restricted Subsidiary or any joint venture (regardless of the form of legal entity) in which</w:t>
      </w:r>
    </w:p>
    <w:p>
      <w:pPr>
        <w:ind w:right="400"/>
        <w:spacing w:after="0" w:line="239" w:lineRule="auto"/>
        <w:rPr>
          <w:sz w:val="20"/>
          <w:szCs w:val="20"/>
          <w:color w:val="auto"/>
        </w:rPr>
      </w:pPr>
      <w:r>
        <w:rPr>
          <w:rFonts w:ascii="Arial" w:cs="Arial" w:eastAsia="Arial" w:hAnsi="Arial"/>
          <w:sz w:val="15"/>
          <w:szCs w:val="15"/>
          <w:color w:val="auto"/>
        </w:rPr>
        <w:t xml:space="preserve">Holdings or any Subsidiary has invested (and which Subsidiary or joint venture would not be an Affiliate of Holdings but for Holdings’ or a Subsidiary’s ownership of Capital Stock or Stock Equivalents in such joint venture or Subsidiary) to the extent permitted under </w:t>
      </w:r>
      <w:r>
        <w:rPr>
          <w:rFonts w:ascii="Arial" w:cs="Arial" w:eastAsia="Arial" w:hAnsi="Arial"/>
          <w:sz w:val="15"/>
          <w:szCs w:val="15"/>
          <w:u w:val="single" w:color="auto"/>
          <w:color w:val="auto"/>
        </w:rPr>
        <w:t>Section 10</w:t>
      </w:r>
      <w:r>
        <w:rPr>
          <w:rFonts w:ascii="Arial" w:cs="Arial" w:eastAsia="Arial" w:hAnsi="Arial"/>
          <w:sz w:val="15"/>
          <w:szCs w:val="15"/>
          <w:color w:val="auto"/>
        </w:rPr>
        <w:t>, (f) employment and severance arrangements between Holdings and the Restricted Subsidiaries and their respective officers, employees or consultants (including management and employee</w:t>
      </w:r>
    </w:p>
    <w:p>
      <w:pPr>
        <w:ind w:right="180"/>
        <w:spacing w:after="0" w:line="239" w:lineRule="auto"/>
        <w:rPr>
          <w:sz w:val="20"/>
          <w:szCs w:val="20"/>
          <w:color w:val="auto"/>
        </w:rPr>
      </w:pPr>
      <w:r>
        <w:rPr>
          <w:rFonts w:ascii="Arial" w:cs="Arial" w:eastAsia="Arial" w:hAnsi="Arial"/>
          <w:sz w:val="15"/>
          <w:szCs w:val="15"/>
          <w:color w:val="auto"/>
        </w:rPr>
        <w:t xml:space="preserve">benefit plans or agreements, stock option plans and other compensatory arrangements) in the ordinary course of business (including loans and advances in connection therewith), (g) payments by Holdings (and any direct or indirect parent thereof) and the Subsidiaries pursuant to the tax sharing agreements among Holdings (and any such parent) and the Subsidiaries that are permitted under </w:t>
      </w:r>
      <w:r>
        <w:rPr>
          <w:rFonts w:ascii="Arial" w:cs="Arial" w:eastAsia="Arial" w:hAnsi="Arial"/>
          <w:sz w:val="15"/>
          <w:szCs w:val="15"/>
          <w:u w:val="single" w:color="auto"/>
          <w:color w:val="auto"/>
        </w:rPr>
        <w:t>Section 10.5(b)(15)</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the amount of such payments in any</w:t>
      </w:r>
    </w:p>
    <w:p>
      <w:pPr>
        <w:ind w:right="420"/>
        <w:spacing w:after="0" w:line="239" w:lineRule="auto"/>
        <w:rPr>
          <w:sz w:val="20"/>
          <w:szCs w:val="20"/>
          <w:color w:val="auto"/>
        </w:rPr>
      </w:pPr>
      <w:r>
        <w:rPr>
          <w:rFonts w:ascii="Arial" w:cs="Arial" w:eastAsia="Arial" w:hAnsi="Arial"/>
          <w:sz w:val="15"/>
          <w:szCs w:val="15"/>
          <w:color w:val="auto"/>
        </w:rPr>
        <w:t>fiscal year does not exceed the amount that Holdings, the Restricted Subsidiaries and the Unrestricted Subsidiaries (to the extent of the amount received from Unrestricted Subsidiaries) would have been required to pay in respect of such foreign, federal, state and/or local taxes for such fiscal year had Holdings, the Restricted Subsidiaries and the Unrestricted Subsidiaries (to the extent described above) paid such taxes separately from any such direct or indirect parent</w:t>
      </w:r>
    </w:p>
    <w:p>
      <w:pPr>
        <w:ind w:right="320"/>
        <w:spacing w:after="0" w:line="239" w:lineRule="auto"/>
        <w:rPr>
          <w:sz w:val="20"/>
          <w:szCs w:val="20"/>
          <w:color w:val="auto"/>
        </w:rPr>
      </w:pPr>
      <w:r>
        <w:rPr>
          <w:rFonts w:ascii="Arial" w:cs="Arial" w:eastAsia="Arial" w:hAnsi="Arial"/>
          <w:sz w:val="15"/>
          <w:szCs w:val="15"/>
          <w:color w:val="auto"/>
        </w:rPr>
        <w:t>company of Holdings, (h) the payment of customary fees and reasonable out of pocket costs to, and indemnities provided on behalf of, directors, managers, consultants, officers, employees of Holdings (or any direct or indirect parent thereof) and the Subsidiaries in the ordinary course of business to the extent attributable to the ownership or operation of Holdings and the Subsidiaries, (i) transactions undertaken pursuant to membership in a purchasing consortium, (j)</w:t>
      </w:r>
    </w:p>
    <w:p>
      <w:pPr>
        <w:ind w:right="40"/>
        <w:spacing w:after="0" w:line="239" w:lineRule="auto"/>
        <w:rPr>
          <w:sz w:val="20"/>
          <w:szCs w:val="20"/>
          <w:color w:val="auto"/>
        </w:rPr>
      </w:pPr>
      <w:r>
        <w:rPr>
          <w:rFonts w:ascii="Arial" w:cs="Arial" w:eastAsia="Arial" w:hAnsi="Arial"/>
          <w:sz w:val="15"/>
          <w:szCs w:val="15"/>
          <w:color w:val="auto"/>
        </w:rPr>
        <w:t>transactions pursuant to any agreement or arrangement as in effect as of the Second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Second Restatement Effective Date as determined by the Borrower in good faith), (k)</w:t>
      </w:r>
    </w:p>
    <w:p>
      <w:pPr>
        <w:ind w:right="40"/>
        <w:spacing w:after="0" w:line="224" w:lineRule="auto"/>
        <w:rPr>
          <w:sz w:val="20"/>
          <w:szCs w:val="20"/>
          <w:color w:val="auto"/>
        </w:rPr>
      </w:pPr>
      <w:r>
        <w:rPr>
          <w:rFonts w:ascii="Arial" w:cs="Arial" w:eastAsia="Arial" w:hAnsi="Arial"/>
          <w:sz w:val="16"/>
          <w:szCs w:val="16"/>
          <w:color w:val="auto"/>
        </w:rPr>
        <w:t>customary payments by Holdings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w:t>
      </w:r>
    </w:p>
    <w:p>
      <w:pPr>
        <w:spacing w:after="0" w:line="1" w:lineRule="exact"/>
        <w:rPr>
          <w:sz w:val="20"/>
          <w:szCs w:val="20"/>
          <w:color w:val="auto"/>
        </w:rPr>
      </w:pPr>
    </w:p>
    <w:p>
      <w:pPr>
        <w:jc w:val="both"/>
        <w:ind w:right="140"/>
        <w:spacing w:after="0" w:line="239" w:lineRule="auto"/>
        <w:rPr>
          <w:sz w:val="20"/>
          <w:szCs w:val="20"/>
          <w:color w:val="auto"/>
        </w:rPr>
      </w:pPr>
      <w:r>
        <w:rPr>
          <w:rFonts w:ascii="Arial" w:cs="Arial" w:eastAsia="Arial" w:hAnsi="Arial"/>
          <w:sz w:val="15"/>
          <w:szCs w:val="15"/>
          <w:color w:val="auto"/>
        </w:rPr>
        <w:t>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w:t>
      </w:r>
    </w:p>
    <w:p>
      <w:pPr>
        <w:ind w:right="200"/>
        <w:spacing w:after="0" w:line="243" w:lineRule="auto"/>
        <w:rPr>
          <w:sz w:val="20"/>
          <w:szCs w:val="20"/>
          <w:color w:val="auto"/>
        </w:rPr>
      </w:pPr>
      <w:r>
        <w:rPr>
          <w:rFonts w:ascii="Arial" w:cs="Arial" w:eastAsia="Arial" w:hAnsi="Arial"/>
          <w:sz w:val="16"/>
          <w:szCs w:val="16"/>
          <w:color w:val="auto"/>
        </w:rPr>
        <w:t>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15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5"/>
          <w:szCs w:val="15"/>
          <w:u w:val="single" w:color="auto"/>
          <w:color w:val="auto"/>
        </w:rPr>
        <w:t>End of Fiscal Years</w:t>
      </w:r>
      <w:r>
        <w:rPr>
          <w:rFonts w:ascii="Arial" w:cs="Arial" w:eastAsia="Arial" w:hAnsi="Arial"/>
          <w:sz w:val="15"/>
          <w:szCs w:val="15"/>
          <w:color w:val="auto"/>
        </w:rPr>
        <w:t>. Holdings will, for financial reporting purposes, cause each of its, and each of the Restricted Subsidiaries’, fiscal years to end</w:t>
      </w:r>
    </w:p>
    <w:p>
      <w:pPr>
        <w:spacing w:after="0" w:line="239" w:lineRule="auto"/>
        <w:rPr>
          <w:sz w:val="20"/>
          <w:szCs w:val="20"/>
          <w:color w:val="auto"/>
        </w:rPr>
      </w:pPr>
      <w:r>
        <w:rPr>
          <w:rFonts w:ascii="Arial" w:cs="Arial" w:eastAsia="Arial" w:hAnsi="Arial"/>
          <w:sz w:val="15"/>
          <w:szCs w:val="15"/>
          <w:color w:val="auto"/>
        </w:rPr>
        <w:t xml:space="preserve">on dates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Holdings may, upon written notice to the Administrative Agent change the financial reporting convention specified above to (x) align the dates of such fiscal year and for any Restricted Subsidiary whose fiscal years end on dates different from those of Holdings or (y) any other financial reporting convention (including a change of fiscal year) reasonably acceptable (such consent not to be unreasonably withheld or</w:t>
      </w:r>
    </w:p>
    <w:p>
      <w:pPr>
        <w:ind w:right="780"/>
        <w:spacing w:after="0" w:line="227" w:lineRule="auto"/>
        <w:rPr>
          <w:sz w:val="20"/>
          <w:szCs w:val="20"/>
          <w:color w:val="auto"/>
        </w:rPr>
      </w:pPr>
      <w:r>
        <w:rPr>
          <w:rFonts w:ascii="Arial" w:cs="Arial" w:eastAsia="Arial" w:hAnsi="Arial"/>
          <w:sz w:val="17"/>
          <w:szCs w:val="17"/>
          <w:color w:val="auto"/>
        </w:rPr>
        <w:t>delayed) to the Administrative Agent, in which case Holdings and the Administrative Agent will, and are hereby authorized by the Lenders to, make any adjustments to this Agreement that are necessary in order to reflect such change in financial reporting.</w:t>
      </w:r>
    </w:p>
    <w:p>
      <w:pPr>
        <w:spacing w:after="0" w:line="158" w:lineRule="exact"/>
        <w:rPr>
          <w:sz w:val="20"/>
          <w:szCs w:val="20"/>
          <w:color w:val="auto"/>
        </w:rPr>
      </w:pPr>
    </w:p>
    <w:p>
      <w:pPr>
        <w:ind w:right="20" w:firstLine="619"/>
        <w:spacing w:after="0" w:line="23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Additional Guarantors and Grantors</w:t>
      </w:r>
      <w:r>
        <w:rPr>
          <w:rFonts w:ascii="Arial" w:cs="Arial" w:eastAsia="Arial" w:hAnsi="Arial"/>
          <w:sz w:val="16"/>
          <w:szCs w:val="16"/>
          <w:color w:val="auto"/>
        </w:rPr>
        <w:t>. Subject to any applicable limitations set forth in the Security Documents, Holdings will cause each direct or indirect Subsidiary (other than any Excluded Subsidiary) formed or otherwise purchased or acquired after the Second Restatement Effective Date (including</w:t>
      </w:r>
    </w:p>
    <w:p>
      <w:pPr>
        <w:jc w:val="both"/>
        <w:ind w:right="180"/>
        <w:spacing w:after="0" w:line="254" w:lineRule="auto"/>
        <w:rPr>
          <w:sz w:val="20"/>
          <w:szCs w:val="20"/>
          <w:color w:val="auto"/>
        </w:rPr>
      </w:pPr>
      <w:r>
        <w:rPr>
          <w:rFonts w:ascii="Arial" w:cs="Arial" w:eastAsia="Arial" w:hAnsi="Arial"/>
          <w:sz w:val="15"/>
          <w:szCs w:val="15"/>
          <w:color w:val="auto"/>
        </w:rPr>
        <w:t>pursuant to a Permitted Acquisition),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Subsidiary, to execute a supplement to each of the Guarantee, the Pledge Agreement and the Security Agreement in order to become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Guarantor under the Guarantee and a grantor under such Security Documents or, to the extent reasonably requested by the Collateral Agent, enter into a new</w:t>
      </w:r>
    </w:p>
    <w:p>
      <w:pPr>
        <w:spacing w:after="0" w:line="11"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 xml:space="preserve">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Second Restatement Effective Date and pursuant to </w:t>
      </w:r>
      <w:r>
        <w:rPr>
          <w:rFonts w:ascii="Arial" w:cs="Arial" w:eastAsia="Arial" w:hAnsi="Arial"/>
          <w:sz w:val="15"/>
          <w:szCs w:val="15"/>
          <w:u w:val="single" w:color="auto"/>
          <w:color w:val="auto"/>
        </w:rPr>
        <w:t>Section 9.14(d)</w:t>
      </w:r>
      <w:r>
        <w:rPr>
          <w:rFonts w:ascii="Arial" w:cs="Arial" w:eastAsia="Arial" w:hAnsi="Arial"/>
          <w:sz w:val="15"/>
          <w:szCs w:val="15"/>
          <w:color w:val="auto"/>
        </w:rPr>
        <w:t xml:space="preserve"> in the case of such Credit Parties.</w:t>
      </w:r>
    </w:p>
    <w:p>
      <w:pPr>
        <w:ind w:right="380"/>
        <w:spacing w:after="0" w:line="220" w:lineRule="auto"/>
        <w:rPr>
          <w:sz w:val="20"/>
          <w:szCs w:val="20"/>
          <w:color w:val="auto"/>
        </w:rPr>
      </w:pPr>
      <w:r>
        <w:rPr>
          <w:rFonts w:ascii="Arial" w:cs="Arial" w:eastAsia="Arial" w:hAnsi="Arial"/>
          <w:sz w:val="17"/>
          <w:szCs w:val="17"/>
          <w:color w:val="auto"/>
        </w:rPr>
        <w:t>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170" w:lineRule="exact"/>
        <w:rPr>
          <w:sz w:val="20"/>
          <w:szCs w:val="20"/>
          <w:color w:val="auto"/>
        </w:rPr>
      </w:pPr>
    </w:p>
    <w:p>
      <w:pPr>
        <w:ind w:right="60" w:firstLine="619"/>
        <w:spacing w:after="0" w:line="245" w:lineRule="auto"/>
        <w:rPr>
          <w:sz w:val="20"/>
          <w:szCs w:val="20"/>
          <w:color w:val="auto"/>
        </w:rPr>
      </w:pPr>
      <w:r>
        <w:rPr>
          <w:rFonts w:ascii="Arial" w:cs="Arial" w:eastAsia="Arial" w:hAnsi="Arial"/>
          <w:sz w:val="15"/>
          <w:szCs w:val="15"/>
          <w:color w:val="auto"/>
        </w:rPr>
        <w:t xml:space="preserve">9.12 </w:t>
      </w:r>
      <w:r>
        <w:rPr>
          <w:rFonts w:ascii="Arial" w:cs="Arial" w:eastAsia="Arial" w:hAnsi="Arial"/>
          <w:sz w:val="15"/>
          <w:szCs w:val="15"/>
          <w:u w:val="single" w:color="auto"/>
          <w:color w:val="auto"/>
        </w:rPr>
        <w:t>Pledge of Additional Stock and Evidence of Indebtedness</w:t>
      </w:r>
      <w:r>
        <w:rPr>
          <w:rFonts w:ascii="Arial" w:cs="Arial" w:eastAsia="Arial" w:hAnsi="Arial"/>
          <w:sz w:val="15"/>
          <w:szCs w:val="15"/>
          <w:color w:val="auto"/>
        </w:rPr>
        <w:t>.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$10,000,000 received by Holdings or any of the Guarantors in connection with any disposition of assets pursuant to </w:t>
      </w:r>
      <w:r>
        <w:rPr>
          <w:rFonts w:ascii="Arial" w:cs="Arial" w:eastAsia="Arial" w:hAnsi="Arial"/>
          <w:sz w:val="15"/>
          <w:szCs w:val="15"/>
          <w:u w:val="single" w:color="auto"/>
          <w:color w:val="auto"/>
        </w:rPr>
        <w:t>Section</w:t>
      </w:r>
    </w:p>
    <w:p>
      <w:pPr>
        <w:jc w:val="both"/>
        <w:spacing w:after="0" w:line="239" w:lineRule="auto"/>
        <w:rPr>
          <w:sz w:val="20"/>
          <w:szCs w:val="20"/>
          <w:color w:val="auto"/>
        </w:rPr>
      </w:pPr>
      <w:r>
        <w:rPr>
          <w:rFonts w:ascii="Arial" w:cs="Arial" w:eastAsia="Arial" w:hAnsi="Arial"/>
          <w:sz w:val="15"/>
          <w:szCs w:val="15"/>
          <w:u w:val="single" w:color="auto"/>
          <w:color w:val="auto"/>
        </w:rPr>
        <w:t>10.4(b)</w:t>
      </w:r>
      <w:r>
        <w:rPr>
          <w:rFonts w:ascii="Arial" w:cs="Arial" w:eastAsia="Arial" w:hAnsi="Arial"/>
          <w:sz w:val="15"/>
          <w:szCs w:val="15"/>
          <w:color w:val="auto"/>
        </w:rPr>
        <w:t>, and (iii) any promissory notes executed after the Second Restatement Effective Date evidencing Indebtedness in excess of $10,000,000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w:t>
      </w:r>
    </w:p>
    <w:p>
      <w:pPr>
        <w:ind w:right="20"/>
        <w:spacing w:after="0" w:line="234" w:lineRule="auto"/>
        <w:rPr>
          <w:sz w:val="20"/>
          <w:szCs w:val="20"/>
          <w:color w:val="auto"/>
        </w:rPr>
      </w:pPr>
      <w:r>
        <w:rPr>
          <w:rFonts w:ascii="Arial" w:cs="Arial" w:eastAsia="Arial" w:hAnsi="Arial"/>
          <w:sz w:val="16"/>
          <w:szCs w:val="16"/>
          <w:color w:val="auto"/>
        </w:rPr>
        <w:t>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9.13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178" w:lineRule="exact"/>
        <w:rPr>
          <w:sz w:val="20"/>
          <w:szCs w:val="20"/>
          <w:color w:val="auto"/>
        </w:rPr>
      </w:pPr>
    </w:p>
    <w:p>
      <w:pPr>
        <w:ind w:right="200" w:firstLine="622"/>
        <w:spacing w:after="0" w:line="236" w:lineRule="auto"/>
        <w:tabs>
          <w:tab w:leader="none" w:pos="123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Borrower will use Letters of Credit, Revolving Loans and Swingline Loans for working capital and general corporate purposes (including any transaction not prohibited by the Credit Documents).</w:t>
      </w:r>
    </w:p>
    <w:p>
      <w:pPr>
        <w:spacing w:after="0" w:line="169" w:lineRule="exact"/>
        <w:rPr>
          <w:rFonts w:ascii="Arial" w:cs="Arial" w:eastAsia="Arial" w:hAnsi="Arial"/>
          <w:sz w:val="17"/>
          <w:szCs w:val="17"/>
          <w:color w:val="auto"/>
        </w:rPr>
      </w:pPr>
    </w:p>
    <w:p>
      <w:pPr>
        <w:jc w:val="both"/>
        <w:ind w:right="140" w:firstLine="622"/>
        <w:spacing w:after="0" w:line="226" w:lineRule="auto"/>
        <w:tabs>
          <w:tab w:leader="none" w:pos="123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On the Second Restatement Effective Date, the Borrower will use the proceeds of the Term A Loans and cash on hand to effect the transactions contemplated by the Second Restatement Agreement, including the prepayment of all amounts outstanding (other than contingent obligations) under the Existing Credit Agreement immediately prior the Second Restatement Effective Date.</w:t>
      </w:r>
    </w:p>
    <w:p>
      <w:pPr>
        <w:spacing w:after="0" w:line="169" w:lineRule="exact"/>
        <w:rPr>
          <w:rFonts w:ascii="Arial" w:cs="Arial" w:eastAsia="Arial" w:hAnsi="Arial"/>
          <w:sz w:val="17"/>
          <w:szCs w:val="17"/>
          <w:color w:val="auto"/>
        </w:rPr>
      </w:pPr>
    </w:p>
    <w:p>
      <w:pPr>
        <w:ind w:right="640" w:firstLine="622"/>
        <w:spacing w:after="0" w:line="236" w:lineRule="auto"/>
        <w:tabs>
          <w:tab w:leader="none" w:pos="123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Borrower shall not use the proceeds of any Loan in any manner that would make the representations described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untrue.</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191" w:lineRule="exact"/>
        <w:rPr>
          <w:sz w:val="20"/>
          <w:szCs w:val="20"/>
          <w:color w:val="auto"/>
        </w:rPr>
      </w:pPr>
    </w:p>
    <w:p>
      <w:pPr>
        <w:ind w:right="120" w:firstLine="622"/>
        <w:spacing w:after="0" w:line="234" w:lineRule="auto"/>
        <w:tabs>
          <w:tab w:leader="none" w:pos="123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Holdings and the Restricted Subsidiaries.</w:t>
      </w:r>
    </w:p>
    <w:p>
      <w:pPr>
        <w:spacing w:after="0" w:line="160" w:lineRule="exact"/>
        <w:rPr>
          <w:rFonts w:ascii="Arial" w:cs="Arial" w:eastAsia="Arial" w:hAnsi="Arial"/>
          <w:sz w:val="16"/>
          <w:szCs w:val="16"/>
          <w:color w:val="auto"/>
        </w:rPr>
      </w:pPr>
    </w:p>
    <w:p>
      <w:pPr>
        <w:ind w:right="100" w:firstLine="622"/>
        <w:spacing w:after="0" w:line="217" w:lineRule="auto"/>
        <w:tabs>
          <w:tab w:leader="none" w:pos="123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Borrower or applicable Credit Party intends to dispose of pursuant to a Permitted Sale Leaseback so long as actually disposed of within 270 days of acquisition (or such longer period as the Administrative Agent may reasonably agree)) with a book value in excess of $20,000,000 (at the time of acquisition) are acquired by Holdings or any other Credit Party after the Second Restatement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Date (other than assets constituting Collateral under a Security Document that become subject to the Lien of the applicable Security Document upon acquisition</w:t>
      </w:r>
    </w:p>
    <w:p>
      <w:pPr>
        <w:spacing w:after="0" w:line="2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thereof) that are of a nature secured by a Security Document or that constitute a fee interest in real property in the United States, Holdings will notify the Collateral Agent, and, if requested by the Collateral Agent, Holdings will cause such assets to be subjected to a Lien securing the Obligations and will take, and cause the other applicable Credit Parties to take, such actions as shall be necessary or reasonably requested by the Collateral Agent, as soon as commercially reasonable but</w:t>
      </w:r>
    </w:p>
    <w:p>
      <w:pPr>
        <w:ind w:right="340"/>
        <w:spacing w:after="0" w:line="227" w:lineRule="auto"/>
        <w:rPr>
          <w:sz w:val="20"/>
          <w:szCs w:val="20"/>
          <w:color w:val="auto"/>
        </w:rPr>
      </w:pPr>
      <w:r>
        <w:rPr>
          <w:rFonts w:ascii="Arial" w:cs="Arial" w:eastAsia="Arial" w:hAnsi="Arial"/>
          <w:sz w:val="17"/>
          <w:szCs w:val="17"/>
          <w:color w:val="auto"/>
        </w:rPr>
        <w:t xml:space="preserve">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158" w:lineRule="exact"/>
        <w:rPr>
          <w:sz w:val="20"/>
          <w:szCs w:val="20"/>
          <w:color w:val="auto"/>
        </w:rPr>
      </w:pPr>
    </w:p>
    <w:p>
      <w:pPr>
        <w:ind w:right="60" w:firstLine="622"/>
        <w:spacing w:after="0" w:line="227" w:lineRule="auto"/>
        <w:tabs>
          <w:tab w:leader="none" w:pos="12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certificates of insurance evidencing the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Mortgage shall be executed and delivered until each Lender has received the documents stipulated in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above.</w:t>
      </w:r>
    </w:p>
    <w:p>
      <w:pPr>
        <w:spacing w:after="0" w:line="180" w:lineRule="exact"/>
        <w:rPr>
          <w:rFonts w:ascii="Arial" w:cs="Arial" w:eastAsia="Arial" w:hAnsi="Arial"/>
          <w:sz w:val="16"/>
          <w:szCs w:val="16"/>
          <w:color w:val="auto"/>
        </w:rPr>
      </w:pPr>
    </w:p>
    <w:p>
      <w:pPr>
        <w:jc w:val="both"/>
        <w:ind w:firstLine="622"/>
        <w:spacing w:after="0" w:line="226" w:lineRule="auto"/>
        <w:tabs>
          <w:tab w:leader="none" w:pos="123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Post-Closing Covenant</w:t>
      </w:r>
      <w:r>
        <w:rPr>
          <w:rFonts w:ascii="Arial" w:cs="Arial" w:eastAsia="Arial" w:hAnsi="Arial"/>
          <w:sz w:val="17"/>
          <w:szCs w:val="17"/>
          <w:color w:val="auto"/>
        </w:rPr>
        <w:t xml:space="preserve">. Holdings agrees that it will, or will cause its relevant Subsidiaries to, complete each of the actions described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as soon as commercially reasonable and by no later than the date set forth in </w:t>
      </w:r>
      <w:r>
        <w:rPr>
          <w:rFonts w:ascii="Arial" w:cs="Arial" w:eastAsia="Arial" w:hAnsi="Arial"/>
          <w:sz w:val="17"/>
          <w:szCs w:val="17"/>
          <w:u w:val="single" w:color="auto"/>
          <w:color w:val="auto"/>
        </w:rPr>
        <w:t>Schedule 9.14</w:t>
      </w:r>
      <w:r>
        <w:rPr>
          <w:rFonts w:ascii="Arial" w:cs="Arial" w:eastAsia="Arial" w:hAnsi="Arial"/>
          <w:sz w:val="17"/>
          <w:szCs w:val="17"/>
          <w:color w:val="auto"/>
        </w:rPr>
        <w:t xml:space="preserve"> with respect to such action or such later date as the Administrative Agent may reasonably agree.</w:t>
      </w:r>
    </w:p>
    <w:p>
      <w:pPr>
        <w:spacing w:after="0" w:line="170" w:lineRule="exact"/>
        <w:rPr>
          <w:sz w:val="20"/>
          <w:szCs w:val="20"/>
          <w:color w:val="auto"/>
        </w:rPr>
      </w:pPr>
    </w:p>
    <w:p>
      <w:pPr>
        <w:ind w:right="200" w:firstLine="619"/>
        <w:spacing w:after="0" w:line="245" w:lineRule="auto"/>
        <w:rPr>
          <w:sz w:val="20"/>
          <w:szCs w:val="20"/>
          <w:color w:val="auto"/>
        </w:rPr>
      </w:pPr>
      <w:r>
        <w:rPr>
          <w:rFonts w:ascii="Arial" w:cs="Arial" w:eastAsia="Arial" w:hAnsi="Arial"/>
          <w:sz w:val="15"/>
          <w:szCs w:val="15"/>
          <w:color w:val="auto"/>
        </w:rPr>
        <w:t xml:space="preserve">9.15 </w:t>
      </w:r>
      <w:r>
        <w:rPr>
          <w:rFonts w:ascii="Arial" w:cs="Arial" w:eastAsia="Arial" w:hAnsi="Arial"/>
          <w:sz w:val="15"/>
          <w:szCs w:val="15"/>
          <w:u w:val="single" w:color="auto"/>
          <w:color w:val="auto"/>
        </w:rPr>
        <w:t>Lines of Business</w:t>
      </w:r>
      <w:r>
        <w:rPr>
          <w:rFonts w:ascii="Arial" w:cs="Arial" w:eastAsia="Arial" w:hAnsi="Arial"/>
          <w:sz w:val="15"/>
          <w:szCs w:val="15"/>
          <w:color w:val="auto"/>
        </w:rPr>
        <w:t>. Holdings and the Restricted Subsidiaries, taken as a whole, will not fundamentally and substantively alter the character of their business, taken as a whole, from the business conducted by Holdings and the Subsidiaries, taken as a whole, on the Second Restatement Effective Date and other business activities which are extensions thereof or otherwise incidental, synergistic, reasonably related, or ancillary to any of the foregoing (and non-core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incidental businesses acquired in connection with any Permitted Acquisition or permitted Investment).</w:t>
      </w:r>
    </w:p>
    <w:p>
      <w:pPr>
        <w:spacing w:after="0" w:line="16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5"/>
          <w:szCs w:val="15"/>
          <w:u w:val="single" w:color="auto"/>
          <w:color w:val="auto"/>
        </w:rPr>
        <w:t>Negative Covenants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Each of Holdings and the Borrower hereby covenants and agrees that on the Second Restatement Effective Date (immediately after consummation of the</w:t>
      </w:r>
    </w:p>
    <w:p>
      <w:pPr>
        <w:spacing w:after="0" w:line="22"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Acquisition)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w:t>
      </w:r>
    </w:p>
    <w:p>
      <w:pPr>
        <w:spacing w:after="0"/>
        <w:rPr>
          <w:sz w:val="20"/>
          <w:szCs w:val="20"/>
          <w:color w:val="auto"/>
        </w:rPr>
      </w:pPr>
      <w:r>
        <w:rPr>
          <w:rFonts w:ascii="Arial" w:cs="Arial" w:eastAsia="Arial" w:hAnsi="Arial"/>
          <w:sz w:val="17"/>
          <w:szCs w:val="17"/>
          <w:color w:val="auto"/>
        </w:rPr>
        <w:t>the terms of this Agreement), are paid in full:</w:t>
      </w:r>
    </w:p>
    <w:p>
      <w:pPr>
        <w:spacing w:after="0" w:line="164" w:lineRule="exact"/>
        <w:rPr>
          <w:sz w:val="20"/>
          <w:szCs w:val="20"/>
          <w:color w:val="auto"/>
        </w:rPr>
      </w:pPr>
    </w:p>
    <w:p>
      <w:pPr>
        <w:ind w:right="80" w:firstLine="619"/>
        <w:spacing w:after="0" w:line="251"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Limitation on Indebtedness</w:t>
      </w:r>
      <w:r>
        <w:rPr>
          <w:rFonts w:ascii="Arial" w:cs="Arial" w:eastAsia="Arial" w:hAnsi="Arial"/>
          <w:sz w:val="15"/>
          <w:szCs w:val="15"/>
          <w:color w:val="auto"/>
        </w:rPr>
        <w:t>. Holdings will not, and will not permit any Restricted Subsidiary to create, incur, issue, assume, guarantee or otherwise become liable, contingently or otherwise (collectively, “</w:t>
      </w:r>
      <w:r>
        <w:rPr>
          <w:rFonts w:ascii="Arial" w:cs="Arial" w:eastAsia="Arial" w:hAnsi="Arial"/>
          <w:sz w:val="15"/>
          <w:szCs w:val="15"/>
          <w:b w:val="1"/>
          <w:bCs w:val="1"/>
          <w:color w:val="auto"/>
        </w:rPr>
        <w:t>incur</w:t>
      </w:r>
      <w:r>
        <w:rPr>
          <w:rFonts w:ascii="Arial" w:cs="Arial" w:eastAsia="Arial" w:hAnsi="Arial"/>
          <w:sz w:val="15"/>
          <w:szCs w:val="15"/>
          <w:color w:val="auto"/>
        </w:rPr>
        <w:t>” and collectively, an “</w:t>
      </w:r>
      <w:r>
        <w:rPr>
          <w:rFonts w:ascii="Arial" w:cs="Arial" w:eastAsia="Arial" w:hAnsi="Arial"/>
          <w:sz w:val="15"/>
          <w:szCs w:val="15"/>
          <w:b w:val="1"/>
          <w:bCs w:val="1"/>
          <w:color w:val="auto"/>
        </w:rPr>
        <w:t>incurrence</w:t>
      </w:r>
      <w:r>
        <w:rPr>
          <w:rFonts w:ascii="Arial" w:cs="Arial" w:eastAsia="Arial" w:hAnsi="Arial"/>
          <w:sz w:val="15"/>
          <w:szCs w:val="15"/>
          <w:color w:val="auto"/>
        </w:rPr>
        <w:t>”) with respect to any Indebtedness (including Acquired</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 xml:space="preserve">Indebtedness) and Holdings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Holdings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the Consolidated Total Debt to Consolidated EBITDA Ratio is equal to or less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than 0.25:1.00 inside the then applicable financial covenant level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forth in </w:t>
      </w:r>
      <w:r>
        <w:rPr>
          <w:rFonts w:ascii="Arial" w:cs="Arial" w:eastAsia="Arial" w:hAnsi="Arial"/>
          <w:sz w:val="15"/>
          <w:szCs w:val="15"/>
          <w:u w:val="single" w:color="auto"/>
          <w:color w:val="auto"/>
        </w:rPr>
        <w:t>Section 10.7(i)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amount of Indebtedness (other than Acquired Indebtedness), Disqualified Stock and preferred stock that may be</w:t>
      </w:r>
    </w:p>
    <w:p>
      <w:pPr>
        <w:spacing w:after="0" w:line="22"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incurred pursuant to the foregoing together with any amounts incurred under Section 10.1(n)(x) by Restricted Subsidiaries that are not Guarantors shall not exceed the greater of (x) $35,000,000 and (y) 30.0% of Consolidated EBITDA for the most recently ended Test Period (calculated on a Pro Forma Basis) at any one time outstanding.</w:t>
      </w:r>
    </w:p>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foregoing limitations will not apply to:</w:t>
      </w:r>
    </w:p>
    <w:p>
      <w:pPr>
        <w:spacing w:after="0" w:line="178" w:lineRule="exact"/>
        <w:rPr>
          <w:sz w:val="20"/>
          <w:szCs w:val="20"/>
          <w:color w:val="auto"/>
        </w:rPr>
      </w:pPr>
    </w:p>
    <w:p>
      <w:pPr>
        <w:ind w:left="1860" w:hanging="619"/>
        <w:spacing w:after="0"/>
        <w:tabs>
          <w:tab w:leader="none" w:pos="18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Indebtedness arising under the Credit Documents;</w:t>
      </w:r>
    </w:p>
    <w:p>
      <w:pPr>
        <w:spacing w:after="0" w:line="178" w:lineRule="exact"/>
        <w:rPr>
          <w:rFonts w:ascii="Arial" w:cs="Arial" w:eastAsia="Arial" w:hAnsi="Arial"/>
          <w:sz w:val="17"/>
          <w:szCs w:val="17"/>
          <w:color w:val="auto"/>
        </w:rPr>
      </w:pPr>
    </w:p>
    <w:p>
      <w:pPr>
        <w:ind w:left="1860" w:hanging="619"/>
        <w:spacing w:after="0"/>
        <w:tabs>
          <w:tab w:leader="none" w:pos="18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[Reserved];</w:t>
      </w:r>
    </w:p>
    <w:p>
      <w:pPr>
        <w:spacing w:after="0" w:line="191" w:lineRule="exact"/>
        <w:rPr>
          <w:rFonts w:ascii="Arial" w:cs="Arial" w:eastAsia="Arial" w:hAnsi="Arial"/>
          <w:sz w:val="17"/>
          <w:szCs w:val="17"/>
          <w:color w:val="auto"/>
        </w:rPr>
      </w:pPr>
    </w:p>
    <w:p>
      <w:pPr>
        <w:ind w:left="1860" w:hanging="619"/>
        <w:spacing w:after="0"/>
        <w:tabs>
          <w:tab w:leader="none" w:pos="1860" w:val="left"/>
        </w:tabs>
        <w:numPr>
          <w:ilvl w:val="1"/>
          <w:numId w:val="128"/>
        </w:numPr>
        <w:rPr>
          <w:rFonts w:ascii="Arial" w:cs="Arial" w:eastAsia="Arial" w:hAnsi="Arial"/>
          <w:sz w:val="15"/>
          <w:szCs w:val="15"/>
          <w:color w:val="auto"/>
        </w:rPr>
      </w:pPr>
      <w:r>
        <w:rPr>
          <w:rFonts w:ascii="Arial" w:cs="Arial" w:eastAsia="Arial" w:hAnsi="Arial"/>
          <w:sz w:val="15"/>
          <w:szCs w:val="15"/>
          <w:color w:val="auto"/>
        </w:rPr>
        <w:t xml:space="preserve">(i) Indebtedness (including any unused commitment) outstanding on the Second Restatement Effective Date listed on </w:t>
      </w:r>
      <w:r>
        <w:rPr>
          <w:rFonts w:ascii="Arial" w:cs="Arial" w:eastAsia="Arial" w:hAnsi="Arial"/>
          <w:sz w:val="15"/>
          <w:szCs w:val="15"/>
          <w:u w:val="single" w:color="auto"/>
          <w:color w:val="auto"/>
        </w:rPr>
        <w:t>Schedule 10.1</w:t>
      </w:r>
      <w:r>
        <w:rPr>
          <w:rFonts w:ascii="Arial" w:cs="Arial" w:eastAsia="Arial" w:hAnsi="Arial"/>
          <w:sz w:val="15"/>
          <w:szCs w:val="15"/>
          <w:color w:val="auto"/>
        </w:rPr>
        <w:t xml:space="preserve"> and</w:t>
      </w:r>
    </w:p>
    <w:p>
      <w:pPr>
        <w:spacing w:after="0" w:line="9" w:lineRule="exact"/>
        <w:rPr>
          <w:rFonts w:ascii="Arial" w:cs="Arial" w:eastAsia="Arial" w:hAnsi="Arial"/>
          <w:sz w:val="15"/>
          <w:szCs w:val="15"/>
          <w:color w:val="auto"/>
        </w:rPr>
      </w:pPr>
    </w:p>
    <w:p>
      <w:pPr>
        <w:ind w:left="620" w:right="40" w:firstLine="2"/>
        <w:spacing w:after="0" w:line="227" w:lineRule="auto"/>
        <w:tabs>
          <w:tab w:leader="none" w:pos="87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intercompany Indebtedness (including any unused commitment) outstanding on the Second Restatement Effective Date listed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(other than intercompany Indebtedness owed by a Credit Party to another Credit Party);</w:t>
      </w:r>
    </w:p>
    <w:p>
      <w:pPr>
        <w:spacing w:after="0" w:line="170" w:lineRule="exact"/>
        <w:rPr>
          <w:rFonts w:ascii="Arial" w:cs="Arial" w:eastAsia="Arial" w:hAnsi="Arial"/>
          <w:sz w:val="17"/>
          <w:szCs w:val="17"/>
          <w:color w:val="auto"/>
        </w:rPr>
      </w:pPr>
    </w:p>
    <w:p>
      <w:pPr>
        <w:ind w:left="620" w:firstLine="621"/>
        <w:spacing w:after="0" w:line="243" w:lineRule="auto"/>
        <w:tabs>
          <w:tab w:leader="none" w:pos="1858" w:val="left"/>
        </w:tabs>
        <w:numPr>
          <w:ilvl w:val="1"/>
          <w:numId w:val="129"/>
        </w:numPr>
        <w:rPr>
          <w:rFonts w:ascii="Arial" w:cs="Arial" w:eastAsia="Arial" w:hAnsi="Arial"/>
          <w:sz w:val="15"/>
          <w:szCs w:val="15"/>
          <w:color w:val="auto"/>
        </w:rPr>
      </w:pPr>
      <w:r>
        <w:rPr>
          <w:rFonts w:ascii="Arial" w:cs="Arial" w:eastAsia="Arial" w:hAnsi="Arial"/>
          <w:sz w:val="15"/>
          <w:szCs w:val="15"/>
          <w:color w:val="auto"/>
        </w:rPr>
        <w:t xml:space="preserve">Indebtedness (including Capitalized Lease Obligations), Disqualified Stock and preferred stock incurred by Holdings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Holdings or any Restricted Subsidiary under or pursuant to any “synthetic lease” transactions to on-balance sheet Indebtedness of Holdings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5"/>
          <w:szCs w:val="15"/>
          <w:u w:val="single" w:color="auto"/>
          <w:color w:val="auto"/>
        </w:rPr>
        <w:t>clause (d)</w:t>
      </w:r>
      <w:r>
        <w:rPr>
          <w:rFonts w:ascii="Arial" w:cs="Arial" w:eastAsia="Arial" w:hAnsi="Arial"/>
          <w:sz w:val="15"/>
          <w:szCs w:val="15"/>
          <w:color w:val="auto"/>
        </w:rPr>
        <w:t xml:space="preserve"> and all Refinancing Indebtedness incurred to refinance any other Indebtedness, Disqualified Stock and preferred stock incurred pursuant to this </w:t>
      </w:r>
      <w:r>
        <w:rPr>
          <w:rFonts w:ascii="Arial" w:cs="Arial" w:eastAsia="Arial" w:hAnsi="Arial"/>
          <w:sz w:val="15"/>
          <w:szCs w:val="15"/>
          <w:u w:val="single" w:color="auto"/>
          <w:color w:val="auto"/>
        </w:rPr>
        <w:t>clause (d)</w:t>
      </w:r>
      <w:r>
        <w:rPr>
          <w:rFonts w:ascii="Arial" w:cs="Arial" w:eastAsia="Arial" w:hAnsi="Arial"/>
          <w:sz w:val="15"/>
          <w:szCs w:val="15"/>
          <w:color w:val="auto"/>
        </w:rPr>
        <w:t xml:space="preserve">, does not exceed the greater of (x) $35,000,000 and (y) 35.0% of Consolidated EBITDA for the most recently ended Test Period (calculated on a Pro Forma Basis) at the time of incurrence;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Capitalized Lease Obligations incurred by Holdings or any Restricted Subsidiary pursuant to this </w:t>
      </w:r>
      <w:r>
        <w:rPr>
          <w:rFonts w:ascii="Arial" w:cs="Arial" w:eastAsia="Arial" w:hAnsi="Arial"/>
          <w:sz w:val="15"/>
          <w:szCs w:val="15"/>
          <w:u w:val="single" w:color="auto"/>
          <w:color w:val="auto"/>
        </w:rPr>
        <w:t>clause (d)</w:t>
      </w:r>
      <w:r>
        <w:rPr>
          <w:rFonts w:ascii="Arial" w:cs="Arial" w:eastAsia="Arial" w:hAnsi="Arial"/>
          <w:sz w:val="15"/>
          <w:szCs w:val="15"/>
          <w:color w:val="auto"/>
        </w:rPr>
        <w:t xml:space="preserve"> in connection with a Permitted Sale Leaseback shall not be subject to the foregoing limitation so long as the proceeds of such Permitted Sale Leaseback are used by Holdings or such Restricted Subsidiary to permanently repay outstanding Term Loans or other Indebtedness secured by a Lien on the assets subject to such Permitted Sale Leaseback (excluding any Lien ranking junior to the Lien securing the Obligations);</w:t>
      </w:r>
    </w:p>
    <w:p>
      <w:pPr>
        <w:spacing w:after="0" w:line="173" w:lineRule="exact"/>
        <w:rPr>
          <w:rFonts w:ascii="Arial" w:cs="Arial" w:eastAsia="Arial" w:hAnsi="Arial"/>
          <w:sz w:val="15"/>
          <w:szCs w:val="15"/>
          <w:color w:val="auto"/>
        </w:rPr>
      </w:pPr>
    </w:p>
    <w:p>
      <w:pPr>
        <w:ind w:left="620" w:right="180" w:firstLine="621"/>
        <w:spacing w:after="0" w:line="234" w:lineRule="auto"/>
        <w:tabs>
          <w:tab w:leader="none" w:pos="185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Indebtedness incurred by Holdings or any Restricted Subsidiary (including letter of credit obligations consistent with past practice constituting reimbursement obligations with respect to letters of credit issued in the ordinary course of business), in respect of workers’ compensation claims,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160" w:lineRule="exact"/>
        <w:rPr>
          <w:rFonts w:ascii="Arial" w:cs="Arial" w:eastAsia="Arial" w:hAnsi="Arial"/>
          <w:sz w:val="16"/>
          <w:szCs w:val="16"/>
          <w:color w:val="auto"/>
        </w:rPr>
      </w:pPr>
    </w:p>
    <w:p>
      <w:pPr>
        <w:ind w:left="620" w:right="120" w:firstLine="621"/>
        <w:spacing w:after="0" w:line="234" w:lineRule="auto"/>
        <w:tabs>
          <w:tab w:leader="none" w:pos="185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Indebtedness arising from agreements of Holdings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not reflected on the balance sheet of Holdings or any Restricted Subsidiary (contingent obligations referred to in a footnote to financial statements and not otherwise reflected on the balance sheet will not be deemed to be reflected as Indebtedness on such balance sheet for purposes of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620" w:firstLine="621"/>
        <w:spacing w:after="0" w:line="224" w:lineRule="auto"/>
        <w:tabs>
          <w:tab w:leader="none" w:pos="185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Indebtedness of Holdings to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Indebtedness owing to a Restricted Subsidiary that is not the Borrower or a Guarantor is subordinated in right of payment to Holdings’ Guarantee;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subsequent issuance or transfer of any Capital Stock or any other event which results in any such Restricted Subsidiary ceasing to be a Restricted Subsidiary or any other subsequent transfer of any such Indebtedness (except to another Borrower or another Restricted Subsidiary) shall be deemed, in each case to be an incurrence of such Indebtedness not permitted by this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06" w:lineRule="exact"/>
        <w:rPr>
          <w:sz w:val="20"/>
          <w:szCs w:val="20"/>
          <w:color w:val="auto"/>
        </w:rPr>
      </w:pPr>
    </w:p>
    <w:p>
      <w:pPr>
        <w:ind w:left="-500" w:firstLine="621"/>
        <w:spacing w:after="0" w:line="259" w:lineRule="auto"/>
        <w:tabs>
          <w:tab w:leader="none" w:pos="738"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Indebtedness of a Restricted Subsidiary owing to Holdings or another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or a Guarantor incurs such Indebtedness owing to a Restricted Subsidiary that is not the Borrower or a Guarantor, such Indebtedness is subordinated in right of payment to the Guarantee of such Guarantor as the case may be;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subsequent transfer of any such Indebtedness (except to Holdings or another Restricted Subsidiary) shall be deemed, in each case to be an incurrence of such Indebtedness not permitted by this clause;</w:t>
      </w:r>
    </w:p>
    <w:p>
      <w:pPr>
        <w:spacing w:after="0" w:line="157" w:lineRule="exact"/>
        <w:rPr>
          <w:rFonts w:ascii="Arial" w:cs="Arial" w:eastAsia="Arial" w:hAnsi="Arial"/>
          <w:sz w:val="15"/>
          <w:szCs w:val="15"/>
          <w:color w:val="auto"/>
        </w:rPr>
      </w:pPr>
    </w:p>
    <w:p>
      <w:pPr>
        <w:jc w:val="both"/>
        <w:ind w:left="-500" w:right="180" w:firstLine="621"/>
        <w:spacing w:after="0" w:line="224" w:lineRule="auto"/>
        <w:tabs>
          <w:tab w:leader="none" w:pos="73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shares of preferred stock of a Restricted Subsidiary issued to Holdings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w:t>
      </w:r>
    </w:p>
    <w:p>
      <w:pPr>
        <w:spacing w:after="0" w:line="159" w:lineRule="exact"/>
        <w:rPr>
          <w:rFonts w:ascii="Arial" w:cs="Arial" w:eastAsia="Arial" w:hAnsi="Arial"/>
          <w:sz w:val="17"/>
          <w:szCs w:val="17"/>
          <w:color w:val="auto"/>
        </w:rPr>
      </w:pPr>
    </w:p>
    <w:p>
      <w:pPr>
        <w:ind w:left="740" w:hanging="619"/>
        <w:spacing w:after="0"/>
        <w:tabs>
          <w:tab w:leader="none" w:pos="7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Hedging Obligations (excluding Hedging Obligations entered into for speculative purposes);</w:t>
      </w:r>
    </w:p>
    <w:p>
      <w:pPr>
        <w:spacing w:after="0" w:line="178" w:lineRule="exact"/>
        <w:rPr>
          <w:rFonts w:ascii="Arial" w:cs="Arial" w:eastAsia="Arial" w:hAnsi="Arial"/>
          <w:sz w:val="17"/>
          <w:szCs w:val="17"/>
          <w:color w:val="auto"/>
        </w:rPr>
      </w:pPr>
    </w:p>
    <w:p>
      <w:pPr>
        <w:jc w:val="both"/>
        <w:ind w:left="-500" w:right="160" w:firstLine="621"/>
        <w:spacing w:after="0" w:line="231" w:lineRule="auto"/>
        <w:tabs>
          <w:tab w:leader="none" w:pos="73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obligations in respect of self-insurance, performance, bid, appeal, and surety bonds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157" w:lineRule="exact"/>
        <w:rPr>
          <w:rFonts w:ascii="Arial" w:cs="Arial" w:eastAsia="Arial" w:hAnsi="Arial"/>
          <w:sz w:val="17"/>
          <w:szCs w:val="17"/>
          <w:color w:val="auto"/>
        </w:rPr>
      </w:pPr>
    </w:p>
    <w:p>
      <w:pPr>
        <w:ind w:left="-500" w:right="120" w:firstLine="621"/>
        <w:spacing w:after="0" w:line="249" w:lineRule="auto"/>
        <w:tabs>
          <w:tab w:leader="none" w:pos="738"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(i) Permitted Convertible Indebtedness and (ii) Indebtedness, Disqualified Stock or preferred stock of Holdings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5"/>
          <w:szCs w:val="15"/>
          <w:u w:val="single" w:color="auto"/>
          <w:color w:val="auto"/>
        </w:rPr>
        <w:t>clause</w:t>
      </w:r>
      <w:r>
        <w:rPr>
          <w:rFonts w:ascii="Arial" w:cs="Arial" w:eastAsia="Arial" w:hAnsi="Arial"/>
          <w:sz w:val="15"/>
          <w:szCs w:val="15"/>
          <w:color w:val="auto"/>
        </w:rPr>
        <w:t xml:space="preserve"> </w:t>
      </w:r>
      <w:r>
        <w:rPr>
          <w:rFonts w:ascii="Arial" w:cs="Arial" w:eastAsia="Arial" w:hAnsi="Arial"/>
          <w:sz w:val="15"/>
          <w:szCs w:val="15"/>
          <w:u w:val="single" w:color="auto"/>
          <w:color w:val="auto"/>
        </w:rPr>
        <w:t>(l)(ii)</w:t>
      </w:r>
      <w:r>
        <w:rPr>
          <w:rFonts w:ascii="Arial" w:cs="Arial" w:eastAsia="Arial" w:hAnsi="Arial"/>
          <w:sz w:val="15"/>
          <w:szCs w:val="15"/>
          <w:color w:val="auto"/>
        </w:rPr>
        <w:t xml:space="preserve">, does not at any one time outstanding exceed the greater of (x) $45,000,000 and (y) 40.0% of Consolidated EBITDA for the most recently ended Test Period (calculated on a Pro Forma Basis) at the time of incurrence (it being understood that any Indebtedness, Disqualified Stock or preferred stock incurred pursuant to this </w:t>
      </w:r>
      <w:r>
        <w:rPr>
          <w:rFonts w:ascii="Arial" w:cs="Arial" w:eastAsia="Arial" w:hAnsi="Arial"/>
          <w:sz w:val="15"/>
          <w:szCs w:val="15"/>
          <w:u w:val="single" w:color="auto"/>
          <w:color w:val="auto"/>
        </w:rPr>
        <w:t>clause (l)(ii)</w:t>
      </w:r>
      <w:r>
        <w:rPr>
          <w:rFonts w:ascii="Arial" w:cs="Arial" w:eastAsia="Arial" w:hAnsi="Arial"/>
          <w:sz w:val="15"/>
          <w:szCs w:val="15"/>
          <w:color w:val="auto"/>
        </w:rPr>
        <w:t xml:space="preserve"> shall cease to be deemed incurred or outstanding for purposes of this </w:t>
      </w:r>
      <w:r>
        <w:rPr>
          <w:rFonts w:ascii="Arial" w:cs="Arial" w:eastAsia="Arial" w:hAnsi="Arial"/>
          <w:sz w:val="15"/>
          <w:szCs w:val="15"/>
          <w:u w:val="single" w:color="auto"/>
          <w:color w:val="auto"/>
        </w:rPr>
        <w:t>clause (l)(ii)</w:t>
      </w:r>
      <w:r>
        <w:rPr>
          <w:rFonts w:ascii="Arial" w:cs="Arial" w:eastAsia="Arial" w:hAnsi="Arial"/>
          <w:sz w:val="15"/>
          <w:szCs w:val="15"/>
          <w:color w:val="auto"/>
        </w:rPr>
        <w:t xml:space="preserve"> but shall be deemed incurred for the purposes of the first paragraph of this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from and after the first date on which Holdings or such Restricted Subsidiary could have incurred such Indebtedness, Disqualified Stock or preferred stock under the first paragraph of this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without reliance on this </w:t>
      </w:r>
      <w:r>
        <w:rPr>
          <w:rFonts w:ascii="Arial" w:cs="Arial" w:eastAsia="Arial" w:hAnsi="Arial"/>
          <w:sz w:val="15"/>
          <w:szCs w:val="15"/>
          <w:u w:val="single" w:color="auto"/>
          <w:color w:val="auto"/>
        </w:rPr>
        <w:t>clause (l)(ii)</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500" w:right="20" w:firstLine="621"/>
        <w:spacing w:after="0" w:line="228" w:lineRule="auto"/>
        <w:tabs>
          <w:tab w:leader="none" w:pos="73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incurrence or issuance by Holdings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Holdings that is not the Borrower or a Guarantor that refinances Indebtedness, Disqualified Stock or preferred stock of the Borrower or a Guarantor;</w:t>
      </w:r>
    </w:p>
    <w:p>
      <w:pPr>
        <w:spacing w:after="0" w:line="164" w:lineRule="exact"/>
        <w:rPr>
          <w:rFonts w:ascii="Arial" w:cs="Arial" w:eastAsia="Arial" w:hAnsi="Arial"/>
          <w:sz w:val="16"/>
          <w:szCs w:val="16"/>
          <w:color w:val="auto"/>
        </w:rPr>
      </w:pPr>
    </w:p>
    <w:p>
      <w:pPr>
        <w:ind w:left="-500" w:right="160" w:firstLine="621"/>
        <w:spacing w:after="0" w:line="234" w:lineRule="auto"/>
        <w:tabs>
          <w:tab w:leader="none" w:pos="73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Indebtedness, Disqualified Stock or preferred stock of (x) Holdings or a Restricted Subsidiary incurred or issued to finance an acquisition,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(other than Acquired Indebtedness), Disqualified Stock and preferred stock that may be incurred pursuant to the foregoing, together with any amounts incurred under the first paragraph of this Section 10.1 by Restricted Subsidiaries that are not Guarantors shall not exceed the greater of (x) $30,000,000 and (y) 30.0% of Consolidated EBITDA for the most recently ended Test Period (calculated on a Pro Forma Basis) at any one time outstanding, or (y) Persons that are acquired by Holdings or any Restricted Subsidiary or merged into or consolidated with Holdings or a Restricted Subsidiary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120"/>
          </w:cols>
          <w:pgMar w:left="1440" w:top="1440" w:right="339" w:bottom="1440" w:gutter="0" w:footer="0" w:header="0"/>
        </w:sectPr>
      </w:pPr>
    </w:p>
    <w:bookmarkStart w:id="126" w:name="page127"/>
    <w:bookmarkEnd w:id="126"/>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accordance with the terms hereof (including designating an Unrestricted Subsidiary a Restricted Subsidiary);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after giving effect to</w:t>
      </w:r>
    </w:p>
    <w:p>
      <w:pPr>
        <w:spacing w:after="0" w:line="22"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 xml:space="preserve">any such acquisition, merger, consolidation or designation described in this </w:t>
      </w:r>
      <w:r>
        <w:rPr>
          <w:rFonts w:ascii="Arial" w:cs="Arial" w:eastAsia="Arial" w:hAnsi="Arial"/>
          <w:sz w:val="15"/>
          <w:szCs w:val="15"/>
          <w:u w:val="single" w:color="auto"/>
          <w:color w:val="auto"/>
        </w:rPr>
        <w:t>clause (n)</w:t>
      </w:r>
      <w:r>
        <w:rPr>
          <w:rFonts w:ascii="Arial" w:cs="Arial" w:eastAsia="Arial" w:hAnsi="Arial"/>
          <w:sz w:val="15"/>
          <w:szCs w:val="15"/>
          <w:color w:val="auto"/>
        </w:rPr>
        <w:t xml:space="preserve">, either: (1) the Consolidated Total Debt to Consolidated EBITDA Ratio is equal to or less than 0.25:1.00 inside the then applicable financial covenant level set forth in </w:t>
      </w:r>
      <w:r>
        <w:rPr>
          <w:rFonts w:ascii="Arial" w:cs="Arial" w:eastAsia="Arial" w:hAnsi="Arial"/>
          <w:sz w:val="15"/>
          <w:szCs w:val="15"/>
          <w:u w:val="single" w:color="auto"/>
          <w:color w:val="auto"/>
        </w:rPr>
        <w:t>Section 10.7(i)</w:t>
      </w:r>
      <w:r>
        <w:rPr>
          <w:rFonts w:ascii="Arial" w:cs="Arial" w:eastAsia="Arial" w:hAnsi="Arial"/>
          <w:sz w:val="15"/>
          <w:szCs w:val="15"/>
          <w:color w:val="auto"/>
        </w:rPr>
        <w:t xml:space="preserve"> or (2) the Consolidated Total Debt to Consolidated EBITDA Ratio of Holdings and the Restricted Subsidiaries is equal to or greater than that immediately prior to such acquisition, merger,</w:t>
      </w:r>
    </w:p>
    <w:p>
      <w:pPr>
        <w:spacing w:after="0"/>
        <w:rPr>
          <w:sz w:val="20"/>
          <w:szCs w:val="20"/>
          <w:color w:val="auto"/>
        </w:rPr>
      </w:pPr>
      <w:r>
        <w:rPr>
          <w:rFonts w:ascii="Arial" w:cs="Arial" w:eastAsia="Arial" w:hAnsi="Arial"/>
          <w:sz w:val="17"/>
          <w:szCs w:val="17"/>
          <w:color w:val="auto"/>
        </w:rPr>
        <w:t>consolidation or designation;</w:t>
      </w:r>
    </w:p>
    <w:p>
      <w:pPr>
        <w:spacing w:after="0" w:line="164" w:lineRule="exact"/>
        <w:rPr>
          <w:sz w:val="20"/>
          <w:szCs w:val="20"/>
          <w:color w:val="auto"/>
        </w:rPr>
      </w:pPr>
    </w:p>
    <w:p>
      <w:pPr>
        <w:ind w:right="360" w:firstLine="621"/>
        <w:spacing w:after="0" w:line="236" w:lineRule="auto"/>
        <w:tabs>
          <w:tab w:leader="none" w:pos="123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Indebtedness arising from the honoring by a bank or other financial institution of a check, draft or similar instrument drawn against insufficient funds in the ordinary course of business;</w:t>
      </w:r>
    </w:p>
    <w:p>
      <w:pPr>
        <w:spacing w:after="0" w:line="169" w:lineRule="exact"/>
        <w:rPr>
          <w:rFonts w:ascii="Arial" w:cs="Arial" w:eastAsia="Arial" w:hAnsi="Arial"/>
          <w:sz w:val="17"/>
          <w:szCs w:val="17"/>
          <w:color w:val="auto"/>
        </w:rPr>
      </w:pPr>
    </w:p>
    <w:p>
      <w:pPr>
        <w:ind w:firstLine="621"/>
        <w:spacing w:after="0" w:line="259" w:lineRule="auto"/>
        <w:tabs>
          <w:tab w:leader="none" w:pos="1238"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(i) Indebtedness of Holdings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or (ii) obligations in respect of letters of support, guarantees or similar obligations issued, made or incurred for the benefit of any Subsidiary of Holdings to the extent required by law or in connection with any statutory filing or the delivery of audit opinions performed in jurisdictions other than within the United States;</w:t>
      </w:r>
    </w:p>
    <w:p>
      <w:pPr>
        <w:spacing w:after="0" w:line="144" w:lineRule="exact"/>
        <w:rPr>
          <w:rFonts w:ascii="Arial" w:cs="Arial" w:eastAsia="Arial" w:hAnsi="Arial"/>
          <w:sz w:val="15"/>
          <w:szCs w:val="15"/>
          <w:color w:val="auto"/>
        </w:rPr>
      </w:pPr>
    </w:p>
    <w:p>
      <w:pPr>
        <w:ind w:right="60" w:firstLine="621"/>
        <w:spacing w:after="0" w:line="248" w:lineRule="auto"/>
        <w:tabs>
          <w:tab w:leader="none" w:pos="123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(1) any guarantee by Holdings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Holdings;</w:t>
      </w:r>
    </w:p>
    <w:p>
      <w:pPr>
        <w:spacing w:after="0" w:line="151" w:lineRule="exact"/>
        <w:rPr>
          <w:rFonts w:ascii="Arial" w:cs="Arial" w:eastAsia="Arial" w:hAnsi="Arial"/>
          <w:sz w:val="16"/>
          <w:szCs w:val="16"/>
          <w:color w:val="auto"/>
        </w:rPr>
      </w:pPr>
    </w:p>
    <w:p>
      <w:pPr>
        <w:ind w:right="60" w:firstLine="621"/>
        <w:spacing w:after="0" w:line="234" w:lineRule="auto"/>
        <w:tabs>
          <w:tab w:leader="none" w:pos="123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Indebtedness of Restricted Subsidiaries that are not Guarantors in an amount not to exceed, in the aggregate at any one time outstanding, the greater of (x) $15,000,000 and (y) 10.0% of Consolidated EBITDA for the most recently ended Test Period (calculated on a Pro Forma Basis) (it being understood that any Indebtedness incurred pursuant to this clause (r) shall cease to be deemed incurred or outstanding for purposes of this clause (r) but shall be deemed incurred for the purposes of the first paragraph of this covenant from and after the first date on which such Restricted Subsidiary could have incurred such Indebtedness under the first paragraph of this covenant without reliance on this clause (r));</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right="140" w:firstLine="621"/>
        <w:spacing w:after="0" w:line="261" w:lineRule="auto"/>
        <w:tabs>
          <w:tab w:leader="none" w:pos="123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Indebtedness of Holdings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41" w:lineRule="exact"/>
        <w:rPr>
          <w:rFonts w:ascii="Arial" w:cs="Arial" w:eastAsia="Arial" w:hAnsi="Arial"/>
          <w:sz w:val="16"/>
          <w:szCs w:val="16"/>
          <w:color w:val="auto"/>
        </w:rPr>
      </w:pPr>
    </w:p>
    <w:p>
      <w:pPr>
        <w:ind w:right="220" w:firstLine="621"/>
        <w:spacing w:after="0" w:line="231" w:lineRule="auto"/>
        <w:tabs>
          <w:tab w:leader="none" w:pos="123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w:t>
      </w:r>
    </w:p>
    <w:p>
      <w:pPr>
        <w:spacing w:after="0" w:line="157" w:lineRule="exact"/>
        <w:rPr>
          <w:rFonts w:ascii="Arial" w:cs="Arial" w:eastAsia="Arial" w:hAnsi="Arial"/>
          <w:sz w:val="17"/>
          <w:szCs w:val="17"/>
          <w:color w:val="auto"/>
        </w:rPr>
      </w:pPr>
    </w:p>
    <w:p>
      <w:pPr>
        <w:ind w:right="220" w:firstLine="621"/>
        <w:spacing w:after="0" w:line="273" w:lineRule="auto"/>
        <w:tabs>
          <w:tab w:leader="none" w:pos="1238"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Indebtedness consisting of Indebtedness issued by Holdings or any of the Restricted Subsidiaries to future, current or former officers, directors, managers and employees thereof, their respective estates, spouses or former spouses, in each case to finance the purchase or redemption of Equity Interests of Holdings or any direct or indirect parent company of Holdings to the extent described in </w:t>
      </w:r>
      <w:r>
        <w:rPr>
          <w:rFonts w:ascii="Arial" w:cs="Arial" w:eastAsia="Arial" w:hAnsi="Arial"/>
          <w:sz w:val="15"/>
          <w:szCs w:val="15"/>
          <w:u w:val="single" w:color="auto"/>
          <w:color w:val="auto"/>
        </w:rPr>
        <w:t>clause (4)</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10.5(b)</w:t>
      </w:r>
      <w:r>
        <w:rPr>
          <w:rFonts w:ascii="Arial" w:cs="Arial" w:eastAsia="Arial" w:hAnsi="Arial"/>
          <w:sz w:val="15"/>
          <w:szCs w:val="15"/>
          <w:color w:val="auto"/>
        </w:rPr>
        <w:t>;</w:t>
      </w:r>
    </w:p>
    <w:p>
      <w:pPr>
        <w:spacing w:after="0" w:line="133" w:lineRule="exact"/>
        <w:rPr>
          <w:rFonts w:ascii="Arial" w:cs="Arial" w:eastAsia="Arial" w:hAnsi="Arial"/>
          <w:sz w:val="15"/>
          <w:szCs w:val="15"/>
          <w:color w:val="auto"/>
        </w:rPr>
      </w:pPr>
    </w:p>
    <w:p>
      <w:pPr>
        <w:ind w:left="1240" w:hanging="619"/>
        <w:spacing w:after="0"/>
        <w:tabs>
          <w:tab w:leader="none" w:pos="1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the extent constituting Indebtedness, obligations pursuant to the Wal-Mart Agreements;</w:t>
      </w:r>
    </w:p>
    <w:p>
      <w:pPr>
        <w:spacing w:after="0" w:line="191" w:lineRule="exact"/>
        <w:rPr>
          <w:rFonts w:ascii="Arial" w:cs="Arial" w:eastAsia="Arial" w:hAnsi="Arial"/>
          <w:sz w:val="17"/>
          <w:szCs w:val="17"/>
          <w:color w:val="auto"/>
        </w:rPr>
      </w:pPr>
    </w:p>
    <w:p>
      <w:pPr>
        <w:ind w:right="20" w:firstLine="621"/>
        <w:spacing w:after="0" w:line="218" w:lineRule="auto"/>
        <w:tabs>
          <w:tab w:leader="none" w:pos="123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620"/>
          </w:cols>
          <w:pgMar w:left="940" w:top="1440" w:right="339" w:bottom="1440" w:gutter="0" w:footer="0" w:header="0"/>
        </w:sectPr>
      </w:pPr>
    </w:p>
    <w:bookmarkStart w:id="127" w:name="page128"/>
    <w:bookmarkEnd w:id="127"/>
    <w:p>
      <w:pPr>
        <w:spacing w:after="0" w:line="106" w:lineRule="exact"/>
        <w:rPr>
          <w:sz w:val="20"/>
          <w:szCs w:val="20"/>
          <w:color w:val="auto"/>
        </w:rPr>
      </w:pPr>
    </w:p>
    <w:p>
      <w:pPr>
        <w:ind w:left="620" w:firstLine="621"/>
        <w:spacing w:after="0" w:line="218" w:lineRule="auto"/>
        <w:tabs>
          <w:tab w:leader="none" w:pos="185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Indebtedness in respect of (i) Permitted Other Indebtedness; provided that the aggregate principal amount of all such Permitted Other Indebtedness issued or incurred pursuant to this clause (i), when aggregated with the amount of Incremental Term Loans and New Revolving Commitments established shall not exceed the Maximum Incremental Facilities Amount and (ii) any refinancing, refunding, renewal or extension of any Indebtedness specified in subclause (i) above; provided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75" w:lineRule="exact"/>
        <w:rPr>
          <w:sz w:val="20"/>
          <w:szCs w:val="20"/>
          <w:color w:val="auto"/>
        </w:rPr>
      </w:pPr>
    </w:p>
    <w:p>
      <w:pPr>
        <w:ind w:right="40" w:firstLine="619"/>
        <w:spacing w:after="0" w:line="245" w:lineRule="auto"/>
        <w:rPr>
          <w:sz w:val="20"/>
          <w:szCs w:val="20"/>
          <w:color w:val="auto"/>
        </w:rPr>
      </w:pPr>
      <w:r>
        <w:rPr>
          <w:rFonts w:ascii="Arial" w:cs="Arial" w:eastAsia="Arial" w:hAnsi="Arial"/>
          <w:sz w:val="15"/>
          <w:szCs w:val="15"/>
          <w:color w:val="auto"/>
        </w:rPr>
        <w:t xml:space="preserve">For purposes of determining compliance with this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(x</w:t>
      </w:r>
      <w:r>
        <w:rPr>
          <w:rFonts w:ascii="Arial" w:cs="Arial" w:eastAsia="Arial" w:hAnsi="Arial"/>
          <w:sz w:val="15"/>
          <w:szCs w:val="15"/>
          <w:color w:val="auto"/>
        </w:rPr>
        <w:t xml:space="preserve">) above or is entitled to be incurred pursuant to the first paragraph of this </w:t>
      </w:r>
      <w:r>
        <w:rPr>
          <w:rFonts w:ascii="Arial" w:cs="Arial" w:eastAsia="Arial" w:hAnsi="Arial"/>
          <w:sz w:val="15"/>
          <w:szCs w:val="15"/>
          <w:u w:val="single" w:color="auto"/>
          <w:color w:val="auto"/>
        </w:rPr>
        <w:t>Section 10.1</w:t>
      </w:r>
      <w:r>
        <w:rPr>
          <w:rFonts w:ascii="Arial" w:cs="Arial" w:eastAsia="Arial" w:hAnsi="Arial"/>
          <w:sz w:val="15"/>
          <w:szCs w:val="15"/>
          <w:color w:val="auto"/>
        </w:rPr>
        <w:t>, Holdings, in its sole discretion, will classify and may reclassify</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 xml:space="preserve">such item of Indebtedness, Disqualified Stock or preferred stock (or any portion thereof) and will only be required to include the amount and type of such Indebtedness, Disqualified Stock or preferred stock in one of the above clauses or paragraphs; and (ii) at the time of incurrence, Holdings will be entitled to divide and classify an item of Indebtedness in more than one of the types of Indebtedness described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70" w:lineRule="exact"/>
        <w:rPr>
          <w:sz w:val="20"/>
          <w:szCs w:val="20"/>
          <w:color w:val="auto"/>
        </w:rPr>
      </w:pPr>
    </w:p>
    <w:p>
      <w:pPr>
        <w:ind w:right="60" w:firstLine="619"/>
        <w:spacing w:after="0" w:line="245" w:lineRule="auto"/>
        <w:rPr>
          <w:sz w:val="20"/>
          <w:szCs w:val="20"/>
          <w:color w:val="auto"/>
        </w:rPr>
      </w:pPr>
      <w:r>
        <w:rPr>
          <w:rFonts w:ascii="Arial" w:cs="Arial" w:eastAsia="Arial" w:hAnsi="Arial"/>
          <w:sz w:val="15"/>
          <w:szCs w:val="15"/>
          <w:color w:val="auto"/>
        </w:rPr>
        <w:t>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w:t>
      </w:r>
    </w:p>
    <w:p>
      <w:pPr>
        <w:spacing w:after="0" w:line="1" w:lineRule="exact"/>
        <w:rPr>
          <w:sz w:val="20"/>
          <w:szCs w:val="20"/>
          <w:color w:val="auto"/>
        </w:rPr>
      </w:pPr>
    </w:p>
    <w:p>
      <w:pPr>
        <w:ind w:right="660"/>
        <w:spacing w:after="0" w:line="227" w:lineRule="auto"/>
        <w:rPr>
          <w:sz w:val="20"/>
          <w:szCs w:val="20"/>
          <w:color w:val="auto"/>
        </w:rPr>
      </w:pP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w:t>
      </w:r>
      <w:r>
        <w:rPr>
          <w:rFonts w:ascii="Arial" w:cs="Arial" w:eastAsia="Arial" w:hAnsi="Arial"/>
          <w:sz w:val="17"/>
          <w:szCs w:val="17"/>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purposes of determining compliance with any Dollar-denominated restriction on the incurrence of Indebtedness, the principal amount of Indebtedness</w:t>
      </w:r>
    </w:p>
    <w:p>
      <w:pPr>
        <w:spacing w:after="0" w:line="22" w:lineRule="exact"/>
        <w:rPr>
          <w:sz w:val="20"/>
          <w:szCs w:val="20"/>
          <w:color w:val="auto"/>
        </w:rPr>
      </w:pPr>
    </w:p>
    <w:p>
      <w:pPr>
        <w:jc w:val="both"/>
        <w:ind w:right="80"/>
        <w:spacing w:after="0" w:line="239" w:lineRule="auto"/>
        <w:rPr>
          <w:sz w:val="20"/>
          <w:szCs w:val="20"/>
          <w:color w:val="auto"/>
        </w:rPr>
      </w:pPr>
      <w:r>
        <w:rPr>
          <w:rFonts w:ascii="Arial" w:cs="Arial" w:eastAsia="Arial" w:hAnsi="Arial"/>
          <w:sz w:val="15"/>
          <w:szCs w:val="15"/>
          <w:color w:val="auto"/>
        </w:rPr>
        <w:t xml:space="preserve">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Indebtedness is incurred to refinance other Indebtedness denominated in another currency, and such refinancing would cause the applicable Dollar-denominated restriction to be exceeded if calculated at the relevant currency exchange</w:t>
      </w:r>
    </w:p>
    <w:p>
      <w:pPr>
        <w:ind w:right="80"/>
        <w:spacing w:after="0" w:line="234" w:lineRule="auto"/>
        <w:rPr>
          <w:sz w:val="20"/>
          <w:szCs w:val="20"/>
          <w:color w:val="auto"/>
        </w:rPr>
      </w:pPr>
      <w:r>
        <w:rPr>
          <w:rFonts w:ascii="Arial" w:cs="Arial" w:eastAsia="Arial" w:hAnsi="Arial"/>
          <w:sz w:val="16"/>
          <w:szCs w:val="16"/>
          <w:color w:val="auto"/>
        </w:rPr>
        <w:t>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70" w:lineRule="exact"/>
        <w:rPr>
          <w:sz w:val="20"/>
          <w:szCs w:val="20"/>
          <w:color w:val="auto"/>
        </w:rPr>
      </w:pPr>
    </w:p>
    <w:p>
      <w:pPr>
        <w:ind w:right="300" w:firstLine="619"/>
        <w:spacing w:after="0" w:line="226" w:lineRule="auto"/>
        <w:rPr>
          <w:sz w:val="20"/>
          <w:szCs w:val="20"/>
          <w:color w:val="auto"/>
        </w:rPr>
      </w:pPr>
      <w:r>
        <w:rPr>
          <w:rFonts w:ascii="Arial" w:cs="Arial" w:eastAsia="Arial" w:hAnsi="Arial"/>
          <w:sz w:val="17"/>
          <w:szCs w:val="17"/>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70" w:lineRule="exact"/>
        <w:rPr>
          <w:sz w:val="20"/>
          <w:szCs w:val="20"/>
          <w:color w:val="auto"/>
        </w:rPr>
      </w:pPr>
    </w:p>
    <w:p>
      <w:pPr>
        <w:ind w:right="200" w:firstLine="619"/>
        <w:spacing w:after="0" w:line="261"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4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u w:val="single" w:color="auto"/>
          <w:color w:val="auto"/>
        </w:rPr>
        <w:t>Limitation on Liens</w:t>
      </w:r>
      <w:r>
        <w:rPr>
          <w:rFonts w:ascii="Arial" w:cs="Arial" w:eastAsia="Arial" w:hAnsi="Arial"/>
          <w:sz w:val="15"/>
          <w:szCs w:val="15"/>
          <w:color w:val="auto"/>
        </w:rPr>
        <w:t>. Holdings will not, and will not permit any of the Restricted Subsidiaries to, create, incur, assume or suffer to exist any Lien</w:t>
      </w:r>
    </w:p>
    <w:p>
      <w:pPr>
        <w:spacing w:after="0" w:line="243" w:lineRule="auto"/>
        <w:rPr>
          <w:sz w:val="20"/>
          <w:szCs w:val="20"/>
          <w:color w:val="auto"/>
        </w:rPr>
      </w:pPr>
      <w:r>
        <w:rPr>
          <w:rFonts w:ascii="Arial" w:cs="Arial" w:eastAsia="Arial" w:hAnsi="Arial"/>
          <w:sz w:val="16"/>
          <w:szCs w:val="16"/>
          <w:color w:val="auto"/>
        </w:rPr>
        <w:t>upon any property or assets of any kind (real or personal, tangible or intangible) of Holdings or any Restricted Subsidiary, whether now owned or hereafter acquired (each, a “</w:t>
      </w:r>
      <w:r>
        <w:rPr>
          <w:rFonts w:ascii="Arial" w:cs="Arial" w:eastAsia="Arial" w:hAnsi="Arial"/>
          <w:sz w:val="16"/>
          <w:szCs w:val="16"/>
          <w:b w:val="1"/>
          <w:bCs w:val="1"/>
          <w:color w:val="auto"/>
        </w:rPr>
        <w:t>Subject Lien</w:t>
      </w:r>
      <w:r>
        <w:rPr>
          <w:rFonts w:ascii="Arial" w:cs="Arial" w:eastAsia="Arial" w:hAnsi="Arial"/>
          <w:sz w:val="16"/>
          <w:szCs w:val="16"/>
          <w:color w:val="auto"/>
        </w:rPr>
        <w:t>”) that secures obligations under any Indebtedness on any asset or property of Holdings or any Restricted Subsidiary, except:</w:t>
      </w:r>
    </w:p>
    <w:p>
      <w:pPr>
        <w:spacing w:after="0" w:line="155" w:lineRule="exact"/>
        <w:rPr>
          <w:sz w:val="20"/>
          <w:szCs w:val="20"/>
          <w:color w:val="auto"/>
        </w:rPr>
      </w:pPr>
    </w:p>
    <w:p>
      <w:pPr>
        <w:ind w:left="1860" w:hanging="372"/>
        <w:spacing w:after="0"/>
        <w:tabs>
          <w:tab w:leader="none" w:pos="18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the case of Subject Liens on any Collateral, if such Subject Lien is a Permitted Lien;</w:t>
      </w:r>
    </w:p>
    <w:p>
      <w:pPr>
        <w:spacing w:after="0" w:line="191" w:lineRule="exact"/>
        <w:rPr>
          <w:rFonts w:ascii="Arial" w:cs="Arial" w:eastAsia="Arial" w:hAnsi="Arial"/>
          <w:sz w:val="17"/>
          <w:szCs w:val="17"/>
          <w:color w:val="auto"/>
        </w:rPr>
      </w:pPr>
    </w:p>
    <w:p>
      <w:pPr>
        <w:ind w:left="620" w:right="40" w:firstLine="868"/>
        <w:spacing w:after="0" w:line="226" w:lineRule="auto"/>
        <w:tabs>
          <w:tab w:leader="none" w:pos="185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the case of any other asset or property, any Subject Lien if (i) the Obligations are equally and ratably secured with (or on a senior basis to, in the case such Subject Lien secures any Junior Debt) the obligations secured by such Subject Lien or (ii) such Subject Lien is a Permitted Lien;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06" w:lineRule="exact"/>
        <w:rPr>
          <w:sz w:val="20"/>
          <w:szCs w:val="20"/>
          <w:color w:val="auto"/>
        </w:rPr>
      </w:pPr>
    </w:p>
    <w:p>
      <w:pPr>
        <w:ind w:left="620" w:firstLine="868"/>
        <w:spacing w:after="0" w:line="245" w:lineRule="auto"/>
        <w:tabs>
          <w:tab w:leader="none" w:pos="185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any other Subject Lien (without duplication of Liens permitted under clauses (i) and (ii) of this </w:t>
      </w:r>
      <w:r>
        <w:rPr>
          <w:rFonts w:ascii="Arial" w:cs="Arial" w:eastAsia="Arial" w:hAnsi="Arial"/>
          <w:sz w:val="15"/>
          <w:szCs w:val="15"/>
          <w:u w:val="single" w:color="auto"/>
          <w:color w:val="auto"/>
        </w:rPr>
        <w:t>Section 10.2(a))</w:t>
      </w:r>
      <w:r>
        <w:rPr>
          <w:rFonts w:ascii="Arial" w:cs="Arial" w:eastAsia="Arial" w:hAnsi="Arial"/>
          <w:sz w:val="15"/>
          <w:szCs w:val="15"/>
          <w:color w:val="auto"/>
        </w:rPr>
        <w:t xml:space="preserve"> if (x) the obligations secured by such Subject Lien (“Junior Lien Indebtedness”) are junior to the Obligations and (y) the assets or property secured by such Subject Lien are on Collateral (or immediately upon incurring such Junior Lien Indebtedness such assets or property become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in the case of the first such issuance of such Junior Lien Indebtedness, the Collateral Agent, the Administrative Agent and the representative of the holders of such Junior Lien Indebtedness shall have entered into the Second Lien Intercreditor Agreement and (B) 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156" w:lineRule="exact"/>
        <w:rPr>
          <w:sz w:val="20"/>
          <w:szCs w:val="20"/>
          <w:color w:val="auto"/>
        </w:rPr>
      </w:pPr>
    </w:p>
    <w:p>
      <w:pPr>
        <w:ind w:firstLine="619"/>
        <w:spacing w:after="0" w:line="313" w:lineRule="auto"/>
        <w:rPr>
          <w:sz w:val="20"/>
          <w:szCs w:val="20"/>
          <w:color w:val="auto"/>
        </w:rPr>
      </w:pPr>
      <w:r>
        <w:rPr>
          <w:rFonts w:ascii="Arial" w:cs="Arial" w:eastAsia="Arial" w:hAnsi="Arial"/>
          <w:sz w:val="15"/>
          <w:szCs w:val="15"/>
          <w:color w:val="auto"/>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91" w:lineRule="exact"/>
        <w:rPr>
          <w:sz w:val="20"/>
          <w:szCs w:val="20"/>
          <w:color w:val="auto"/>
        </w:rPr>
      </w:pPr>
    </w:p>
    <w:p>
      <w:pPr>
        <w:jc w:val="center"/>
        <w:ind w:right="60"/>
        <w:spacing w:after="0"/>
        <w:tabs>
          <w:tab w:leader="none" w:pos="3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u w:val="single" w:color="auto"/>
          <w:color w:val="auto"/>
        </w:rPr>
        <w:t>Limitation on Fundamental Changes</w:t>
      </w:r>
      <w:r>
        <w:rPr>
          <w:rFonts w:ascii="Arial" w:cs="Arial" w:eastAsia="Arial" w:hAnsi="Arial"/>
          <w:sz w:val="15"/>
          <w:szCs w:val="15"/>
          <w:color w:val="auto"/>
        </w:rPr>
        <w:t>. Holdings will not, and will not permit any of the Restricted Subsidiaries to, enter into any merger,</w:t>
      </w:r>
    </w:p>
    <w:p>
      <w:pPr>
        <w:ind w:right="80"/>
        <w:spacing w:after="0" w:line="235" w:lineRule="auto"/>
        <w:rPr>
          <w:sz w:val="20"/>
          <w:szCs w:val="20"/>
          <w:color w:val="auto"/>
        </w:rPr>
      </w:pPr>
      <w:r>
        <w:rPr>
          <w:rFonts w:ascii="Arial" w:cs="Arial" w:eastAsia="Arial" w:hAnsi="Arial"/>
          <w:sz w:val="17"/>
          <w:szCs w:val="17"/>
          <w:color w:val="auto"/>
        </w:rPr>
        <w:t>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158" w:lineRule="exact"/>
        <w:rPr>
          <w:sz w:val="20"/>
          <w:szCs w:val="20"/>
          <w:color w:val="auto"/>
        </w:rPr>
      </w:pPr>
    </w:p>
    <w:p>
      <w:pPr>
        <w:ind w:left="620" w:right="20" w:firstLine="621"/>
        <w:spacing w:after="0" w:line="227" w:lineRule="auto"/>
        <w:tabs>
          <w:tab w:leader="none" w:pos="185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may be merged, amalgamated or consolidated with or into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Holdings or the Borrower shall be the continuing or surviving corporation or (B) if the Person formed by or surviving any such merger, amalgamation or consolidation is not Holdings or the Borrower (such other Person, the “</w:t>
      </w:r>
      <w:r>
        <w:rPr>
          <w:rFonts w:ascii="Arial" w:cs="Arial" w:eastAsia="Arial" w:hAnsi="Arial"/>
          <w:sz w:val="16"/>
          <w:szCs w:val="16"/>
          <w:b w:val="1"/>
          <w:bCs w:val="1"/>
          <w:color w:val="auto"/>
        </w:rPr>
        <w:t>Successor Borrower</w:t>
      </w:r>
      <w:r>
        <w:rPr>
          <w:rFonts w:ascii="Arial" w:cs="Arial" w:eastAsia="Arial" w:hAnsi="Arial"/>
          <w:sz w:val="16"/>
          <w:szCs w:val="16"/>
          <w:color w:val="auto"/>
        </w:rPr>
        <w:t xml:space="preserve">”), (1) the Successor Borrower shall be an entity organized or existing under the laws of the United States, any state thereof, or the District of Columbia, (2) the Successor Borrower shall expressly assume all the obligations of Holdings or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6"/>
          <w:szCs w:val="16"/>
          <w:u w:val="single" w:color="auto"/>
          <w:color w:val="auto"/>
        </w:rPr>
        <w:t>clauses (3)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w:t>
      </w:r>
      <w:r>
        <w:rPr>
          <w:rFonts w:ascii="Arial" w:cs="Arial" w:eastAsia="Arial" w:hAnsi="Arial"/>
          <w:sz w:val="16"/>
          <w:szCs w:val="16"/>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167" w:lineRule="exact"/>
        <w:rPr>
          <w:rFonts w:ascii="Arial" w:cs="Arial" w:eastAsia="Arial" w:hAnsi="Arial"/>
          <w:sz w:val="16"/>
          <w:szCs w:val="16"/>
          <w:color w:val="auto"/>
        </w:rPr>
      </w:pPr>
    </w:p>
    <w:p>
      <w:pPr>
        <w:ind w:left="620" w:firstLine="621"/>
        <w:spacing w:after="0" w:line="218" w:lineRule="auto"/>
        <w:tabs>
          <w:tab w:leader="none" w:pos="185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so long as no Event of Default has occurred and is continuing or would result therefrom, any Subsidiary of Holdings or any other Person (in each case, other than the Borrower) may be merged, amalgamated or consolidated with or into any one or more Subsidiaries of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any merger, amalgamation or consolidation involving one or more Restricted Subsidiaries, (A) a Restricted Subsidiary shall be the continuing or surviving Person or (B) Holdings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Person is not already a Guarantor, such Person shall execute a supplement to the Guarantee and the relevant Security Documents in form and substance</w:t>
      </w:r>
    </w:p>
    <w:p>
      <w:pPr>
        <w:spacing w:after="0" w:line="22"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reasonably satisfactory to the Administrative Agent in order to become a Guarantor and pledgor, mortgagor and grantor, as applicable, thereunder for the benefit of the Secured Parties, and (iii) Holdings shall have delivered to the Administrative Agent an officer’s certificate stating that such merger, amalgamation or consolidation and any such supplements to any Security Document preserve the enforceability of the Guarantees and the perfection and</w:t>
      </w:r>
    </w:p>
    <w:p>
      <w:pPr>
        <w:spacing w:after="0"/>
        <w:rPr>
          <w:sz w:val="20"/>
          <w:szCs w:val="20"/>
          <w:color w:val="auto"/>
        </w:rPr>
      </w:pPr>
      <w:r>
        <w:rPr>
          <w:rFonts w:ascii="Arial" w:cs="Arial" w:eastAsia="Arial" w:hAnsi="Arial"/>
          <w:sz w:val="17"/>
          <w:szCs w:val="17"/>
          <w:color w:val="auto"/>
        </w:rPr>
        <w:t>priority of the Liens under the applicable Security Documents;</w:t>
      </w:r>
    </w:p>
    <w:p>
      <w:pPr>
        <w:spacing w:after="0" w:line="164" w:lineRule="exact"/>
        <w:rPr>
          <w:sz w:val="20"/>
          <w:szCs w:val="20"/>
          <w:color w:val="auto"/>
        </w:rPr>
      </w:pPr>
    </w:p>
    <w:p>
      <w:pPr>
        <w:ind w:left="1240" w:hanging="619"/>
        <w:spacing w:after="0"/>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Original Transactions may be consummated;</w:t>
      </w:r>
    </w:p>
    <w:p>
      <w:pPr>
        <w:spacing w:after="0" w:line="178" w:lineRule="exact"/>
        <w:rPr>
          <w:rFonts w:ascii="Arial" w:cs="Arial" w:eastAsia="Arial" w:hAnsi="Arial"/>
          <w:sz w:val="17"/>
          <w:szCs w:val="17"/>
          <w:color w:val="auto"/>
        </w:rPr>
      </w:pPr>
    </w:p>
    <w:p>
      <w:pPr>
        <w:ind w:right="120" w:firstLine="621"/>
        <w:spacing w:after="0" w:line="224" w:lineRule="auto"/>
        <w:tabs>
          <w:tab w:leader="none" w:pos="12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 any Restricted Subsidiary that is not a Credit Party may convey, sell, lease, assign, transfer or otherwise dispose of any or all of its assets (upon voluntary liquidation or dissolution or otherwise) to Holdings or any other Restricted Subsidiary or (ii) any Credit Party (other than the Borrower) may convey, sell, lease, assign, transfer or otherwise dispose of any or all of its assets (upon voluntary liquidation or dissolution or otherwise) to any other Credit Party;</w:t>
      </w:r>
    </w:p>
    <w:p>
      <w:pPr>
        <w:spacing w:after="0" w:line="172" w:lineRule="exact"/>
        <w:rPr>
          <w:rFonts w:ascii="Arial" w:cs="Arial" w:eastAsia="Arial" w:hAnsi="Arial"/>
          <w:sz w:val="17"/>
          <w:szCs w:val="17"/>
          <w:color w:val="auto"/>
        </w:rPr>
      </w:pPr>
    </w:p>
    <w:p>
      <w:pPr>
        <w:ind w:right="60" w:firstLine="621"/>
        <w:spacing w:after="0" w:line="226" w:lineRule="auto"/>
        <w:tabs>
          <w:tab w:leader="none" w:pos="12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any Subsidiary may convey, sell, lease, assign, transfer or otherwise dispose of any or all of its assets (upon voluntary liquidation or dissolution or otherwise) to a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consideration for any such disposition by any Person other than a Guarantor shall not exceed the fair value of such assets;</w:t>
      </w:r>
    </w:p>
    <w:p>
      <w:pPr>
        <w:spacing w:after="0" w:line="169" w:lineRule="exact"/>
        <w:rPr>
          <w:rFonts w:ascii="Arial" w:cs="Arial" w:eastAsia="Arial" w:hAnsi="Arial"/>
          <w:sz w:val="17"/>
          <w:szCs w:val="17"/>
          <w:color w:val="auto"/>
        </w:rPr>
      </w:pPr>
    </w:p>
    <w:p>
      <w:pPr>
        <w:ind w:right="60" w:firstLine="621"/>
        <w:spacing w:after="0" w:line="236" w:lineRule="auto"/>
        <w:tabs>
          <w:tab w:leader="none" w:pos="12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Restricted Subsidiary (other than the Borrower) may liquidate or dissolve if Holdings determines in good faith that such liquidation or dissolution is in the best interests of Holdings and is not materially disadvantageous to the Lenders;</w:t>
      </w:r>
    </w:p>
    <w:p>
      <w:pPr>
        <w:spacing w:after="0" w:line="157" w:lineRule="exact"/>
        <w:rPr>
          <w:rFonts w:ascii="Arial" w:cs="Arial" w:eastAsia="Arial" w:hAnsi="Arial"/>
          <w:sz w:val="17"/>
          <w:szCs w:val="17"/>
          <w:color w:val="auto"/>
        </w:rPr>
      </w:pPr>
    </w:p>
    <w:p>
      <w:pPr>
        <w:ind w:right="80" w:firstLine="621"/>
        <w:spacing w:after="0" w:line="224" w:lineRule="auto"/>
        <w:tabs>
          <w:tab w:leader="none" w:pos="12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Holdings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7"/>
          <w:szCs w:val="17"/>
          <w:u w:val="single" w:color="auto"/>
          <w:color w:val="auto"/>
        </w:rPr>
        <w:t>Section 10.3(g)</w:t>
      </w:r>
      <w:r>
        <w:rPr>
          <w:rFonts w:ascii="Arial" w:cs="Arial" w:eastAsia="Arial" w:hAnsi="Arial"/>
          <w:sz w:val="17"/>
          <w:szCs w:val="17"/>
          <w:color w:val="auto"/>
        </w:rPr>
        <w:t xml:space="preserve">, will include any disposition below the dollar threshold set forth in clause (d) of the definition of “Asset Sale”) permitted by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 investment permitted pursuant to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 investment that constitutes a Permitted Investment; and</w:t>
      </w:r>
    </w:p>
    <w:p>
      <w:pPr>
        <w:spacing w:after="0" w:line="172" w:lineRule="exact"/>
        <w:rPr>
          <w:rFonts w:ascii="Arial" w:cs="Arial" w:eastAsia="Arial" w:hAnsi="Arial"/>
          <w:sz w:val="17"/>
          <w:szCs w:val="17"/>
          <w:color w:val="auto"/>
        </w:rPr>
      </w:pPr>
    </w:p>
    <w:p>
      <w:pPr>
        <w:ind w:right="300" w:firstLine="621"/>
        <w:spacing w:after="0" w:line="236" w:lineRule="auto"/>
        <w:tabs>
          <w:tab w:leader="none" w:pos="12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so long as no Event of Default has occurred and is continuing or would result therefrom, Holdings or any Restricted Subsidiary may change its legal form.</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u w:val="single" w:color="auto"/>
          <w:color w:val="auto"/>
        </w:rPr>
        <w:t>Limitation on Sale of Assets</w:t>
      </w:r>
      <w:r>
        <w:rPr>
          <w:rFonts w:ascii="Arial" w:cs="Arial" w:eastAsia="Arial" w:hAnsi="Arial"/>
          <w:sz w:val="15"/>
          <w:szCs w:val="15"/>
          <w:color w:val="auto"/>
        </w:rPr>
        <w:t>. Holdings will not, and will not permit any Restricted Subsidiary to, consummate an Asset Sale, unless:</w:t>
      </w:r>
    </w:p>
    <w:p>
      <w:pPr>
        <w:spacing w:after="0" w:line="191" w:lineRule="exact"/>
        <w:rPr>
          <w:sz w:val="20"/>
          <w:szCs w:val="20"/>
          <w:color w:val="auto"/>
        </w:rPr>
      </w:pPr>
    </w:p>
    <w:p>
      <w:pPr>
        <w:ind w:right="280" w:firstLine="621"/>
        <w:spacing w:after="0" w:line="261" w:lineRule="auto"/>
        <w:tabs>
          <w:tab w:leader="none" w:pos="123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Holdings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41" w:lineRule="exact"/>
        <w:rPr>
          <w:rFonts w:ascii="Arial" w:cs="Arial" w:eastAsia="Arial" w:hAnsi="Arial"/>
          <w:sz w:val="16"/>
          <w:szCs w:val="16"/>
          <w:color w:val="auto"/>
        </w:rPr>
      </w:pPr>
    </w:p>
    <w:p>
      <w:pPr>
        <w:ind w:firstLine="621"/>
        <w:spacing w:after="0" w:line="231" w:lineRule="auto"/>
        <w:tabs>
          <w:tab w:leader="none" w:pos="123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except in the case of a Permitted Asset Swap, if the property or assets sold or otherwise disposed of have a Fair Market Value in excess of $10,000,000, at least 75% of the consideration therefor received by Holdings or such Restricted Subsidiary, as the case may be, is in the form of cash or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w:t>
      </w:r>
    </w:p>
    <w:p>
      <w:pPr>
        <w:spacing w:after="0" w:line="157" w:lineRule="exact"/>
        <w:rPr>
          <w:rFonts w:ascii="Arial" w:cs="Arial" w:eastAsia="Arial" w:hAnsi="Arial"/>
          <w:sz w:val="17"/>
          <w:szCs w:val="17"/>
          <w:color w:val="auto"/>
        </w:rPr>
      </w:pPr>
    </w:p>
    <w:p>
      <w:pPr>
        <w:ind w:left="620" w:right="80" w:firstLine="867"/>
        <w:spacing w:after="0" w:line="234" w:lineRule="auto"/>
        <w:tabs>
          <w:tab w:leader="none" w:pos="185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such Restricted Subsidiaries have been validly released by all applicable creditors in writing;</w:t>
      </w:r>
    </w:p>
    <w:p>
      <w:pPr>
        <w:spacing w:after="0" w:line="161" w:lineRule="exact"/>
        <w:rPr>
          <w:rFonts w:ascii="Arial" w:cs="Arial" w:eastAsia="Arial" w:hAnsi="Arial"/>
          <w:sz w:val="16"/>
          <w:szCs w:val="16"/>
          <w:color w:val="auto"/>
        </w:rPr>
      </w:pPr>
    </w:p>
    <w:p>
      <w:pPr>
        <w:ind w:left="620" w:right="20" w:firstLine="867"/>
        <w:spacing w:after="0" w:line="313" w:lineRule="auto"/>
        <w:tabs>
          <w:tab w:leader="none" w:pos="1858" w:val="left"/>
        </w:tabs>
        <w:numPr>
          <w:ilvl w:val="1"/>
          <w:numId w:val="137"/>
        </w:numPr>
        <w:rPr>
          <w:rFonts w:ascii="Arial" w:cs="Arial" w:eastAsia="Arial" w:hAnsi="Arial"/>
          <w:sz w:val="15"/>
          <w:szCs w:val="15"/>
          <w:color w:val="auto"/>
        </w:rPr>
      </w:pPr>
      <w:r>
        <w:rPr>
          <w:rFonts w:ascii="Arial" w:cs="Arial" w:eastAsia="Arial" w:hAnsi="Arial"/>
          <w:sz w:val="15"/>
          <w:szCs w:val="15"/>
          <w:color w:val="auto"/>
        </w:rPr>
        <w:t>any securities, notes or other obligations or assets received by Holdings or such Restricted Subsidiary from such transferee that are converted by Holdings or such Restricted Subsidiary into cash or Cash Equivalents, or by their terms are required to be satisfied for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620"/>
          </w:cols>
          <w:pgMar w:left="940" w:top="1440" w:right="339" w:bottom="1440" w:gutter="0" w:footer="0" w:header="0"/>
        </w:sectPr>
      </w:pPr>
    </w:p>
    <w:bookmarkStart w:id="130" w:name="page131"/>
    <w:bookmarkEnd w:id="130"/>
    <w:p>
      <w:pPr>
        <w:spacing w:after="0" w:line="1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Cash Equivalents (to the extent of the cash or Cash Equivalents received), in each case, within 180 days following the closing of such Asset Sale;</w:t>
      </w:r>
    </w:p>
    <w:p>
      <w:pPr>
        <w:spacing w:after="0" w:line="214" w:lineRule="exact"/>
        <w:rPr>
          <w:sz w:val="20"/>
          <w:szCs w:val="20"/>
          <w:color w:val="auto"/>
        </w:rPr>
      </w:pPr>
    </w:p>
    <w:p>
      <w:pPr>
        <w:ind w:left="620" w:right="140" w:firstLine="867"/>
        <w:spacing w:after="0"/>
        <w:tabs>
          <w:tab w:leader="none" w:pos="18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Holdings and all Restricted Subsidiaries have been validly released from any Guarantee of payment of such Indebtedness in connection with such Asset Sale; and</w:t>
      </w:r>
    </w:p>
    <w:p>
      <w:pPr>
        <w:spacing w:after="0" w:line="169" w:lineRule="exact"/>
        <w:rPr>
          <w:rFonts w:ascii="Arial" w:cs="Arial" w:eastAsia="Arial" w:hAnsi="Arial"/>
          <w:sz w:val="16"/>
          <w:szCs w:val="16"/>
          <w:color w:val="auto"/>
        </w:rPr>
      </w:pPr>
    </w:p>
    <w:p>
      <w:pPr>
        <w:ind w:left="620" w:right="40" w:firstLine="867"/>
        <w:spacing w:after="0" w:line="221" w:lineRule="auto"/>
        <w:tabs>
          <w:tab w:leader="none" w:pos="185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any Designated Non-Cash Consideration received by Holdings or such Restricted Subsidiary in such Asset Sale having an aggregate Fair Market Value, taken together with all other Designated Non-Cash Consideration received pursuant to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that is at that time outstanding, not to exceed the greater of $85,000,000 or 6.0% of Consolidated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shall be deemed to be cash for purposes of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provision and for no other purpose.</w:t>
      </w:r>
    </w:p>
    <w:p>
      <w:pPr>
        <w:spacing w:after="0" w:line="191" w:lineRule="exact"/>
        <w:rPr>
          <w:sz w:val="20"/>
          <w:szCs w:val="20"/>
          <w:color w:val="auto"/>
        </w:rPr>
      </w:pPr>
    </w:p>
    <w:p>
      <w:pPr>
        <w:ind w:right="180" w:firstLine="619"/>
        <w:spacing w:after="0" w:line="236" w:lineRule="auto"/>
        <w:rPr>
          <w:sz w:val="20"/>
          <w:szCs w:val="20"/>
          <w:color w:val="auto"/>
        </w:rPr>
      </w:pPr>
      <w:r>
        <w:rPr>
          <w:rFonts w:ascii="Arial" w:cs="Arial" w:eastAsia="Arial" w:hAnsi="Arial"/>
          <w:sz w:val="17"/>
          <w:szCs w:val="17"/>
          <w:color w:val="auto"/>
        </w:rPr>
        <w:t>Within the Reinvestment Period after Holdings’ or any Restricted Subsidiary’s receipt of the Net Cash Proceeds of any Asset Sale, Holdings or such Restricted Subsidiary shall apply the Net Cash Proceeds from such Asset Sale:</w:t>
      </w:r>
    </w:p>
    <w:p>
      <w:pPr>
        <w:spacing w:after="0" w:line="157" w:lineRule="exact"/>
        <w:rPr>
          <w:sz w:val="20"/>
          <w:szCs w:val="20"/>
          <w:color w:val="auto"/>
        </w:rPr>
      </w:pPr>
    </w:p>
    <w:p>
      <w:pPr>
        <w:ind w:left="1240" w:hanging="372"/>
        <w:spacing w:after="0"/>
        <w:tabs>
          <w:tab w:leader="none" w:pos="12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to prepay Loans or Permitted Other Indebtedness in accordance with </w:t>
      </w:r>
      <w:r>
        <w:rPr>
          <w:rFonts w:ascii="Arial" w:cs="Arial" w:eastAsia="Arial" w:hAnsi="Arial"/>
          <w:sz w:val="17"/>
          <w:szCs w:val="17"/>
          <w:u w:val="single" w:color="auto"/>
          <w:color w:val="auto"/>
        </w:rPr>
        <w:t>Section 5.2(a)(i)</w:t>
      </w:r>
      <w:r>
        <w:rPr>
          <w:rFonts w:ascii="Arial" w:cs="Arial" w:eastAsia="Arial" w:hAnsi="Arial"/>
          <w:sz w:val="17"/>
          <w:szCs w:val="17"/>
          <w:color w:val="auto"/>
        </w:rPr>
        <w:t>; and/or</w:t>
      </w:r>
    </w:p>
    <w:p>
      <w:pPr>
        <w:spacing w:after="0" w:line="191" w:lineRule="exact"/>
        <w:rPr>
          <w:rFonts w:ascii="Arial" w:cs="Arial" w:eastAsia="Arial" w:hAnsi="Arial"/>
          <w:sz w:val="17"/>
          <w:szCs w:val="17"/>
          <w:color w:val="auto"/>
        </w:rPr>
      </w:pPr>
    </w:p>
    <w:p>
      <w:pPr>
        <w:ind w:firstLine="868"/>
        <w:spacing w:after="0" w:line="232" w:lineRule="auto"/>
        <w:tabs>
          <w:tab w:leader="none" w:pos="123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to make investments in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Restricted Subsidiaries will be deemed to have complied with this clause (ii) if and to the extent that, within the Reinvestment Period after the Asset Sale that generated the Net Cash Proceeds, Holdings or such Restricted Subsidiary has entered into and not abandoned or rejected a binding agreement to consummate any such investment described in this clause (ii)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Holdings or such Restricted Subsidiary prepays the Loans in accordance with Section 5.2(a)(i).</w:t>
      </w:r>
    </w:p>
    <w:p>
      <w:pPr>
        <w:spacing w:after="0" w:line="170" w:lineRule="exact"/>
        <w:rPr>
          <w:rFonts w:ascii="Arial" w:cs="Arial" w:eastAsia="Arial" w:hAnsi="Arial"/>
          <w:sz w:val="16"/>
          <w:szCs w:val="16"/>
          <w:color w:val="auto"/>
        </w:rPr>
      </w:pPr>
    </w:p>
    <w:p>
      <w:pPr>
        <w:jc w:val="both"/>
        <w:ind w:right="20" w:firstLine="621"/>
        <w:spacing w:after="0" w:line="226" w:lineRule="auto"/>
        <w:tabs>
          <w:tab w:leader="none" w:pos="123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Pending the final application of any Net Cash Proceeds pursuant to this covenant, Holdings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u w:val="single" w:color="auto"/>
          <w:color w:val="auto"/>
        </w:rPr>
        <w:t>Limitation on Restricted Payments</w:t>
      </w:r>
      <w:r>
        <w:rPr>
          <w:rFonts w:ascii="Arial" w:cs="Arial" w:eastAsia="Arial" w:hAnsi="Arial"/>
          <w:sz w:val="15"/>
          <w:szCs w:val="15"/>
          <w:color w:val="auto"/>
        </w:rPr>
        <w:t>.</w:t>
      </w:r>
    </w:p>
    <w:p>
      <w:pPr>
        <w:spacing w:after="0" w:line="178" w:lineRule="exact"/>
        <w:rPr>
          <w:sz w:val="20"/>
          <w:szCs w:val="20"/>
          <w:color w:val="auto"/>
        </w:rPr>
      </w:pPr>
    </w:p>
    <w:p>
      <w:pPr>
        <w:ind w:left="620" w:hanging="61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Holdings will not, and will not permit any Restricted Subsidiary to, directly or indirectly:</w:t>
      </w:r>
    </w:p>
    <w:p>
      <w:pPr>
        <w:spacing w:after="0" w:line="178" w:lineRule="exact"/>
        <w:rPr>
          <w:rFonts w:ascii="Arial" w:cs="Arial" w:eastAsia="Arial" w:hAnsi="Arial"/>
          <w:sz w:val="17"/>
          <w:szCs w:val="17"/>
          <w:color w:val="auto"/>
        </w:rPr>
      </w:pPr>
    </w:p>
    <w:p>
      <w:pPr>
        <w:ind w:right="200" w:firstLine="621"/>
        <w:spacing w:after="0" w:line="248" w:lineRule="auto"/>
        <w:tabs>
          <w:tab w:leader="none" w:pos="991" w:val="left"/>
        </w:tabs>
        <w:numPr>
          <w:ilvl w:val="1"/>
          <w:numId w:val="141"/>
        </w:numPr>
        <w:rPr>
          <w:rFonts w:ascii="Arial" w:cs="Arial" w:eastAsia="Arial" w:hAnsi="Arial"/>
          <w:sz w:val="17"/>
          <w:szCs w:val="17"/>
          <w:color w:val="010000"/>
        </w:rPr>
      </w:pPr>
      <w:r>
        <w:rPr>
          <w:rFonts w:ascii="Arial" w:cs="Arial" w:eastAsia="Arial" w:hAnsi="Arial"/>
          <w:sz w:val="17"/>
          <w:szCs w:val="17"/>
          <w:color w:val="auto"/>
        </w:rPr>
        <w:t>declare or pay any dividend or make any payment or distribution on account of Holdings’ or any Restricted Subsidiary’s Equity Interests, including any dividend or distribution payable in connection with any merger or consolidation, other than:</w:t>
      </w:r>
    </w:p>
    <w:p>
      <w:pPr>
        <w:spacing w:after="0" w:line="150" w:lineRule="exact"/>
        <w:rPr>
          <w:rFonts w:ascii="Arial" w:cs="Arial" w:eastAsia="Arial" w:hAnsi="Arial"/>
          <w:sz w:val="17"/>
          <w:szCs w:val="17"/>
          <w:color w:val="010000"/>
        </w:rPr>
      </w:pPr>
    </w:p>
    <w:p>
      <w:pPr>
        <w:ind w:left="620" w:right="460" w:firstLine="620"/>
        <w:spacing w:after="0" w:line="236" w:lineRule="auto"/>
        <w:tabs>
          <w:tab w:leader="none" w:pos="1649" w:val="left"/>
        </w:tabs>
        <w:numPr>
          <w:ilvl w:val="2"/>
          <w:numId w:val="141"/>
        </w:numPr>
        <w:rPr>
          <w:rFonts w:ascii="Arial" w:cs="Arial" w:eastAsia="Arial" w:hAnsi="Arial"/>
          <w:sz w:val="17"/>
          <w:szCs w:val="17"/>
          <w:color w:val="auto"/>
        </w:rPr>
      </w:pPr>
      <w:r>
        <w:rPr>
          <w:rFonts w:ascii="Arial" w:cs="Arial" w:eastAsia="Arial" w:hAnsi="Arial"/>
          <w:sz w:val="17"/>
          <w:szCs w:val="17"/>
          <w:color w:val="auto"/>
        </w:rPr>
        <w:t>dividends or distributions by Holdings payable in Equity Interests (other than Disqualified Stock) of Holdings or in options, warrants or other rights to purchase such Equity Interests, or</w:t>
      </w:r>
    </w:p>
    <w:p>
      <w:pPr>
        <w:spacing w:after="0" w:line="169" w:lineRule="exact"/>
        <w:rPr>
          <w:rFonts w:ascii="Arial" w:cs="Arial" w:eastAsia="Arial" w:hAnsi="Arial"/>
          <w:sz w:val="17"/>
          <w:szCs w:val="17"/>
          <w:color w:val="auto"/>
        </w:rPr>
      </w:pPr>
    </w:p>
    <w:p>
      <w:pPr>
        <w:ind w:left="620" w:firstLine="620"/>
        <w:spacing w:after="0"/>
        <w:tabs>
          <w:tab w:leader="none" w:pos="164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dividends or distributions by a Restricted Subsidiary so long as, in the case of any dividend or distribution payable on or in respect of any class or series of securities issued by a Subsidiary other than a Wholly-Owned Subsidiary, Holdings or a Restricted Subsidiary receives at least its pro rata share of such dividend or distribution in accordance with its Equity Interests in such class or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620"/>
          </w:cols>
          <w:pgMar w:left="940" w:top="1440" w:right="339" w:bottom="1440" w:gutter="0" w:footer="0" w:header="0"/>
        </w:sectPr>
      </w:pPr>
    </w:p>
    <w:bookmarkStart w:id="131" w:name="page132"/>
    <w:bookmarkEnd w:id="131"/>
    <w:p>
      <w:pPr>
        <w:spacing w:after="0" w:line="106" w:lineRule="exact"/>
        <w:rPr>
          <w:sz w:val="20"/>
          <w:szCs w:val="20"/>
          <w:color w:val="auto"/>
        </w:rPr>
      </w:pPr>
    </w:p>
    <w:p>
      <w:pPr>
        <w:ind w:left="620" w:right="40" w:firstLine="621"/>
        <w:spacing w:after="0" w:line="248" w:lineRule="auto"/>
        <w:tabs>
          <w:tab w:leader="none" w:pos="1611" w:val="left"/>
        </w:tabs>
        <w:numPr>
          <w:ilvl w:val="0"/>
          <w:numId w:val="142"/>
        </w:numPr>
        <w:rPr>
          <w:rFonts w:ascii="Arial" w:cs="Arial" w:eastAsia="Arial" w:hAnsi="Arial"/>
          <w:sz w:val="17"/>
          <w:szCs w:val="17"/>
          <w:color w:val="010000"/>
        </w:rPr>
      </w:pPr>
      <w:r>
        <w:rPr>
          <w:rFonts w:ascii="Arial" w:cs="Arial" w:eastAsia="Arial" w:hAnsi="Arial"/>
          <w:sz w:val="17"/>
          <w:szCs w:val="17"/>
          <w:color w:val="auto"/>
        </w:rPr>
        <w:t>purchase, redeem, defease or otherwise acquire or retire for value any Equity Interests of Holdings or any direct or indirect parent company of Holdings, including in connection with any merger or consolidation;</w:t>
      </w:r>
    </w:p>
    <w:p>
      <w:pPr>
        <w:spacing w:after="0" w:line="150" w:lineRule="exact"/>
        <w:rPr>
          <w:rFonts w:ascii="Arial" w:cs="Arial" w:eastAsia="Arial" w:hAnsi="Arial"/>
          <w:sz w:val="17"/>
          <w:szCs w:val="17"/>
          <w:color w:val="010000"/>
        </w:rPr>
      </w:pPr>
    </w:p>
    <w:p>
      <w:pPr>
        <w:ind w:left="620" w:right="40" w:firstLine="621"/>
        <w:spacing w:after="0" w:line="221" w:lineRule="auto"/>
        <w:tabs>
          <w:tab w:leader="none" w:pos="1611" w:val="left"/>
        </w:tabs>
        <w:numPr>
          <w:ilvl w:val="0"/>
          <w:numId w:val="142"/>
        </w:numPr>
        <w:rPr>
          <w:rFonts w:ascii="Arial" w:cs="Arial" w:eastAsia="Arial" w:hAnsi="Arial"/>
          <w:sz w:val="17"/>
          <w:szCs w:val="17"/>
          <w:color w:val="010000"/>
        </w:rPr>
      </w:pPr>
      <w:r>
        <w:rPr>
          <w:rFonts w:ascii="Arial" w:cs="Arial" w:eastAsia="Arial" w:hAnsi="Arial"/>
          <w:sz w:val="17"/>
          <w:szCs w:val="17"/>
          <w:color w:val="auto"/>
        </w:rPr>
        <w:t xml:space="preserve">make any principal payment on, or redeem, repurchase, defease or otherwise acquire or retire for value in each case, prior to any scheduled repayment, sinking fund payment or maturity, any Junior Debt of Holdings or any Restricted Subsidiary or any Permitted Convertible Indebtedness, other than (A) Indebtedness permitted under </w:t>
      </w:r>
      <w:r>
        <w:rPr>
          <w:rFonts w:ascii="Arial" w:cs="Arial" w:eastAsia="Arial" w:hAnsi="Arial"/>
          <w:sz w:val="17"/>
          <w:szCs w:val="17"/>
          <w:u w:val="single" w:color="auto"/>
          <w:color w:val="auto"/>
        </w:rPr>
        <w:t>clauses (g)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170" w:lineRule="exact"/>
        <w:rPr>
          <w:rFonts w:ascii="Arial" w:cs="Arial" w:eastAsia="Arial" w:hAnsi="Arial"/>
          <w:sz w:val="17"/>
          <w:szCs w:val="17"/>
          <w:color w:val="010000"/>
        </w:rPr>
      </w:pPr>
    </w:p>
    <w:p>
      <w:pPr>
        <w:ind w:left="1620" w:hanging="379"/>
        <w:spacing w:after="0"/>
        <w:tabs>
          <w:tab w:leader="none" w:pos="1620" w:val="left"/>
        </w:tabs>
        <w:numPr>
          <w:ilvl w:val="0"/>
          <w:numId w:val="142"/>
        </w:numPr>
        <w:rPr>
          <w:rFonts w:ascii="Arial" w:cs="Arial" w:eastAsia="Arial" w:hAnsi="Arial"/>
          <w:sz w:val="17"/>
          <w:szCs w:val="17"/>
          <w:color w:val="010000"/>
        </w:rPr>
      </w:pPr>
      <w:r>
        <w:rPr>
          <w:rFonts w:ascii="Arial" w:cs="Arial" w:eastAsia="Arial" w:hAnsi="Arial"/>
          <w:sz w:val="17"/>
          <w:szCs w:val="17"/>
          <w:color w:val="auto"/>
        </w:rPr>
        <w:t>make any Restricted Investment;</w:t>
      </w:r>
    </w:p>
    <w:p>
      <w:pPr>
        <w:spacing w:after="0" w:line="172"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 xml:space="preserve">(all such payments and other actions set forth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w:t>
      </w:r>
      <w:r>
        <w:rPr>
          <w:rFonts w:ascii="Arial" w:cs="Arial" w:eastAsia="Arial" w:hAnsi="Arial"/>
          <w:sz w:val="17"/>
          <w:szCs w:val="17"/>
          <w:color w:val="auto"/>
        </w:rPr>
        <w:t xml:space="preserve"> above (other than any exception thereto) being collectively referred to as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Payments</w:t>
      </w:r>
      <w:r>
        <w:rPr>
          <w:rFonts w:ascii="Arial" w:cs="Arial" w:eastAsia="Arial" w:hAnsi="Arial"/>
          <w:sz w:val="17"/>
          <w:szCs w:val="17"/>
          <w:color w:val="auto"/>
        </w:rPr>
        <w:t>”), unless, at the time of such Restricted Payment:</w:t>
      </w:r>
    </w:p>
    <w:p>
      <w:pPr>
        <w:spacing w:after="0" w:line="171" w:lineRule="exact"/>
        <w:rPr>
          <w:sz w:val="20"/>
          <w:szCs w:val="20"/>
          <w:color w:val="auto"/>
        </w:rPr>
      </w:pPr>
    </w:p>
    <w:p>
      <w:pPr>
        <w:ind w:left="620" w:firstLine="868"/>
        <w:spacing w:after="0" w:line="226" w:lineRule="auto"/>
        <w:tabs>
          <w:tab w:leader="none" w:pos="185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or would occur as a consequence thereof (or in the case of a Restricted Investment, no Event of Default under S</w:t>
      </w:r>
      <w:r>
        <w:rPr>
          <w:rFonts w:ascii="Arial" w:cs="Arial" w:eastAsia="Arial" w:hAnsi="Arial"/>
          <w:sz w:val="17"/>
          <w:szCs w:val="17"/>
          <w:u w:val="single" w:color="auto"/>
          <w:color w:val="auto"/>
        </w:rPr>
        <w:t>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or would occur as a consequence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condition shall not apply to amounts attributable to subclause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w:t>
      </w:r>
    </w:p>
    <w:p>
      <w:pPr>
        <w:spacing w:after="0" w:line="169" w:lineRule="exact"/>
        <w:rPr>
          <w:rFonts w:ascii="Arial" w:cs="Arial" w:eastAsia="Arial" w:hAnsi="Arial"/>
          <w:sz w:val="17"/>
          <w:szCs w:val="17"/>
          <w:color w:val="auto"/>
        </w:rPr>
      </w:pPr>
    </w:p>
    <w:p>
      <w:pPr>
        <w:jc w:val="both"/>
        <w:ind w:left="620" w:right="40" w:firstLine="868"/>
        <w:spacing w:after="0" w:line="226" w:lineRule="auto"/>
        <w:tabs>
          <w:tab w:leader="none" w:pos="185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except in the case of a Restricted Investment, immediately after giving effect to such transaction on a pro forma basis, the Consolidated Total Debt to Consolidated EBITDA Ratio would not exceed 4.00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condition shall not apply to amounts attributable to subclause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 and</w:t>
      </w:r>
    </w:p>
    <w:p>
      <w:pPr>
        <w:spacing w:after="0" w:line="169" w:lineRule="exact"/>
        <w:rPr>
          <w:rFonts w:ascii="Arial" w:cs="Arial" w:eastAsia="Arial" w:hAnsi="Arial"/>
          <w:sz w:val="17"/>
          <w:szCs w:val="17"/>
          <w:color w:val="auto"/>
        </w:rPr>
      </w:pPr>
    </w:p>
    <w:p>
      <w:pPr>
        <w:jc w:val="both"/>
        <w:ind w:left="620" w:right="320" w:firstLine="868"/>
        <w:spacing w:after="0" w:line="224" w:lineRule="auto"/>
        <w:tabs>
          <w:tab w:leader="none" w:pos="185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such Restricted Payment, together with the aggregate amount of all other Restricted Payments made by Holdings and the Restricted Subsidiaries after the Second Restatement Effective Date (including Restricted Payments permitted by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(with respect to the payment of dividends on Refunding Capital Stock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thereof only), </w:t>
      </w:r>
      <w:r>
        <w:rPr>
          <w:rFonts w:ascii="Arial" w:cs="Arial" w:eastAsia="Arial" w:hAnsi="Arial"/>
          <w:sz w:val="17"/>
          <w:szCs w:val="17"/>
          <w:u w:val="single" w:color="auto"/>
          <w:color w:val="auto"/>
        </w:rPr>
        <w:t>(6)(C)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but excluding all other Restricted Payments permitted by </w:t>
      </w:r>
      <w:r>
        <w:rPr>
          <w:rFonts w:ascii="Arial" w:cs="Arial" w:eastAsia="Arial" w:hAnsi="Arial"/>
          <w:sz w:val="17"/>
          <w:szCs w:val="17"/>
          <w:u w:val="single" w:color="auto"/>
          <w:color w:val="auto"/>
        </w:rPr>
        <w:t>Section 10.5(b)</w:t>
      </w:r>
      <w:r>
        <w:rPr>
          <w:rFonts w:ascii="Arial" w:cs="Arial" w:eastAsia="Arial" w:hAnsi="Arial"/>
          <w:sz w:val="17"/>
          <w:szCs w:val="17"/>
          <w:color w:val="auto"/>
        </w:rPr>
        <w:t>), is less than the sum of (without duplication):</w:t>
      </w:r>
    </w:p>
    <w:p>
      <w:pPr>
        <w:spacing w:after="0" w:line="159" w:lineRule="exact"/>
        <w:rPr>
          <w:rFonts w:ascii="Arial" w:cs="Arial" w:eastAsia="Arial" w:hAnsi="Arial"/>
          <w:sz w:val="17"/>
          <w:szCs w:val="17"/>
          <w:color w:val="auto"/>
        </w:rPr>
      </w:pPr>
    </w:p>
    <w:p>
      <w:pPr>
        <w:jc w:val="both"/>
        <w:ind w:left="1240" w:right="100" w:firstLine="620"/>
        <w:spacing w:after="0" w:line="248" w:lineRule="auto"/>
        <w:tabs>
          <w:tab w:leader="none" w:pos="247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the Consolidated EBITDA for the period (taken as one accounting period) from the first day of the fiscal quarter during which the Second Restatement Effective Date occurs to the end of Holdings’ most recently ended fiscal quarter for which internal financial statements are available at the time of such Restricted Payment less the product of 1.5 times Holdings’ Fixed Charges for such period, </w:t>
      </w:r>
      <w:r>
        <w:rPr>
          <w:rFonts w:ascii="Arial" w:cs="Arial" w:eastAsia="Arial" w:hAnsi="Arial"/>
          <w:sz w:val="16"/>
          <w:szCs w:val="16"/>
          <w:i w:val="1"/>
          <w:iCs w:val="1"/>
          <w:color w:val="auto"/>
        </w:rPr>
        <w:t>plus</w:t>
      </w:r>
    </w:p>
    <w:p>
      <w:pPr>
        <w:spacing w:after="0" w:line="151" w:lineRule="exact"/>
        <w:rPr>
          <w:rFonts w:ascii="Arial" w:cs="Arial" w:eastAsia="Arial" w:hAnsi="Arial"/>
          <w:sz w:val="16"/>
          <w:szCs w:val="16"/>
          <w:color w:val="auto"/>
        </w:rPr>
      </w:pPr>
    </w:p>
    <w:p>
      <w:pPr>
        <w:ind w:left="1240" w:right="60" w:firstLine="620"/>
        <w:spacing w:after="0" w:line="242" w:lineRule="auto"/>
        <w:tabs>
          <w:tab w:leader="none" w:pos="2478" w:val="left"/>
        </w:tabs>
        <w:numPr>
          <w:ilvl w:val="1"/>
          <w:numId w:val="143"/>
        </w:numPr>
        <w:rPr>
          <w:rFonts w:ascii="Arial" w:cs="Arial" w:eastAsia="Arial" w:hAnsi="Arial"/>
          <w:sz w:val="15"/>
          <w:szCs w:val="15"/>
          <w:color w:val="auto"/>
        </w:rPr>
      </w:pPr>
      <w:r>
        <w:rPr>
          <w:rFonts w:ascii="Arial" w:cs="Arial" w:eastAsia="Arial" w:hAnsi="Arial"/>
          <w:sz w:val="15"/>
          <w:szCs w:val="15"/>
          <w:color w:val="auto"/>
        </w:rPr>
        <w:t xml:space="preserve">100% of the aggregate net cash proceeds and the Fair Market Value of marketable securities or other property received by Holdings since immediately after the Second Restatement Effective Date (other than net cash proceeds from Cure Amounts or to the extent such net cash proceeds have been used to incur Indebtedness, Disqualified Stock or preferred stock pursuant to </w:t>
      </w:r>
      <w:r>
        <w:rPr>
          <w:rFonts w:ascii="Arial" w:cs="Arial" w:eastAsia="Arial" w:hAnsi="Arial"/>
          <w:sz w:val="15"/>
          <w:szCs w:val="15"/>
          <w:u w:val="single" w:color="auto"/>
          <w:color w:val="auto"/>
        </w:rPr>
        <w:t>clause (l)(i)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from the issue or sale of (x) Equity Interests of Holdings, including Retired Capital Stock, but excluding cash proceeds and the Fair Market Value of marketable securities or other property received from the sale of (A) Equity Interests to any employee, director, manager or consultant of Holdings, any direct or indirect parent company of Holdings and Holdings’ Subsidiaries after the Second Restatement Effective Date to the extent such amounts have been applied to Restricted Payments made in accordance with </w:t>
      </w:r>
      <w:r>
        <w:rPr>
          <w:rFonts w:ascii="Arial" w:cs="Arial" w:eastAsia="Arial" w:hAnsi="Arial"/>
          <w:sz w:val="15"/>
          <w:szCs w:val="15"/>
          <w:u w:val="single" w:color="auto"/>
          <w:color w:val="auto"/>
        </w:rPr>
        <w:t>clause (4)</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10.5(b)</w:t>
      </w:r>
      <w:r>
        <w:rPr>
          <w:rFonts w:ascii="Arial" w:cs="Arial" w:eastAsia="Arial" w:hAnsi="Arial"/>
          <w:sz w:val="15"/>
          <w:szCs w:val="15"/>
          <w:color w:val="auto"/>
        </w:rPr>
        <w:t xml:space="preserve"> below, and (B) Designated Preferred Stock, and, to the extent such net cash proceeds are actually contributed to Holdings, Equity Interests of any direct or indirect parent</w:t>
      </w:r>
    </w:p>
    <w:p>
      <w:pPr>
        <w:spacing w:after="0" w:line="2" w:lineRule="exact"/>
        <w:rPr>
          <w:sz w:val="20"/>
          <w:szCs w:val="20"/>
          <w:color w:val="auto"/>
        </w:rPr>
      </w:pPr>
    </w:p>
    <w:p>
      <w:pPr>
        <w:ind w:left="1240"/>
        <w:spacing w:after="0" w:line="233" w:lineRule="auto"/>
        <w:rPr>
          <w:sz w:val="20"/>
          <w:szCs w:val="20"/>
          <w:color w:val="auto"/>
        </w:rPr>
      </w:pPr>
      <w:r>
        <w:rPr>
          <w:rFonts w:ascii="Arial" w:cs="Arial" w:eastAsia="Arial" w:hAnsi="Arial"/>
          <w:sz w:val="15"/>
          <w:szCs w:val="15"/>
          <w:color w:val="auto"/>
        </w:rPr>
        <w:t xml:space="preserve">company of Holdings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5"/>
          <w:szCs w:val="15"/>
          <w:u w:val="single" w:color="auto"/>
          <w:color w:val="auto"/>
        </w:rPr>
        <w:t>clause (4)</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10.5(b)</w:t>
      </w:r>
      <w:r>
        <w:rPr>
          <w:rFonts w:ascii="Arial" w:cs="Arial" w:eastAsia="Arial" w:hAnsi="Arial"/>
          <w:sz w:val="15"/>
          <w:szCs w:val="15"/>
          <w:color w:val="auto"/>
        </w:rPr>
        <w:t xml:space="preserve"> below) or</w:t>
      </w:r>
    </w:p>
    <w:p>
      <w:pPr>
        <w:ind w:left="1240" w:right="80" w:firstLine="1"/>
        <w:spacing w:after="0" w:line="220" w:lineRule="auto"/>
        <w:tabs>
          <w:tab w:leader="none" w:pos="148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Indebtedness of Holdings or a Restricted Subsidiary that has been converted into or exchanged for such Equity Interests of Holdings or any direct or indirect parent company of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include the proceeds from (a) Refunding Capital Stock, (b) Equity Interests or Indebtedness that has been converted or exchanged for Equity Interests of Holdings sold to a Restricted Subsidiary or Holdings, as the case may be, (c) Disqualified Stock or Indebtedness that has been converted or exchanged into Disqualified Stock or (d) Excluded Contributions, </w:t>
      </w:r>
      <w:r>
        <w:rPr>
          <w:rFonts w:ascii="Arial" w:cs="Arial" w:eastAsia="Arial" w:hAnsi="Arial"/>
          <w:sz w:val="17"/>
          <w:szCs w:val="17"/>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06" w:lineRule="exact"/>
        <w:rPr>
          <w:sz w:val="20"/>
          <w:szCs w:val="20"/>
          <w:color w:val="auto"/>
        </w:rPr>
      </w:pPr>
    </w:p>
    <w:p>
      <w:pPr>
        <w:jc w:val="both"/>
        <w:ind w:left="618" w:firstLine="620"/>
        <w:spacing w:after="0" w:line="224" w:lineRule="auto"/>
        <w:tabs>
          <w:tab w:leader="none" w:pos="1856" w:val="left"/>
        </w:tabs>
        <w:numPr>
          <w:ilvl w:val="2"/>
          <w:numId w:val="145"/>
        </w:numPr>
        <w:rPr>
          <w:rFonts w:ascii="Arial" w:cs="Arial" w:eastAsia="Arial" w:hAnsi="Arial"/>
          <w:sz w:val="17"/>
          <w:szCs w:val="17"/>
          <w:color w:val="auto"/>
        </w:rPr>
      </w:pPr>
      <w:r>
        <w:rPr>
          <w:rFonts w:ascii="Arial" w:cs="Arial" w:eastAsia="Arial" w:hAnsi="Arial"/>
          <w:sz w:val="17"/>
          <w:szCs w:val="17"/>
          <w:color w:val="auto"/>
        </w:rPr>
        <w:t xml:space="preserve">100% of the aggregate amount of cash and the Fair Market Value of marketable securities or other property contributed to the capital of Holdings following the Second Restatement Effective Date (other than the net cash proceeds from Cure Amounts or to the extent such net cash proceeds (i) have been used to incur Indebtedness, Disqualified Stock or preferred stock pursuant to </w:t>
      </w:r>
      <w:r>
        <w:rPr>
          <w:rFonts w:ascii="Arial" w:cs="Arial" w:eastAsia="Arial" w:hAnsi="Arial"/>
          <w:sz w:val="17"/>
          <w:szCs w:val="17"/>
          <w:u w:val="single" w:color="auto"/>
          <w:color w:val="auto"/>
        </w:rPr>
        <w:t>clause (l)(i)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(ii) are contributed by a Restricted Subsidiary or (iii) constitute Excluded Contributions), </w:t>
      </w:r>
      <w:r>
        <w:rPr>
          <w:rFonts w:ascii="Arial" w:cs="Arial" w:eastAsia="Arial" w:hAnsi="Arial"/>
          <w:sz w:val="17"/>
          <w:szCs w:val="17"/>
          <w:i w:val="1"/>
          <w:iCs w:val="1"/>
          <w:color w:val="auto"/>
        </w:rPr>
        <w:t>plus</w:t>
      </w:r>
    </w:p>
    <w:p>
      <w:pPr>
        <w:spacing w:after="0" w:line="172" w:lineRule="exact"/>
        <w:rPr>
          <w:rFonts w:ascii="Arial" w:cs="Arial" w:eastAsia="Arial" w:hAnsi="Arial"/>
          <w:sz w:val="17"/>
          <w:szCs w:val="17"/>
          <w:color w:val="auto"/>
        </w:rPr>
      </w:pPr>
    </w:p>
    <w:p>
      <w:pPr>
        <w:ind w:left="618" w:right="20" w:firstLine="620"/>
        <w:spacing w:after="0" w:line="247" w:lineRule="auto"/>
        <w:tabs>
          <w:tab w:leader="none" w:pos="1856" w:val="left"/>
        </w:tabs>
        <w:numPr>
          <w:ilvl w:val="2"/>
          <w:numId w:val="145"/>
        </w:numPr>
        <w:rPr>
          <w:rFonts w:ascii="Arial" w:cs="Arial" w:eastAsia="Arial" w:hAnsi="Arial"/>
          <w:sz w:val="15"/>
          <w:szCs w:val="15"/>
          <w:color w:val="auto"/>
        </w:rPr>
      </w:pPr>
      <w:r>
        <w:rPr>
          <w:rFonts w:ascii="Arial" w:cs="Arial" w:eastAsia="Arial" w:hAnsi="Arial"/>
          <w:sz w:val="15"/>
          <w:szCs w:val="15"/>
          <w:color w:val="auto"/>
        </w:rPr>
        <w:t xml:space="preserve">100% of the aggregate amount received in cash and the Fair Market Value of marketable securities or other property received by means of (A) the sale or other disposition (other than to Holdings or a Restricted Subsidiary) of Restricted Investments made by Holdings and the Restricted Subsidiaries and repurchases and redemptions of such Restricted Investments from Holdings and the Restricted Subsidiaries and repayments of loans or advances, and releases of guarantees, which constitute Restricted Investments made by Holdings or the Restricted Subsidiaries, in each case, after the Second Restatement Effective Date; or (B) the sale (other than to Holdings or a Restricted Subsidiary) of the stock of an Unrestricted Subsidiary or a distribution from an Unrestricted Subsidiary (other than in each case to the extent the Investment in such Unrestricted Subsidiary was made by Holdings or a Restricted Subsidiary pursuant to </w:t>
      </w:r>
      <w:r>
        <w:rPr>
          <w:rFonts w:ascii="Arial" w:cs="Arial" w:eastAsia="Arial" w:hAnsi="Arial"/>
          <w:sz w:val="15"/>
          <w:szCs w:val="15"/>
          <w:u w:val="single" w:color="auto"/>
          <w:color w:val="auto"/>
        </w:rPr>
        <w:t>clause (7)</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10.5(b)</w:t>
      </w:r>
      <w:r>
        <w:rPr>
          <w:rFonts w:ascii="Arial" w:cs="Arial" w:eastAsia="Arial" w:hAnsi="Arial"/>
          <w:sz w:val="15"/>
          <w:szCs w:val="15"/>
          <w:color w:val="auto"/>
        </w:rPr>
        <w:t xml:space="preserve"> below or to the extent such Investment constituted a Permitted Investment) or a dividend from an Unrestricted Subsidiary after the Second Restatement Effective Date, </w:t>
      </w:r>
      <w:r>
        <w:rPr>
          <w:rFonts w:ascii="Arial" w:cs="Arial" w:eastAsia="Arial" w:hAnsi="Arial"/>
          <w:sz w:val="15"/>
          <w:szCs w:val="15"/>
          <w:i w:val="1"/>
          <w:iCs w:val="1"/>
          <w:color w:val="auto"/>
        </w:rPr>
        <w:t>plus</w:t>
      </w:r>
    </w:p>
    <w:p>
      <w:pPr>
        <w:spacing w:after="0" w:line="152" w:lineRule="exact"/>
        <w:rPr>
          <w:rFonts w:ascii="Arial" w:cs="Arial" w:eastAsia="Arial" w:hAnsi="Arial"/>
          <w:sz w:val="15"/>
          <w:szCs w:val="15"/>
          <w:color w:val="auto"/>
        </w:rPr>
      </w:pPr>
    </w:p>
    <w:p>
      <w:pPr>
        <w:jc w:val="both"/>
        <w:ind w:left="618" w:right="20" w:firstLine="620"/>
        <w:spacing w:after="0" w:line="259" w:lineRule="auto"/>
        <w:tabs>
          <w:tab w:leader="none" w:pos="1856" w:val="left"/>
        </w:tabs>
        <w:numPr>
          <w:ilvl w:val="2"/>
          <w:numId w:val="145"/>
        </w:numPr>
        <w:rPr>
          <w:rFonts w:ascii="Arial" w:cs="Arial" w:eastAsia="Arial" w:hAnsi="Arial"/>
          <w:sz w:val="15"/>
          <w:szCs w:val="15"/>
          <w:color w:val="auto"/>
        </w:rPr>
      </w:pPr>
      <w:r>
        <w:rPr>
          <w:rFonts w:ascii="Arial" w:cs="Arial" w:eastAsia="Arial" w:hAnsi="Arial"/>
          <w:sz w:val="15"/>
          <w:szCs w:val="15"/>
          <w:color w:val="auto"/>
        </w:rPr>
        <w:t xml:space="preserve">in the case of the redesignation of an Unrestricted Subsidiary as a Restricted Subsidiary after the Second Restatement Effective Date, the Fair Market Value of the Investment in such Unrestricted Subsidiary at the time of the redesignation of such Unrestricted Subsidiary as a Restricted Subsidiary, other than to the extent the Investment in such Unrestricted Subsidiary was made by Holdings or a Restricted Subsidiary pursuant to </w:t>
      </w:r>
      <w:r>
        <w:rPr>
          <w:rFonts w:ascii="Arial" w:cs="Arial" w:eastAsia="Arial" w:hAnsi="Arial"/>
          <w:sz w:val="15"/>
          <w:szCs w:val="15"/>
          <w:u w:val="single" w:color="auto"/>
          <w:color w:val="auto"/>
        </w:rPr>
        <w:t>clause (7)</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10.5(b)</w:t>
      </w:r>
      <w:r>
        <w:rPr>
          <w:rFonts w:ascii="Arial" w:cs="Arial" w:eastAsia="Arial" w:hAnsi="Arial"/>
          <w:sz w:val="15"/>
          <w:szCs w:val="15"/>
          <w:color w:val="auto"/>
        </w:rPr>
        <w:t xml:space="preserve"> below or to the extent such Investment constituted a Permitted Investment, </w:t>
      </w:r>
      <w:r>
        <w:rPr>
          <w:rFonts w:ascii="Arial" w:cs="Arial" w:eastAsia="Arial" w:hAnsi="Arial"/>
          <w:sz w:val="15"/>
          <w:szCs w:val="15"/>
          <w:i w:val="1"/>
          <w:iCs w:val="1"/>
          <w:color w:val="auto"/>
        </w:rPr>
        <w:t>plus</w:t>
      </w:r>
    </w:p>
    <w:p>
      <w:pPr>
        <w:spacing w:after="0" w:line="157" w:lineRule="exact"/>
        <w:rPr>
          <w:rFonts w:ascii="Arial" w:cs="Arial" w:eastAsia="Arial" w:hAnsi="Arial"/>
          <w:sz w:val="15"/>
          <w:szCs w:val="15"/>
          <w:color w:val="auto"/>
        </w:rPr>
      </w:pPr>
    </w:p>
    <w:p>
      <w:pPr>
        <w:ind w:left="1858" w:hanging="620"/>
        <w:spacing w:after="0"/>
        <w:tabs>
          <w:tab w:leader="none" w:pos="1858" w:val="left"/>
        </w:tabs>
        <w:numPr>
          <w:ilvl w:val="2"/>
          <w:numId w:val="145"/>
        </w:numPr>
        <w:rPr>
          <w:rFonts w:ascii="Arial" w:cs="Arial" w:eastAsia="Arial" w:hAnsi="Arial"/>
          <w:sz w:val="17"/>
          <w:szCs w:val="17"/>
          <w:color w:val="auto"/>
        </w:rPr>
      </w:pPr>
      <w:r>
        <w:rPr>
          <w:rFonts w:ascii="Arial" w:cs="Arial" w:eastAsia="Arial" w:hAnsi="Arial"/>
          <w:sz w:val="17"/>
          <w:szCs w:val="17"/>
          <w:color w:val="auto"/>
        </w:rPr>
        <w:t>$50,000,000.</w:t>
      </w:r>
    </w:p>
    <w:p>
      <w:pPr>
        <w:spacing w:after="0" w:line="178" w:lineRule="exact"/>
        <w:rPr>
          <w:rFonts w:ascii="Arial" w:cs="Arial" w:eastAsia="Arial" w:hAnsi="Arial"/>
          <w:sz w:val="17"/>
          <w:szCs w:val="17"/>
          <w:color w:val="auto"/>
        </w:rPr>
      </w:pPr>
    </w:p>
    <w:p>
      <w:pPr>
        <w:ind w:left="618" w:hanging="618"/>
        <w:spacing w:after="0"/>
        <w:tabs>
          <w:tab w:leader="none" w:pos="61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The foregoing provisions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will not prohibit:</w:t>
      </w:r>
    </w:p>
    <w:p>
      <w:pPr>
        <w:spacing w:after="0" w:line="178" w:lineRule="exact"/>
        <w:rPr>
          <w:rFonts w:ascii="Arial" w:cs="Arial" w:eastAsia="Arial" w:hAnsi="Arial"/>
          <w:sz w:val="17"/>
          <w:szCs w:val="17"/>
          <w:color w:val="auto"/>
        </w:rPr>
      </w:pPr>
    </w:p>
    <w:p>
      <w:pPr>
        <w:jc w:val="both"/>
        <w:ind w:left="-2" w:right="40" w:firstLine="621"/>
        <w:spacing w:after="0" w:line="231" w:lineRule="auto"/>
        <w:tabs>
          <w:tab w:leader="none" w:pos="989" w:val="left"/>
        </w:tabs>
        <w:numPr>
          <w:ilvl w:val="1"/>
          <w:numId w:val="146"/>
        </w:numPr>
        <w:rPr>
          <w:rFonts w:ascii="Arial" w:cs="Arial" w:eastAsia="Arial" w:hAnsi="Arial"/>
          <w:sz w:val="17"/>
          <w:szCs w:val="17"/>
          <w:color w:val="010000"/>
        </w:rPr>
      </w:pPr>
      <w:r>
        <w:rPr>
          <w:rFonts w:ascii="Arial" w:cs="Arial" w:eastAsia="Arial" w:hAnsi="Arial"/>
          <w:sz w:val="17"/>
          <w:szCs w:val="17"/>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151" w:lineRule="exact"/>
        <w:rPr>
          <w:rFonts w:ascii="Arial" w:cs="Arial" w:eastAsia="Arial" w:hAnsi="Arial"/>
          <w:sz w:val="17"/>
          <w:szCs w:val="17"/>
          <w:color w:val="010000"/>
        </w:rPr>
      </w:pPr>
    </w:p>
    <w:p>
      <w:pPr>
        <w:ind w:left="-2" w:right="120" w:firstLine="621"/>
        <w:spacing w:after="0" w:line="232" w:lineRule="auto"/>
        <w:tabs>
          <w:tab w:leader="none" w:pos="989" w:val="left"/>
        </w:tabs>
        <w:numPr>
          <w:ilvl w:val="1"/>
          <w:numId w:val="146"/>
        </w:numPr>
        <w:rPr>
          <w:rFonts w:ascii="Arial" w:cs="Arial" w:eastAsia="Arial" w:hAnsi="Arial"/>
          <w:sz w:val="16"/>
          <w:szCs w:val="16"/>
          <w:color w:val="010000"/>
        </w:rPr>
      </w:pPr>
      <w:r>
        <w:rPr>
          <w:rFonts w:ascii="Arial" w:cs="Arial" w:eastAsia="Arial" w:hAnsi="Arial"/>
          <w:sz w:val="16"/>
          <w:szCs w:val="16"/>
          <w:color w:val="auto"/>
        </w:rPr>
        <w:t>(a) the redemption, repurchase, retirement or other acquisition of any Equity Interests (“</w:t>
      </w:r>
      <w:r>
        <w:rPr>
          <w:rFonts w:ascii="Arial" w:cs="Arial" w:eastAsia="Arial" w:hAnsi="Arial"/>
          <w:sz w:val="16"/>
          <w:szCs w:val="16"/>
          <w:b w:val="1"/>
          <w:bCs w:val="1"/>
          <w:color w:val="auto"/>
        </w:rPr>
        <w:t>Retired Capital Stock</w:t>
      </w:r>
      <w:r>
        <w:rPr>
          <w:rFonts w:ascii="Arial" w:cs="Arial" w:eastAsia="Arial" w:hAnsi="Arial"/>
          <w:sz w:val="16"/>
          <w:szCs w:val="16"/>
          <w:color w:val="auto"/>
        </w:rPr>
        <w:t>”) or Junior Debt of Holdings or any Restricted Subsidiary, or any Equity Interests or Permitted Convertible Indebtedness of any direct or indirect parent company of Holdings, in exchange for, or out of the proceeds of the substantially concurrent sale (other than to a Restricted Subsidiary) of, Equity Interests of Holdings or any direct or indirect parent company of Holdings to the extent contributed to Holdings (in each case, other than any Disqualified Stock) (“</w:t>
      </w:r>
      <w:r>
        <w:rPr>
          <w:rFonts w:ascii="Arial" w:cs="Arial" w:eastAsia="Arial" w:hAnsi="Arial"/>
          <w:sz w:val="16"/>
          <w:szCs w:val="16"/>
          <w:b w:val="1"/>
          <w:bCs w:val="1"/>
          <w:color w:val="auto"/>
        </w:rPr>
        <w:t>Refunding Capital Stock</w:t>
      </w:r>
      <w:r>
        <w:rPr>
          <w:rFonts w:ascii="Arial" w:cs="Arial" w:eastAsia="Arial" w:hAnsi="Arial"/>
          <w:sz w:val="16"/>
          <w:szCs w:val="16"/>
          <w:color w:val="auto"/>
        </w:rPr>
        <w:t xml:space="preserve">”) and (b) if immediately prior to the retirement of Retired Capital Stock, the declaration and payment of dividends thereon was permitted under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the declaration and payment of dividends on the Refunding Capital Stock (other than Refunding Capital Stock the proceeds of which were used to redeem, repurchase, retire or otherwise acquire any Equity Interests of any direct or indirect parent company of Holdings) in an aggregate amount per year no greater than the aggregate amount of dividends per annum that was declarable and payable on such Retired Capital Stock immediately prior to such retirement;</w:t>
      </w:r>
    </w:p>
    <w:p>
      <w:pPr>
        <w:spacing w:after="0" w:line="158" w:lineRule="exact"/>
        <w:rPr>
          <w:rFonts w:ascii="Arial" w:cs="Arial" w:eastAsia="Arial" w:hAnsi="Arial"/>
          <w:sz w:val="16"/>
          <w:szCs w:val="16"/>
          <w:color w:val="010000"/>
        </w:rPr>
      </w:pPr>
    </w:p>
    <w:p>
      <w:pPr>
        <w:ind w:left="-2" w:firstLine="621"/>
        <w:spacing w:after="0" w:line="231" w:lineRule="auto"/>
        <w:tabs>
          <w:tab w:leader="none" w:pos="989" w:val="left"/>
        </w:tabs>
        <w:numPr>
          <w:ilvl w:val="1"/>
          <w:numId w:val="146"/>
        </w:numPr>
        <w:rPr>
          <w:rFonts w:ascii="Arial" w:cs="Arial" w:eastAsia="Arial" w:hAnsi="Arial"/>
          <w:sz w:val="16"/>
          <w:szCs w:val="16"/>
          <w:color w:val="010000"/>
        </w:rPr>
      </w:pPr>
      <w:r>
        <w:rPr>
          <w:rFonts w:ascii="Arial" w:cs="Arial" w:eastAsia="Arial" w:hAnsi="Arial"/>
          <w:sz w:val="16"/>
          <w:szCs w:val="16"/>
          <w:color w:val="auto"/>
        </w:rPr>
        <w:t xml:space="preserve">the prepayment, redemption, defeasance, repurchase or other acquisition or retirement for value of Junior Debt of Holdings or a Restricted Subsidiary (i) made by exchange for, or out of the proceeds of the substantially concurrent sale of, new Indebtedness of Holdings, or a Restricted Subsidiary, as the case may be, which is incurred in compliance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18"/>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618"/>
          </w:cols>
          <w:pgMar w:left="942" w:top="1440" w:right="339" w:bottom="1440" w:gutter="0" w:footer="0" w:header="0"/>
        </w:sectPr>
      </w:pPr>
    </w:p>
    <w:bookmarkStart w:id="133" w:name="page134"/>
    <w:bookmarkEnd w:id="133"/>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final scheduled maturity date of the Junior Debt being so redeemed, defeased, repurchased, exchanged, acquired or retired, (D) if such Junior Debt so</w:t>
      </w:r>
    </w:p>
    <w:p>
      <w:pPr>
        <w:spacing w:after="0" w:line="22"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purchased, exchanged, redeemed, repurchased, acquired or retired for value is unsecured then such new Indebtedness shall be unsecured and (E) such new Indebtedness has a weighted average life to maturity equal to or greater than the remaining weighted average life to maturity of the Junior Debt being so redeemed, defeased, repurchased, exchanged, acquired or retired;</w:t>
      </w:r>
    </w:p>
    <w:p>
      <w:pPr>
        <w:spacing w:after="0" w:line="170" w:lineRule="exact"/>
        <w:rPr>
          <w:sz w:val="20"/>
          <w:szCs w:val="20"/>
          <w:color w:val="auto"/>
        </w:rPr>
      </w:pPr>
    </w:p>
    <w:p>
      <w:pPr>
        <w:ind w:firstLine="621"/>
        <w:spacing w:after="0" w:line="241" w:lineRule="auto"/>
        <w:tabs>
          <w:tab w:leader="none" w:pos="991" w:val="left"/>
        </w:tabs>
        <w:numPr>
          <w:ilvl w:val="0"/>
          <w:numId w:val="147"/>
        </w:numPr>
        <w:rPr>
          <w:rFonts w:ascii="Arial" w:cs="Arial" w:eastAsia="Arial" w:hAnsi="Arial"/>
          <w:sz w:val="15"/>
          <w:szCs w:val="15"/>
          <w:color w:val="010000"/>
        </w:rPr>
      </w:pPr>
      <w:r>
        <w:rPr>
          <w:rFonts w:ascii="Arial" w:cs="Arial" w:eastAsia="Arial" w:hAnsi="Arial"/>
          <w:sz w:val="15"/>
          <w:szCs w:val="15"/>
          <w:color w:val="auto"/>
        </w:rPr>
        <w:t xml:space="preserve">a Restricted Payment to pay for the repurchase, retirement or other acquisition or retirement for value of Equity Interests (other than Disqualified Stock) of Holdings or any direct or indirect parent company of Holdings held by any future, present or former employee, director, manager or consultant of Holdings, any of its Subsidiaries or any direct or indirect parent company of Holdings, or their estates, descendants, family, spouse or former spouse pursuant to any management equity plan or stock option plan or any other management or employee benefit plan or agreement, or any stock subscription or shareholder agreement (including, for the avoidance of doubt, any principal and interest payable on any notes issued by Holdings or any direct or indirect parent company of Holdings in connection with such repurchase, retirement or other acquisition), including any Equity Interests rolled over by management of Holdings or any direct or indirect parent company of Holdings in connection with the Original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except with respect to non-discretionary purchases, the aggregate Restricted Payments made under this </w:t>
      </w:r>
      <w:r>
        <w:rPr>
          <w:rFonts w:ascii="Arial" w:cs="Arial" w:eastAsia="Arial" w:hAnsi="Arial"/>
          <w:sz w:val="15"/>
          <w:szCs w:val="15"/>
          <w:u w:val="single" w:color="auto"/>
          <w:color w:val="auto"/>
        </w:rPr>
        <w:t>clause (4)</w:t>
      </w:r>
      <w:r>
        <w:rPr>
          <w:rFonts w:ascii="Arial" w:cs="Arial" w:eastAsia="Arial" w:hAnsi="Arial"/>
          <w:sz w:val="15"/>
          <w:szCs w:val="15"/>
          <w:color w:val="auto"/>
        </w:rPr>
        <w:t xml:space="preserve"> subsequent to the Second Restatement Effective Date do not exceed in any calendar year $40,000,000 (with unused amounts in any calendar year being carried over to succeeding calendar years subject to maximum aggregate Restricted Payments under this clause (without giving effect to the following proviso) of $60,000,000 in any calendar year;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such amount in any calendar year may be increased by an amount not to exceed: (A) the cash proceeds from the sale of Equity Interests (other than Disqualified Stock) of Holdings and, to the extent contributed to Holdings, the cash proceeds from the sale of Equity Interests of any direct or indirect parent company of Holdings, in each case to any future, present or former employees, directors, managers or consultants of Holdings, any of its Subsidiaries or any direct or indirect parent company of Holdings that occurs after the Second Restatement Effective Date, to the extent the cash proceeds from the sale of such Equity Interests have not otherwise been applied to the payment of Restricted Payments by virtue of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10.5(a)(4)</w:t>
      </w:r>
      <w:r>
        <w:rPr>
          <w:rFonts w:ascii="Arial" w:cs="Arial" w:eastAsia="Arial" w:hAnsi="Arial"/>
          <w:sz w:val="15"/>
          <w:szCs w:val="15"/>
          <w:color w:val="auto"/>
        </w:rPr>
        <w:t xml:space="preserve">, plus (B) the cash proceeds of key man life insurance policies received by Holdings and the Restricted Subsidiaries after the Second Restatement Effective Date, less (C) the amount of any Restricted Payments previously made pursuant to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clause (4)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cancellation of Indebtedness owing to Holdings or any Restricted Subsidiary from any future, present or former employees, directors, managers or consultants of Holdings, any direct or indirect parent company of Holdings or any Restricted Subsidiary, or their estates, descendants, family, spouse or former spouse pursuant in connection with a repurchase of Equity Interests of Holdings or any direct or indirect parent company of Holdings will not be deemed to constitute a Restricted Payment for purposes of this </w:t>
      </w:r>
      <w:r>
        <w:rPr>
          <w:rFonts w:ascii="Arial" w:cs="Arial" w:eastAsia="Arial" w:hAnsi="Arial"/>
          <w:sz w:val="15"/>
          <w:szCs w:val="15"/>
          <w:u w:val="single" w:color="auto"/>
          <w:color w:val="auto"/>
        </w:rPr>
        <w:t>Section 10.5</w:t>
      </w:r>
      <w:r>
        <w:rPr>
          <w:rFonts w:ascii="Arial" w:cs="Arial" w:eastAsia="Arial" w:hAnsi="Arial"/>
          <w:sz w:val="15"/>
          <w:szCs w:val="15"/>
          <w:color w:val="auto"/>
        </w:rPr>
        <w:t xml:space="preserve"> or any other provision of this Agreement;</w:t>
      </w:r>
    </w:p>
    <w:p>
      <w:pPr>
        <w:spacing w:after="0" w:line="178" w:lineRule="exact"/>
        <w:rPr>
          <w:rFonts w:ascii="Arial" w:cs="Arial" w:eastAsia="Arial" w:hAnsi="Arial"/>
          <w:sz w:val="15"/>
          <w:szCs w:val="15"/>
          <w:color w:val="010000"/>
        </w:rPr>
      </w:pPr>
    </w:p>
    <w:p>
      <w:pPr>
        <w:ind w:left="1000" w:hanging="379"/>
        <w:spacing w:after="0"/>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[reserved];</w:t>
      </w:r>
    </w:p>
    <w:p>
      <w:pPr>
        <w:spacing w:after="0" w:line="178" w:lineRule="exact"/>
        <w:rPr>
          <w:rFonts w:ascii="Arial" w:cs="Arial" w:eastAsia="Arial" w:hAnsi="Arial"/>
          <w:sz w:val="17"/>
          <w:szCs w:val="17"/>
          <w:color w:val="auto"/>
        </w:rPr>
      </w:pPr>
    </w:p>
    <w:p>
      <w:pPr>
        <w:ind w:right="20" w:firstLine="621"/>
        <w:spacing w:after="0" w:line="246" w:lineRule="auto"/>
        <w:tabs>
          <w:tab w:leader="none" w:pos="991" w:val="left"/>
        </w:tabs>
        <w:numPr>
          <w:ilvl w:val="0"/>
          <w:numId w:val="147"/>
        </w:numPr>
        <w:rPr>
          <w:rFonts w:ascii="Arial" w:cs="Arial" w:eastAsia="Arial" w:hAnsi="Arial"/>
          <w:sz w:val="15"/>
          <w:szCs w:val="15"/>
          <w:color w:val="010000"/>
        </w:rPr>
      </w:pPr>
      <w:r>
        <w:rPr>
          <w:rFonts w:ascii="Arial" w:cs="Arial" w:eastAsia="Arial" w:hAnsi="Arial"/>
          <w:sz w:val="15"/>
          <w:szCs w:val="15"/>
          <w:color w:val="auto"/>
        </w:rPr>
        <w:t xml:space="preserve">(A) the declaration and payment of dividends to holders of any class or series of Designated Preferred Stock (other than Disqualified Stock) issued by Holdings after the Second Restatement Effective Date; (B) the declaration and payment of dividends to any direct or indirect parent company of Holdings, the proceeds of which will be used to fund the payment of dividends to holders of any class or series of Designated Preferred Stock (other than Disqualified Stock) of such parent company issued after the Second Restatement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dividends paid pursuant to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shall not exceed the aggregate amount of cash actually contributed to Holdings from the sale of such Designated Preferred Stock; or (C) the declaration and payment of dividends on Refunding Capital Stock in excess of the dividends declarable and payable thereon pursuant to </w:t>
      </w:r>
      <w:r>
        <w:rPr>
          <w:rFonts w:ascii="Arial" w:cs="Arial" w:eastAsia="Arial" w:hAnsi="Arial"/>
          <w:sz w:val="15"/>
          <w:szCs w:val="15"/>
          <w:u w:val="single" w:color="auto"/>
          <w:color w:val="auto"/>
        </w:rPr>
        <w:t>clause (2)</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10.5(b)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each of (A), (B), and (C) of this </w:t>
      </w:r>
      <w:r>
        <w:rPr>
          <w:rFonts w:ascii="Arial" w:cs="Arial" w:eastAsia="Arial" w:hAnsi="Arial"/>
          <w:sz w:val="15"/>
          <w:szCs w:val="15"/>
          <w:u w:val="single" w:color="auto"/>
          <w:color w:val="auto"/>
        </w:rPr>
        <w:t>clause (6)</w:t>
      </w:r>
      <w:r>
        <w:rPr>
          <w:rFonts w:ascii="Arial" w:cs="Arial" w:eastAsia="Arial" w:hAnsi="Arial"/>
          <w:sz w:val="15"/>
          <w:szCs w:val="15"/>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Holdings and the Restricted Subsidiaries on a consolidated basis would have had a Consolidated Total Debt to Consolidated EBITDA Ratio equal to or less than 4.00 to 1.00;</w:t>
      </w:r>
    </w:p>
    <w:p>
      <w:pPr>
        <w:spacing w:after="0" w:line="152" w:lineRule="exact"/>
        <w:rPr>
          <w:rFonts w:ascii="Arial" w:cs="Arial" w:eastAsia="Arial" w:hAnsi="Arial"/>
          <w:sz w:val="15"/>
          <w:szCs w:val="15"/>
          <w:color w:val="010000"/>
        </w:rPr>
      </w:pPr>
    </w:p>
    <w:p>
      <w:pPr>
        <w:jc w:val="both"/>
        <w:ind w:firstLine="621"/>
        <w:spacing w:after="0" w:line="224" w:lineRule="auto"/>
        <w:tabs>
          <w:tab w:leader="none" w:pos="991"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Investments in Unrestricted Subsidiaries having an aggregate Fair Market Value, taken together with all other Investments made pursuant to this clause (7) that are at the time outstanding, without giving effect to the sale of an Unrestricted Subsidiary to the extent the proceeds of such sale do not consist of cash, Cash Equivalents or marketable securities, not to exceed the greater of (x) $25,000,000 and (y) 25.0% of Consolidated EBITDA for the most recently ended Test Period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620"/>
          </w:cols>
          <w:pgMar w:left="940" w:top="1440" w:right="339" w:bottom="1440" w:gutter="0" w:footer="0" w:header="0"/>
        </w:sectPr>
      </w:pPr>
    </w:p>
    <w:bookmarkStart w:id="134" w:name="page135"/>
    <w:bookmarkEnd w:id="134"/>
    <w:p>
      <w:pPr>
        <w:spacing w:after="0" w:line="106"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at the time of such Investment (with the Fair Market Value of each Investment being measured at the time made and without giving effect to subsequent changes in value);</w:t>
      </w:r>
    </w:p>
    <w:p>
      <w:pPr>
        <w:spacing w:after="0" w:line="382" w:lineRule="exact"/>
        <w:rPr>
          <w:sz w:val="20"/>
          <w:szCs w:val="20"/>
          <w:color w:val="auto"/>
        </w:rPr>
      </w:pPr>
    </w:p>
    <w:p>
      <w:pPr>
        <w:ind w:firstLine="621"/>
        <w:spacing w:after="0" w:line="234" w:lineRule="auto"/>
        <w:tabs>
          <w:tab w:leader="none" w:pos="991"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(i) payments made or expected to be made by Holdings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173" w:lineRule="exact"/>
        <w:rPr>
          <w:rFonts w:ascii="Arial" w:cs="Arial" w:eastAsia="Arial" w:hAnsi="Arial"/>
          <w:sz w:val="16"/>
          <w:szCs w:val="16"/>
          <w:color w:val="010000"/>
        </w:rPr>
      </w:pPr>
    </w:p>
    <w:p>
      <w:pPr>
        <w:ind w:right="40" w:firstLine="621"/>
        <w:spacing w:after="0" w:line="224" w:lineRule="auto"/>
        <w:tabs>
          <w:tab w:leader="none" w:pos="991"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the declaration and payment of dividends on Holdings’ common stock (or the payment of dividends to any direct or indirect parent company of Holdings to fund a payment of dividends on such company’s common stock) of up to 6.00% per annum of the net cash proceeds received by or contributed to Holdings in or from any public offering, other than public offerings with respect to Holdings’ common stock registered on Form S-8 and other than any public sale constituting an Excluded Contribution;</w:t>
      </w:r>
    </w:p>
    <w:p>
      <w:pPr>
        <w:spacing w:after="0" w:line="157" w:lineRule="exact"/>
        <w:rPr>
          <w:rFonts w:ascii="Arial" w:cs="Arial" w:eastAsia="Arial" w:hAnsi="Arial"/>
          <w:sz w:val="17"/>
          <w:szCs w:val="17"/>
          <w:color w:val="010000"/>
        </w:rPr>
      </w:pPr>
    </w:p>
    <w:p>
      <w:pPr>
        <w:ind w:left="1080" w:hanging="459"/>
        <w:spacing w:after="0"/>
        <w:tabs>
          <w:tab w:leader="none" w:pos="1080"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Restricted Payments in an amount that does not exceed the amount of Excluded Contributions made since the Second Restatement</w:t>
      </w:r>
    </w:p>
    <w:p>
      <w:pPr>
        <w:spacing w:after="0"/>
        <w:rPr>
          <w:rFonts w:ascii="Arial" w:cs="Arial" w:eastAsia="Arial" w:hAnsi="Arial"/>
          <w:sz w:val="16"/>
          <w:szCs w:val="16"/>
          <w:color w:val="010000"/>
        </w:rPr>
      </w:pPr>
      <w:r>
        <w:rPr>
          <w:rFonts w:ascii="Arial" w:cs="Arial" w:eastAsia="Arial" w:hAnsi="Arial"/>
          <w:sz w:val="17"/>
          <w:szCs w:val="17"/>
          <w:color w:val="auto"/>
        </w:rPr>
        <w:t>Effective Date;</w:t>
      </w:r>
    </w:p>
    <w:p>
      <w:pPr>
        <w:spacing w:after="0" w:line="177" w:lineRule="exact"/>
        <w:rPr>
          <w:rFonts w:ascii="Arial" w:cs="Arial" w:eastAsia="Arial" w:hAnsi="Arial"/>
          <w:sz w:val="16"/>
          <w:szCs w:val="16"/>
          <w:color w:val="010000"/>
        </w:rPr>
      </w:pPr>
    </w:p>
    <w:p>
      <w:pPr>
        <w:ind w:right="20" w:firstLine="621"/>
        <w:spacing w:after="0" w:line="226" w:lineRule="auto"/>
        <w:tabs>
          <w:tab w:leader="none" w:pos="1071"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other Restricted Payments in an aggregate amount taken together with all other Restricted Payments made pursuant to this clause not to exceed the greater of (x) $105,000,000 and (y) 50.0% of Consolidated EBITDA for the most recently ended Test Period (calculated on a Pro Forma Basis) at the time made;</w:t>
      </w:r>
    </w:p>
    <w:p>
      <w:pPr>
        <w:spacing w:after="0" w:line="169" w:lineRule="exact"/>
        <w:rPr>
          <w:rFonts w:ascii="Arial" w:cs="Arial" w:eastAsia="Arial" w:hAnsi="Arial"/>
          <w:sz w:val="17"/>
          <w:szCs w:val="17"/>
          <w:color w:val="010000"/>
        </w:rPr>
      </w:pPr>
    </w:p>
    <w:p>
      <w:pPr>
        <w:ind w:left="1080" w:hanging="459"/>
        <w:spacing w:after="0"/>
        <w:tabs>
          <w:tab w:leader="none" w:pos="1080"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distributions or payments of Receivables Fees;</w:t>
      </w:r>
    </w:p>
    <w:p>
      <w:pPr>
        <w:spacing w:after="0" w:line="178" w:lineRule="exact"/>
        <w:rPr>
          <w:rFonts w:ascii="Arial" w:cs="Arial" w:eastAsia="Arial" w:hAnsi="Arial"/>
          <w:sz w:val="17"/>
          <w:szCs w:val="17"/>
          <w:color w:val="010000"/>
        </w:rPr>
      </w:pPr>
    </w:p>
    <w:p>
      <w:pPr>
        <w:ind w:right="40" w:firstLine="621"/>
        <w:spacing w:after="0" w:line="221" w:lineRule="auto"/>
        <w:tabs>
          <w:tab w:leader="none" w:pos="1077"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 xml:space="preserve">any Restricted Payment made in connection with the Transactions and the fees and expenses related thereto or used to fund amounts owed to Affiliates (including dividends to any direct or indirect parent company of Holdings to permit payment by such parent of such amount), to the extent permitted by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thereof), and Restricted Payments in respect of working capital adjustments or purchase price adjustments pursuant to any Permitted Acquisition or other Permitted Investment and to satisfy indemnity and other similar obligations under any Permitted Acquisitions or other Permitted Investments;</w:t>
      </w:r>
    </w:p>
    <w:p>
      <w:pPr>
        <w:spacing w:after="0" w:line="170" w:lineRule="exact"/>
        <w:rPr>
          <w:rFonts w:ascii="Arial" w:cs="Arial" w:eastAsia="Arial" w:hAnsi="Arial"/>
          <w:sz w:val="17"/>
          <w:szCs w:val="17"/>
          <w:color w:val="010000"/>
        </w:rPr>
      </w:pPr>
    </w:p>
    <w:p>
      <w:pPr>
        <w:jc w:val="both"/>
        <w:ind w:right="80" w:firstLine="621"/>
        <w:spacing w:after="0" w:line="226" w:lineRule="auto"/>
        <w:tabs>
          <w:tab w:leader="none" w:pos="1077"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 xml:space="preserve">other Restricted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Event of Default shall have occurred and be continuing or would occur as a consequence thereof and (B) after giving Pro Forma Effect to such Restricted Payments the Consolidated Total Debt to Consolidated EBITDA Ratio is equal to or less than 3.00:1.00;</w:t>
      </w:r>
    </w:p>
    <w:p>
      <w:pPr>
        <w:spacing w:after="0" w:line="169" w:lineRule="exact"/>
        <w:rPr>
          <w:rFonts w:ascii="Arial" w:cs="Arial" w:eastAsia="Arial" w:hAnsi="Arial"/>
          <w:sz w:val="17"/>
          <w:szCs w:val="17"/>
          <w:color w:val="010000"/>
        </w:rPr>
      </w:pPr>
    </w:p>
    <w:p>
      <w:pPr>
        <w:ind w:right="20" w:firstLine="621"/>
        <w:spacing w:after="0" w:line="227" w:lineRule="auto"/>
        <w:tabs>
          <w:tab w:leader="none" w:pos="1077"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 xml:space="preserve">the declaration and payment of dividends by Holdings to, or the making of loans to, any direct or indirect parent company of Holdings in amounts required for any direct or indirect parent company to pay: (A) franchise and excise taxes, and other fees and expenses, required to maintain its organizational existence, (B) consolidated, combined or similar foreign, federal, state and local income or similar taxes, to the extent that such income taxes are attributable to the income of Holdings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Holdings, the Restricted Subsidiaries and the Unrestricted Subsidiaries (to the extent described above) would have been required to pay in respect of such foreign, federal, state and local income or similar taxes for such fiscal year had Holdings, the Restricted Subsidiaries and the Unrestricted Subsidiaries (to the extent described above) been a stand-alone taxpayer or stand-alone group (separate from any such direct or indirect parent company of Holdings) for all fiscal years ending after the Second Restatement Effective Date, (C) customary salary, bonus, and other benefits payable to officers, employees, directors, and managers of any direct or indirect parent company of Holdings to the extent such salaries, bonuses, and other benefits are attributable to the ownership or operation of Holdings and the Restricted Subsidiaries, including Holdings’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Holdings to the extent such costs and expenses are attributable to the ownership or operation of Holdings and the Restricted Subsidiaries, including Holdings’ proportionate share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620"/>
          </w:cols>
          <w:pgMar w:left="940" w:top="1440" w:right="339" w:bottom="1440" w:gutter="0" w:footer="0" w:header="0"/>
        </w:sectPr>
      </w:pPr>
    </w:p>
    <w:bookmarkStart w:id="135" w:name="page136"/>
    <w:bookmarkEnd w:id="135"/>
    <w:p>
      <w:pPr>
        <w:spacing w:after="0" w:line="1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amount relating to such parent company being a public company, (E) amounts required for any direct or indirect parent company of Holdings to pay fees</w:t>
      </w:r>
    </w:p>
    <w:p>
      <w:pPr>
        <w:spacing w:after="0" w:line="22" w:lineRule="exact"/>
        <w:rPr>
          <w:sz w:val="20"/>
          <w:szCs w:val="20"/>
          <w:color w:val="auto"/>
        </w:rPr>
      </w:pPr>
    </w:p>
    <w:p>
      <w:pPr>
        <w:ind w:left="620" w:right="180"/>
        <w:spacing w:after="0" w:line="239" w:lineRule="auto"/>
        <w:rPr>
          <w:sz w:val="20"/>
          <w:szCs w:val="20"/>
          <w:color w:val="auto"/>
        </w:rPr>
      </w:pPr>
      <w:r>
        <w:rPr>
          <w:rFonts w:ascii="Arial" w:cs="Arial" w:eastAsia="Arial" w:hAnsi="Arial"/>
          <w:sz w:val="15"/>
          <w:szCs w:val="15"/>
          <w:color w:val="auto"/>
        </w:rPr>
        <w:t xml:space="preserve">and expenses incurred by any direct or indirect parent company of Holdings related to (i) the maintenance by such parent entity of its corporate or other entity existence and (ii) transactions of such parent company of Holdings of the type described in </w:t>
      </w:r>
      <w:r>
        <w:rPr>
          <w:rFonts w:ascii="Arial" w:cs="Arial" w:eastAsia="Arial" w:hAnsi="Arial"/>
          <w:sz w:val="15"/>
          <w:szCs w:val="15"/>
          <w:u w:val="single" w:color="auto"/>
          <w:color w:val="auto"/>
        </w:rPr>
        <w:t>clause (xi)</w:t>
      </w:r>
      <w:r>
        <w:rPr>
          <w:rFonts w:ascii="Arial" w:cs="Arial" w:eastAsia="Arial" w:hAnsi="Arial"/>
          <w:sz w:val="15"/>
          <w:szCs w:val="15"/>
          <w:color w:val="auto"/>
        </w:rPr>
        <w:t xml:space="preserve"> of the definition of “Consolidated Net Income”, (F) cash payments in lieu of issuing fractional shares in connection with the exercise of warrants, options, Permitted Convertible Indebtedness</w:t>
      </w:r>
    </w:p>
    <w:p>
      <w:pPr>
        <w:ind w:left="620" w:right="100"/>
        <w:spacing w:after="0" w:line="220" w:lineRule="auto"/>
        <w:rPr>
          <w:sz w:val="20"/>
          <w:szCs w:val="20"/>
          <w:color w:val="auto"/>
        </w:rPr>
      </w:pPr>
      <w:r>
        <w:rPr>
          <w:rFonts w:ascii="Arial" w:cs="Arial" w:eastAsia="Arial" w:hAnsi="Arial"/>
          <w:sz w:val="17"/>
          <w:szCs w:val="17"/>
          <w:color w:val="auto"/>
        </w:rPr>
        <w:t>or other securities convertible into or exchangeable for Equity Interests of Holdings or any such direct or indirect parent company of Holdings, (G) repurchases deemed to occur upon the cashless exercise of stock options and (H) regularly scheduled payments of cash interest on Permitted Convertible Indebtedness;</w:t>
      </w:r>
    </w:p>
    <w:p>
      <w:pPr>
        <w:spacing w:after="0" w:line="170" w:lineRule="exact"/>
        <w:rPr>
          <w:sz w:val="20"/>
          <w:szCs w:val="20"/>
          <w:color w:val="auto"/>
        </w:rPr>
      </w:pPr>
    </w:p>
    <w:p>
      <w:pPr>
        <w:jc w:val="both"/>
        <w:ind w:left="620" w:right="60" w:firstLine="621"/>
        <w:spacing w:after="0" w:line="226" w:lineRule="auto"/>
        <w:tabs>
          <w:tab w:leader="none" w:pos="1697"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the repurchase, redemption or other acquisition for value of Equity Interests of Holdings deemed to occur in connection with paying cash in lieu of fractional shares of such Equity Interests in connection with a share dividend, distribution, share split, reverse share split, merger, consolidation, amalgamation or other business combination of Holdings, in each case, permitted under this Agreement;</w:t>
      </w:r>
    </w:p>
    <w:p>
      <w:pPr>
        <w:spacing w:after="0" w:line="169" w:lineRule="exact"/>
        <w:rPr>
          <w:rFonts w:ascii="Arial" w:cs="Arial" w:eastAsia="Arial" w:hAnsi="Arial"/>
          <w:sz w:val="17"/>
          <w:szCs w:val="17"/>
          <w:color w:val="010000"/>
        </w:rPr>
      </w:pPr>
    </w:p>
    <w:p>
      <w:pPr>
        <w:ind w:left="620" w:right="140" w:firstLine="621"/>
        <w:spacing w:after="0" w:line="261" w:lineRule="auto"/>
        <w:tabs>
          <w:tab w:leader="none" w:pos="1697"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the distribution, by dividend or otherwise, of shares of Capital Stock of, or Indebtedness owed to Holdings or a Restricted Subsidiary by, Unrestricted Subsidiaries (other than Unrestricted Subsidiaries, the primary assets of which are cash and/or Cash Equivalents); and</w:t>
      </w:r>
    </w:p>
    <w:p>
      <w:pPr>
        <w:spacing w:after="0" w:line="141" w:lineRule="exact"/>
        <w:rPr>
          <w:rFonts w:ascii="Arial" w:cs="Arial" w:eastAsia="Arial" w:hAnsi="Arial"/>
          <w:sz w:val="16"/>
          <w:szCs w:val="16"/>
          <w:color w:val="010000"/>
        </w:rPr>
      </w:pPr>
    </w:p>
    <w:p>
      <w:pPr>
        <w:ind w:left="620" w:right="20" w:firstLine="621"/>
        <w:spacing w:after="0" w:line="248" w:lineRule="auto"/>
        <w:tabs>
          <w:tab w:leader="none" w:pos="1697"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the making of any principal payment on, or redeeming, repurchasing, defeasing or otherwise acquiring or retiring for value in each case, prior to any scheduled repayment, sinking fund payment or maturity, any Junior Debt of Holdings or any Restricted Subsidiary in an amount not in excess of the greater of $30,000,000 and 25% of Consolidated EBITDA for the most recently ended Test Period (calculated on a Pro Forma Basis).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and after giving effect to, any Restricted Payment permitted under </w:t>
      </w:r>
      <w:r>
        <w:rPr>
          <w:rFonts w:ascii="Arial" w:cs="Arial" w:eastAsia="Arial" w:hAnsi="Arial"/>
          <w:sz w:val="15"/>
          <w:szCs w:val="15"/>
          <w:u w:val="single" w:color="auto"/>
          <w:color w:val="auto"/>
        </w:rPr>
        <w:t>clauses (10)</w:t>
      </w:r>
      <w:r>
        <w:rPr>
          <w:rFonts w:ascii="Arial" w:cs="Arial" w:eastAsia="Arial" w:hAnsi="Arial"/>
          <w:sz w:val="15"/>
          <w:szCs w:val="15"/>
          <w:color w:val="auto"/>
        </w:rPr>
        <w:t xml:space="preserve"> (but only if the Excluded Contribution was made more</w:t>
      </w:r>
    </w:p>
    <w:p>
      <w:pPr>
        <w:spacing w:after="0" w:line="22"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 xml:space="preserve">than six months prior to such time),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 and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or would occur as a consequence thereof).</w:t>
      </w:r>
    </w:p>
    <w:p>
      <w:pPr>
        <w:spacing w:after="0" w:line="170" w:lineRule="exact"/>
        <w:rPr>
          <w:sz w:val="20"/>
          <w:szCs w:val="20"/>
          <w:color w:val="auto"/>
        </w:rPr>
      </w:pPr>
    </w:p>
    <w:p>
      <w:pPr>
        <w:ind w:right="20" w:firstLine="619"/>
        <w:spacing w:after="0" w:line="245" w:lineRule="auto"/>
        <w:rPr>
          <w:sz w:val="20"/>
          <w:szCs w:val="20"/>
          <w:color w:val="auto"/>
        </w:rPr>
      </w:pPr>
      <w:r>
        <w:rPr>
          <w:rFonts w:ascii="Arial" w:cs="Arial" w:eastAsia="Arial" w:hAnsi="Arial"/>
          <w:sz w:val="15"/>
          <w:szCs w:val="15"/>
          <w:color w:val="auto"/>
        </w:rPr>
        <w:t>Holdings will not permit any Unrestricted Subsidiary to become a Restricted Subsidiary except pursuant to the last sentence of the definition of “Unrestricted Subsidiary”. For purposes of designating any Restricted Subsidiary as an Unrestricted Subsidiary, all outstanding Investments by Holdings and the Restricted Subsidiaries (except to the extent repaid) in the Subsidiary so designated will be deemed to be Restricted Payments in an amount determined as set forth</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 xml:space="preserve">in the last sentence of the definition of “Investment”. Such designation will be permitted only if a Restricted Payment in such amount would be permitted at such time, whether pursuant to </w:t>
      </w:r>
      <w:r>
        <w:rPr>
          <w:rFonts w:ascii="Arial" w:cs="Arial" w:eastAsia="Arial" w:hAnsi="Arial"/>
          <w:sz w:val="15"/>
          <w:szCs w:val="15"/>
          <w:u w:val="single" w:color="auto"/>
          <w:color w:val="auto"/>
        </w:rPr>
        <w:t>Section 10.5(a)</w:t>
      </w:r>
      <w:r>
        <w:rPr>
          <w:rFonts w:ascii="Arial" w:cs="Arial" w:eastAsia="Arial" w:hAnsi="Arial"/>
          <w:sz w:val="15"/>
          <w:szCs w:val="15"/>
          <w:color w:val="auto"/>
        </w:rPr>
        <w:t xml:space="preserve"> or under </w:t>
      </w:r>
      <w:r>
        <w:rPr>
          <w:rFonts w:ascii="Arial" w:cs="Arial" w:eastAsia="Arial" w:hAnsi="Arial"/>
          <w:sz w:val="15"/>
          <w:szCs w:val="15"/>
          <w:u w:val="single" w:color="auto"/>
          <w:color w:val="auto"/>
        </w:rPr>
        <w:t>clauses (7)</w:t>
      </w:r>
      <w:r>
        <w:rPr>
          <w:rFonts w:ascii="Arial" w:cs="Arial" w:eastAsia="Arial" w:hAnsi="Arial"/>
          <w:sz w:val="15"/>
          <w:szCs w:val="15"/>
          <w:color w:val="auto"/>
        </w:rPr>
        <w:t xml:space="preserve">,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10.5(b)</w:t>
      </w:r>
      <w:r>
        <w:rPr>
          <w:rFonts w:ascii="Arial" w:cs="Arial" w:eastAsia="Arial" w:hAnsi="Arial"/>
          <w:sz w:val="15"/>
          <w:szCs w:val="15"/>
          <w:color w:val="auto"/>
        </w:rPr>
        <w:t>, or pursuant to the definition of “Permitted Investments”, and if such Subsidiary otherwise meets the definition of an Unrestricted Subsidiary. Unrestricted Subsidiaries will not be subject to any of the restrictive covenants set forth in</w:t>
      </w:r>
    </w:p>
    <w:p>
      <w:pPr>
        <w:spacing w:after="0"/>
        <w:rPr>
          <w:sz w:val="20"/>
          <w:szCs w:val="20"/>
          <w:color w:val="auto"/>
        </w:rPr>
      </w:pPr>
      <w:r>
        <w:rPr>
          <w:rFonts w:ascii="Arial" w:cs="Arial" w:eastAsia="Arial" w:hAnsi="Arial"/>
          <w:sz w:val="17"/>
          <w:szCs w:val="17"/>
          <w:color w:val="auto"/>
        </w:rPr>
        <w:t>this Agreement.</w:t>
      </w:r>
    </w:p>
    <w:p>
      <w:pPr>
        <w:spacing w:after="0" w:line="164" w:lineRule="exact"/>
        <w:rPr>
          <w:sz w:val="20"/>
          <w:szCs w:val="20"/>
          <w:color w:val="auto"/>
        </w:rPr>
      </w:pPr>
    </w:p>
    <w:p>
      <w:pPr>
        <w:ind w:right="140" w:firstLine="619"/>
        <w:spacing w:after="0" w:line="251" w:lineRule="auto"/>
        <w:rPr>
          <w:sz w:val="20"/>
          <w:szCs w:val="20"/>
          <w:color w:val="auto"/>
        </w:rPr>
      </w:pPr>
      <w:r>
        <w:rPr>
          <w:rFonts w:ascii="Arial" w:cs="Arial" w:eastAsia="Arial" w:hAnsi="Arial"/>
          <w:sz w:val="15"/>
          <w:szCs w:val="15"/>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5"/>
          <w:szCs w:val="15"/>
          <w:u w:val="single" w:color="auto"/>
          <w:color w:val="auto"/>
        </w:rPr>
        <w:t>clauses (1)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(18)</w:t>
      </w:r>
      <w:r>
        <w:rPr>
          <w:rFonts w:ascii="Arial" w:cs="Arial" w:eastAsia="Arial" w:hAnsi="Arial"/>
          <w:sz w:val="15"/>
          <w:szCs w:val="15"/>
          <w:color w:val="auto"/>
        </w:rPr>
        <w:t xml:space="preserve"> above or is entitled to be made pursuant to </w:t>
      </w:r>
      <w:r>
        <w:rPr>
          <w:rFonts w:ascii="Arial" w:cs="Arial" w:eastAsia="Arial" w:hAnsi="Arial"/>
          <w:sz w:val="15"/>
          <w:szCs w:val="15"/>
          <w:u w:val="single" w:color="auto"/>
          <w:color w:val="auto"/>
        </w:rPr>
        <w:t>Section 10.5(a)</w:t>
      </w:r>
      <w:r>
        <w:rPr>
          <w:rFonts w:ascii="Arial" w:cs="Arial" w:eastAsia="Arial" w:hAnsi="Arial"/>
          <w:sz w:val="15"/>
          <w:szCs w:val="15"/>
          <w:color w:val="auto"/>
        </w:rPr>
        <w:t xml:space="preserve"> and/or one or more of the exceptions contained in the definition</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17"/>
          <w:szCs w:val="17"/>
          <w:color w:val="auto"/>
        </w:rPr>
        <w:t xml:space="preserve">of “Permitted Investments”, Holdings will be entitled to classify or later reclassify (based on circumstances existing on the date of such reclassification) such Restricted Payment (or portion thereof) among such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170" w:lineRule="exact"/>
        <w:rPr>
          <w:sz w:val="20"/>
          <w:szCs w:val="20"/>
          <w:color w:val="auto"/>
        </w:rPr>
      </w:pPr>
    </w:p>
    <w:p>
      <w:pPr>
        <w:jc w:val="both"/>
        <w:ind w:right="620" w:firstLine="619"/>
        <w:spacing w:after="0" w:line="226"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Limitation on Subsidiary Distributions</w:t>
      </w:r>
      <w:r>
        <w:rPr>
          <w:rFonts w:ascii="Arial" w:cs="Arial" w:eastAsia="Arial" w:hAnsi="Arial"/>
          <w:sz w:val="17"/>
          <w:szCs w:val="17"/>
          <w:color w:val="auto"/>
        </w:rPr>
        <w:t>. Holdings will not permit any of the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70" w:lineRule="exact"/>
        <w:rPr>
          <w:sz w:val="20"/>
          <w:szCs w:val="20"/>
          <w:color w:val="auto"/>
        </w:rPr>
      </w:pPr>
    </w:p>
    <w:p>
      <w:pPr>
        <w:ind w:left="620" w:right="260" w:firstLine="621"/>
        <w:spacing w:after="0" w:line="261" w:lineRule="auto"/>
        <w:tabs>
          <w:tab w:leader="none" w:pos="185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pay dividends or make any other distributions to Holdings or any Restricted Subsidiary on its Capital Stock or with respect to any other interest or participation in, or measured by, its profits or (ii) pay any Indebtedness owed to Holdings or any Restricted Subsidiary;</w:t>
      </w:r>
    </w:p>
    <w:p>
      <w:pPr>
        <w:spacing w:after="0" w:line="141" w:lineRule="exact"/>
        <w:rPr>
          <w:rFonts w:ascii="Arial" w:cs="Arial" w:eastAsia="Arial" w:hAnsi="Arial"/>
          <w:sz w:val="16"/>
          <w:szCs w:val="16"/>
          <w:color w:val="auto"/>
        </w:rPr>
      </w:pPr>
    </w:p>
    <w:p>
      <w:pPr>
        <w:ind w:left="1860" w:hanging="619"/>
        <w:spacing w:after="0"/>
        <w:tabs>
          <w:tab w:leader="none" w:pos="18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make loans or advances to Holdings or any Restricted Subsidiary; or</w:t>
      </w:r>
    </w:p>
    <w:p>
      <w:pPr>
        <w:spacing w:after="0" w:line="191" w:lineRule="exact"/>
        <w:rPr>
          <w:rFonts w:ascii="Arial" w:cs="Arial" w:eastAsia="Arial" w:hAnsi="Arial"/>
          <w:sz w:val="17"/>
          <w:szCs w:val="17"/>
          <w:color w:val="auto"/>
        </w:rPr>
      </w:pPr>
    </w:p>
    <w:p>
      <w:pPr>
        <w:ind w:left="1860" w:hanging="619"/>
        <w:spacing w:after="0"/>
        <w:tabs>
          <w:tab w:leader="none" w:pos="18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sell, lease or transfer any of its properties or assets to Holdings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except (in each case) for such encumbrances or restrictions (x) which the Borrower has reasonably determined in good faith will not materially impair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Borrower’s ability to make payments under this Agreement when due or (y) existing under or by reason of:</w:t>
      </w:r>
    </w:p>
    <w:p>
      <w:pPr>
        <w:spacing w:after="0" w:line="164" w:lineRule="exact"/>
        <w:rPr>
          <w:sz w:val="20"/>
          <w:szCs w:val="20"/>
          <w:color w:val="auto"/>
        </w:rPr>
      </w:pPr>
    </w:p>
    <w:p>
      <w:pPr>
        <w:ind w:left="620" w:right="80" w:firstLine="868"/>
        <w:spacing w:after="0" w:line="236" w:lineRule="auto"/>
        <w:tabs>
          <w:tab w:leader="none" w:pos="185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contractual encumbrances or restrictions in effect on the Second Restatement Effective Date, including pursuant to this Agreement and the related documentation and related Hedging Obligations;</w:t>
      </w:r>
    </w:p>
    <w:p>
      <w:pPr>
        <w:spacing w:after="0" w:line="169" w:lineRule="exact"/>
        <w:rPr>
          <w:rFonts w:ascii="Arial" w:cs="Arial" w:eastAsia="Arial" w:hAnsi="Arial"/>
          <w:sz w:val="17"/>
          <w:szCs w:val="17"/>
          <w:color w:val="auto"/>
        </w:rPr>
      </w:pPr>
    </w:p>
    <w:p>
      <w:pPr>
        <w:ind w:left="620" w:right="260" w:firstLine="868"/>
        <w:spacing w:after="0" w:line="236" w:lineRule="auto"/>
        <w:tabs>
          <w:tab w:leader="none" w:pos="185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on the property so acquired;</w:t>
      </w:r>
    </w:p>
    <w:p>
      <w:pPr>
        <w:spacing w:after="0" w:line="157" w:lineRule="exact"/>
        <w:rPr>
          <w:rFonts w:ascii="Arial" w:cs="Arial" w:eastAsia="Arial" w:hAnsi="Arial"/>
          <w:sz w:val="17"/>
          <w:szCs w:val="17"/>
          <w:color w:val="auto"/>
        </w:rPr>
      </w:pPr>
    </w:p>
    <w:p>
      <w:pPr>
        <w:ind w:left="1860" w:hanging="372"/>
        <w:spacing w:after="0"/>
        <w:tabs>
          <w:tab w:leader="none" w:pos="18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Requirement of Law or any applicable rule, regulation or order;</w:t>
      </w:r>
    </w:p>
    <w:p>
      <w:pPr>
        <w:spacing w:after="0" w:line="191" w:lineRule="exact"/>
        <w:rPr>
          <w:rFonts w:ascii="Arial" w:cs="Arial" w:eastAsia="Arial" w:hAnsi="Arial"/>
          <w:sz w:val="17"/>
          <w:szCs w:val="17"/>
          <w:color w:val="auto"/>
        </w:rPr>
      </w:pPr>
    </w:p>
    <w:p>
      <w:pPr>
        <w:ind w:left="620" w:firstLine="868"/>
        <w:spacing w:after="0" w:line="221" w:lineRule="auto"/>
        <w:tabs>
          <w:tab w:leader="none" w:pos="185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any agreement or other instrument of a Person acquired by or merged or consolidated with or into Holdings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57" w:lineRule="exact"/>
        <w:rPr>
          <w:rFonts w:ascii="Arial" w:cs="Arial" w:eastAsia="Arial" w:hAnsi="Arial"/>
          <w:sz w:val="17"/>
          <w:szCs w:val="17"/>
          <w:color w:val="auto"/>
        </w:rPr>
      </w:pPr>
    </w:p>
    <w:p>
      <w:pPr>
        <w:ind w:left="620" w:right="100" w:firstLine="868"/>
        <w:spacing w:after="0" w:line="231" w:lineRule="auto"/>
        <w:tabs>
          <w:tab w:leader="none" w:pos="185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contracts for the sale of assets, including customary restrictions with respect to a Subsidiary of Holdings pursuant to an agreement that has been entered into for the sale or disposition of all or substantially all of the Capital Stock or assets of such Subsidiary and restrictions on transfer of assets subject to Permitted Liens;</w:t>
      </w:r>
    </w:p>
    <w:p>
      <w:pPr>
        <w:spacing w:after="0" w:line="157" w:lineRule="exact"/>
        <w:rPr>
          <w:rFonts w:ascii="Arial" w:cs="Arial" w:eastAsia="Arial" w:hAnsi="Arial"/>
          <w:sz w:val="17"/>
          <w:szCs w:val="17"/>
          <w:color w:val="auto"/>
        </w:rPr>
      </w:pPr>
    </w:p>
    <w:p>
      <w:pPr>
        <w:ind w:left="620" w:right="420" w:firstLine="868"/>
        <w:spacing w:after="0" w:line="273" w:lineRule="auto"/>
        <w:tabs>
          <w:tab w:leader="none" w:pos="1857" w:val="left"/>
        </w:tabs>
        <w:numPr>
          <w:ilvl w:val="1"/>
          <w:numId w:val="151"/>
        </w:numPr>
        <w:rPr>
          <w:rFonts w:ascii="Arial" w:cs="Arial" w:eastAsia="Arial" w:hAnsi="Arial"/>
          <w:sz w:val="15"/>
          <w:szCs w:val="15"/>
          <w:color w:val="auto"/>
        </w:rPr>
      </w:pPr>
      <w:r>
        <w:rPr>
          <w:rFonts w:ascii="Arial" w:cs="Arial" w:eastAsia="Arial" w:hAnsi="Arial"/>
          <w:sz w:val="15"/>
          <w:szCs w:val="15"/>
          <w:color w:val="auto"/>
        </w:rPr>
        <w:t xml:space="preserve">(x) secured Indebtedness otherwise permitted to be incurred pursuant to </w:t>
      </w:r>
      <w:r>
        <w:rPr>
          <w:rFonts w:ascii="Arial" w:cs="Arial" w:eastAsia="Arial" w:hAnsi="Arial"/>
          <w:sz w:val="15"/>
          <w:szCs w:val="15"/>
          <w:u w:val="single" w:color="auto"/>
          <w:color w:val="auto"/>
        </w:rPr>
        <w:t>Sections 10.1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10.2</w:t>
      </w:r>
      <w:r>
        <w:rPr>
          <w:rFonts w:ascii="Arial" w:cs="Arial" w:eastAsia="Arial" w:hAnsi="Arial"/>
          <w:sz w:val="15"/>
          <w:szCs w:val="15"/>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133" w:lineRule="exact"/>
        <w:rPr>
          <w:rFonts w:ascii="Arial" w:cs="Arial" w:eastAsia="Arial" w:hAnsi="Arial"/>
          <w:sz w:val="15"/>
          <w:szCs w:val="15"/>
          <w:color w:val="auto"/>
        </w:rPr>
      </w:pPr>
    </w:p>
    <w:p>
      <w:pPr>
        <w:ind w:left="1860" w:hanging="372"/>
        <w:spacing w:after="0"/>
        <w:tabs>
          <w:tab w:leader="none" w:pos="186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restrictions on cash or other deposits or net worth imposed by customers under contracts entered into in the ordinary course of business;</w:t>
      </w:r>
    </w:p>
    <w:p>
      <w:pPr>
        <w:spacing w:after="0" w:line="214" w:lineRule="exact"/>
        <w:rPr>
          <w:rFonts w:ascii="Arial" w:cs="Arial" w:eastAsia="Arial" w:hAnsi="Arial"/>
          <w:sz w:val="15"/>
          <w:szCs w:val="15"/>
          <w:color w:val="auto"/>
        </w:rPr>
      </w:pPr>
    </w:p>
    <w:p>
      <w:pPr>
        <w:ind w:left="620" w:right="120" w:firstLine="868"/>
        <w:spacing w:after="0" w:line="236" w:lineRule="auto"/>
        <w:tabs>
          <w:tab w:leader="none" w:pos="185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other Indebtedness, Disqualified Stock or preferred stock of Restricted Subsidiaries permitted to be incurred subsequent to the Second Restatement Effective Date pursuant to the provisions of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620" w:right="60" w:firstLine="868"/>
        <w:spacing w:after="0" w:line="248" w:lineRule="auto"/>
        <w:tabs>
          <w:tab w:leader="none" w:pos="185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customary provisions in joint venture agreements or arrangements and other similar agreements or arrangements relating solely to such joint venture and the Equity Interests issued thereby;</w:t>
      </w:r>
    </w:p>
    <w:p>
      <w:pPr>
        <w:spacing w:after="0" w:line="150" w:lineRule="exact"/>
        <w:rPr>
          <w:rFonts w:ascii="Arial" w:cs="Arial" w:eastAsia="Arial" w:hAnsi="Arial"/>
          <w:sz w:val="17"/>
          <w:szCs w:val="17"/>
          <w:color w:val="auto"/>
        </w:rPr>
      </w:pPr>
    </w:p>
    <w:p>
      <w:pPr>
        <w:ind w:left="620" w:right="400" w:firstLine="868"/>
        <w:spacing w:after="0" w:line="236" w:lineRule="auto"/>
        <w:tabs>
          <w:tab w:leader="none" w:pos="185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customary provisions contained in leases, sub-leases, licenses, sub-licenses or similar agreements, in each case, entered into in the ordinary course of business;</w:t>
      </w:r>
    </w:p>
    <w:p>
      <w:pPr>
        <w:spacing w:after="0" w:line="169" w:lineRule="exact"/>
        <w:rPr>
          <w:rFonts w:ascii="Arial" w:cs="Arial" w:eastAsia="Arial" w:hAnsi="Arial"/>
          <w:sz w:val="17"/>
          <w:szCs w:val="17"/>
          <w:color w:val="auto"/>
        </w:rPr>
      </w:pPr>
    </w:p>
    <w:p>
      <w:pPr>
        <w:ind w:left="620" w:right="580" w:firstLine="868"/>
        <w:spacing w:after="0" w:line="236" w:lineRule="auto"/>
        <w:tabs>
          <w:tab w:leader="none" w:pos="185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restrictions created in connection with any Receivables Facility that, in the good faith determination of the board of directors of Holdings, are necessary or advisable to effect such Receivables Facility; and</w:t>
      </w:r>
    </w:p>
    <w:p>
      <w:pPr>
        <w:spacing w:after="0" w:line="157" w:lineRule="exact"/>
        <w:rPr>
          <w:rFonts w:ascii="Arial" w:cs="Arial" w:eastAsia="Arial" w:hAnsi="Arial"/>
          <w:sz w:val="17"/>
          <w:szCs w:val="17"/>
          <w:color w:val="auto"/>
        </w:rPr>
      </w:pPr>
    </w:p>
    <w:p>
      <w:pPr>
        <w:ind w:left="620" w:firstLine="868"/>
        <w:spacing w:after="0" w:line="251" w:lineRule="auto"/>
        <w:tabs>
          <w:tab w:leader="none" w:pos="1858" w:val="left"/>
        </w:tabs>
        <w:numPr>
          <w:ilvl w:val="1"/>
          <w:numId w:val="151"/>
        </w:numPr>
        <w:rPr>
          <w:rFonts w:ascii="Arial" w:cs="Arial" w:eastAsia="Arial" w:hAnsi="Arial"/>
          <w:sz w:val="15"/>
          <w:szCs w:val="15"/>
          <w:color w:val="auto"/>
        </w:rPr>
      </w:pPr>
      <w:r>
        <w:rPr>
          <w:rFonts w:ascii="Arial" w:cs="Arial" w:eastAsia="Arial" w:hAnsi="Arial"/>
          <w:sz w:val="15"/>
          <w:szCs w:val="15"/>
          <w:color w:val="auto"/>
        </w:rPr>
        <w:t xml:space="preserve">any encumbrances or restrictions of the type referred to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5"/>
          <w:szCs w:val="15"/>
          <w:u w:val="single" w:color="auto"/>
          <w:color w:val="auto"/>
        </w:rPr>
        <w:t>clauses</w:t>
      </w:r>
    </w:p>
    <w:p>
      <w:pPr>
        <w:spacing w:after="0" w:line="1" w:lineRule="exact"/>
        <w:rPr>
          <w:rFonts w:ascii="Arial" w:cs="Arial" w:eastAsia="Arial" w:hAnsi="Arial"/>
          <w:sz w:val="15"/>
          <w:szCs w:val="15"/>
          <w:color w:val="auto"/>
        </w:rPr>
      </w:pPr>
    </w:p>
    <w:p>
      <w:pPr>
        <w:ind w:left="620" w:right="400" w:firstLine="2"/>
        <w:spacing w:after="0" w:line="217" w:lineRule="auto"/>
        <w:tabs>
          <w:tab w:leader="none" w:pos="825" w:val="left"/>
        </w:tabs>
        <w:numPr>
          <w:ilvl w:val="0"/>
          <w:numId w:val="152"/>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amendments, modifications, restatements, renewals, increases, supplements, refundings, replacements, or refinancings (x) are, in the good faith judgment of Holdings’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10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Holdings will not permit:</w:t>
      </w:r>
    </w:p>
    <w:p>
      <w:pPr>
        <w:spacing w:after="0" w:line="191" w:lineRule="exact"/>
        <w:rPr>
          <w:sz w:val="20"/>
          <w:szCs w:val="20"/>
          <w:color w:val="auto"/>
        </w:rPr>
      </w:pPr>
    </w:p>
    <w:p>
      <w:pPr>
        <w:ind w:left="620" w:right="60" w:firstLine="868"/>
        <w:spacing w:after="0" w:line="224" w:lineRule="auto"/>
        <w:tabs>
          <w:tab w:leader="none" w:pos="185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Consolidated Total Debt to Consolidated EBITDA Ratio as of the last day of any fiscal quarter of Holdings to be negative or greater than 4.25:1.00;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option of the Borrower (by notice to the Administrative Agent) the applicable ratio shall be increased by 0.25:1.00 one time during the term of this Agreement upon completion of a Material Acquisition, which increase shall be effective for four fiscal quarters immediately following the consummation of such Material Acquisition.</w:t>
      </w:r>
    </w:p>
    <w:p>
      <w:pPr>
        <w:spacing w:after="0" w:line="159" w:lineRule="exact"/>
        <w:rPr>
          <w:rFonts w:ascii="Arial" w:cs="Arial" w:eastAsia="Arial" w:hAnsi="Arial"/>
          <w:sz w:val="17"/>
          <w:szCs w:val="17"/>
          <w:color w:val="auto"/>
        </w:rPr>
      </w:pPr>
    </w:p>
    <w:p>
      <w:pPr>
        <w:ind w:left="620" w:right="160" w:firstLine="868"/>
        <w:spacing w:after="0" w:line="236" w:lineRule="auto"/>
        <w:tabs>
          <w:tab w:leader="none" w:pos="185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Consolidated Interest Coverage Ratio of Holdings as of the last day of any fiscal quarter of Holdings, commencing with Holdings’ first fiscal quarter ending after the Second Restatement Effective Date, to be less than 3.00 to 1.00.</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u w:val="single" w:color="auto"/>
          <w:color w:val="auto"/>
        </w:rPr>
        <w:t>Events of Default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Upon the occurrence of any of the following specified events (each an “</w:t>
      </w:r>
      <w:r>
        <w:rPr>
          <w:rFonts w:ascii="Arial" w:cs="Arial" w:eastAsia="Arial" w:hAnsi="Arial"/>
          <w:sz w:val="17"/>
          <w:szCs w:val="17"/>
          <w:b w:val="1"/>
          <w:bCs w:val="1"/>
          <w:color w:val="auto"/>
        </w:rPr>
        <w:t>Event of Default</w:t>
      </w:r>
      <w:r>
        <w:rPr>
          <w:rFonts w:ascii="Arial" w:cs="Arial" w:eastAsia="Arial" w:hAnsi="Arial"/>
          <w:sz w:val="17"/>
          <w:szCs w:val="17"/>
          <w:color w:val="auto"/>
        </w:rPr>
        <w:t>”):</w:t>
      </w:r>
    </w:p>
    <w:p>
      <w:pPr>
        <w:spacing w:after="0" w:line="18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 The Borrower shall (a) default in the payment when due of any principal of the Loans or (b) default, and such default shall continue</w:t>
      </w:r>
    </w:p>
    <w:p>
      <w:pPr>
        <w:ind w:right="600"/>
        <w:spacing w:after="0" w:line="227" w:lineRule="auto"/>
        <w:rPr>
          <w:sz w:val="20"/>
          <w:szCs w:val="20"/>
          <w:color w:val="auto"/>
        </w:rPr>
      </w:pPr>
      <w:r>
        <w:rPr>
          <w:rFonts w:ascii="Arial" w:cs="Arial" w:eastAsia="Arial" w:hAnsi="Arial"/>
          <w:sz w:val="17"/>
          <w:szCs w:val="17"/>
          <w:color w:val="auto"/>
        </w:rPr>
        <w:t>for five or more Business Days, in the payment when due of any interest on the Loans or any Fees or any Unpaid Drawings or of any other amounts owing hereunder or under any other Credit Document; or</w:t>
      </w:r>
    </w:p>
    <w:p>
      <w:pPr>
        <w:spacing w:after="0" w:line="157" w:lineRule="exact"/>
        <w:rPr>
          <w:sz w:val="20"/>
          <w:szCs w:val="20"/>
          <w:color w:val="auto"/>
        </w:rPr>
      </w:pPr>
    </w:p>
    <w:p>
      <w:pPr>
        <w:jc w:val="center"/>
        <w:ind w:right="20"/>
        <w:spacing w:after="0"/>
        <w:tabs>
          <w:tab w:leader="none" w:pos="30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u w:val="single" w:color="auto"/>
          <w:color w:val="auto"/>
        </w:rPr>
        <w:t xml:space="preserve">Representations, Etc. </w:t>
      </w:r>
      <w:r>
        <w:rPr>
          <w:rFonts w:ascii="Arial" w:cs="Arial" w:eastAsia="Arial" w:hAnsi="Arial"/>
          <w:sz w:val="15"/>
          <w:szCs w:val="15"/>
          <w:color w:val="auto"/>
        </w:rPr>
        <w:t>Any representation, warranty or statement made or deemed made by any Credit Party herein or in any other Credit</w:t>
      </w:r>
    </w:p>
    <w:p>
      <w:pPr>
        <w:ind w:right="60"/>
        <w:spacing w:after="0" w:line="220" w:lineRule="auto"/>
        <w:rPr>
          <w:sz w:val="20"/>
          <w:szCs w:val="20"/>
          <w:color w:val="auto"/>
        </w:rPr>
      </w:pPr>
      <w:r>
        <w:rPr>
          <w:rFonts w:ascii="Arial" w:cs="Arial" w:eastAsia="Arial" w:hAnsi="Arial"/>
          <w:sz w:val="17"/>
          <w:szCs w:val="17"/>
          <w:color w:val="auto"/>
        </w:rPr>
        <w:t>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u w:val="single" w:color="auto"/>
          <w:color w:val="auto"/>
        </w:rPr>
        <w:t>Covenants</w:t>
      </w:r>
      <w:r>
        <w:rPr>
          <w:rFonts w:ascii="Arial" w:cs="Arial" w:eastAsia="Arial" w:hAnsi="Arial"/>
          <w:sz w:val="15"/>
          <w:szCs w:val="15"/>
          <w:color w:val="auto"/>
        </w:rPr>
        <w:t>. Any Credit Party shall:</w:t>
      </w:r>
    </w:p>
    <w:p>
      <w:pPr>
        <w:spacing w:after="0" w:line="178" w:lineRule="exact"/>
        <w:rPr>
          <w:sz w:val="20"/>
          <w:szCs w:val="20"/>
          <w:color w:val="auto"/>
        </w:rPr>
      </w:pPr>
    </w:p>
    <w:p>
      <w:pPr>
        <w:ind w:firstLine="622"/>
        <w:spacing w:after="0" w:line="221" w:lineRule="auto"/>
        <w:tabs>
          <w:tab w:leader="none" w:pos="123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(solely with respect to Holdings or the Borrower),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of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is subject to cure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11.14</w:t>
      </w:r>
      <w:r>
        <w:rPr>
          <w:rFonts w:ascii="Arial" w:cs="Arial" w:eastAsia="Arial" w:hAnsi="Arial"/>
          <w:sz w:val="16"/>
          <w:szCs w:val="16"/>
          <w:color w:val="auto"/>
        </w:rPr>
        <w:t xml:space="preserve"> and an Event of Default with respect to either such Sections shall not occur until the expiration of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Business Day subsequent to the date the relevant financial statements are required to be delivered for the applicable fiscal quarter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or</w:t>
      </w:r>
    </w:p>
    <w:p>
      <w:pPr>
        <w:spacing w:after="0" w:line="158" w:lineRule="exact"/>
        <w:rPr>
          <w:rFonts w:ascii="Arial" w:cs="Arial" w:eastAsia="Arial" w:hAnsi="Arial"/>
          <w:sz w:val="16"/>
          <w:szCs w:val="16"/>
          <w:color w:val="auto"/>
        </w:rPr>
      </w:pPr>
    </w:p>
    <w:p>
      <w:pPr>
        <w:ind w:right="160" w:firstLine="622"/>
        <w:spacing w:after="0" w:line="231" w:lineRule="auto"/>
        <w:tabs>
          <w:tab w:leader="none" w:pos="123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default in the due performance or observance by it of any term, covenant or agreement (other than those referred to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contained in this Agreement or any Security Document and such default shall continue unremedied for a period of at least 30 days after receipt of written notice by Holdings from the Administrative Agent or the Required Lenders; or</w:t>
      </w:r>
    </w:p>
    <w:p>
      <w:pPr>
        <w:spacing w:after="0" w:line="157" w:lineRule="exact"/>
        <w:rPr>
          <w:sz w:val="20"/>
          <w:szCs w:val="20"/>
          <w:color w:val="auto"/>
        </w:rPr>
      </w:pPr>
    </w:p>
    <w:p>
      <w:pPr>
        <w:jc w:val="center"/>
        <w:ind w:right="80"/>
        <w:spacing w:after="0"/>
        <w:tabs>
          <w:tab w:leader="none" w:pos="30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u w:val="single" w:color="auto"/>
          <w:color w:val="auto"/>
        </w:rPr>
        <w:t>Default Under Other Agreements</w:t>
      </w:r>
      <w:r>
        <w:rPr>
          <w:rFonts w:ascii="Arial" w:cs="Arial" w:eastAsia="Arial" w:hAnsi="Arial"/>
          <w:sz w:val="15"/>
          <w:szCs w:val="15"/>
          <w:color w:val="auto"/>
        </w:rPr>
        <w:t>. (a) Holdings or any of the Restricted Subsidiaries shall (i) default in any payment with respect to any</w:t>
      </w:r>
    </w:p>
    <w:p>
      <w:pPr>
        <w:ind w:right="40"/>
        <w:spacing w:after="0" w:line="239" w:lineRule="auto"/>
        <w:rPr>
          <w:sz w:val="20"/>
          <w:szCs w:val="20"/>
          <w:color w:val="auto"/>
        </w:rPr>
      </w:pPr>
      <w:r>
        <w:rPr>
          <w:rFonts w:ascii="Arial" w:cs="Arial" w:eastAsia="Arial" w:hAnsi="Arial"/>
          <w:sz w:val="15"/>
          <w:szCs w:val="15"/>
          <w:color w:val="auto"/>
        </w:rPr>
        <w:t>Indebtedness (other than the Obligations) in excess of $30,000,000 in the aggregate, for Holdings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w:t>
      </w:r>
    </w:p>
    <w:p>
      <w:pPr>
        <w:spacing w:after="0" w:line="219" w:lineRule="auto"/>
        <w:rPr>
          <w:sz w:val="20"/>
          <w:szCs w:val="20"/>
          <w:color w:val="auto"/>
        </w:rPr>
      </w:pPr>
      <w:r>
        <w:rPr>
          <w:rFonts w:ascii="Arial" w:cs="Arial" w:eastAsia="Arial" w:hAnsi="Arial"/>
          <w:sz w:val="16"/>
          <w:szCs w:val="16"/>
          <w:color w:val="auto"/>
        </w:rPr>
        <w:t>or any other event shall occur or condition exist (after giving effect to all applicable grace period and delivery of all required notices) (other than, with respect to</w:t>
      </w:r>
    </w:p>
    <w:p>
      <w:pPr>
        <w:spacing w:after="0" w:line="233" w:lineRule="auto"/>
        <w:rPr>
          <w:sz w:val="20"/>
          <w:szCs w:val="20"/>
          <w:color w:val="auto"/>
        </w:rPr>
      </w:pPr>
      <w:r>
        <w:rPr>
          <w:rFonts w:ascii="Arial" w:cs="Arial" w:eastAsia="Arial" w:hAnsi="Arial"/>
          <w:sz w:val="15"/>
          <w:szCs w:val="15"/>
          <w:color w:val="auto"/>
        </w:rPr>
        <w:t>Indebtedness consisting of any Hedge Agreements, termination events or equivalent events pursuant to the terms of such Hedge Agreements (it being understood</w:t>
      </w:r>
    </w:p>
    <w:p>
      <w:pPr>
        <w:spacing w:after="0"/>
        <w:rPr>
          <w:sz w:val="20"/>
          <w:szCs w:val="20"/>
          <w:color w:val="auto"/>
        </w:rPr>
      </w:pPr>
      <w:r>
        <w:rPr>
          <w:rFonts w:ascii="Arial" w:cs="Arial" w:eastAsia="Arial" w:hAnsi="Arial"/>
          <w:sz w:val="15"/>
          <w:szCs w:val="15"/>
          <w:color w:val="auto"/>
        </w:rPr>
        <w:t xml:space="preserve">that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shall apply to any failure to make any payment in excess of $30,000,000 that is required as a result of any such termination or similar event and that</w:t>
      </w:r>
    </w:p>
    <w:p>
      <w:pPr>
        <w:spacing w:after="0" w:line="8" w:lineRule="exact"/>
        <w:rPr>
          <w:sz w:val="20"/>
          <w:szCs w:val="20"/>
          <w:color w:val="auto"/>
        </w:rPr>
      </w:pPr>
    </w:p>
    <w:p>
      <w:pPr>
        <w:ind w:right="180"/>
        <w:spacing w:after="0" w:line="239" w:lineRule="auto"/>
        <w:rPr>
          <w:sz w:val="20"/>
          <w:szCs w:val="20"/>
          <w:color w:val="auto"/>
        </w:rPr>
      </w:pPr>
      <w:r>
        <w:rPr>
          <w:rFonts w:ascii="Arial" w:cs="Arial" w:eastAsia="Arial" w:hAnsi="Arial"/>
          <w:sz w:val="15"/>
          <w:szCs w:val="15"/>
          <w:color w:val="auto"/>
        </w:rPr>
        <w:t xml:space="preserve">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5"/>
          <w:szCs w:val="15"/>
          <w:u w:val="single" w:color="auto"/>
          <w:color w:val="auto"/>
        </w:rPr>
        <w:t>provided</w:t>
      </w:r>
    </w:p>
    <w:p>
      <w:pPr>
        <w:ind w:right="140"/>
        <w:spacing w:after="0" w:line="239" w:lineRule="auto"/>
        <w:rPr>
          <w:sz w:val="20"/>
          <w:szCs w:val="20"/>
          <w:color w:val="auto"/>
        </w:rPr>
      </w:pPr>
      <w:r>
        <w:rPr>
          <w:rFonts w:ascii="Arial" w:cs="Arial" w:eastAsia="Arial" w:hAnsi="Arial"/>
          <w:sz w:val="15"/>
          <w:szCs w:val="15"/>
          <w:color w:val="auto"/>
        </w:rPr>
        <w:t xml:space="preserve">that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any such Indebtedness shall be declared to be due and payable, or required to be prepaid</w:t>
      </w:r>
    </w:p>
    <w:p>
      <w:pPr>
        <w:ind w:right="220"/>
        <w:spacing w:after="0" w:line="227" w:lineRule="auto"/>
        <w:rPr>
          <w:sz w:val="20"/>
          <w:szCs w:val="20"/>
          <w:color w:val="auto"/>
        </w:rPr>
      </w:pPr>
      <w:r>
        <w:rPr>
          <w:rFonts w:ascii="Arial" w:cs="Arial" w:eastAsia="Arial" w:hAnsi="Arial"/>
          <w:sz w:val="17"/>
          <w:szCs w:val="17"/>
          <w:color w:val="auto"/>
        </w:rPr>
        <w:t>other than by a regularly scheduled required prepayment or as a mandatory prepayment (and, with respect to Indebtedness consisting of any Hedge Agreements, other than due to a termination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equivalent event pursuant to the terms of such Hedge Agreements (it being understood that </w:t>
      </w:r>
      <w:r>
        <w:rPr>
          <w:rFonts w:ascii="Arial" w:cs="Arial" w:eastAsia="Arial" w:hAnsi="Arial"/>
          <w:sz w:val="15"/>
          <w:szCs w:val="15"/>
          <w:u w:val="single" w:color="auto"/>
          <w:color w:val="auto"/>
        </w:rPr>
        <w:t>clause (a)(i)</w:t>
      </w:r>
      <w:r>
        <w:rPr>
          <w:rFonts w:ascii="Arial" w:cs="Arial" w:eastAsia="Arial" w:hAnsi="Arial"/>
          <w:sz w:val="15"/>
          <w:szCs w:val="15"/>
          <w:color w:val="auto"/>
        </w:rPr>
        <w:t xml:space="preserve"> above shall apply to any failure to make any payment in</w:t>
      </w:r>
    </w:p>
    <w:p>
      <w:pPr>
        <w:spacing w:after="0" w:line="22" w:lineRule="exact"/>
        <w:rPr>
          <w:sz w:val="20"/>
          <w:szCs w:val="20"/>
          <w:color w:val="auto"/>
        </w:rPr>
      </w:pPr>
    </w:p>
    <w:p>
      <w:pPr>
        <w:jc w:val="both"/>
        <w:ind w:right="80"/>
        <w:spacing w:after="0" w:line="239" w:lineRule="auto"/>
        <w:rPr>
          <w:sz w:val="20"/>
          <w:szCs w:val="20"/>
          <w:color w:val="auto"/>
        </w:rPr>
      </w:pPr>
      <w:r>
        <w:rPr>
          <w:rFonts w:ascii="Arial" w:cs="Arial" w:eastAsia="Arial" w:hAnsi="Arial"/>
          <w:sz w:val="15"/>
          <w:szCs w:val="15"/>
          <w:color w:val="auto"/>
        </w:rPr>
        <w:t xml:space="preserve">excess of $30,000,000 that is required as a result of any such termination or equivalent event and that is not otherwise being contested in good faith)), prior to the stated maturity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w:t>
      </w:r>
    </w:p>
    <w:p>
      <w:pPr>
        <w:spacing w:after="0" w:line="234" w:lineRule="auto"/>
        <w:rPr>
          <w:sz w:val="20"/>
          <w:szCs w:val="20"/>
          <w:color w:val="auto"/>
        </w:rPr>
      </w:pPr>
      <w:r>
        <w:rPr>
          <w:rFonts w:ascii="Arial" w:cs="Arial" w:eastAsia="Arial" w:hAnsi="Arial"/>
          <w:sz w:val="16"/>
          <w:szCs w:val="16"/>
          <w:color w:val="auto"/>
        </w:rPr>
        <w:t>Indebtedness which is convertible into Qualified Stock and converts to Qualified Stock in accordance with its terms and such conversion is not prohibited hereunder, or (z) any breach or default that is (I) remedied by Holdings or the applicable Restricted Subsidiary or (II) waived (including in the form of amendment) by the required holders of the applicable item of Indebtedness, in either case, prior to the acceleration of Loans pursuant to this Section 11; or</w:t>
      </w:r>
    </w:p>
    <w:p>
      <w:pPr>
        <w:spacing w:after="0" w:line="170" w:lineRule="exact"/>
        <w:rPr>
          <w:sz w:val="20"/>
          <w:szCs w:val="20"/>
          <w:color w:val="auto"/>
        </w:rPr>
      </w:pPr>
    </w:p>
    <w:p>
      <w:pPr>
        <w:ind w:right="500" w:firstLine="619"/>
        <w:spacing w:after="0" w:line="245"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Bankruptcy, Etc.</w:t>
      </w:r>
      <w:r>
        <w:rPr>
          <w:rFonts w:ascii="Arial" w:cs="Arial" w:eastAsia="Arial" w:hAnsi="Arial"/>
          <w:sz w:val="15"/>
          <w:szCs w:val="15"/>
          <w:color w:val="auto"/>
        </w:rPr>
        <w:t xml:space="preserve"> Except as otherwise permitted by </w:t>
      </w:r>
      <w:r>
        <w:rPr>
          <w:rFonts w:ascii="Arial" w:cs="Arial" w:eastAsia="Arial" w:hAnsi="Arial"/>
          <w:sz w:val="15"/>
          <w:szCs w:val="15"/>
          <w:u w:val="single" w:color="auto"/>
          <w:color w:val="auto"/>
        </w:rPr>
        <w:t>Section 10.3</w:t>
      </w:r>
      <w:r>
        <w:rPr>
          <w:rFonts w:ascii="Arial" w:cs="Arial" w:eastAsia="Arial" w:hAnsi="Arial"/>
          <w:sz w:val="15"/>
          <w:szCs w:val="15"/>
          <w:color w:val="auto"/>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Arial" w:cs="Arial" w:eastAsia="Arial" w:hAnsi="Arial"/>
          <w:sz w:val="15"/>
          <w:szCs w:val="15"/>
          <w:b w:val="1"/>
          <w:bCs w:val="1"/>
          <w:color w:val="auto"/>
        </w:rPr>
        <w:t>Bankruptcy Code</w:t>
      </w:r>
      <w:r>
        <w:rPr>
          <w:rFonts w:ascii="Arial" w:cs="Arial" w:eastAsia="Arial" w:hAnsi="Arial"/>
          <w:sz w:val="15"/>
          <w:szCs w:val="15"/>
          <w:color w:val="auto"/>
        </w:rPr>
        <w:t>”); or an involuntary case, proceeding or action is commenced against Holdings, the Borrower or any</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5"/>
          <w:szCs w:val="15"/>
          <w:color w:val="auto"/>
        </w:rPr>
        <w:t>Significant Subsidiary and the petition is not controverted within 30 days after commencement of the case, proceeding or action; or an involuntary case, proceeding or action is commenced against Holdings, the Borrower or any Significant Subsidiary and the petition is not dismissed within 60 days after commencement of the case, proceeding or action; or a custodian (as defined in the Bankruptcy Code), judicial manager, compulsory manager, receiver, receiver</w:t>
      </w:r>
    </w:p>
    <w:p>
      <w:pPr>
        <w:ind w:right="240"/>
        <w:spacing w:after="0" w:line="239" w:lineRule="auto"/>
        <w:rPr>
          <w:sz w:val="20"/>
          <w:szCs w:val="20"/>
          <w:color w:val="auto"/>
        </w:rPr>
      </w:pPr>
      <w:r>
        <w:rPr>
          <w:rFonts w:ascii="Arial" w:cs="Arial" w:eastAsia="Arial" w:hAnsi="Arial"/>
          <w:sz w:val="15"/>
          <w:szCs w:val="15"/>
          <w:color w:val="auto"/>
        </w:rPr>
        <w:t>manager, trustee, liquidator, administrator, administrative receiver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winding-up, administration or liquidation or similar</w:t>
      </w:r>
    </w:p>
    <w:p>
      <w:pPr>
        <w:ind w:right="40"/>
        <w:spacing w:after="0" w:line="239" w:lineRule="auto"/>
        <w:rPr>
          <w:sz w:val="20"/>
          <w:szCs w:val="20"/>
          <w:color w:val="auto"/>
        </w:rPr>
      </w:pPr>
      <w:r>
        <w:rPr>
          <w:rFonts w:ascii="Arial" w:cs="Arial" w:eastAsia="Arial" w:hAnsi="Arial"/>
          <w:sz w:val="15"/>
          <w:szCs w:val="15"/>
          <w:color w:val="auto"/>
        </w:rPr>
        <w:t>law of any jurisdiction whether now or hereafter in effect relating to Holdings, the Borrower or any Significant Subsidiary; or there is commenced against Holdings, the Borrower or any Significant Subsidiary any such proceeding or action that remains undismissed for a period of 60 days; or Holdings, the Borrower or any Significant Subsidiary is adjudicated bankrupt; or any order of relief or other order approving any such case or proceeding or action is entered; or Holdings,</w:t>
      </w:r>
    </w:p>
    <w:p>
      <w:pPr>
        <w:jc w:val="both"/>
        <w:ind w:right="400"/>
        <w:spacing w:after="0" w:line="220" w:lineRule="auto"/>
        <w:rPr>
          <w:sz w:val="20"/>
          <w:szCs w:val="20"/>
          <w:color w:val="auto"/>
        </w:rPr>
      </w:pPr>
      <w:r>
        <w:rPr>
          <w:rFonts w:ascii="Arial" w:cs="Arial" w:eastAsia="Arial" w:hAnsi="Arial"/>
          <w:sz w:val="17"/>
          <w:szCs w:val="17"/>
          <w:color w:val="auto"/>
        </w:rPr>
        <w:t>the Borrower or any Significant Subsidiary suffers any appointment of any custodian receiver, receiver manager, trustee, administrator or the like for it or any substantial part of its property to continue undischarged or unstayed for a period of 60 days; or Holdings, the Borrower or any Significant Subsidiary makes a general assignment for the benefit of creditors; or</w:t>
      </w:r>
    </w:p>
    <w:p>
      <w:pPr>
        <w:spacing w:after="0" w:line="170" w:lineRule="exact"/>
        <w:rPr>
          <w:sz w:val="20"/>
          <w:szCs w:val="20"/>
          <w:color w:val="auto"/>
        </w:rPr>
      </w:pPr>
    </w:p>
    <w:p>
      <w:pPr>
        <w:ind w:right="20" w:firstLine="619"/>
        <w:spacing w:after="0" w:line="245" w:lineRule="auto"/>
        <w:rPr>
          <w:sz w:val="20"/>
          <w:szCs w:val="20"/>
          <w:color w:val="auto"/>
        </w:rPr>
      </w:pPr>
      <w:r>
        <w:rPr>
          <w:rFonts w:ascii="Arial" w:cs="Arial" w:eastAsia="Arial" w:hAnsi="Arial"/>
          <w:sz w:val="15"/>
          <w:szCs w:val="15"/>
          <w:color w:val="auto"/>
        </w:rPr>
        <w:t xml:space="preserve">11.6 </w:t>
      </w:r>
      <w:r>
        <w:rPr>
          <w:rFonts w:ascii="Arial" w:cs="Arial" w:eastAsia="Arial" w:hAnsi="Arial"/>
          <w:sz w:val="15"/>
          <w:szCs w:val="15"/>
          <w:u w:val="single" w:color="auto"/>
          <w:color w:val="auto"/>
        </w:rPr>
        <w:t>ERISA</w:t>
      </w:r>
      <w:r>
        <w:rPr>
          <w:rFonts w:ascii="Arial" w:cs="Arial" w:eastAsia="Arial" w:hAnsi="Arial"/>
          <w:sz w:val="15"/>
          <w:szCs w:val="15"/>
          <w:color w:val="auto"/>
        </w:rPr>
        <w:t>.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w:t>
      </w:r>
    </w:p>
    <w:p>
      <w:pPr>
        <w:spacing w:after="0" w:line="1" w:lineRule="exact"/>
        <w:rPr>
          <w:sz w:val="20"/>
          <w:szCs w:val="20"/>
          <w:color w:val="auto"/>
        </w:rPr>
      </w:pPr>
    </w:p>
    <w:p>
      <w:pPr>
        <w:ind w:right="380"/>
        <w:spacing w:after="0" w:line="220" w:lineRule="auto"/>
        <w:rPr>
          <w:sz w:val="20"/>
          <w:szCs w:val="20"/>
          <w:color w:val="auto"/>
        </w:rPr>
      </w:pPr>
      <w:r>
        <w:rPr>
          <w:rFonts w:ascii="Arial" w:cs="Arial" w:eastAsia="Arial" w:hAnsi="Arial"/>
          <w:sz w:val="17"/>
          <w:szCs w:val="17"/>
          <w:color w:val="auto"/>
        </w:rPr>
        <w:t xml:space="preserve">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70" w:lineRule="exact"/>
        <w:rPr>
          <w:sz w:val="20"/>
          <w:szCs w:val="20"/>
          <w:color w:val="auto"/>
        </w:rPr>
      </w:pPr>
    </w:p>
    <w:p>
      <w:pPr>
        <w:ind w:right="400" w:firstLine="619"/>
        <w:spacing w:after="0" w:line="226"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70"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Pledge Agreement</w:t>
      </w:r>
      <w:r>
        <w:rPr>
          <w:rFonts w:ascii="Arial" w:cs="Arial" w:eastAsia="Arial" w:hAnsi="Arial"/>
          <w:sz w:val="15"/>
          <w:szCs w:val="15"/>
          <w:color w:val="auto"/>
        </w:rPr>
        <w:t>.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or as a result of the Collateral Agent’s failure to maintain possession of any Capital Stock or Stock Equivalents that have been previously delivered to it) or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pledgor thereunder or any Credit Party shall deny or disaffirm in writing any pledgor’s obligations under any Security Document; or</w:t>
      </w:r>
    </w:p>
    <w:p>
      <w:pPr>
        <w:spacing w:after="0" w:line="164" w:lineRule="exact"/>
        <w:rPr>
          <w:sz w:val="20"/>
          <w:szCs w:val="20"/>
          <w:color w:val="auto"/>
        </w:rPr>
      </w:pPr>
    </w:p>
    <w:p>
      <w:pPr>
        <w:ind w:right="240" w:firstLine="619"/>
        <w:spacing w:after="0" w:line="251" w:lineRule="auto"/>
        <w:rPr>
          <w:sz w:val="20"/>
          <w:szCs w:val="20"/>
          <w:color w:val="auto"/>
        </w:rPr>
      </w:pPr>
      <w:r>
        <w:rPr>
          <w:rFonts w:ascii="Arial" w:cs="Arial" w:eastAsia="Arial" w:hAnsi="Arial"/>
          <w:sz w:val="15"/>
          <w:szCs w:val="15"/>
          <w:color w:val="auto"/>
        </w:rPr>
        <w:t xml:space="preserve">11.9 </w:t>
      </w:r>
      <w:r>
        <w:rPr>
          <w:rFonts w:ascii="Arial" w:cs="Arial" w:eastAsia="Arial" w:hAnsi="Arial"/>
          <w:sz w:val="15"/>
          <w:szCs w:val="15"/>
          <w:u w:val="single" w:color="auto"/>
          <w:color w:val="auto"/>
        </w:rPr>
        <w:t>Security Agreement</w:t>
      </w:r>
      <w:r>
        <w:rPr>
          <w:rFonts w:ascii="Arial" w:cs="Arial" w:eastAsia="Arial" w:hAnsi="Arial"/>
          <w:sz w:val="15"/>
          <w:szCs w:val="15"/>
          <w:color w:val="auto"/>
        </w:rPr>
        <w:t>.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w:t>
      </w:r>
    </w:p>
    <w:p>
      <w:pPr>
        <w:spacing w:after="0" w:line="1" w:lineRule="exact"/>
        <w:rPr>
          <w:sz w:val="20"/>
          <w:szCs w:val="20"/>
          <w:color w:val="auto"/>
        </w:rPr>
      </w:pPr>
    </w:p>
    <w:p>
      <w:pPr>
        <w:jc w:val="both"/>
        <w:ind w:right="60"/>
        <w:spacing w:after="0" w:line="220" w:lineRule="auto"/>
        <w:rPr>
          <w:sz w:val="20"/>
          <w:szCs w:val="20"/>
          <w:color w:val="auto"/>
        </w:rPr>
      </w:pPr>
      <w:r>
        <w:rPr>
          <w:rFonts w:ascii="Arial" w:cs="Arial" w:eastAsia="Arial" w:hAnsi="Arial"/>
          <w:sz w:val="17"/>
          <w:szCs w:val="17"/>
          <w:color w:val="auto"/>
        </w:rPr>
        <w:t>thereof or as a result of the Collateral Agent’s failure to file a Uniform Commercial Code continuation statement or file or record any Security Agreement granting security in any Intellectual Property Collateral) or any grantor thereunder or any Credit Party shall deny or disaffirm in writing any grantor’s obligations under the Security Agreement or any other Security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0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5"/>
          <w:szCs w:val="15"/>
          <w:u w:val="single" w:color="auto"/>
          <w:color w:val="auto"/>
        </w:rPr>
        <w:t>Judgments</w:t>
      </w:r>
      <w:r>
        <w:rPr>
          <w:rFonts w:ascii="Arial" w:cs="Arial" w:eastAsia="Arial" w:hAnsi="Arial"/>
          <w:sz w:val="15"/>
          <w:szCs w:val="15"/>
          <w:color w:val="auto"/>
        </w:rPr>
        <w:t>. One or more judgments or decrees shall be entered against Holdings or any of the Restricted Subsidiaries involving a liability in</w:t>
      </w:r>
    </w:p>
    <w:p>
      <w:pPr>
        <w:ind w:right="60"/>
        <w:spacing w:after="0" w:line="220" w:lineRule="auto"/>
        <w:rPr>
          <w:sz w:val="20"/>
          <w:szCs w:val="20"/>
          <w:color w:val="auto"/>
        </w:rPr>
      </w:pPr>
      <w:r>
        <w:rPr>
          <w:rFonts w:ascii="Arial" w:cs="Arial" w:eastAsia="Arial" w:hAnsi="Arial"/>
          <w:sz w:val="17"/>
          <w:szCs w:val="17"/>
          <w:color w:val="auto"/>
        </w:rPr>
        <w:t>excess of $30,000,000 in the aggregate for all such judgments and decrees for Holdings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7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5"/>
          <w:szCs w:val="15"/>
          <w:u w:val="single" w:color="auto"/>
          <w:color w:val="auto"/>
        </w:rPr>
        <w:t>Change of Control</w:t>
      </w:r>
      <w:r>
        <w:rPr>
          <w:rFonts w:ascii="Arial" w:cs="Arial" w:eastAsia="Arial" w:hAnsi="Arial"/>
          <w:sz w:val="15"/>
          <w:szCs w:val="15"/>
          <w:color w:val="auto"/>
        </w:rPr>
        <w:t>. A Change of Control shall occur.</w:t>
      </w:r>
    </w:p>
    <w:p>
      <w:pPr>
        <w:spacing w:after="0" w:line="178" w:lineRule="exact"/>
        <w:rPr>
          <w:sz w:val="20"/>
          <w:szCs w:val="20"/>
          <w:color w:val="auto"/>
        </w:rPr>
      </w:pPr>
    </w:p>
    <w:p>
      <w:pPr>
        <w:ind w:right="40" w:firstLine="619"/>
        <w:spacing w:after="0" w:line="251" w:lineRule="auto"/>
        <w:rPr>
          <w:sz w:val="20"/>
          <w:szCs w:val="20"/>
          <w:color w:val="auto"/>
        </w:rPr>
      </w:pPr>
      <w:r>
        <w:rPr>
          <w:rFonts w:ascii="Arial" w:cs="Arial" w:eastAsia="Arial" w:hAnsi="Arial"/>
          <w:sz w:val="15"/>
          <w:szCs w:val="15"/>
          <w:color w:val="auto"/>
        </w:rPr>
        <w:t xml:space="preserve">11.12 </w:t>
      </w:r>
      <w:r>
        <w:rPr>
          <w:rFonts w:ascii="Arial" w:cs="Arial" w:eastAsia="Arial" w:hAnsi="Arial"/>
          <w:sz w:val="15"/>
          <w:szCs w:val="15"/>
          <w:u w:val="single" w:color="auto"/>
          <w:color w:val="auto"/>
        </w:rPr>
        <w:t>Remedies Upon Event of Default</w:t>
      </w:r>
      <w:r>
        <w:rPr>
          <w:rFonts w:ascii="Arial" w:cs="Arial" w:eastAsia="Arial" w:hAnsi="Arial"/>
          <w:sz w:val="15"/>
          <w:szCs w:val="15"/>
          <w:color w:val="auto"/>
        </w:rPr>
        <w:t>. If an Event of Default occurs and is continuing, the Administrative Agent shall, upon the written request of the Required Lenders, by written notice to Holdings, take any or all of the following actions, without prejudice to the rights of the Administrative Agent or any Lender</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color w:val="auto"/>
        </w:rPr>
        <w:t>to enforce its claims against Holdings and the Borrower, except as otherwise specifically provided for in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 Event of Default specified in </w:t>
      </w:r>
      <w:r>
        <w:rPr>
          <w:rFonts w:ascii="Arial" w:cs="Arial" w:eastAsia="Arial" w:hAnsi="Arial"/>
          <w:sz w:val="15"/>
          <w:szCs w:val="15"/>
          <w:u w:val="single" w:color="auto"/>
          <w:color w:val="auto"/>
        </w:rPr>
        <w:t>Section 11.5</w:t>
      </w:r>
      <w:r>
        <w:rPr>
          <w:rFonts w:ascii="Arial" w:cs="Arial" w:eastAsia="Arial" w:hAnsi="Arial"/>
          <w:sz w:val="15"/>
          <w:szCs w:val="15"/>
          <w:color w:val="auto"/>
        </w:rPr>
        <w:t xml:space="preserve"> shall occur with respect to the Borrower or Holdings, the result that would occur upon the giving of written notice by the Administrative Agent as specified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below shall occur automatically without the giving of any such notice): (i) declare the Total Revolving Credit</w:t>
      </w:r>
    </w:p>
    <w:p>
      <w:pPr>
        <w:spacing w:after="0" w:line="239" w:lineRule="auto"/>
        <w:rPr>
          <w:sz w:val="20"/>
          <w:szCs w:val="20"/>
          <w:color w:val="auto"/>
        </w:rPr>
      </w:pPr>
      <w:r>
        <w:rPr>
          <w:rFonts w:ascii="Arial" w:cs="Arial" w:eastAsia="Arial" w:hAnsi="Arial"/>
          <w:sz w:val="15"/>
          <w:szCs w:val="15"/>
          <w:color w:val="auto"/>
        </w:rPr>
        <w:t>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w:t>
      </w:r>
    </w:p>
    <w:p>
      <w:pPr>
        <w:jc w:val="both"/>
        <w:ind w:right="20"/>
        <w:spacing w:after="0" w:line="239" w:lineRule="auto"/>
        <w:rPr>
          <w:sz w:val="20"/>
          <w:szCs w:val="20"/>
          <w:color w:val="auto"/>
        </w:rPr>
      </w:pPr>
      <w:r>
        <w:rPr>
          <w:rFonts w:ascii="Arial" w:cs="Arial" w:eastAsia="Arial" w:hAnsi="Arial"/>
          <w:sz w:val="15"/>
          <w:szCs w:val="15"/>
          <w:color w:val="auto"/>
        </w:rPr>
        <w:t xml:space="preserve">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5"/>
          <w:szCs w:val="15"/>
          <w:u w:val="single" w:color="auto"/>
          <w:color w:val="auto"/>
        </w:rPr>
        <w:t>Section 11.5</w:t>
      </w:r>
      <w:r>
        <w:rPr>
          <w:rFonts w:ascii="Arial" w:cs="Arial" w:eastAsia="Arial" w:hAnsi="Arial"/>
          <w:sz w:val="15"/>
          <w:szCs w:val="15"/>
          <w:color w:val="auto"/>
        </w:rPr>
        <w:t xml:space="preserve"> with respect to the Borrower, it will pay)</w:t>
      </w:r>
    </w:p>
    <w:p>
      <w:pPr>
        <w:ind w:right="320"/>
        <w:spacing w:after="0" w:line="239" w:lineRule="auto"/>
        <w:rPr>
          <w:sz w:val="20"/>
          <w:szCs w:val="20"/>
          <w:color w:val="auto"/>
        </w:rPr>
      </w:pPr>
      <w:r>
        <w:rPr>
          <w:rFonts w:ascii="Arial" w:cs="Arial" w:eastAsia="Arial" w:hAnsi="Arial"/>
          <w:sz w:val="15"/>
          <w:szCs w:val="15"/>
          <w:color w:val="auto"/>
        </w:rPr>
        <w:t xml:space="preserve">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the case of an Event of Default under </w:t>
      </w:r>
      <w:r>
        <w:rPr>
          <w:rFonts w:ascii="Arial" w:cs="Arial" w:eastAsia="Arial" w:hAnsi="Arial"/>
          <w:sz w:val="15"/>
          <w:szCs w:val="15"/>
          <w:u w:val="single" w:color="auto"/>
          <w:color w:val="auto"/>
        </w:rPr>
        <w:t>Section 11.3(a)</w:t>
      </w:r>
      <w:r>
        <w:rPr>
          <w:rFonts w:ascii="Arial" w:cs="Arial" w:eastAsia="Arial" w:hAnsi="Arial"/>
          <w:sz w:val="15"/>
          <w:szCs w:val="15"/>
          <w:color w:val="auto"/>
        </w:rPr>
        <w:t xml:space="preserve"> in respect of a failure to observe or perform the covenant under </w:t>
      </w:r>
      <w:r>
        <w:rPr>
          <w:rFonts w:ascii="Arial" w:cs="Arial" w:eastAsia="Arial" w:hAnsi="Arial"/>
          <w:sz w:val="15"/>
          <w:szCs w:val="15"/>
          <w:u w:val="single" w:color="auto"/>
          <w:color w:val="auto"/>
        </w:rPr>
        <w:t>Section 10.7</w:t>
      </w:r>
      <w:r>
        <w:rPr>
          <w:rFonts w:ascii="Arial" w:cs="Arial" w:eastAsia="Arial" w:hAnsi="Arial"/>
          <w:sz w:val="15"/>
          <w:szCs w:val="15"/>
          <w:color w:val="auto"/>
        </w:rPr>
        <w:t>, the actions</w:t>
      </w:r>
    </w:p>
    <w:p>
      <w:pPr>
        <w:ind w:right="60"/>
        <w:spacing w:after="0" w:line="239" w:lineRule="auto"/>
        <w:rPr>
          <w:sz w:val="20"/>
          <w:szCs w:val="20"/>
          <w:color w:val="auto"/>
        </w:rPr>
      </w:pPr>
      <w:r>
        <w:rPr>
          <w:rFonts w:ascii="Arial" w:cs="Arial" w:eastAsia="Arial" w:hAnsi="Arial"/>
          <w:sz w:val="15"/>
          <w:szCs w:val="15"/>
          <w:color w:val="auto"/>
        </w:rPr>
        <w:t xml:space="preserve">described above will be permitted to occur only following the expiration of the ability to effectuate the Cure Right if such Cure Right has not been so exercised; and the Borrower shall not be permitted to borrow Revolving Credit Loans and Letters of Credit shall not be issued or renewed unless and until the Cure Right is made on or prior to the expiration of the 10th Business Day following the date financial statements referred to in </w:t>
      </w:r>
      <w:r>
        <w:rPr>
          <w:rFonts w:ascii="Arial" w:cs="Arial" w:eastAsia="Arial" w:hAnsi="Arial"/>
          <w:sz w:val="15"/>
          <w:szCs w:val="15"/>
          <w:u w:val="single" w:color="auto"/>
          <w:color w:val="auto"/>
        </w:rPr>
        <w:t>Sections 9.1(a)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are required to be delivered</w:t>
      </w:r>
    </w:p>
    <w:p>
      <w:pPr>
        <w:spacing w:after="0"/>
        <w:rPr>
          <w:sz w:val="20"/>
          <w:szCs w:val="20"/>
          <w:color w:val="auto"/>
        </w:rPr>
      </w:pPr>
      <w:r>
        <w:rPr>
          <w:rFonts w:ascii="Arial" w:cs="Arial" w:eastAsia="Arial" w:hAnsi="Arial"/>
          <w:sz w:val="17"/>
          <w:szCs w:val="17"/>
          <w:color w:val="auto"/>
        </w:rPr>
        <w:t>in respect of such fiscal period.</w:t>
      </w:r>
    </w:p>
    <w:p>
      <w:pPr>
        <w:spacing w:after="0" w:line="164" w:lineRule="exact"/>
        <w:rPr>
          <w:sz w:val="20"/>
          <w:szCs w:val="20"/>
          <w:color w:val="auto"/>
        </w:rPr>
      </w:pPr>
    </w:p>
    <w:p>
      <w:pPr>
        <w:ind w:right="200" w:firstLine="619"/>
        <w:spacing w:after="0" w:line="251" w:lineRule="auto"/>
        <w:rPr>
          <w:sz w:val="20"/>
          <w:szCs w:val="20"/>
          <w:color w:val="auto"/>
        </w:rPr>
      </w:pPr>
      <w:r>
        <w:rPr>
          <w:rFonts w:ascii="Arial" w:cs="Arial" w:eastAsia="Arial" w:hAnsi="Arial"/>
          <w:sz w:val="15"/>
          <w:szCs w:val="15"/>
          <w:color w:val="auto"/>
        </w:rPr>
        <w:t xml:space="preserve">11.13 </w:t>
      </w:r>
      <w:r>
        <w:rPr>
          <w:rFonts w:ascii="Arial" w:cs="Arial" w:eastAsia="Arial" w:hAnsi="Arial"/>
          <w:sz w:val="15"/>
          <w:szCs w:val="15"/>
          <w:u w:val="single" w:color="auto"/>
          <w:color w:val="auto"/>
        </w:rPr>
        <w:t>Application of Proceeds</w:t>
      </w:r>
      <w:r>
        <w:rPr>
          <w:rFonts w:ascii="Arial" w:cs="Arial" w:eastAsia="Arial" w:hAnsi="Arial"/>
          <w:sz w:val="15"/>
          <w:szCs w:val="15"/>
          <w:color w:val="auto"/>
        </w:rPr>
        <w:t xml:space="preserve"> . Subject to the terms of the First Lien Intercreditor Agreement and the Second Lien Intercreditor Agreement, in each case, if executed, any amount received by the Administrative Agent or the Collateral Agent from any Credit Party (or from proceeds of any Collateral) following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acceleration of the Obligations under this Agreement or any Event of Default with respect to the Borrower under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applied:</w:t>
      </w:r>
    </w:p>
    <w:p>
      <w:pPr>
        <w:spacing w:after="0" w:line="164" w:lineRule="exact"/>
        <w:rPr>
          <w:sz w:val="20"/>
          <w:szCs w:val="20"/>
          <w:color w:val="auto"/>
        </w:rPr>
      </w:pPr>
    </w:p>
    <w:p>
      <w:pPr>
        <w:ind w:left="620" w:right="80" w:firstLine="868"/>
        <w:spacing w:after="0" w:line="253" w:lineRule="auto"/>
        <w:tabs>
          <w:tab w:leader="none" w:pos="1858" w:val="left"/>
        </w:tabs>
        <w:numPr>
          <w:ilvl w:val="0"/>
          <w:numId w:val="155"/>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to the payment of all reasonable and documented costs and expenses incurred by the Administrative Agent or the Collateral Agent</w:t>
      </w:r>
      <w:r>
        <w:rPr>
          <w:rFonts w:ascii="Arial" w:cs="Arial" w:eastAsia="Arial" w:hAnsi="Arial"/>
          <w:sz w:val="15"/>
          <w:szCs w:val="15"/>
          <w:i w:val="1"/>
          <w:iCs w:val="1"/>
          <w:color w:val="auto"/>
        </w:rPr>
        <w:t xml:space="preserve"> </w:t>
      </w:r>
      <w:r>
        <w:rPr>
          <w:rFonts w:ascii="Arial" w:cs="Arial" w:eastAsia="Arial" w:hAnsi="Arial"/>
          <w:sz w:val="15"/>
          <w:szCs w:val="15"/>
          <w:color w:val="auto"/>
        </w:rPr>
        <w:t>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160" w:lineRule="exact"/>
        <w:rPr>
          <w:rFonts w:ascii="Arial" w:cs="Arial" w:eastAsia="Arial" w:hAnsi="Arial"/>
          <w:sz w:val="15"/>
          <w:szCs w:val="15"/>
          <w:color w:val="auto"/>
        </w:rPr>
      </w:pPr>
    </w:p>
    <w:p>
      <w:pPr>
        <w:ind w:left="620" w:right="80" w:firstLine="868"/>
        <w:spacing w:after="0" w:line="224" w:lineRule="auto"/>
        <w:tabs>
          <w:tab w:leader="none" w:pos="1858"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the Secured Parties, an amount (x) equal to all Obligations owing to them on the date of any distribution and (y) sufficient to</w:t>
      </w:r>
      <w:r>
        <w:rPr>
          <w:rFonts w:ascii="Arial" w:cs="Arial" w:eastAsia="Arial" w:hAnsi="Arial"/>
          <w:sz w:val="17"/>
          <w:szCs w:val="17"/>
          <w:i w:val="1"/>
          <w:iCs w:val="1"/>
          <w:color w:val="auto"/>
        </w:rPr>
        <w:t xml:space="preserve"> </w:t>
      </w:r>
      <w:r>
        <w:rPr>
          <w:rFonts w:ascii="Arial" w:cs="Arial" w:eastAsia="Arial" w:hAnsi="Arial"/>
          <w:sz w:val="17"/>
          <w:szCs w:val="17"/>
          <w:color w:val="auto"/>
        </w:rPr>
        <w:t>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spacing w:after="0" w:line="159" w:lineRule="exact"/>
        <w:rPr>
          <w:rFonts w:ascii="Arial" w:cs="Arial" w:eastAsia="Arial" w:hAnsi="Arial"/>
          <w:sz w:val="17"/>
          <w:szCs w:val="17"/>
          <w:color w:val="auto"/>
        </w:rPr>
      </w:pPr>
    </w:p>
    <w:p>
      <w:pPr>
        <w:ind w:left="620" w:right="160" w:firstLine="868"/>
        <w:spacing w:after="0" w:line="236" w:lineRule="auto"/>
        <w:tabs>
          <w:tab w:leader="none" w:pos="1858"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any surplus then remaining shall be paid to the applicable Credit Parties or their successors or assigns or to whomsoever may be</w:t>
      </w:r>
      <w:r>
        <w:rPr>
          <w:rFonts w:ascii="Arial" w:cs="Arial" w:eastAsia="Arial" w:hAnsi="Arial"/>
          <w:sz w:val="17"/>
          <w:szCs w:val="17"/>
          <w:i w:val="1"/>
          <w:iCs w:val="1"/>
          <w:color w:val="auto"/>
        </w:rPr>
        <w:t xml:space="preserve"> </w:t>
      </w:r>
      <w:r>
        <w:rPr>
          <w:rFonts w:ascii="Arial" w:cs="Arial" w:eastAsia="Arial" w:hAnsi="Arial"/>
          <w:sz w:val="17"/>
          <w:szCs w:val="17"/>
          <w:color w:val="auto"/>
        </w:rPr>
        <w:t>lawfully entitled to receive the same or as a court of competent jurisdiction may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applied to Cash Collateralize any Letters of Credit Outstanding that has not been applied to reimburse the Borrower for Unpaid</w:t>
      </w:r>
    </w:p>
    <w:p>
      <w:pPr>
        <w:spacing w:after="0" w:line="11" w:lineRule="exact"/>
        <w:rPr>
          <w:sz w:val="20"/>
          <w:szCs w:val="20"/>
          <w:color w:val="auto"/>
        </w:rPr>
      </w:pPr>
    </w:p>
    <w:p>
      <w:pPr>
        <w:ind w:right="140"/>
        <w:spacing w:after="0" w:line="220" w:lineRule="auto"/>
        <w:rPr>
          <w:sz w:val="20"/>
          <w:szCs w:val="20"/>
          <w:color w:val="auto"/>
        </w:rPr>
      </w:pPr>
      <w:r>
        <w:rPr>
          <w:rFonts w:ascii="Arial" w:cs="Arial" w:eastAsia="Arial" w:hAnsi="Arial"/>
          <w:sz w:val="17"/>
          <w:szCs w:val="17"/>
          <w:color w:val="auto"/>
        </w:rPr>
        <w:t xml:space="preserve">Drawings under the applicable Letters of Credit at the time of expiration of all such Letters of Credit shall be applied by the Administrative Agent in the order specified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170" w:lineRule="exact"/>
        <w:rPr>
          <w:sz w:val="20"/>
          <w:szCs w:val="20"/>
          <w:color w:val="auto"/>
        </w:rPr>
      </w:pPr>
    </w:p>
    <w:p>
      <w:pPr>
        <w:ind w:right="260" w:firstLine="619"/>
        <w:spacing w:after="0" w:line="225" w:lineRule="auto"/>
        <w:rPr>
          <w:sz w:val="20"/>
          <w:szCs w:val="20"/>
          <w:color w:val="auto"/>
        </w:rPr>
      </w:pPr>
      <w:r>
        <w:rPr>
          <w:rFonts w:ascii="Arial" w:cs="Arial" w:eastAsia="Arial" w:hAnsi="Arial"/>
          <w:sz w:val="15"/>
          <w:szCs w:val="15"/>
          <w:color w:val="auto"/>
        </w:rPr>
        <w:t xml:space="preserve">11.14 </w:t>
      </w:r>
      <w:r>
        <w:rPr>
          <w:rFonts w:ascii="Arial" w:cs="Arial" w:eastAsia="Arial" w:hAnsi="Arial"/>
          <w:sz w:val="15"/>
          <w:szCs w:val="15"/>
          <w:u w:val="single" w:color="auto"/>
          <w:color w:val="auto"/>
        </w:rPr>
        <w:t>Equity Cure</w:t>
      </w:r>
      <w:r>
        <w:rPr>
          <w:rFonts w:ascii="Arial" w:cs="Arial" w:eastAsia="Arial" w:hAnsi="Arial"/>
          <w:sz w:val="15"/>
          <w:szCs w:val="15"/>
          <w:color w:val="auto"/>
        </w:rPr>
        <w:t xml:space="preserve">. Notwithstanding anything to the contrary contained in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in the event that Holdings fails to comply with the requirement of the financial covenant set forth in </w:t>
      </w:r>
      <w:r>
        <w:rPr>
          <w:rFonts w:ascii="Arial" w:cs="Arial" w:eastAsia="Arial" w:hAnsi="Arial"/>
          <w:sz w:val="15"/>
          <w:szCs w:val="15"/>
          <w:u w:val="single" w:color="auto"/>
          <w:color w:val="auto"/>
        </w:rPr>
        <w:t>Section 10.7</w:t>
      </w:r>
      <w:r>
        <w:rPr>
          <w:rFonts w:ascii="Arial" w:cs="Arial" w:eastAsia="Arial" w:hAnsi="Arial"/>
          <w:sz w:val="15"/>
          <w:szCs w:val="15"/>
          <w:color w:val="auto"/>
        </w:rPr>
        <w:t>, from the end of any fiscal period until the expiration of the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following the date financial statements referred to in </w:t>
      </w:r>
      <w:r>
        <w:rPr>
          <w:rFonts w:ascii="Arial" w:cs="Arial" w:eastAsia="Arial" w:hAnsi="Arial"/>
          <w:sz w:val="15"/>
          <w:szCs w:val="15"/>
          <w:u w:val="single" w:color="auto"/>
          <w:color w:val="auto"/>
        </w:rPr>
        <w:t>Sections 9.1(a)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are required to be delivered in respect of such fiscal period for which such financial covenant is being</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5"/>
          <w:szCs w:val="15"/>
          <w:color w:val="auto"/>
        </w:rPr>
        <w:t>measured, any holder of Capital Stock or Stock Equivalents of Holdings or any direct or indirect parent of Holdings shall have the right to cure such failure (the “</w:t>
      </w:r>
      <w:r>
        <w:rPr>
          <w:rFonts w:ascii="Arial" w:cs="Arial" w:eastAsia="Arial" w:hAnsi="Arial"/>
          <w:sz w:val="15"/>
          <w:szCs w:val="15"/>
          <w:b w:val="1"/>
          <w:bCs w:val="1"/>
          <w:color w:val="auto"/>
        </w:rPr>
        <w:t>Cure Right</w:t>
      </w:r>
      <w:r>
        <w:rPr>
          <w:rFonts w:ascii="Arial" w:cs="Arial" w:eastAsia="Arial" w:hAnsi="Arial"/>
          <w:sz w:val="15"/>
          <w:szCs w:val="15"/>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w:t>
      </w:r>
    </w:p>
    <w:p>
      <w:pPr>
        <w:ind w:right="160"/>
        <w:spacing w:after="0" w:line="220" w:lineRule="auto"/>
        <w:rPr>
          <w:sz w:val="20"/>
          <w:szCs w:val="20"/>
          <w:color w:val="auto"/>
        </w:rPr>
      </w:pPr>
      <w:r>
        <w:rPr>
          <w:rFonts w:ascii="Arial" w:cs="Arial" w:eastAsia="Arial" w:hAnsi="Arial"/>
          <w:sz w:val="17"/>
          <w:szCs w:val="17"/>
          <w:color w:val="auto"/>
        </w:rPr>
        <w:t>indirectly, as cash common equity to the Borrower, and upon receipt by the Borrower of such cash contribution (such cash amount being referred to as the “</w:t>
      </w:r>
      <w:r>
        <w:rPr>
          <w:rFonts w:ascii="Arial" w:cs="Arial" w:eastAsia="Arial" w:hAnsi="Arial"/>
          <w:sz w:val="17"/>
          <w:szCs w:val="17"/>
          <w:b w:val="1"/>
          <w:bCs w:val="1"/>
          <w:color w:val="auto"/>
        </w:rPr>
        <w:t>Cure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pursuant to the exercise of such Cure Right, such applicable financial covenant shall be recalculated giving effect to the following pro forma</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w:t>
      </w:r>
    </w:p>
    <w:p>
      <w:pPr>
        <w:spacing w:after="0" w:line="170" w:lineRule="exact"/>
        <w:rPr>
          <w:sz w:val="20"/>
          <w:szCs w:val="20"/>
          <w:color w:val="auto"/>
        </w:rPr>
      </w:pPr>
    </w:p>
    <w:p>
      <w:pPr>
        <w:jc w:val="both"/>
        <w:ind w:left="620" w:right="260" w:firstLine="621"/>
        <w:spacing w:after="0" w:line="264" w:lineRule="auto"/>
        <w:tabs>
          <w:tab w:leader="none" w:pos="1858" w:val="left"/>
        </w:tabs>
        <w:numPr>
          <w:ilvl w:val="0"/>
          <w:numId w:val="156"/>
        </w:numPr>
        <w:rPr>
          <w:rFonts w:ascii="Arial" w:cs="Arial" w:eastAsia="Arial" w:hAnsi="Arial"/>
          <w:sz w:val="15"/>
          <w:szCs w:val="15"/>
          <w:color w:val="auto"/>
        </w:rPr>
      </w:pPr>
      <w:r>
        <w:rPr>
          <w:rFonts w:ascii="Arial" w:cs="Arial" w:eastAsia="Arial" w:hAnsi="Arial"/>
          <w:sz w:val="15"/>
          <w:szCs w:val="15"/>
          <w:color w:val="auto"/>
        </w:rPr>
        <w:t xml:space="preserve">Consolidated EBITDA shall be increased, solely for the purpose of determining the existence of an Event of Default resulting from a breach of the financial covenants set forth in </w:t>
      </w:r>
      <w:r>
        <w:rPr>
          <w:rFonts w:ascii="Arial" w:cs="Arial" w:eastAsia="Arial" w:hAnsi="Arial"/>
          <w:sz w:val="15"/>
          <w:szCs w:val="15"/>
          <w:u w:val="single" w:color="auto"/>
          <w:color w:val="auto"/>
        </w:rPr>
        <w:t>Section 10.7</w:t>
      </w:r>
      <w:r>
        <w:rPr>
          <w:rFonts w:ascii="Arial" w:cs="Arial" w:eastAsia="Arial" w:hAnsi="Arial"/>
          <w:sz w:val="15"/>
          <w:szCs w:val="15"/>
          <w:color w:val="auto"/>
        </w:rPr>
        <w:t xml:space="preserve"> as applicable, with respect to any period of four consecutive fiscal quarters that includes the fiscal quarter for which the Cure Right was exercised and not for any other purpose under this Agreement, by an amount equal to the Cure Amount;</w:t>
      </w:r>
    </w:p>
    <w:p>
      <w:pPr>
        <w:spacing w:after="0" w:line="152" w:lineRule="exact"/>
        <w:rPr>
          <w:rFonts w:ascii="Arial" w:cs="Arial" w:eastAsia="Arial" w:hAnsi="Arial"/>
          <w:sz w:val="15"/>
          <w:szCs w:val="15"/>
          <w:color w:val="auto"/>
        </w:rPr>
      </w:pPr>
    </w:p>
    <w:p>
      <w:pPr>
        <w:ind w:left="620" w:right="200" w:firstLine="621"/>
        <w:spacing w:after="0" w:line="236" w:lineRule="auto"/>
        <w:tabs>
          <w:tab w:leader="none" w:pos="185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Consolidated Total Debt shall be decreased solely to the extent proceeds of the Cure Amount are actually applied to prepay any of the Credit Facilities; and</w:t>
      </w:r>
    </w:p>
    <w:p>
      <w:pPr>
        <w:spacing w:after="0" w:line="157" w:lineRule="exact"/>
        <w:rPr>
          <w:rFonts w:ascii="Arial" w:cs="Arial" w:eastAsia="Arial" w:hAnsi="Arial"/>
          <w:sz w:val="17"/>
          <w:szCs w:val="17"/>
          <w:color w:val="auto"/>
        </w:rPr>
      </w:pPr>
    </w:p>
    <w:p>
      <w:pPr>
        <w:ind w:left="620" w:firstLine="621"/>
        <w:spacing w:after="0" w:line="233" w:lineRule="auto"/>
        <w:tabs>
          <w:tab w:leader="none" w:pos="185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if, after giving effect to the foregoing recalculations, Holdings shall then be in compliance with the requirements of the financial covenants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Holdings shall be deemed to have satisfied the requirements of such applicable financial covenant 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required to cause the Borrower to be in compliance with the applicable financial covenant; and (iv) all Cure Amounts shall be disregarded for the purposes of any financial ratio determination under the Credit Documents other than for determining compliance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applicable.</w:t>
      </w:r>
    </w:p>
    <w:p>
      <w:pPr>
        <w:spacing w:after="0" w:line="15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u w:val="single" w:color="auto"/>
          <w:color w:val="auto"/>
        </w:rPr>
        <w:t>The Agents</w:t>
      </w:r>
    </w:p>
    <w:p>
      <w:pPr>
        <w:spacing w:after="0" w:line="17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191" w:lineRule="exact"/>
        <w:rPr>
          <w:sz w:val="20"/>
          <w:szCs w:val="20"/>
          <w:color w:val="auto"/>
        </w:rPr>
      </w:pPr>
    </w:p>
    <w:p>
      <w:pPr>
        <w:ind w:right="100" w:firstLine="622"/>
        <w:spacing w:after="0" w:line="244" w:lineRule="auto"/>
        <w:tabs>
          <w:tab w:leader="none" w:pos="123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Section 12.1(c)</w:t>
      </w:r>
      <w:r>
        <w:rPr>
          <w:rFonts w:ascii="Arial" w:cs="Arial" w:eastAsia="Arial" w:hAnsi="Arial"/>
          <w:sz w:val="15"/>
          <w:szCs w:val="15"/>
          <w:color w:val="auto"/>
        </w:rPr>
        <w:t xml:space="preserve"> with respect to the Syndication Agents, the Documentation Agents, the Joint Lead Arrangers and Bookrunners and </w:t>
      </w:r>
      <w:r>
        <w:rPr>
          <w:rFonts w:ascii="Arial" w:cs="Arial" w:eastAsia="Arial" w:hAnsi="Arial"/>
          <w:sz w:val="15"/>
          <w:szCs w:val="15"/>
          <w:u w:val="single" w:color="auto"/>
          <w:color w:val="auto"/>
        </w:rPr>
        <w:t>Sections 12.1</w:t>
      </w:r>
      <w:r>
        <w:rPr>
          <w:rFonts w:ascii="Arial" w:cs="Arial" w:eastAsia="Arial" w:hAnsi="Arial"/>
          <w:sz w:val="15"/>
          <w:szCs w:val="15"/>
          <w:color w:val="auto"/>
        </w:rPr>
        <w:t xml:space="preserve">, </w:t>
      </w:r>
      <w:r>
        <w:rPr>
          <w:rFonts w:ascii="Arial" w:cs="Arial" w:eastAsia="Arial" w:hAnsi="Arial"/>
          <w:sz w:val="15"/>
          <w:szCs w:val="15"/>
          <w:u w:val="single" w:color="auto"/>
          <w:color w:val="auto"/>
        </w:rPr>
        <w:t>12.9</w:t>
      </w:r>
      <w:r>
        <w:rPr>
          <w:rFonts w:ascii="Arial" w:cs="Arial" w:eastAsia="Arial" w:hAnsi="Arial"/>
          <w:sz w:val="15"/>
          <w:szCs w:val="15"/>
          <w:color w:val="auto"/>
        </w:rPr>
        <w:t xml:space="preserve">, </w:t>
      </w:r>
      <w:r>
        <w:rPr>
          <w:rFonts w:ascii="Arial" w:cs="Arial" w:eastAsia="Arial" w:hAnsi="Arial"/>
          <w:sz w:val="15"/>
          <w:szCs w:val="15"/>
          <w:u w:val="single" w:color="auto"/>
          <w:color w:val="auto"/>
        </w:rPr>
        <w:t>12.11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12.12</w:t>
      </w:r>
      <w:r>
        <w:rPr>
          <w:rFonts w:ascii="Arial" w:cs="Arial" w:eastAsia="Arial" w:hAnsi="Arial"/>
          <w:sz w:val="15"/>
          <w:szCs w:val="15"/>
          <w:color w:val="auto"/>
        </w:rPr>
        <w:t xml:space="preserve"> with respect to Holdings)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06" w:lineRule="exact"/>
        <w:rPr>
          <w:sz w:val="20"/>
          <w:szCs w:val="20"/>
          <w:color w:val="auto"/>
        </w:rPr>
      </w:pPr>
    </w:p>
    <w:p>
      <w:pPr>
        <w:ind w:right="180" w:firstLine="622"/>
        <w:spacing w:after="0" w:line="249" w:lineRule="auto"/>
        <w:tabs>
          <w:tab w:leader="none" w:pos="1238"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or the Letter of Credit Issuers, and no implied covenants, functions, responsibilities, duties, obligations or liabilities shall be read into this Agreement or any other Credit Document or otherwise exist against the Collateral Agent.</w:t>
      </w:r>
    </w:p>
    <w:p>
      <w:pPr>
        <w:spacing w:after="0" w:line="154" w:lineRule="exact"/>
        <w:rPr>
          <w:rFonts w:ascii="Arial" w:cs="Arial" w:eastAsia="Arial" w:hAnsi="Arial"/>
          <w:sz w:val="15"/>
          <w:szCs w:val="15"/>
          <w:color w:val="auto"/>
        </w:rPr>
      </w:pPr>
    </w:p>
    <w:p>
      <w:pPr>
        <w:ind w:right="320" w:firstLine="622"/>
        <w:spacing w:after="0" w:line="236" w:lineRule="auto"/>
        <w:tabs>
          <w:tab w:leader="none" w:pos="123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Each of the Syndication Agent, Documentation Agent, Joint Lead Arrangers and Bookrunners each in its capacity as such, shall not have any obligations, duties or responsibilities under this Agreement but shall be entitled to all benefits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0" w:lineRule="exact"/>
        <w:rPr>
          <w:sz w:val="20"/>
          <w:szCs w:val="20"/>
          <w:color w:val="auto"/>
        </w:rPr>
      </w:pPr>
    </w:p>
    <w:p>
      <w:pPr>
        <w:ind w:right="60" w:firstLine="619"/>
        <w:spacing w:after="0" w:line="245"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5"/>
          <w:szCs w:val="15"/>
          <w:u w:val="single" w:color="auto"/>
          <w:color w:val="auto"/>
        </w:rPr>
        <w:t>Delegation of Duties</w:t>
      </w:r>
      <w:r>
        <w:rPr>
          <w:rFonts w:ascii="Arial" w:cs="Arial" w:eastAsia="Arial" w:hAnsi="Arial"/>
          <w:sz w:val="15"/>
          <w:szCs w:val="15"/>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w:t>
      </w:r>
    </w:p>
    <w:p>
      <w:pPr>
        <w:spacing w:after="0" w:line="1" w:lineRule="exact"/>
        <w:rPr>
          <w:sz w:val="20"/>
          <w:szCs w:val="20"/>
          <w:color w:val="auto"/>
        </w:rPr>
      </w:pPr>
    </w:p>
    <w:p>
      <w:pPr>
        <w:ind w:right="440"/>
        <w:spacing w:after="0" w:line="227" w:lineRule="auto"/>
        <w:rPr>
          <w:sz w:val="20"/>
          <w:szCs w:val="20"/>
          <w:color w:val="auto"/>
        </w:rPr>
      </w:pPr>
      <w:r>
        <w:rPr>
          <w:rFonts w:ascii="Arial" w:cs="Arial" w:eastAsia="Arial" w:hAnsi="Arial"/>
          <w:sz w:val="17"/>
          <w:szCs w:val="17"/>
          <w:color w:val="auto"/>
        </w:rPr>
        <w:t>in-fact selected by it in the absence of its gross negligence or willful misconduct (as determined in the final non-appealable judgment of a court of competent jurisdiction).</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u w:val="single" w:color="auto"/>
          <w:color w:val="auto"/>
        </w:rPr>
        <w:t>Exculpatory Provisions</w:t>
      </w:r>
      <w:r>
        <w:rPr>
          <w:rFonts w:ascii="Arial" w:cs="Arial" w:eastAsia="Arial" w:hAnsi="Arial"/>
          <w:sz w:val="15"/>
          <w:szCs w:val="15"/>
          <w:color w:val="auto"/>
        </w:rPr>
        <w:t>. No Agent nor any of its officers, directors, employees, agents, attorneys-in-fact or Affiliates shall be (a) liable for any</w:t>
      </w:r>
    </w:p>
    <w:p>
      <w:pPr>
        <w:ind w:right="140"/>
        <w:spacing w:after="0" w:line="239" w:lineRule="auto"/>
        <w:rPr>
          <w:sz w:val="20"/>
          <w:szCs w:val="20"/>
          <w:color w:val="auto"/>
        </w:rPr>
      </w:pPr>
      <w:r>
        <w:rPr>
          <w:rFonts w:ascii="Arial" w:cs="Arial" w:eastAsia="Arial" w:hAnsi="Arial"/>
          <w:sz w:val="15"/>
          <w:szCs w:val="15"/>
          <w:color w:val="auto"/>
        </w:rPr>
        <w:t>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w:t>
      </w:r>
    </w:p>
    <w:p>
      <w:pPr>
        <w:ind w:right="160"/>
        <w:spacing w:after="0" w:line="239" w:lineRule="auto"/>
        <w:rPr>
          <w:sz w:val="20"/>
          <w:szCs w:val="20"/>
          <w:color w:val="auto"/>
        </w:rPr>
      </w:pPr>
      <w:r>
        <w:rPr>
          <w:rFonts w:ascii="Arial" w:cs="Arial" w:eastAsia="Arial" w:hAnsi="Arial"/>
          <w:sz w:val="15"/>
          <w:szCs w:val="15"/>
          <w:color w:val="auto"/>
        </w:rPr>
        <w:t>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w:t>
      </w:r>
    </w:p>
    <w:p>
      <w:pPr>
        <w:spacing w:after="0" w:line="239" w:lineRule="auto"/>
        <w:rPr>
          <w:sz w:val="20"/>
          <w:szCs w:val="20"/>
          <w:color w:val="auto"/>
        </w:rPr>
      </w:pPr>
      <w:r>
        <w:rPr>
          <w:rFonts w:ascii="Arial" w:cs="Arial" w:eastAsia="Arial" w:hAnsi="Arial"/>
          <w:sz w:val="15"/>
          <w:szCs w:val="15"/>
          <w:color w:val="auto"/>
        </w:rPr>
        <w:t>any Lien or security interest created or purported to be created under the Security Documents, the value or sufficiency of the Collateral,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w:t>
      </w:r>
    </w:p>
    <w:p>
      <w:pPr>
        <w:spacing w:after="0" w:line="239" w:lineRule="auto"/>
        <w:rPr>
          <w:sz w:val="20"/>
          <w:szCs w:val="20"/>
          <w:color w:val="auto"/>
        </w:rPr>
      </w:pPr>
      <w:r>
        <w:rPr>
          <w:rFonts w:ascii="Arial" w:cs="Arial" w:eastAsia="Arial" w:hAnsi="Arial"/>
          <w:sz w:val="15"/>
          <w:szCs w:val="15"/>
          <w:color w:val="auto"/>
        </w:rPr>
        <w:t>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w:t>
      </w:r>
    </w:p>
    <w:p>
      <w:pPr>
        <w:jc w:val="both"/>
        <w:ind w:right="40"/>
        <w:spacing w:after="0" w:line="239" w:lineRule="auto"/>
        <w:rPr>
          <w:sz w:val="20"/>
          <w:szCs w:val="20"/>
          <w:color w:val="auto"/>
        </w:rPr>
      </w:pPr>
      <w:r>
        <w:rPr>
          <w:rFonts w:ascii="Arial" w:cs="Arial" w:eastAsia="Arial" w:hAnsi="Arial"/>
          <w:sz w:val="15"/>
          <w:szCs w:val="15"/>
          <w:color w:val="auto"/>
        </w:rPr>
        <w:t xml:space="preserve">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Agent shall be required to take any action that, in its opinion or the opinion of its counsel, may expose such Agent to liability or that is contrary to any Credit</w:t>
      </w:r>
    </w:p>
    <w:p>
      <w:pPr>
        <w:ind w:right="80"/>
        <w:spacing w:after="0" w:line="239" w:lineRule="auto"/>
        <w:rPr>
          <w:sz w:val="20"/>
          <w:szCs w:val="20"/>
          <w:color w:val="auto"/>
        </w:rPr>
      </w:pPr>
      <w:r>
        <w:rPr>
          <w:rFonts w:ascii="Arial" w:cs="Arial" w:eastAsia="Arial" w:hAnsi="Arial"/>
          <w:sz w:val="15"/>
          <w:szCs w:val="15"/>
          <w:color w:val="auto"/>
        </w:rPr>
        <w:t>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w:t>
      </w:r>
    </w:p>
    <w:p>
      <w:pPr>
        <w:spacing w:after="0" w:line="239" w:lineRule="auto"/>
        <w:rPr>
          <w:sz w:val="20"/>
          <w:szCs w:val="20"/>
          <w:color w:val="auto"/>
        </w:rPr>
      </w:pPr>
      <w:r>
        <w:rPr>
          <w:rFonts w:ascii="Arial" w:cs="Arial" w:eastAsia="Arial" w:hAnsi="Arial"/>
          <w:sz w:val="15"/>
          <w:szCs w:val="15"/>
          <w:color w:val="auto"/>
        </w:rPr>
        <w:t>any of the other Subsidiaries that is communicated to or obtained by the bank serving as Administrative Agent and/or Collateral Agent or any of its Affiliates in any capacity. The Administrative Agent shall not be responsible or have any liability for, or have any duty to ascertain, inquire into, monitor or enforce, compliance with the provisions of this Agreement relating to Disqualified Lenders. Without limiting the generality of the foregoing, the Administrative Agent shall not (x) be</w:t>
      </w:r>
    </w:p>
    <w:p>
      <w:pPr>
        <w:ind w:right="360"/>
        <w:spacing w:after="0" w:line="243" w:lineRule="auto"/>
        <w:rPr>
          <w:sz w:val="20"/>
          <w:szCs w:val="20"/>
          <w:color w:val="auto"/>
        </w:rPr>
      </w:pPr>
      <w:r>
        <w:rPr>
          <w:rFonts w:ascii="Arial" w:cs="Arial" w:eastAsia="Arial" w:hAnsi="Arial"/>
          <w:sz w:val="16"/>
          <w:szCs w:val="16"/>
          <w:color w:val="auto"/>
        </w:rPr>
        <w:t>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55" w:lineRule="exact"/>
        <w:rPr>
          <w:sz w:val="20"/>
          <w:szCs w:val="20"/>
          <w:color w:val="auto"/>
        </w:rPr>
      </w:pPr>
    </w:p>
    <w:p>
      <w:pPr>
        <w:ind w:right="60" w:firstLine="619"/>
        <w:spacing w:after="0" w:line="251" w:lineRule="auto"/>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Reliance by Agents</w:t>
      </w:r>
      <w:r>
        <w:rPr>
          <w:rFonts w:ascii="Arial" w:cs="Arial" w:eastAsia="Arial" w:hAnsi="Arial"/>
          <w:sz w:val="15"/>
          <w:szCs w:val="15"/>
          <w:color w:val="auto"/>
        </w:rPr>
        <w:t>.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 be genuine and correct and to have been signed, sent or made by the proper Person or Persons and upon advice and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of legal counsel (including counsel to Holdings and the Borrower), independent accountants and other experts selected by the Administrative Agent or the</w:t>
      </w:r>
    </w:p>
    <w:p>
      <w:pPr>
        <w:spacing w:after="0" w:line="11"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color w:val="auto"/>
        </w:rPr>
        <w:t>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w:t>
      </w:r>
    </w:p>
    <w:p>
      <w:pPr>
        <w:ind w:right="40"/>
        <w:spacing w:after="0" w:line="239" w:lineRule="auto"/>
        <w:rPr>
          <w:sz w:val="20"/>
          <w:szCs w:val="20"/>
          <w:color w:val="auto"/>
        </w:rPr>
      </w:pPr>
      <w:r>
        <w:rPr>
          <w:rFonts w:ascii="Arial" w:cs="Arial" w:eastAsia="Arial" w:hAnsi="Arial"/>
          <w:sz w:val="15"/>
          <w:szCs w:val="15"/>
          <w:color w:val="auto"/>
        </w:rPr>
        <w:t>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In determining compliance with any condition hereunder to the making of a Loan, or the issuance, extension, renewal or increase of a Letter of Credit, that by its terms must be fulfilled to the</w:t>
      </w:r>
    </w:p>
    <w:p>
      <w:pPr>
        <w:ind w:right="40"/>
        <w:spacing w:after="0" w:line="239" w:lineRule="auto"/>
        <w:rPr>
          <w:sz w:val="20"/>
          <w:szCs w:val="20"/>
          <w:color w:val="auto"/>
        </w:rPr>
      </w:pPr>
      <w:r>
        <w:rPr>
          <w:rFonts w:ascii="Arial" w:cs="Arial" w:eastAsia="Arial" w:hAnsi="Arial"/>
          <w:sz w:val="15"/>
          <w:szCs w:val="15"/>
          <w:color w:val="auto"/>
        </w:rPr>
        <w:t>satisfaction of a Lender or a Letter of Credit Issuer, the Administrative Agent may presume that such condition is satisfactory to such Lender or such Letter of Credit Issuer unless the Administrative Agent shall have received notice to the contrary from such Lender or such Letter of Credit Issuer prior to the making of such Loan or the issuance of such Letter of Credit. The Administrative Agent and the Collateral Agent shall in all cases be fully protected in acting, or in refraining</w:t>
      </w:r>
    </w:p>
    <w:p>
      <w:pPr>
        <w:ind w:right="60"/>
        <w:spacing w:after="0" w:line="239" w:lineRule="auto"/>
        <w:rPr>
          <w:sz w:val="20"/>
          <w:szCs w:val="20"/>
          <w:color w:val="auto"/>
        </w:rPr>
      </w:pPr>
      <w:r>
        <w:rPr>
          <w:rFonts w:ascii="Arial" w:cs="Arial" w:eastAsia="Arial" w:hAnsi="Arial"/>
          <w:sz w:val="15"/>
          <w:szCs w:val="15"/>
          <w:color w:val="auto"/>
        </w:rPr>
        <w:t xml:space="preserve">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and the Collateral Agent shall not be required to take any action that, in its opinion or in the opinion of its counsel, may expose it to liability or that is contrary to any Credit</w:t>
      </w:r>
    </w:p>
    <w:p>
      <w:pPr>
        <w:spacing w:after="0"/>
        <w:rPr>
          <w:sz w:val="20"/>
          <w:szCs w:val="20"/>
          <w:color w:val="auto"/>
        </w:rPr>
      </w:pPr>
      <w:r>
        <w:rPr>
          <w:rFonts w:ascii="Arial" w:cs="Arial" w:eastAsia="Arial" w:hAnsi="Arial"/>
          <w:sz w:val="17"/>
          <w:szCs w:val="17"/>
          <w:color w:val="auto"/>
        </w:rPr>
        <w:t>Document or applicable law.</w:t>
      </w:r>
    </w:p>
    <w:p>
      <w:pPr>
        <w:spacing w:after="0" w:line="164" w:lineRule="exact"/>
        <w:rPr>
          <w:sz w:val="20"/>
          <w:szCs w:val="20"/>
          <w:color w:val="auto"/>
        </w:rPr>
      </w:pPr>
    </w:p>
    <w:p>
      <w:pPr>
        <w:ind w:right="160" w:firstLine="619"/>
        <w:spacing w:after="0" w:line="251"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u w:val="single" w:color="auto"/>
          <w:color w:val="auto"/>
        </w:rPr>
        <w:t>Notice of Default</w:t>
      </w:r>
      <w:r>
        <w:rPr>
          <w:rFonts w:ascii="Arial" w:cs="Arial" w:eastAsia="Arial" w:hAnsi="Arial"/>
          <w:sz w:val="15"/>
          <w:szCs w:val="15"/>
          <w:color w:val="auto"/>
        </w:rPr>
        <w:t>. Neither the Administrative Agent nor the Collateral Agent shall be deemed to have knowledge or notice of the occurrence of any Default or Event of Default hereunder unless the Administrative Agent or the Collateral Agent has received written notice from a Lender or Holdings or the</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 xml:space="preserve">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and until the Administrative Agent</w:t>
      </w:r>
    </w:p>
    <w:p>
      <w:pPr>
        <w:jc w:val="both"/>
        <w:ind w:right="120"/>
        <w:spacing w:after="0" w:line="220" w:lineRule="auto"/>
        <w:rPr>
          <w:sz w:val="20"/>
          <w:szCs w:val="20"/>
          <w:color w:val="auto"/>
        </w:rPr>
      </w:pPr>
      <w:r>
        <w:rPr>
          <w:rFonts w:ascii="Arial" w:cs="Arial" w:eastAsia="Arial" w:hAnsi="Arial"/>
          <w:sz w:val="17"/>
          <w:szCs w:val="17"/>
          <w:color w:val="auto"/>
        </w:rPr>
        <w:t>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170" w:lineRule="exact"/>
        <w:rPr>
          <w:sz w:val="20"/>
          <w:szCs w:val="20"/>
          <w:color w:val="auto"/>
        </w:rPr>
      </w:pPr>
    </w:p>
    <w:p>
      <w:pPr>
        <w:ind w:right="160" w:firstLine="619"/>
        <w:spacing w:after="0" w:line="245"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u w:val="single" w:color="auto"/>
          <w:color w:val="auto"/>
        </w:rPr>
        <w:t>Non-Reliance on Administrative Agent, Collateral Agent, and Other Lenders</w:t>
      </w:r>
      <w:r>
        <w:rPr>
          <w:rFonts w:ascii="Arial" w:cs="Arial" w:eastAsia="Arial" w:hAnsi="Arial"/>
          <w:sz w:val="15"/>
          <w:szCs w:val="15"/>
          <w:color w:val="auto"/>
        </w:rPr>
        <w:t>. Each Lender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Credit Party, shall be deemed to constitute any representation or warranty by the Administrative Agent or the Collateral Agent to any Lender, the Swingline Lender or any Letter of Credit Issuer. Each Lender, the Swingline Lender and the Letter of Credit Issuer represents to the Administrative Agent and the Collateral Agent that it has, independently and without reliance upon the Administrative Agent, the Collateral Agent or any other Lender, and based on such documents and</w:t>
      </w:r>
    </w:p>
    <w:p>
      <w:pPr>
        <w:ind w:right="140"/>
        <w:spacing w:after="0" w:line="239" w:lineRule="auto"/>
        <w:rPr>
          <w:sz w:val="20"/>
          <w:szCs w:val="20"/>
          <w:color w:val="auto"/>
        </w:rPr>
      </w:pPr>
      <w:r>
        <w:rPr>
          <w:rFonts w:ascii="Arial" w:cs="Arial" w:eastAsia="Arial" w:hAnsi="Arial"/>
          <w:sz w:val="15"/>
          <w:szCs w:val="15"/>
          <w:color w:val="auto"/>
        </w:rPr>
        <w:t>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w:t>
      </w:r>
    </w:p>
    <w:p>
      <w:pPr>
        <w:ind w:right="20"/>
        <w:spacing w:after="0" w:line="239" w:lineRule="auto"/>
        <w:rPr>
          <w:sz w:val="20"/>
          <w:szCs w:val="20"/>
          <w:color w:val="auto"/>
        </w:rPr>
      </w:pPr>
      <w:r>
        <w:rPr>
          <w:rFonts w:ascii="Arial" w:cs="Arial" w:eastAsia="Arial" w:hAnsi="Arial"/>
          <w:sz w:val="15"/>
          <w:szCs w:val="15"/>
          <w:color w:val="auto"/>
        </w:rPr>
        <w:t>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w:t>
      </w:r>
    </w:p>
    <w:p>
      <w:pPr>
        <w:jc w:val="both"/>
        <w:ind w:right="100"/>
        <w:spacing w:after="0" w:line="239" w:lineRule="auto"/>
        <w:rPr>
          <w:sz w:val="20"/>
          <w:szCs w:val="20"/>
          <w:color w:val="auto"/>
        </w:rPr>
      </w:pPr>
      <w:r>
        <w:rPr>
          <w:rFonts w:ascii="Arial" w:cs="Arial" w:eastAsia="Arial" w:hAnsi="Arial"/>
          <w:sz w:val="15"/>
          <w:szCs w:val="15"/>
          <w:color w:val="auto"/>
        </w:rPr>
        <w:t>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w:t>
      </w:r>
    </w:p>
    <w:p>
      <w:pPr>
        <w:spacing w:after="0"/>
        <w:rPr>
          <w:sz w:val="20"/>
          <w:szCs w:val="20"/>
          <w:color w:val="auto"/>
        </w:rPr>
      </w:pPr>
      <w:r>
        <w:rPr>
          <w:rFonts w:ascii="Arial" w:cs="Arial" w:eastAsia="Arial" w:hAnsi="Arial"/>
          <w:sz w:val="17"/>
          <w:szCs w:val="17"/>
          <w:color w:val="auto"/>
        </w:rPr>
        <w:t>agents, attorneys-in-fact or Affiliates.</w:t>
      </w:r>
    </w:p>
    <w:p>
      <w:pPr>
        <w:spacing w:after="0" w:line="164" w:lineRule="exact"/>
        <w:rPr>
          <w:sz w:val="20"/>
          <w:szCs w:val="20"/>
          <w:color w:val="auto"/>
        </w:rPr>
      </w:pPr>
    </w:p>
    <w:p>
      <w:pPr>
        <w:ind w:firstLine="619"/>
        <w:spacing w:after="0" w:line="245"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Indemnification</w:t>
      </w:r>
      <w:r>
        <w:rPr>
          <w:rFonts w:ascii="Arial" w:cs="Arial" w:eastAsia="Arial" w:hAnsi="Arial"/>
          <w:sz w:val="15"/>
          <w:szCs w:val="15"/>
          <w:color w:val="auto"/>
        </w:rPr>
        <w:t>.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w:t>
      </w:r>
    </w:p>
    <w:p>
      <w:pPr>
        <w:spacing w:after="0" w:line="1"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against an Agent in any way relating to or arising out of the Commitments, this Agreement, any of the other Credit Documents or any documents contemplated by</w:t>
      </w:r>
    </w:p>
    <w:p>
      <w:pPr>
        <w:spacing w:after="0" w:line="22" w:lineRule="exact"/>
        <w:rPr>
          <w:sz w:val="20"/>
          <w:szCs w:val="20"/>
          <w:color w:val="auto"/>
        </w:rPr>
      </w:pPr>
    </w:p>
    <w:p>
      <w:pPr>
        <w:jc w:val="both"/>
        <w:ind w:right="360"/>
        <w:spacing w:after="0" w:line="239" w:lineRule="auto"/>
        <w:rPr>
          <w:sz w:val="20"/>
          <w:szCs w:val="20"/>
          <w:color w:val="auto"/>
        </w:rPr>
      </w:pPr>
      <w:r>
        <w:rPr>
          <w:rFonts w:ascii="Arial" w:cs="Arial" w:eastAsia="Arial" w:hAnsi="Arial"/>
          <w:sz w:val="15"/>
          <w:szCs w:val="15"/>
          <w:color w:val="auto"/>
        </w:rPr>
        <w:t xml:space="preserve">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w:t>
      </w:r>
    </w:p>
    <w:p>
      <w:pPr>
        <w:spacing w:after="0" w:line="239" w:lineRule="auto"/>
        <w:rPr>
          <w:sz w:val="20"/>
          <w:szCs w:val="20"/>
          <w:color w:val="auto"/>
        </w:rPr>
      </w:pPr>
      <w:r>
        <w:rPr>
          <w:rFonts w:ascii="Arial" w:cs="Arial" w:eastAsia="Arial" w:hAnsi="Arial"/>
          <w:sz w:val="15"/>
          <w:szCs w:val="15"/>
          <w:color w:val="auto"/>
        </w:rPr>
        <w:t xml:space="preserve">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5"/>
          <w:szCs w:val="15"/>
          <w:u w:val="single" w:color="auto"/>
          <w:color w:val="auto"/>
        </w:rPr>
        <w:t>Section 12.7</w:t>
      </w:r>
      <w:r>
        <w:rPr>
          <w:rFonts w:ascii="Arial" w:cs="Arial" w:eastAsia="Arial" w:hAnsi="Arial"/>
          <w:sz w:val="15"/>
          <w:szCs w:val="15"/>
          <w:color w:val="auto"/>
        </w:rPr>
        <w:t>. In the case of any investigation, litigation or proceeding</w:t>
      </w:r>
    </w:p>
    <w:p>
      <w:pPr>
        <w:ind w:right="20"/>
        <w:spacing w:after="0" w:line="239" w:lineRule="auto"/>
        <w:rPr>
          <w:sz w:val="20"/>
          <w:szCs w:val="20"/>
          <w:color w:val="auto"/>
        </w:rPr>
      </w:pPr>
      <w:r>
        <w:rPr>
          <w:rFonts w:ascii="Arial" w:cs="Arial" w:eastAsia="Arial" w:hAnsi="Arial"/>
          <w:sz w:val="15"/>
          <w:szCs w:val="15"/>
          <w:color w:val="auto"/>
        </w:rPr>
        <w:t xml:space="preserve">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5"/>
          <w:szCs w:val="15"/>
          <w:u w:val="single" w:color="auto"/>
          <w:color w:val="auto"/>
        </w:rPr>
        <w:t>Section 12.7</w:t>
      </w:r>
      <w:r>
        <w:rPr>
          <w:rFonts w:ascii="Arial" w:cs="Arial" w:eastAsia="Arial" w:hAnsi="Arial"/>
          <w:sz w:val="15"/>
          <w:szCs w:val="15"/>
          <w:color w:val="auto"/>
        </w:rPr>
        <w:t xml:space="preserve"> applies whether any such investigation, litigation or proceeding is brought by any Lender or any other Person. Without limitation of the foregoing, each Lender shall reimburse each Agent upon demand for its ratable share of any</w:t>
      </w:r>
    </w:p>
    <w:p>
      <w:pPr>
        <w:ind w:right="340"/>
        <w:spacing w:after="0" w:line="239" w:lineRule="auto"/>
        <w:rPr>
          <w:sz w:val="20"/>
          <w:szCs w:val="20"/>
          <w:color w:val="auto"/>
        </w:rPr>
      </w:pPr>
      <w:r>
        <w:rPr>
          <w:rFonts w:ascii="Arial" w:cs="Arial" w:eastAsia="Arial" w:hAnsi="Arial"/>
          <w:sz w:val="15"/>
          <w:szCs w:val="15"/>
          <w:color w:val="auto"/>
        </w:rPr>
        <w:t>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w:t>
      </w:r>
    </w:p>
    <w:p>
      <w:pPr>
        <w:ind w:right="20"/>
        <w:spacing w:after="0" w:line="239" w:lineRule="auto"/>
        <w:rPr>
          <w:sz w:val="20"/>
          <w:szCs w:val="20"/>
          <w:color w:val="auto"/>
        </w:rPr>
      </w:pPr>
      <w:r>
        <w:rPr>
          <w:rFonts w:ascii="Arial" w:cs="Arial" w:eastAsia="Arial" w:hAnsi="Arial"/>
          <w:sz w:val="15"/>
          <w:szCs w:val="15"/>
          <w:color w:val="auto"/>
        </w:rPr>
        <w:t xml:space="preserve">reimbursed for such expenses by or on behalf of Holdings or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reimbursement by the Lenders shall not affect Holdings’ or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w:t>
      </w:r>
    </w:p>
    <w:p>
      <w:pPr>
        <w:spacing w:after="0" w:line="239" w:lineRule="auto"/>
        <w:rPr>
          <w:sz w:val="20"/>
          <w:szCs w:val="20"/>
          <w:color w:val="auto"/>
        </w:rPr>
      </w:pPr>
      <w:r>
        <w:rPr>
          <w:rFonts w:ascii="Arial" w:cs="Arial" w:eastAsia="Arial" w:hAnsi="Arial"/>
          <w:sz w:val="15"/>
          <w:szCs w:val="15"/>
          <w:color w:val="auto"/>
        </w:rPr>
        <w:t xml:space="preserve">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this sentence shall not be deemed to require any Lender to indemnify any Agent against any liability, obligation, loss, damage, penalty, action, judgment, suit, cost, expense or</w:t>
      </w:r>
    </w:p>
    <w:p>
      <w:pPr>
        <w:ind w:right="80"/>
        <w:spacing w:after="0" w:line="239" w:lineRule="auto"/>
        <w:rPr>
          <w:sz w:val="20"/>
          <w:szCs w:val="20"/>
          <w:color w:val="auto"/>
        </w:rPr>
      </w:pPr>
      <w:r>
        <w:rPr>
          <w:rFonts w:ascii="Arial" w:cs="Arial" w:eastAsia="Arial" w:hAnsi="Arial"/>
          <w:sz w:val="15"/>
          <w:szCs w:val="15"/>
          <w:color w:val="auto"/>
        </w:rPr>
        <w:t xml:space="preserve">disbursement resulting from such Agent’s gross negligence or willful misconduct as determined by a final non-appealable judgment of a court of competent jurisdiction. The agreements in this </w:t>
      </w:r>
      <w:r>
        <w:rPr>
          <w:rFonts w:ascii="Arial" w:cs="Arial" w:eastAsia="Arial" w:hAnsi="Arial"/>
          <w:sz w:val="15"/>
          <w:szCs w:val="15"/>
          <w:u w:val="single" w:color="auto"/>
          <w:color w:val="auto"/>
        </w:rPr>
        <w:t>Section 12.7</w:t>
      </w:r>
      <w:r>
        <w:rPr>
          <w:rFonts w:ascii="Arial" w:cs="Arial" w:eastAsia="Arial" w:hAnsi="Arial"/>
          <w:sz w:val="15"/>
          <w:szCs w:val="15"/>
          <w:color w:val="auto"/>
        </w:rPr>
        <w:t xml:space="preserve"> shall survive the payment of the Loans and all other amounts payable hereunder. The indemnity provided to each Agent under this </w:t>
      </w:r>
      <w:r>
        <w:rPr>
          <w:rFonts w:ascii="Arial" w:cs="Arial" w:eastAsia="Arial" w:hAnsi="Arial"/>
          <w:sz w:val="15"/>
          <w:szCs w:val="15"/>
          <w:u w:val="single" w:color="auto"/>
          <w:color w:val="auto"/>
        </w:rPr>
        <w:t>Section 12.7</w:t>
      </w:r>
      <w:r>
        <w:rPr>
          <w:rFonts w:ascii="Arial" w:cs="Arial" w:eastAsia="Arial" w:hAnsi="Arial"/>
          <w:sz w:val="15"/>
          <w:szCs w:val="15"/>
          <w:color w:val="auto"/>
        </w:rPr>
        <w:t xml:space="preserve"> shall also apply to such Agent’s respective Affiliates, directors, officers, members, controlling persons, employees, trustees,</w:t>
      </w:r>
    </w:p>
    <w:p>
      <w:pPr>
        <w:spacing w:after="0"/>
        <w:rPr>
          <w:sz w:val="20"/>
          <w:szCs w:val="20"/>
          <w:color w:val="auto"/>
        </w:rPr>
      </w:pPr>
      <w:r>
        <w:rPr>
          <w:rFonts w:ascii="Arial" w:cs="Arial" w:eastAsia="Arial" w:hAnsi="Arial"/>
          <w:sz w:val="17"/>
          <w:szCs w:val="17"/>
          <w:color w:val="auto"/>
        </w:rPr>
        <w:t>investment advisors and agents and successors.</w:t>
      </w:r>
    </w:p>
    <w:p>
      <w:pPr>
        <w:spacing w:after="0" w:line="164" w:lineRule="exact"/>
        <w:rPr>
          <w:sz w:val="20"/>
          <w:szCs w:val="20"/>
          <w:color w:val="auto"/>
        </w:rPr>
      </w:pPr>
    </w:p>
    <w:p>
      <w:pPr>
        <w:ind w:right="40" w:firstLine="619"/>
        <w:spacing w:after="0" w:line="251" w:lineRule="auto"/>
        <w:rPr>
          <w:sz w:val="20"/>
          <w:szCs w:val="20"/>
          <w:color w:val="auto"/>
        </w:rPr>
      </w:pPr>
      <w:r>
        <w:rPr>
          <w:rFonts w:ascii="Arial" w:cs="Arial" w:eastAsia="Arial" w:hAnsi="Arial"/>
          <w:sz w:val="15"/>
          <w:szCs w:val="15"/>
          <w:color w:val="auto"/>
        </w:rPr>
        <w:t xml:space="preserve">12.8 </w:t>
      </w:r>
      <w:r>
        <w:rPr>
          <w:rFonts w:ascii="Arial" w:cs="Arial" w:eastAsia="Arial" w:hAnsi="Arial"/>
          <w:sz w:val="15"/>
          <w:szCs w:val="15"/>
          <w:u w:val="single" w:color="auto"/>
          <w:color w:val="auto"/>
        </w:rPr>
        <w:t>Agents in Their Individual Capacities</w:t>
      </w:r>
      <w:r>
        <w:rPr>
          <w:rFonts w:ascii="Arial" w:cs="Arial" w:eastAsia="Arial" w:hAnsi="Arial"/>
          <w:sz w:val="15"/>
          <w:szCs w:val="15"/>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178" w:lineRule="exact"/>
        <w:rPr>
          <w:sz w:val="20"/>
          <w:szCs w:val="20"/>
          <w:color w:val="auto"/>
        </w:rPr>
      </w:pPr>
    </w:p>
    <w:p>
      <w:pPr>
        <w:ind w:right="60" w:firstLine="622"/>
        <w:spacing w:after="0" w:line="247" w:lineRule="auto"/>
        <w:tabs>
          <w:tab w:leader="none" w:pos="1238" w:val="left"/>
        </w:tabs>
        <w:numPr>
          <w:ilvl w:val="0"/>
          <w:numId w:val="159"/>
        </w:numPr>
        <w:rPr>
          <w:rFonts w:ascii="Arial" w:cs="Arial" w:eastAsia="Arial" w:hAnsi="Arial"/>
          <w:sz w:val="15"/>
          <w:szCs w:val="15"/>
          <w:color w:val="auto"/>
        </w:rPr>
      </w:pPr>
      <w:r>
        <w:rPr>
          <w:rFonts w:ascii="Arial" w:cs="Arial" w:eastAsia="Arial" w:hAnsi="Arial"/>
          <w:sz w:val="15"/>
          <w:szCs w:val="15"/>
          <w:color w:val="auto"/>
        </w:rPr>
        <w:t xml:space="preserve">Each of the Administrative Agent and the Collateral Agent may at any time give notice of its resignation to the Lenders, the Letter of Credit Issuer and Holdings.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5"/>
          <w:szCs w:val="15"/>
          <w:u w:val="single" w:color="auto"/>
          <w:color w:val="auto"/>
        </w:rPr>
        <w:t>Sections 11.1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11.5</w:t>
      </w:r>
      <w:r>
        <w:rPr>
          <w:rFonts w:ascii="Arial" w:cs="Arial" w:eastAsia="Arial" w:hAnsi="Arial"/>
          <w:sz w:val="15"/>
          <w:szCs w:val="15"/>
          <w:color w:val="auto"/>
        </w:rPr>
        <w:t xml:space="preserve"> is continuing, to appoint a successor, which shall be a bank or trust company with an office in the United States, or an Affiliate of any such bank or trust company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Arial" w:cs="Arial" w:eastAsia="Arial" w:hAnsi="Arial"/>
          <w:sz w:val="15"/>
          <w:szCs w:val="15"/>
          <w:b w:val="1"/>
          <w:bCs w:val="1"/>
          <w:color w:val="auto"/>
        </w:rPr>
        <w:t>Resignation Effective Date</w:t>
      </w:r>
      <w:r>
        <w:rPr>
          <w:rFonts w:ascii="Arial" w:cs="Arial" w:eastAsia="Arial" w:hAnsi="Arial"/>
          <w:sz w:val="15"/>
          <w:szCs w:val="15"/>
          <w:color w:val="auto"/>
        </w:rPr>
        <w:t xml:space="preserve">”), then the retiring Agent may on behalf of the Lenders, appoint a successor Agent meeting the qualifications set forth above (including receipt of the Borrower’s consent);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such successor Administrative Agent be a Defaulting Lender or Disqualified Lender, and further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55" w:lineRule="exact"/>
        <w:rPr>
          <w:rFonts w:ascii="Arial" w:cs="Arial" w:eastAsia="Arial" w:hAnsi="Arial"/>
          <w:sz w:val="15"/>
          <w:szCs w:val="15"/>
          <w:color w:val="auto"/>
        </w:rPr>
      </w:pPr>
    </w:p>
    <w:p>
      <w:pPr>
        <w:ind w:right="80" w:firstLine="622"/>
        <w:spacing w:after="0" w:line="224" w:lineRule="auto"/>
        <w:tabs>
          <w:tab w:leader="none" w:pos="123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If the Person serving as the Administrative Agent is a Defaulting Lender pursuant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appointment within 30 days (or such earlier day as shall be agreed by the Required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45" w:lineRule="exact"/>
        <w:rPr>
          <w:sz w:val="20"/>
          <w:szCs w:val="20"/>
          <w:color w:val="auto"/>
        </w:rPr>
      </w:pPr>
    </w:p>
    <w:p>
      <w:pPr>
        <w:ind w:right="40" w:firstLine="622"/>
        <w:spacing w:after="0" w:line="227" w:lineRule="auto"/>
        <w:tabs>
          <w:tab w:leader="none" w:pos="12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Except as provided above, any resignation or removal of Bank of America, N.A.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the resignation or removal of Bank of America, N.A. as the Collateral Agent. The fees payable by Holdings or the Borrower (following the effectiveness of such appointment) to such Agent shall be the same as those payable to its predecessor unless otherwise agreed between Holdings or Borrower and such successor. After the retiring or removed Agent’s resignation or removal hereunder and under the other Credit Documents,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167" w:lineRule="exact"/>
        <w:rPr>
          <w:rFonts w:ascii="Arial" w:cs="Arial" w:eastAsia="Arial" w:hAnsi="Arial"/>
          <w:sz w:val="16"/>
          <w:szCs w:val="16"/>
          <w:color w:val="auto"/>
        </w:rPr>
      </w:pPr>
    </w:p>
    <w:p>
      <w:pPr>
        <w:ind w:right="40" w:firstLine="622"/>
        <w:spacing w:after="0" w:line="230" w:lineRule="auto"/>
        <w:tabs>
          <w:tab w:leader="none" w:pos="12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resignation by or removal of Bank of America, N.A.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its resignation or removal as Swingline Lender and its Affiliate’s or its resignation or removal, as applicable, as a Letter of Credit Issuer (if such Affiliate or Bank of America, N.A. is a Letter of Credit Issuer). Upon the acceptance of a successor’s appointment as the Administrative Agent hereunder, (a) such successor shall succeed to and become vested with all of the rights, powers, privileges and duties of the retiring Letter of Credit Issuer and Swingline Lender, (b) the retiring Letter of Credit Issuer (if an Affiliate of Bank of America, N.A. is a Letter of Credit Issuer or if Bank of America, N.A. is a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(if an Affiliate of Bank of America, N.A. or Bank of America, N.A. is a Letter of Credit Issuer) to effectively assume the obligations of the retiring Letter of Credit Issuer (if an Affiliate or Bank of America, N.A. or Bank of America, N.A. is a Letter of Credit Issuer) with respect to such Letters of Credit.</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12.10</w:t>
      </w:r>
      <w:r>
        <w:rPr>
          <w:sz w:val="20"/>
          <w:szCs w:val="20"/>
          <w:color w:val="auto"/>
        </w:rPr>
        <w:tab/>
      </w:r>
      <w:r>
        <w:rPr>
          <w:rFonts w:ascii="Arial" w:cs="Arial" w:eastAsia="Arial" w:hAnsi="Arial"/>
          <w:sz w:val="16"/>
          <w:szCs w:val="16"/>
          <w:u w:val="single" w:color="auto"/>
          <w:color w:val="auto"/>
        </w:rPr>
        <w:t>Withholding Tax</w:t>
      </w:r>
      <w:r>
        <w:rPr>
          <w:rFonts w:ascii="Arial" w:cs="Arial" w:eastAsia="Arial" w:hAnsi="Arial"/>
          <w:sz w:val="16"/>
          <w:szCs w:val="16"/>
          <w:color w:val="auto"/>
        </w:rPr>
        <w:t>. To the extent required by any applicable law, the Administrative Agent may withhold from any payment to any Lender under</w:t>
      </w:r>
    </w:p>
    <w:p>
      <w:pPr>
        <w:jc w:val="both"/>
        <w:spacing w:after="0" w:line="239" w:lineRule="auto"/>
        <w:rPr>
          <w:sz w:val="20"/>
          <w:szCs w:val="20"/>
          <w:color w:val="auto"/>
        </w:rPr>
      </w:pPr>
      <w:r>
        <w:rPr>
          <w:rFonts w:ascii="Arial" w:cs="Arial" w:eastAsia="Arial" w:hAnsi="Arial"/>
          <w:sz w:val="15"/>
          <w:szCs w:val="15"/>
          <w:color w:val="auto"/>
        </w:rPr>
        <w:t>any Credit Document an amount equivalent to any applicable withholding Tax. If the Internal Revenue Service or any Governmental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w:t>
      </w:r>
    </w:p>
    <w:p>
      <w:pPr>
        <w:jc w:val="both"/>
        <w:spacing w:after="0" w:line="239" w:lineRule="auto"/>
        <w:rPr>
          <w:sz w:val="20"/>
          <w:szCs w:val="20"/>
          <w:color w:val="auto"/>
        </w:rPr>
      </w:pPr>
      <w:r>
        <w:rPr>
          <w:rFonts w:ascii="Arial" w:cs="Arial" w:eastAsia="Arial" w:hAnsi="Arial"/>
          <w:sz w:val="15"/>
          <w:szCs w:val="15"/>
          <w:color w:val="auto"/>
        </w:rPr>
        <w:t>change in circumstances that rendered the exemption from, or reduction of, withholding Tax ineffective) whether or not such claim is correctly or legally asserted,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w:t>
      </w:r>
    </w:p>
    <w:p>
      <w:pPr>
        <w:jc w:val="both"/>
        <w:spacing w:after="0" w:line="237" w:lineRule="auto"/>
        <w:rPr>
          <w:sz w:val="20"/>
          <w:szCs w:val="20"/>
          <w:color w:val="auto"/>
        </w:rPr>
      </w:pPr>
      <w:r>
        <w:rPr>
          <w:rFonts w:ascii="Arial" w:cs="Arial" w:eastAsia="Arial" w:hAnsi="Arial"/>
          <w:sz w:val="15"/>
          <w:szCs w:val="15"/>
          <w:color w:val="auto"/>
        </w:rPr>
        <w:t>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 xml:space="preserve">at any time owing to such Lender under this Agreement or any other Credit Document against any amount due to the Administrative Agent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12.10</w:t>
      </w:r>
      <w:r>
        <w:rPr>
          <w:rFonts w:ascii="Arial" w:cs="Arial" w:eastAsia="Arial" w:hAnsi="Arial"/>
          <w:sz w:val="17"/>
          <w:szCs w:val="17"/>
          <w:color w:val="auto"/>
        </w:rPr>
        <w:t xml:space="preserve">. The agreements in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shall survive the resignation and/or replacement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0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15"/>
          <w:szCs w:val="15"/>
          <w:u w:val="single" w:color="auto"/>
          <w:color w:val="auto"/>
        </w:rPr>
        <w:t>Section 12.10</w:t>
      </w:r>
      <w:r>
        <w:rPr>
          <w:rFonts w:ascii="Arial" w:cs="Arial" w:eastAsia="Arial" w:hAnsi="Arial"/>
          <w:sz w:val="15"/>
          <w:szCs w:val="15"/>
          <w:color w:val="auto"/>
        </w:rPr>
        <w:t>, the term Lender includes the Letter of Credit Issuer and the Swingline Lender.</w:t>
      </w:r>
    </w:p>
    <w:p>
      <w:pPr>
        <w:spacing w:after="0" w:line="10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Agents Under Security Documents and Guarantee</w:t>
      </w:r>
      <w:r>
        <w:rPr>
          <w:rFonts w:ascii="Arial" w:cs="Arial" w:eastAsia="Arial" w:hAnsi="Arial"/>
          <w:sz w:val="16"/>
          <w:szCs w:val="16"/>
          <w:color w:val="auto"/>
        </w:rPr>
        <w:t>. Each Secured Party hereby further authorizes the Administrative Agent or the Collateral Agent, as applicable, on behalf of and for the benefit of the Secured Parties, to be the agent for and representative of the Secured Parties with respect to the</w:t>
      </w:r>
    </w:p>
    <w:p>
      <w:pPr>
        <w:jc w:val="both"/>
        <w:spacing w:after="0" w:line="239" w:lineRule="auto"/>
        <w:rPr>
          <w:sz w:val="20"/>
          <w:szCs w:val="20"/>
          <w:color w:val="auto"/>
        </w:rPr>
      </w:pPr>
      <w:r>
        <w:rPr>
          <w:rFonts w:ascii="Arial" w:cs="Arial" w:eastAsia="Arial" w:hAnsi="Arial"/>
          <w:sz w:val="15"/>
          <w:szCs w:val="15"/>
          <w:color w:val="auto"/>
        </w:rPr>
        <w:t xml:space="preserve">Collateral and the Security Documents. Subject to </w:t>
      </w:r>
      <w:r>
        <w:rPr>
          <w:rFonts w:ascii="Arial" w:cs="Arial" w:eastAsia="Arial" w:hAnsi="Arial"/>
          <w:sz w:val="15"/>
          <w:szCs w:val="15"/>
          <w:u w:val="single" w:color="auto"/>
          <w:color w:val="auto"/>
        </w:rPr>
        <w:t>Section 13.1</w:t>
      </w:r>
      <w:r>
        <w:rPr>
          <w:rFonts w:ascii="Arial" w:cs="Arial" w:eastAsia="Arial" w:hAnsi="Arial"/>
          <w:sz w:val="15"/>
          <w:szCs w:val="15"/>
          <w:color w:val="auto"/>
        </w:rPr>
        <w:t>,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w:t>
      </w:r>
    </w:p>
    <w:p>
      <w:pPr>
        <w:jc w:val="both"/>
        <w:spacing w:after="0" w:line="239" w:lineRule="auto"/>
        <w:rPr>
          <w:sz w:val="20"/>
          <w:szCs w:val="20"/>
          <w:color w:val="auto"/>
        </w:rPr>
      </w:pPr>
      <w:r>
        <w:rPr>
          <w:rFonts w:ascii="Arial" w:cs="Arial" w:eastAsia="Arial" w:hAnsi="Arial"/>
          <w:sz w:val="15"/>
          <w:szCs w:val="15"/>
          <w:color w:val="auto"/>
        </w:rPr>
        <w:t>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w:t>
      </w:r>
    </w:p>
    <w:p>
      <w:pPr>
        <w:jc w:val="both"/>
        <w:spacing w:after="0" w:line="239" w:lineRule="auto"/>
        <w:rPr>
          <w:sz w:val="20"/>
          <w:szCs w:val="20"/>
          <w:color w:val="auto"/>
        </w:rPr>
      </w:pPr>
      <w:r>
        <w:rPr>
          <w:rFonts w:ascii="Arial" w:cs="Arial" w:eastAsia="Arial" w:hAnsi="Arial"/>
          <w:sz w:val="15"/>
          <w:szCs w:val="15"/>
          <w:color w:val="auto"/>
        </w:rPr>
        <w:t xml:space="preserve">an Unrestricted Subsidiary, (iii) if the property subject to such Lien is owned by a Credit Party, upon the release of such Credit Party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5"/>
          <w:szCs w:val="15"/>
          <w:u w:val="single" w:color="auto"/>
          <w:color w:val="auto"/>
        </w:rPr>
        <w:t>Section 13.1</w:t>
      </w:r>
      <w:r>
        <w:rPr>
          <w:rFonts w:ascii="Arial" w:cs="Arial" w:eastAsia="Arial" w:hAnsi="Arial"/>
          <w:sz w:val="15"/>
          <w:szCs w:val="15"/>
          <w:color w:val="auto"/>
        </w:rPr>
        <w:t>; (b) release any Guarantor from its obligations under the</w:t>
      </w:r>
    </w:p>
    <w:p>
      <w:pPr>
        <w:spacing w:after="0" w:line="233" w:lineRule="auto"/>
        <w:rPr>
          <w:sz w:val="20"/>
          <w:szCs w:val="20"/>
          <w:color w:val="auto"/>
        </w:rPr>
      </w:pPr>
      <w:r>
        <w:rPr>
          <w:rFonts w:ascii="Arial" w:cs="Arial" w:eastAsia="Arial" w:hAnsi="Arial"/>
          <w:sz w:val="15"/>
          <w:szCs w:val="15"/>
          <w:color w:val="auto"/>
        </w:rPr>
        <w:t>Guarantee if such Person ceases to be a Restricted Subsidiary (or becomes an Excluded Subsidiary) as a result of a transaction or designation permitted hereunder;</w:t>
      </w:r>
    </w:p>
    <w:p>
      <w:pPr>
        <w:spacing w:after="0" w:line="1" w:lineRule="exact"/>
        <w:rPr>
          <w:sz w:val="20"/>
          <w:szCs w:val="20"/>
          <w:color w:val="auto"/>
        </w:rPr>
      </w:pPr>
    </w:p>
    <w:p>
      <w:pPr>
        <w:jc w:val="both"/>
        <w:ind w:firstLine="3"/>
        <w:spacing w:after="0" w:line="234" w:lineRule="auto"/>
        <w:tabs>
          <w:tab w:leader="none" w:pos="24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subordinate any Lien on any property granted to or held by the Administrative Agent or the Collateral Agent under any Credit Document to the holder of any Lien permitted under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(solely with respect to </w:t>
      </w:r>
      <w:r>
        <w:rPr>
          <w:rFonts w:ascii="Arial" w:cs="Arial" w:eastAsia="Arial" w:hAnsi="Arial"/>
          <w:sz w:val="16"/>
          <w:szCs w:val="16"/>
          <w:u w:val="single" w:color="auto"/>
          <w:color w:val="auto"/>
        </w:rPr>
        <w:t>Section 10.1(d))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the definition of “Permitted Liens”; or (d) enter into subordination or intercreditor agreements with respect to Indebtedness to the extent the Administrative Agent or the Collateral Agent is otherwise contemplated herein as being a party to such intercreditor or subordination agreement, including any First Lien Interceditor Agreement and the Second Lien Intercreditor Agreement.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The Collateral Agent shall have its own independent right to demand payment of the amounts payable by the Borrower under this </w:t>
      </w:r>
      <w:r>
        <w:rPr>
          <w:rFonts w:ascii="Arial" w:cs="Arial" w:eastAsia="Arial" w:hAnsi="Arial"/>
          <w:sz w:val="16"/>
          <w:szCs w:val="16"/>
          <w:u w:val="single" w:color="auto"/>
          <w:color w:val="auto"/>
        </w:rPr>
        <w:t>Section 12.11</w:t>
      </w:r>
      <w:r>
        <w:rPr>
          <w:rFonts w:ascii="Arial" w:cs="Arial" w:eastAsia="Arial" w:hAnsi="Arial"/>
          <w:sz w:val="16"/>
          <w:szCs w:val="16"/>
          <w:color w:val="auto"/>
        </w:rPr>
        <w:t>,</w:t>
      </w:r>
    </w:p>
    <w:p>
      <w:pPr>
        <w:spacing w:after="0" w:line="11" w:lineRule="exact"/>
        <w:rPr>
          <w:sz w:val="20"/>
          <w:szCs w:val="20"/>
          <w:color w:val="auto"/>
        </w:rPr>
      </w:pPr>
    </w:p>
    <w:p>
      <w:pPr>
        <w:ind w:right="260"/>
        <w:spacing w:after="0" w:line="227" w:lineRule="auto"/>
        <w:rPr>
          <w:sz w:val="20"/>
          <w:szCs w:val="20"/>
          <w:color w:val="auto"/>
        </w:rPr>
      </w:pPr>
      <w:r>
        <w:rPr>
          <w:rFonts w:ascii="Arial" w:cs="Arial" w:eastAsia="Arial" w:hAnsi="Arial"/>
          <w:sz w:val="17"/>
          <w:szCs w:val="17"/>
          <w:color w:val="auto"/>
        </w:rPr>
        <w:t>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Any amount due and payable by the Borrower to the Collateral Agent under this </w:t>
      </w:r>
      <w:r>
        <w:rPr>
          <w:rFonts w:ascii="Arial" w:cs="Arial" w:eastAsia="Arial" w:hAnsi="Arial"/>
          <w:sz w:val="15"/>
          <w:szCs w:val="15"/>
          <w:u w:val="single" w:color="auto"/>
          <w:color w:val="auto"/>
        </w:rPr>
        <w:t>Section 12.11</w:t>
      </w:r>
      <w:r>
        <w:rPr>
          <w:rFonts w:ascii="Arial" w:cs="Arial" w:eastAsia="Arial" w:hAnsi="Arial"/>
          <w:sz w:val="15"/>
          <w:szCs w:val="15"/>
          <w:color w:val="auto"/>
        </w:rPr>
        <w:t xml:space="preserve"> shall be decreased to the extent that the other Lenders have</w:t>
      </w:r>
    </w:p>
    <w:p>
      <w:pPr>
        <w:spacing w:after="0" w:line="22" w:lineRule="exact"/>
        <w:rPr>
          <w:sz w:val="20"/>
          <w:szCs w:val="20"/>
          <w:color w:val="auto"/>
        </w:rPr>
      </w:pPr>
    </w:p>
    <w:p>
      <w:pPr>
        <w:ind w:right="60"/>
        <w:spacing w:after="0" w:line="220" w:lineRule="auto"/>
        <w:rPr>
          <w:sz w:val="20"/>
          <w:szCs w:val="20"/>
          <w:color w:val="auto"/>
        </w:rPr>
      </w:pPr>
      <w:r>
        <w:rPr>
          <w:rFonts w:ascii="Arial" w:cs="Arial" w:eastAsia="Arial" w:hAnsi="Arial"/>
          <w:sz w:val="17"/>
          <w:szCs w:val="17"/>
          <w:color w:val="auto"/>
        </w:rPr>
        <w:t xml:space="preserve">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w:t>
      </w:r>
    </w:p>
    <w:p>
      <w:pPr>
        <w:spacing w:after="0" w:line="170" w:lineRule="exact"/>
        <w:rPr>
          <w:sz w:val="20"/>
          <w:szCs w:val="20"/>
          <w:color w:val="auto"/>
        </w:rPr>
      </w:pPr>
    </w:p>
    <w:p>
      <w:pPr>
        <w:ind w:right="300" w:firstLine="619"/>
        <w:spacing w:after="0" w:line="245"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u w:val="single" w:color="auto"/>
          <w:color w:val="auto"/>
        </w:rPr>
        <w:t>Right to Realize on Collateral and Enforce Guarantee</w:t>
      </w:r>
      <w:r>
        <w:rPr>
          <w:rFonts w:ascii="Arial" w:cs="Arial" w:eastAsia="Arial" w:hAnsi="Arial"/>
          <w:sz w:val="15"/>
          <w:szCs w:val="15"/>
          <w:color w:val="auto"/>
        </w:rPr>
        <w:t>. Anything contained in any of the Credit Documents to the contrary notwithstanding, Holdings,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w:t>
      </w:r>
    </w:p>
    <w:p>
      <w:pPr>
        <w:ind w:right="180"/>
        <w:spacing w:after="0" w:line="239" w:lineRule="auto"/>
        <w:rPr>
          <w:sz w:val="20"/>
          <w:szCs w:val="20"/>
          <w:color w:val="auto"/>
        </w:rPr>
      </w:pPr>
      <w:r>
        <w:rPr>
          <w:rFonts w:ascii="Arial" w:cs="Arial" w:eastAsia="Arial" w:hAnsi="Arial"/>
          <w:sz w:val="15"/>
          <w:szCs w:val="15"/>
          <w:color w:val="auto"/>
        </w:rPr>
        <w:t>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w:t>
      </w:r>
    </w:p>
    <w:p>
      <w:pPr>
        <w:ind w:right="380"/>
        <w:spacing w:after="0" w:line="239" w:lineRule="auto"/>
        <w:rPr>
          <w:sz w:val="20"/>
          <w:szCs w:val="20"/>
          <w:color w:val="auto"/>
        </w:rPr>
      </w:pPr>
      <w:r>
        <w:rPr>
          <w:rFonts w:ascii="Arial" w:cs="Arial" w:eastAsia="Arial" w:hAnsi="Arial"/>
          <w:sz w:val="15"/>
          <w:szCs w:val="15"/>
          <w:color w:val="auto"/>
        </w:rPr>
        <w:t>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w:t>
      </w:r>
    </w:p>
    <w:p>
      <w:pPr>
        <w:ind w:right="60"/>
        <w:spacing w:after="0" w:line="237" w:lineRule="auto"/>
        <w:rPr>
          <w:sz w:val="20"/>
          <w:szCs w:val="20"/>
          <w:color w:val="auto"/>
        </w:rPr>
      </w:pPr>
      <w:r>
        <w:rPr>
          <w:rFonts w:ascii="Arial" w:cs="Arial" w:eastAsia="Arial" w:hAnsi="Arial"/>
          <w:sz w:val="15"/>
          <w:szCs w:val="15"/>
          <w:color w:val="auto"/>
        </w:rPr>
        <w:t>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Agreements and Secured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06"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50" w:lineRule="exact"/>
        <w:rPr>
          <w:sz w:val="20"/>
          <w:szCs w:val="20"/>
          <w:color w:val="auto"/>
        </w:rPr>
      </w:pPr>
    </w:p>
    <w:p>
      <w:pPr>
        <w:ind w:firstLine="619"/>
        <w:spacing w:after="0" w:line="251" w:lineRule="auto"/>
        <w:rPr>
          <w:sz w:val="20"/>
          <w:szCs w:val="20"/>
          <w:color w:val="auto"/>
        </w:rPr>
      </w:pPr>
      <w:r>
        <w:rPr>
          <w:rFonts w:ascii="Arial" w:cs="Arial" w:eastAsia="Arial" w:hAnsi="Arial"/>
          <w:sz w:val="15"/>
          <w:szCs w:val="15"/>
          <w:color w:val="auto"/>
        </w:rPr>
        <w:t xml:space="preserve">12.13 </w:t>
      </w:r>
      <w:r>
        <w:rPr>
          <w:rFonts w:ascii="Arial" w:cs="Arial" w:eastAsia="Arial" w:hAnsi="Arial"/>
          <w:sz w:val="15"/>
          <w:szCs w:val="15"/>
          <w:u w:val="single" w:color="auto"/>
          <w:color w:val="auto"/>
        </w:rPr>
        <w:t>Intercreditor Agreements Govern</w:t>
      </w:r>
      <w:r>
        <w:rPr>
          <w:rFonts w:ascii="Arial" w:cs="Arial" w:eastAsia="Arial" w:hAnsi="Arial"/>
          <w:sz w:val="15"/>
          <w:szCs w:val="15"/>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w:t>
      </w:r>
    </w:p>
    <w:p>
      <w:pPr>
        <w:spacing w:after="0" w:line="1" w:lineRule="exact"/>
        <w:rPr>
          <w:sz w:val="20"/>
          <w:szCs w:val="20"/>
          <w:color w:val="auto"/>
        </w:rPr>
      </w:pPr>
    </w:p>
    <w:p>
      <w:pPr>
        <w:ind w:right="240"/>
        <w:spacing w:after="0" w:line="239" w:lineRule="auto"/>
        <w:rPr>
          <w:sz w:val="20"/>
          <w:szCs w:val="20"/>
          <w:color w:val="auto"/>
        </w:rPr>
      </w:pPr>
      <w:r>
        <w:rPr>
          <w:rFonts w:ascii="Arial" w:cs="Arial" w:eastAsia="Arial" w:hAnsi="Arial"/>
          <w:sz w:val="15"/>
          <w:szCs w:val="15"/>
          <w:color w:val="auto"/>
        </w:rPr>
        <w:t>Administrative Agent and the Collateral Agent to enter into each intercreditor agreement (including any First Lien Intercreditor Agreement and the Second Lien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w:t>
      </w:r>
    </w:p>
    <w:p>
      <w:pPr>
        <w:ind w:right="140"/>
        <w:spacing w:after="0" w:line="220" w:lineRule="auto"/>
        <w:rPr>
          <w:sz w:val="20"/>
          <w:szCs w:val="20"/>
          <w:color w:val="auto"/>
        </w:rPr>
      </w:pPr>
      <w:r>
        <w:rPr>
          <w:rFonts w:ascii="Arial" w:cs="Arial" w:eastAsia="Arial" w:hAnsi="Arial"/>
          <w:sz w:val="17"/>
          <w:szCs w:val="17"/>
          <w:color w:val="auto"/>
        </w:rPr>
        <w:t>intercreditor agreement to provide for, the terms described in the definition of “Permitted Other Indebtedness”. In the event of any conflict or inconsistency between the provisions of each such intercreditor agreement (including any First Lien Intercreditor Agreement and the Second Lien Intercreditor Agreement) and this Agreement, the provisions of such intercreditor agreement shall control.</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12.14</w:t>
      </w:r>
      <w:r>
        <w:rPr>
          <w:sz w:val="20"/>
          <w:szCs w:val="20"/>
          <w:color w:val="auto"/>
        </w:rPr>
        <w:tab/>
      </w:r>
      <w:r>
        <w:rPr>
          <w:rFonts w:ascii="Arial" w:cs="Arial" w:eastAsia="Arial" w:hAnsi="Arial"/>
          <w:sz w:val="15"/>
          <w:szCs w:val="15"/>
          <w:u w:val="single" w:color="auto"/>
          <w:color w:val="auto"/>
        </w:rPr>
        <w:t>Certain ERISA Matters</w:t>
      </w:r>
      <w:r>
        <w:rPr>
          <w:rFonts w:ascii="Arial" w:cs="Arial" w:eastAsia="Arial" w:hAnsi="Arial"/>
          <w:sz w:val="15"/>
          <w:szCs w:val="15"/>
          <w:color w:val="auto"/>
        </w:rPr>
        <w:t>.</w:t>
      </w:r>
    </w:p>
    <w:p>
      <w:pPr>
        <w:spacing w:after="0" w:line="178" w:lineRule="exact"/>
        <w:rPr>
          <w:sz w:val="20"/>
          <w:szCs w:val="20"/>
          <w:color w:val="auto"/>
        </w:rPr>
      </w:pPr>
    </w:p>
    <w:p>
      <w:pPr>
        <w:ind w:right="380" w:firstLine="622"/>
        <w:spacing w:after="0" w:line="248" w:lineRule="auto"/>
        <w:tabs>
          <w:tab w:leader="none" w:pos="123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51" w:lineRule="exact"/>
        <w:rPr>
          <w:rFonts w:ascii="Arial" w:cs="Arial" w:eastAsia="Arial" w:hAnsi="Arial"/>
          <w:sz w:val="16"/>
          <w:szCs w:val="16"/>
          <w:color w:val="auto"/>
        </w:rPr>
      </w:pPr>
    </w:p>
    <w:p>
      <w:pPr>
        <w:ind w:left="620" w:right="140" w:firstLine="868"/>
        <w:spacing w:after="0" w:line="231" w:lineRule="auto"/>
        <w:tabs>
          <w:tab w:leader="none" w:pos="185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7" w:lineRule="exact"/>
        <w:rPr>
          <w:rFonts w:ascii="Arial" w:cs="Arial" w:eastAsia="Arial" w:hAnsi="Arial"/>
          <w:sz w:val="17"/>
          <w:szCs w:val="17"/>
          <w:color w:val="auto"/>
        </w:rPr>
      </w:pPr>
    </w:p>
    <w:p>
      <w:pPr>
        <w:ind w:left="620" w:right="20" w:firstLine="868"/>
        <w:spacing w:after="0" w:line="221" w:lineRule="auto"/>
        <w:tabs>
          <w:tab w:leader="none" w:pos="185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7" w:lineRule="exact"/>
        <w:rPr>
          <w:rFonts w:ascii="Arial" w:cs="Arial" w:eastAsia="Arial" w:hAnsi="Arial"/>
          <w:sz w:val="17"/>
          <w:szCs w:val="17"/>
          <w:color w:val="auto"/>
        </w:rPr>
      </w:pPr>
    </w:p>
    <w:p>
      <w:pPr>
        <w:ind w:left="620" w:right="20" w:firstLine="868"/>
        <w:spacing w:after="0" w:line="252" w:lineRule="auto"/>
        <w:tabs>
          <w:tab w:leader="none" w:pos="1858" w:val="left"/>
        </w:tabs>
        <w:numPr>
          <w:ilvl w:val="1"/>
          <w:numId w:val="162"/>
        </w:numPr>
        <w:rPr>
          <w:rFonts w:ascii="Arial" w:cs="Arial" w:eastAsia="Arial" w:hAnsi="Arial"/>
          <w:sz w:val="15"/>
          <w:szCs w:val="15"/>
          <w:color w:val="auto"/>
        </w:rPr>
      </w:pPr>
      <w:r>
        <w:rPr>
          <w:rFonts w:ascii="Arial" w:cs="Arial" w:eastAsia="Arial" w:hAnsi="Arial"/>
          <w:sz w:val="15"/>
          <w:szCs w:val="15"/>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48" w:lineRule="exact"/>
        <w:rPr>
          <w:rFonts w:ascii="Arial" w:cs="Arial" w:eastAsia="Arial" w:hAnsi="Arial"/>
          <w:sz w:val="15"/>
          <w:szCs w:val="15"/>
          <w:color w:val="auto"/>
        </w:rPr>
      </w:pPr>
    </w:p>
    <w:p>
      <w:pPr>
        <w:ind w:left="1860" w:hanging="372"/>
        <w:spacing w:after="0"/>
        <w:tabs>
          <w:tab w:leader="none" w:pos="18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such other representation, warranty or covenant as may be agreed in writing between the Administrative Agent, in its sole discretion,</w:t>
      </w:r>
    </w:p>
    <w:p>
      <w:pPr>
        <w:ind w:left="620"/>
        <w:spacing w:after="0"/>
        <w:rPr>
          <w:rFonts w:ascii="Arial" w:cs="Arial" w:eastAsia="Arial" w:hAnsi="Arial"/>
          <w:sz w:val="16"/>
          <w:szCs w:val="16"/>
          <w:color w:val="auto"/>
        </w:rPr>
      </w:pPr>
      <w:r>
        <w:rPr>
          <w:rFonts w:ascii="Arial" w:cs="Arial" w:eastAsia="Arial" w:hAnsi="Arial"/>
          <w:sz w:val="17"/>
          <w:szCs w:val="17"/>
          <w:color w:val="auto"/>
        </w:rPr>
        <w:t>and such Lender.</w:t>
      </w:r>
    </w:p>
    <w:p>
      <w:pPr>
        <w:spacing w:after="0" w:line="177" w:lineRule="exact"/>
        <w:rPr>
          <w:rFonts w:ascii="Arial" w:cs="Arial" w:eastAsia="Arial" w:hAnsi="Arial"/>
          <w:sz w:val="16"/>
          <w:szCs w:val="16"/>
          <w:color w:val="auto"/>
        </w:rPr>
      </w:pPr>
    </w:p>
    <w:p>
      <w:pPr>
        <w:ind w:right="80" w:firstLine="622"/>
        <w:spacing w:after="0" w:line="249" w:lineRule="auto"/>
        <w:tabs>
          <w:tab w:leader="none" w:pos="1238"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In addition, unless either (1) sub-clause (i) in the immediately preceding clause (a) is true with respect to a Lender or (2) a Lender has provided another representation, warranty or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0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12.15</w:t>
      </w:r>
      <w:r>
        <w:rPr>
          <w:sz w:val="20"/>
          <w:szCs w:val="20"/>
          <w:color w:val="auto"/>
        </w:rPr>
        <w:tab/>
      </w:r>
      <w:r>
        <w:rPr>
          <w:rFonts w:ascii="Arial" w:cs="Arial" w:eastAsia="Arial" w:hAnsi="Arial"/>
          <w:sz w:val="16"/>
          <w:szCs w:val="16"/>
          <w:u w:val="single" w:color="auto"/>
          <w:color w:val="auto"/>
        </w:rPr>
        <w:t>Recovery of Erroneous Payments</w:t>
      </w:r>
      <w:r>
        <w:rPr>
          <w:rFonts w:ascii="Arial" w:cs="Arial" w:eastAsia="Arial" w:hAnsi="Arial"/>
          <w:sz w:val="16"/>
          <w:szCs w:val="16"/>
          <w:color w:val="auto"/>
        </w:rPr>
        <w:t>. Without limitation of any other provision in this Agreement, if at any time the Administrative Agent makes a</w:t>
      </w:r>
    </w:p>
    <w:p>
      <w:pPr>
        <w:jc w:val="both"/>
        <w:spacing w:after="0" w:line="239" w:lineRule="auto"/>
        <w:rPr>
          <w:sz w:val="20"/>
          <w:szCs w:val="20"/>
          <w:color w:val="auto"/>
        </w:rPr>
      </w:pPr>
      <w:r>
        <w:rPr>
          <w:rFonts w:ascii="Arial" w:cs="Arial" w:eastAsia="Arial" w:hAnsi="Arial"/>
          <w:sz w:val="15"/>
          <w:szCs w:val="15"/>
          <w:color w:val="auto"/>
        </w:rPr>
        <w:t>payment hereunder in error to any Lender or any Letter of Credit Issuer (the “</w:t>
      </w:r>
      <w:r>
        <w:rPr>
          <w:rFonts w:ascii="Arial" w:cs="Arial" w:eastAsia="Arial" w:hAnsi="Arial"/>
          <w:sz w:val="15"/>
          <w:szCs w:val="15"/>
          <w:b w:val="1"/>
          <w:bCs w:val="1"/>
          <w:color w:val="auto"/>
        </w:rPr>
        <w:t>Creditor Party</w:t>
      </w:r>
      <w:r>
        <w:rPr>
          <w:rFonts w:ascii="Arial" w:cs="Arial" w:eastAsia="Arial" w:hAnsi="Arial"/>
          <w:sz w:val="15"/>
          <w:szCs w:val="15"/>
          <w:color w:val="auto"/>
        </w:rPr>
        <w:t>”), whether or not in respect of an Obligation due and owing by the Borrower at such time, where such payment is a Rescindable Amount, then in any such event, each Creditor Party receiving a Rescindable Amount severally agrees to repay to the Administrative Agent forthwith within one Business Day of demand the Rescindable Amount received by such Creditor Party in immediately</w:t>
      </w:r>
    </w:p>
    <w:p>
      <w:pPr>
        <w:jc w:val="both"/>
        <w:spacing w:after="0" w:line="239" w:lineRule="auto"/>
        <w:rPr>
          <w:sz w:val="20"/>
          <w:szCs w:val="20"/>
          <w:color w:val="auto"/>
        </w:rPr>
      </w:pPr>
      <w:r>
        <w:rPr>
          <w:rFonts w:ascii="Arial" w:cs="Arial" w:eastAsia="Arial" w:hAnsi="Arial"/>
          <w:sz w:val="15"/>
          <w:szCs w:val="15"/>
          <w:color w:val="auto"/>
        </w:rPr>
        <w:t>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Creditor Party irrevocably waives any and all defenses, including any “discharge for</w:t>
      </w:r>
    </w:p>
    <w:p>
      <w:pPr>
        <w:jc w:val="both"/>
        <w:spacing w:after="0" w:line="220" w:lineRule="auto"/>
        <w:rPr>
          <w:sz w:val="20"/>
          <w:szCs w:val="20"/>
          <w:color w:val="auto"/>
        </w:rPr>
      </w:pPr>
      <w:r>
        <w:rPr>
          <w:rFonts w:ascii="Arial" w:cs="Arial" w:eastAsia="Arial" w:hAnsi="Arial"/>
          <w:sz w:val="17"/>
          <w:szCs w:val="17"/>
          <w:color w:val="auto"/>
        </w:rPr>
        <w:t>value” (under which a creditor might otherwise claim a right to retain funds mistakenly paid by a third party in respect of a debt owed by another) or similar defense to its obligation to return any Rescindable Amount. The Administrative Agent shall inform each Creditor Party promptly upon determining that any payment made to such Creditor Party comprised, in whole or in part, a Rescindable Amount.</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5"/>
          <w:szCs w:val="15"/>
          <w:u w:val="single" w:color="auto"/>
          <w:color w:val="auto"/>
        </w:rPr>
        <w:t>Miscellaneous</w:t>
      </w:r>
    </w:p>
    <w:p>
      <w:pPr>
        <w:spacing w:after="0" w:line="178" w:lineRule="exact"/>
        <w:rPr>
          <w:sz w:val="20"/>
          <w:szCs w:val="20"/>
          <w:color w:val="auto"/>
        </w:rPr>
      </w:pPr>
    </w:p>
    <w:p>
      <w:pPr>
        <w:ind w:right="160" w:firstLine="619"/>
        <w:spacing w:after="0" w:line="251"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Amendments, Waivers, and Releases</w:t>
      </w:r>
      <w:r>
        <w:rPr>
          <w:rFonts w:ascii="Arial" w:cs="Arial" w:eastAsia="Arial" w:hAnsi="Arial"/>
          <w:sz w:val="15"/>
          <w:szCs w:val="15"/>
          <w:color w:val="auto"/>
        </w:rPr>
        <w:t>. Except as otherwise expressly set forth in this Agreement or, with respect to the other Credit Documents, this Agreement and the other Credit Documents, neither this Agreement nor any other Credit Document, nor any terms hereof or thereof, may be amended,</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 xml:space="preserve">supplemented or modified except in accordance with the provisions of this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Except as provided to the contrary under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or below in respect of Replacement Term Loans, and other than with respect to any amendment, modification or waiver contemplated in the proviso to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below, which shall only require the consent of the Lenders expressly set forth therein and not the Required Lenders, the Required Lenders may (with prior or contemporaneous notice</w:t>
      </w:r>
    </w:p>
    <w:p>
      <w:pPr>
        <w:ind w:right="220"/>
        <w:spacing w:after="0" w:line="239" w:lineRule="auto"/>
        <w:rPr>
          <w:sz w:val="20"/>
          <w:szCs w:val="20"/>
          <w:color w:val="auto"/>
        </w:rPr>
      </w:pPr>
      <w:r>
        <w:rPr>
          <w:rFonts w:ascii="Arial" w:cs="Arial" w:eastAsia="Arial" w:hAnsi="Arial"/>
          <w:sz w:val="15"/>
          <w:szCs w:val="15"/>
          <w:color w:val="auto"/>
        </w:rPr>
        <w:t>to the Administrative Agent of the effectiveness thereof),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w:t>
      </w:r>
    </w:p>
    <w:p>
      <w:pPr>
        <w:ind w:right="20"/>
        <w:spacing w:after="0" w:line="239" w:lineRule="auto"/>
        <w:rPr>
          <w:sz w:val="20"/>
          <w:szCs w:val="20"/>
          <w:color w:val="auto"/>
        </w:rPr>
      </w:pPr>
      <w:r>
        <w:rPr>
          <w:rFonts w:ascii="Arial" w:cs="Arial" w:eastAsia="Arial" w:hAnsi="Arial"/>
          <w:sz w:val="15"/>
          <w:szCs w:val="15"/>
          <w:color w:val="auto"/>
        </w:rPr>
        <w:t xml:space="preserve">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each such waiver and each such amendment, supplement or modification shall be</w:t>
      </w:r>
    </w:p>
    <w:p>
      <w:pPr>
        <w:ind w:right="40"/>
        <w:spacing w:after="0" w:line="239" w:lineRule="auto"/>
        <w:rPr>
          <w:sz w:val="20"/>
          <w:szCs w:val="20"/>
          <w:color w:val="auto"/>
        </w:rPr>
      </w:pPr>
      <w:r>
        <w:rPr>
          <w:rFonts w:ascii="Arial" w:cs="Arial" w:eastAsia="Arial" w:hAnsi="Arial"/>
          <w:sz w:val="15"/>
          <w:szCs w:val="15"/>
          <w:color w:val="auto"/>
        </w:rPr>
        <w:t xml:space="preserve">effective only in the specific instance and for the specific purpose for which given;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w:t>
      </w:r>
    </w:p>
    <w:p>
      <w:pPr>
        <w:ind w:right="280"/>
        <w:spacing w:after="0" w:line="239" w:lineRule="auto"/>
        <w:rPr>
          <w:sz w:val="20"/>
          <w:szCs w:val="20"/>
          <w:color w:val="auto"/>
        </w:rPr>
      </w:pPr>
      <w:r>
        <w:rPr>
          <w:rFonts w:ascii="Arial" w:cs="Arial" w:eastAsia="Arial" w:hAnsi="Arial"/>
          <w:sz w:val="15"/>
          <w:szCs w:val="15"/>
          <w:u w:val="single" w:color="auto"/>
          <w:color w:val="auto"/>
        </w:rPr>
        <w:t>Section 2.8(c)</w:t>
      </w:r>
      <w:r>
        <w:rPr>
          <w:rFonts w:ascii="Arial" w:cs="Arial" w:eastAsia="Arial" w:hAnsi="Arial"/>
          <w:sz w:val="15"/>
          <w:szCs w:val="15"/>
          <w:color w:val="auto"/>
        </w:rPr>
        <w:t xml:space="preserve">), or forgive any portion thereof, or extend the date for the payment, of any interest or fee payable hereunder (other than as a result of waiving the applicability of any post-default increase in interest rates), or extend the final expiration date of any Letter of Credit beyond the L/C Facility Maturity Date, or amend or modify any provisions of </w:t>
      </w:r>
      <w:r>
        <w:rPr>
          <w:rFonts w:ascii="Arial" w:cs="Arial" w:eastAsia="Arial" w:hAnsi="Arial"/>
          <w:sz w:val="15"/>
          <w:szCs w:val="15"/>
          <w:u w:val="single" w:color="auto"/>
          <w:color w:val="auto"/>
        </w:rPr>
        <w:t>Sections 5.3(a)</w:t>
      </w:r>
      <w:r>
        <w:rPr>
          <w:rFonts w:ascii="Arial" w:cs="Arial" w:eastAsia="Arial" w:hAnsi="Arial"/>
          <w:sz w:val="15"/>
          <w:szCs w:val="15"/>
          <w:color w:val="auto"/>
        </w:rPr>
        <w:t xml:space="preserve"> (with respect to the ratable allocation of any payments only), </w:t>
      </w:r>
      <w:r>
        <w:rPr>
          <w:rFonts w:ascii="Arial" w:cs="Arial" w:eastAsia="Arial" w:hAnsi="Arial"/>
          <w:sz w:val="15"/>
          <w:szCs w:val="15"/>
          <w:u w:val="single" w:color="auto"/>
          <w:color w:val="auto"/>
        </w:rPr>
        <w:t>11.13 13.8(a)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13.20</w:t>
      </w:r>
      <w:r>
        <w:rPr>
          <w:rFonts w:ascii="Arial" w:cs="Arial" w:eastAsia="Arial" w:hAnsi="Arial"/>
          <w:sz w:val="15"/>
          <w:szCs w:val="15"/>
          <w:color w:val="auto"/>
        </w:rPr>
        <w:t>, or make any Loan,</w:t>
      </w:r>
    </w:p>
    <w:p>
      <w:pPr>
        <w:ind w:right="240"/>
        <w:spacing w:after="0" w:line="239" w:lineRule="auto"/>
        <w:rPr>
          <w:sz w:val="20"/>
          <w:szCs w:val="20"/>
          <w:color w:val="auto"/>
        </w:rPr>
      </w:pPr>
      <w:r>
        <w:rPr>
          <w:rFonts w:ascii="Arial" w:cs="Arial" w:eastAsia="Arial" w:hAnsi="Arial"/>
          <w:sz w:val="15"/>
          <w:szCs w:val="15"/>
          <w:color w:val="auto"/>
        </w:rPr>
        <w:t xml:space="preserve">interest, Fee or other amount payable in any currency other than expressly provided herein, in each case without the written consent of each Lender directly and adversely affected thereby;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waiver of any condition precedent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w:t>
      </w:r>
      <w:r>
        <w:rPr>
          <w:rFonts w:ascii="Arial" w:cs="Arial" w:eastAsia="Arial" w:hAnsi="Arial"/>
          <w:sz w:val="15"/>
          <w:szCs w:val="15"/>
          <w:color w:val="auto"/>
        </w:rPr>
        <w:t xml:space="preserve"> of this Agreement, the waiver of any Default, Event of Default, default interest, mandatory prepayment or reductions, any modification, waiver or amendment to the financial covenant definitions or financial ratios or any</w:t>
      </w:r>
    </w:p>
    <w:p>
      <w:pPr>
        <w:jc w:val="both"/>
        <w:ind w:right="200"/>
        <w:spacing w:after="0" w:line="239" w:lineRule="auto"/>
        <w:rPr>
          <w:sz w:val="20"/>
          <w:szCs w:val="20"/>
          <w:color w:val="auto"/>
        </w:rPr>
      </w:pPr>
      <w:r>
        <w:rPr>
          <w:rFonts w:ascii="Arial" w:cs="Arial" w:eastAsia="Arial" w:hAnsi="Arial"/>
          <w:sz w:val="15"/>
          <w:szCs w:val="15"/>
          <w:color w:val="auto"/>
        </w:rPr>
        <w:t>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clause (i), or (ii) consent to the assignment or transfer by</w:t>
      </w:r>
    </w:p>
    <w:p>
      <w:pPr>
        <w:ind w:right="20"/>
        <w:spacing w:after="0" w:line="239" w:lineRule="auto"/>
        <w:rPr>
          <w:sz w:val="20"/>
          <w:szCs w:val="20"/>
          <w:color w:val="auto"/>
        </w:rPr>
      </w:pPr>
      <w:r>
        <w:rPr>
          <w:rFonts w:ascii="Arial" w:cs="Arial" w:eastAsia="Arial" w:hAnsi="Arial"/>
          <w:sz w:val="15"/>
          <w:szCs w:val="15"/>
          <w:color w:val="auto"/>
        </w:rPr>
        <w:t xml:space="preserve">Holdings or the Borrower of its rights and obligations under any Credit Document to which it is a party (except as permitted pursuant to </w:t>
      </w:r>
      <w:r>
        <w:rPr>
          <w:rFonts w:ascii="Arial" w:cs="Arial" w:eastAsia="Arial" w:hAnsi="Arial"/>
          <w:sz w:val="15"/>
          <w:szCs w:val="15"/>
          <w:u w:val="single" w:color="auto"/>
          <w:color w:val="auto"/>
        </w:rPr>
        <w:t>Section 10.3</w:t>
      </w:r>
      <w:r>
        <w:rPr>
          <w:rFonts w:ascii="Arial" w:cs="Arial" w:eastAsia="Arial" w:hAnsi="Arial"/>
          <w:sz w:val="15"/>
          <w:szCs w:val="15"/>
          <w:color w:val="auto"/>
        </w:rPr>
        <w:t>), in each case without the written consent of each Lender directly and adversely affected thereby, or (iii) directly and adversely affect the rights or duties of the Administrative Agent or Collateral Agent, in its capacity as such, under this Agreement or any other Credit Document without the written consent of the Administrative Agent or</w:t>
      </w:r>
    </w:p>
    <w:p>
      <w:pPr>
        <w:ind w:right="20"/>
        <w:spacing w:after="0" w:line="237" w:lineRule="auto"/>
        <w:rPr>
          <w:sz w:val="20"/>
          <w:szCs w:val="20"/>
          <w:color w:val="auto"/>
        </w:rPr>
      </w:pPr>
      <w:r>
        <w:rPr>
          <w:rFonts w:ascii="Arial" w:cs="Arial" w:eastAsia="Arial" w:hAnsi="Arial"/>
          <w:sz w:val="15"/>
          <w:szCs w:val="15"/>
          <w:color w:val="auto"/>
        </w:rPr>
        <w:t>Collateral Agent, as applicable, or (iv) directly and adversely affect the rights or duties of any Letter of Credit Issuer, in its capacity as such, under this Agreement or any other Credit Document without the consent of such Letter of Credit Issuer, or (v) amend, modify or waive any provisions hereof relating to Swingline Loans without the written consent of the Swingline Lender in a manner that directly and adversely affects such Person, or (vi) change any Revolving Credit Commitment to a Term Loan Commitment, or change any Term Loan Commitment to a Revolving Credit Commitment, in each case without the prior written consent of each</w:t>
      </w:r>
    </w:p>
    <w:p>
      <w:pPr>
        <w:spacing w:after="0" w:line="2" w:lineRule="exact"/>
        <w:rPr>
          <w:sz w:val="20"/>
          <w:szCs w:val="20"/>
          <w:color w:val="auto"/>
        </w:rPr>
      </w:pPr>
    </w:p>
    <w:p>
      <w:pPr>
        <w:ind w:right="100"/>
        <w:spacing w:after="0" w:line="220" w:lineRule="auto"/>
        <w:rPr>
          <w:sz w:val="20"/>
          <w:szCs w:val="20"/>
          <w:color w:val="auto"/>
        </w:rPr>
      </w:pPr>
      <w:r>
        <w:rPr>
          <w:rFonts w:ascii="Arial" w:cs="Arial" w:eastAsia="Arial" w:hAnsi="Arial"/>
          <w:sz w:val="17"/>
          <w:szCs w:val="17"/>
          <w:color w:val="auto"/>
        </w:rPr>
        <w:t>Lender directly and adversely affected thereby, or (vii) release all or substantially all of the Guarantors under the Guarantees (except as expressly permitted by the Guarantees, the First Lien Intercreditor Agreement (if any), the Second Lien Intercreditor Agreement or this Agreement) or release all or substantially all of the Collateral under the Security Documents (except as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permitted by the Security Documents, the First Lien Intercreditor Agreement (if any), the Second Lien Intercreditor Agreement or this Agreement) without the</w:t>
      </w:r>
    </w:p>
    <w:p>
      <w:pPr>
        <w:spacing w:after="0" w:line="1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prior written consent of each Lender, or (viii) decrease the Term A Loan Repayment Amount applicable to Term A Loans or extend any scheduled Term A Loan Repayment Date applicable to Term A Loans, in each case without the written consent of each Lender directly and adversely affected thereby, or (ix) reduce the percentages specified in the definitions of the terms Required Lenders, Required Revolving Credit Lenders or Required Term A Loan Lenders or amend, modify or</w:t>
      </w:r>
    </w:p>
    <w:p>
      <w:pPr>
        <w:ind w:right="540"/>
        <w:spacing w:after="0" w:line="239" w:lineRule="auto"/>
        <w:rPr>
          <w:sz w:val="20"/>
          <w:szCs w:val="20"/>
          <w:color w:val="auto"/>
        </w:rPr>
      </w:pPr>
      <w:r>
        <w:rPr>
          <w:rFonts w:ascii="Arial" w:cs="Arial" w:eastAsia="Arial" w:hAnsi="Arial"/>
          <w:sz w:val="15"/>
          <w:szCs w:val="15"/>
          <w:color w:val="auto"/>
        </w:rPr>
        <w:t xml:space="preserve">waive any provision of this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that has the effect of decreasing the number of Lenders that must approve any amendment, modification or waiver, without the written consent of each Lender, (y) notwithstanding anything to the contrary in clause (x), (i) extend the final expiration date of any Lender’s Commitment or (ii) increase the aggregate amount of the Commitments of any Lender, in each case, without the written consent of such Lender, or (z) in</w:t>
      </w:r>
    </w:p>
    <w:p>
      <w:pPr>
        <w:ind w:right="220"/>
        <w:spacing w:after="0" w:line="239" w:lineRule="auto"/>
        <w:rPr>
          <w:sz w:val="20"/>
          <w:szCs w:val="20"/>
          <w:color w:val="auto"/>
        </w:rPr>
      </w:pPr>
      <w:r>
        <w:rPr>
          <w:rFonts w:ascii="Arial" w:cs="Arial" w:eastAsia="Arial" w:hAnsi="Arial"/>
          <w:sz w:val="15"/>
          <w:szCs w:val="15"/>
          <w:color w:val="auto"/>
        </w:rPr>
        <w:t>connection with an amendment that addresses solely a repricing transaction in which any Class of Term Loans is refinanced with a replacement Class of Term Loans bearing (or is modified in such a manner such that the resulting Term Loans bear) a lower effective yield, only the consent of the Lenders holding Term Loans subject to such permitted repricing transaction that will continue as a Lender in respect of the repriced tranche of Term Loans or modified Term Loans, or</w:t>
      </w:r>
    </w:p>
    <w:p>
      <w:pPr>
        <w:ind w:right="160" w:firstLine="3"/>
        <w:spacing w:after="0" w:line="237" w:lineRule="auto"/>
        <w:tabs>
          <w:tab w:leader="none" w:pos="24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(x) subordinate any of the Obligations, including the payment priority thereof, to any other Indebtedness or (y) subordinate the Lien securing any of the Obligations on all or substantially all of the Collateral to any other Lien securing any other Indebtedness, in each case without the written consent of each Lender directly and adversely affected thereby, except in the case of each of the foregoing clauses (x) and (y) (A) any Indebtedness that is expressly permitted under the Credit Documents as in effect on the Closing Date to be senior to the Obligations and/or be secured by a Lien that is senior to the Lien securing the Obligations,</w:t>
      </w:r>
    </w:p>
    <w:p>
      <w:pPr>
        <w:spacing w:after="0" w:line="1" w:lineRule="exact"/>
        <w:rPr>
          <w:rFonts w:ascii="Arial" w:cs="Arial" w:eastAsia="Arial" w:hAnsi="Arial"/>
          <w:sz w:val="15"/>
          <w:szCs w:val="15"/>
          <w:color w:val="auto"/>
        </w:rPr>
      </w:pPr>
    </w:p>
    <w:p>
      <w:pPr>
        <w:ind w:right="80"/>
        <w:spacing w:after="0" w:line="242" w:lineRule="auto"/>
        <w:rPr>
          <w:rFonts w:ascii="Arial" w:cs="Arial" w:eastAsia="Arial" w:hAnsi="Arial"/>
          <w:sz w:val="15"/>
          <w:szCs w:val="15"/>
          <w:color w:val="auto"/>
        </w:rPr>
      </w:pPr>
      <w:r>
        <w:rPr>
          <w:rFonts w:ascii="Arial" w:cs="Arial" w:eastAsia="Arial" w:hAnsi="Arial"/>
          <w:sz w:val="15"/>
          <w:szCs w:val="15"/>
          <w:color w:val="auto"/>
        </w:rPr>
        <w:t>(B) any Indebtedness incurred pursuant to a bona fide revolving credit facility (including the Revolving Credit Facility Facility) or any customary asset-based, factoring, securitization or other similar facility the incurrence of which is otherwise approved by the Required Lenders, (C) any “debtor-in-possession” facility or</w:t>
      </w:r>
    </w:p>
    <w:p>
      <w:pPr>
        <w:spacing w:after="0"/>
        <w:rPr>
          <w:rFonts w:ascii="Arial" w:cs="Arial" w:eastAsia="Arial" w:hAnsi="Arial"/>
          <w:sz w:val="15"/>
          <w:szCs w:val="15"/>
          <w:color w:val="auto"/>
        </w:rPr>
      </w:pPr>
      <w:r>
        <w:rPr>
          <w:rFonts w:ascii="Arial" w:cs="Arial" w:eastAsia="Arial" w:hAnsi="Arial"/>
          <w:sz w:val="17"/>
          <w:szCs w:val="17"/>
          <w:color w:val="auto"/>
        </w:rPr>
        <w:t>(D) any other Indebtedness so long as such Indebtedness is offered ratably to all Lenders holding such Obligations.</w:t>
      </w:r>
    </w:p>
    <w:p>
      <w:pPr>
        <w:spacing w:after="0" w:line="164" w:lineRule="exact"/>
        <w:rPr>
          <w:sz w:val="20"/>
          <w:szCs w:val="20"/>
          <w:color w:val="auto"/>
        </w:rPr>
      </w:pPr>
    </w:p>
    <w:p>
      <w:pPr>
        <w:ind w:right="160" w:firstLine="619"/>
        <w:spacing w:after="0" w:line="251" w:lineRule="auto"/>
        <w:rPr>
          <w:sz w:val="20"/>
          <w:szCs w:val="20"/>
          <w:color w:val="auto"/>
        </w:rPr>
      </w:pPr>
      <w:r>
        <w:rPr>
          <w:rFonts w:ascii="Arial" w:cs="Arial" w:eastAsia="Arial" w:hAnsi="Arial"/>
          <w:sz w:val="15"/>
          <w:szCs w:val="15"/>
          <w:color w:val="auto"/>
        </w:rPr>
        <w:t xml:space="preserve">Notwithstanding anything in this Agreement or any other Credit Document to the contrary, this Agreement may be amended, supplemented or otherwise modified to effect the provisions of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in accordance with the terms of such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with only the consent of the Persons set forth in </w:t>
      </w:r>
      <w:r>
        <w:rPr>
          <w:rFonts w:ascii="Arial" w:cs="Arial" w:eastAsia="Arial" w:hAnsi="Arial"/>
          <w:sz w:val="15"/>
          <w:szCs w:val="15"/>
          <w:u w:val="single" w:color="auto"/>
          <w:color w:val="auto"/>
        </w:rPr>
        <w:t>Section 2.15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hereof.</w:t>
      </w:r>
    </w:p>
    <w:p>
      <w:pPr>
        <w:spacing w:after="0" w:line="164" w:lineRule="exact"/>
        <w:rPr>
          <w:sz w:val="20"/>
          <w:szCs w:val="20"/>
          <w:color w:val="auto"/>
        </w:rPr>
      </w:pPr>
    </w:p>
    <w:p>
      <w:pPr>
        <w:ind w:right="80" w:firstLine="619"/>
        <w:spacing w:after="0" w:line="251" w:lineRule="auto"/>
        <w:rPr>
          <w:sz w:val="20"/>
          <w:szCs w:val="20"/>
          <w:color w:val="auto"/>
        </w:rPr>
      </w:pPr>
      <w:r>
        <w:rPr>
          <w:rFonts w:ascii="Arial" w:cs="Arial" w:eastAsia="Arial" w:hAnsi="Arial"/>
          <w:sz w:val="15"/>
          <w:szCs w:val="15"/>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waiver or consent that treats such Defaulting Lender disproportionately and adversely from the other Lender of the same Class (other than because of its status as a Defaulting Lender).</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Any such waiver and any such amendment, supplement or modification shall apply equally to each of the affected Lenders and shall be binding upon</w:t>
      </w:r>
    </w:p>
    <w:p>
      <w:pPr>
        <w:spacing w:after="0" w:line="1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w:t>
      </w:r>
    </w:p>
    <w:p>
      <w:pPr>
        <w:ind w:right="80"/>
        <w:spacing w:after="0" w:line="227" w:lineRule="auto"/>
        <w:rPr>
          <w:sz w:val="20"/>
          <w:szCs w:val="20"/>
          <w:color w:val="auto"/>
        </w:rPr>
      </w:pPr>
      <w:r>
        <w:rPr>
          <w:rFonts w:ascii="Arial" w:cs="Arial" w:eastAsia="Arial" w:hAnsi="Arial"/>
          <w:sz w:val="17"/>
          <w:szCs w:val="17"/>
          <w:color w:val="auto"/>
        </w:rPr>
        <w:t>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Notwithstanding the foregoing, in addition to any credit extensions and related Joinder Agreement(s) effectuated without the consent of Lenders in</w:t>
      </w:r>
    </w:p>
    <w:p>
      <w:pPr>
        <w:spacing w:after="0" w:line="11"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 xml:space="preserve">accordance with </w:t>
      </w:r>
      <w:r>
        <w:rPr>
          <w:rFonts w:ascii="Arial" w:cs="Arial" w:eastAsia="Arial" w:hAnsi="Arial"/>
          <w:sz w:val="15"/>
          <w:szCs w:val="15"/>
          <w:u w:val="single" w:color="auto"/>
          <w:color w:val="auto"/>
        </w:rPr>
        <w:t>Section 2.14</w:t>
      </w:r>
      <w:r>
        <w:rPr>
          <w:rFonts w:ascii="Arial" w:cs="Arial" w:eastAsia="Arial" w:hAnsi="Arial"/>
          <w:sz w:val="15"/>
          <w:szCs w:val="15"/>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w:t>
      </w:r>
    </w:p>
    <w:p>
      <w:pPr>
        <w:ind w:right="420"/>
        <w:spacing w:after="0" w:line="243" w:lineRule="auto"/>
        <w:rPr>
          <w:sz w:val="20"/>
          <w:szCs w:val="20"/>
          <w:color w:val="auto"/>
        </w:rPr>
      </w:pPr>
      <w:r>
        <w:rPr>
          <w:rFonts w:ascii="Arial" w:cs="Arial" w:eastAsia="Arial" w:hAnsi="Arial"/>
          <w:sz w:val="16"/>
          <w:szCs w:val="16"/>
          <w:color w:val="auto"/>
        </w:rPr>
        <w:t>the Term Loans and the Revolving Credit Loans and the accrued interest and fees in respect thereof and (b) to include appropriately the Lenders holding such credit facilities in any determination of the Required Lenders and other definitions related to such new Term Loans and Revolving Credit Loans.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addition, notwithstanding the foregoing, this Agreement may be amended with the written consent of the Administrative Agent, Holdings, the Borrower</w:t>
      </w:r>
    </w:p>
    <w:p>
      <w:pPr>
        <w:spacing w:after="0" w:line="22"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and the Lenders providing the relevant Replacement Term Loans to permit the refinancing of all outstanding Term Loans of any Class (“</w:t>
      </w:r>
      <w:r>
        <w:rPr>
          <w:rFonts w:ascii="Arial" w:cs="Arial" w:eastAsia="Arial" w:hAnsi="Arial"/>
          <w:sz w:val="15"/>
          <w:szCs w:val="15"/>
          <w:b w:val="1"/>
          <w:bCs w:val="1"/>
          <w:color w:val="auto"/>
        </w:rPr>
        <w:t>Refinanced Term</w:t>
      </w:r>
      <w:r>
        <w:rPr>
          <w:rFonts w:ascii="Arial" w:cs="Arial" w:eastAsia="Arial" w:hAnsi="Arial"/>
          <w:sz w:val="15"/>
          <w:szCs w:val="15"/>
          <w:color w:val="auto"/>
        </w:rPr>
        <w:t xml:space="preserve"> </w:t>
      </w:r>
      <w:r>
        <w:rPr>
          <w:rFonts w:ascii="Arial" w:cs="Arial" w:eastAsia="Arial" w:hAnsi="Arial"/>
          <w:sz w:val="15"/>
          <w:szCs w:val="15"/>
          <w:b w:val="1"/>
          <w:bCs w:val="1"/>
          <w:color w:val="auto"/>
        </w:rPr>
        <w:t>Loans</w:t>
      </w:r>
      <w:r>
        <w:rPr>
          <w:rFonts w:ascii="Arial" w:cs="Arial" w:eastAsia="Arial" w:hAnsi="Arial"/>
          <w:sz w:val="15"/>
          <w:szCs w:val="15"/>
          <w:color w:val="auto"/>
        </w:rPr>
        <w:t>”) with a replacement term loan tranche (“</w:t>
      </w:r>
      <w:r>
        <w:rPr>
          <w:rFonts w:ascii="Arial" w:cs="Arial" w:eastAsia="Arial" w:hAnsi="Arial"/>
          <w:sz w:val="15"/>
          <w:szCs w:val="15"/>
          <w:b w:val="1"/>
          <w:bCs w:val="1"/>
          <w:color w:val="auto"/>
        </w:rPr>
        <w:t>Replacement Term Loans</w:t>
      </w:r>
      <w:r>
        <w:rPr>
          <w:rFonts w:ascii="Arial" w:cs="Arial" w:eastAsia="Arial" w:hAnsi="Arial"/>
          <w:sz w:val="15"/>
          <w:szCs w:val="15"/>
          <w:color w:val="auto"/>
        </w:rPr>
        <w:t>”) hereunder;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b w:val="1"/>
          <w:bCs w:val="1"/>
          <w:color w:val="auto"/>
        </w:rPr>
        <w:t xml:space="preserve"> </w:t>
      </w:r>
      <w:r>
        <w:rPr>
          <w:rFonts w:ascii="Arial" w:cs="Arial" w:eastAsia="Arial" w:hAnsi="Arial"/>
          <w:sz w:val="15"/>
          <w:szCs w:val="15"/>
          <w:color w:val="auto"/>
        </w:rPr>
        <w:t>that (a) the aggregate principal amount of such Replacement</w:t>
      </w:r>
      <w:r>
        <w:rPr>
          <w:rFonts w:ascii="Arial" w:cs="Arial" w:eastAsia="Arial" w:hAnsi="Arial"/>
          <w:sz w:val="15"/>
          <w:szCs w:val="15"/>
          <w:b w:val="1"/>
          <w:bCs w:val="1"/>
          <w:color w:val="auto"/>
        </w:rPr>
        <w:t xml:space="preserve"> </w:t>
      </w:r>
      <w:r>
        <w:rPr>
          <w:rFonts w:ascii="Arial" w:cs="Arial" w:eastAsia="Arial" w:hAnsi="Arial"/>
          <w:sz w:val="15"/>
          <w:szCs w:val="15"/>
          <w:color w:val="auto"/>
        </w:rPr>
        <w:t>Term Loans shall not exceed the aggregate principal amount of such Refinanced Term Loans (</w:t>
      </w:r>
      <w:r>
        <w:rPr>
          <w:rFonts w:ascii="Arial" w:cs="Arial" w:eastAsia="Arial" w:hAnsi="Arial"/>
          <w:sz w:val="15"/>
          <w:szCs w:val="15"/>
          <w:i w:val="1"/>
          <w:iCs w:val="1"/>
          <w:color w:val="auto"/>
        </w:rPr>
        <w:t>plus</w:t>
      </w:r>
      <w:r>
        <w:rPr>
          <w:rFonts w:ascii="Arial" w:cs="Arial" w:eastAsia="Arial" w:hAnsi="Arial"/>
          <w:sz w:val="15"/>
          <w:szCs w:val="15"/>
          <w:color w:val="auto"/>
        </w:rPr>
        <w:t xml:space="preserve"> an amount equal to all accrued but unpaid interest, fees, premiums, and expenses incurred in connection therewith), (b) the Applicable Margin for such Replacement Term Loans shall not be higher than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Margin for such Refinanced Term Loans, unless any such Applicable Margin applies after the Term A Loan Maturity Date, with respect to Replacement Term</w:t>
      </w:r>
    </w:p>
    <w:p>
      <w:pPr>
        <w:spacing w:after="0" w:line="11"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Loans that are Term A Loans, (c)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the covenants, events of default and guarantees shall be not materially more restrictive</w:t>
      </w:r>
    </w:p>
    <w:p>
      <w:pPr>
        <w:ind w:right="40"/>
        <w:spacing w:after="0" w:line="234" w:lineRule="auto"/>
        <w:rPr>
          <w:sz w:val="20"/>
          <w:szCs w:val="20"/>
          <w:color w:val="auto"/>
        </w:rPr>
      </w:pPr>
      <w:r>
        <w:rPr>
          <w:rFonts w:ascii="Arial" w:cs="Arial" w:eastAsia="Arial" w:hAnsi="Arial"/>
          <w:sz w:val="16"/>
          <w:szCs w:val="16"/>
          <w:color w:val="auto"/>
        </w:rPr>
        <w:t>(taken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Lenders hereby irrevocably agree that the Liens granted to the Collateral Agent by the Credit Parties on any Collateral shall be automatically released</w:t>
      </w:r>
    </w:p>
    <w:p>
      <w:pPr>
        <w:spacing w:after="0" w:line="9" w:lineRule="exact"/>
        <w:rPr>
          <w:sz w:val="20"/>
          <w:szCs w:val="20"/>
          <w:color w:val="auto"/>
        </w:rPr>
      </w:pPr>
    </w:p>
    <w:p>
      <w:pPr>
        <w:ind w:firstLine="3"/>
        <w:spacing w:after="0" w:line="242" w:lineRule="auto"/>
        <w:tabs>
          <w:tab w:leader="none" w:pos="205" w:val="left"/>
        </w:tabs>
        <w:numPr>
          <w:ilvl w:val="0"/>
          <w:numId w:val="164"/>
        </w:numPr>
        <w:rPr>
          <w:rFonts w:ascii="Arial" w:cs="Arial" w:eastAsia="Arial" w:hAnsi="Arial"/>
          <w:sz w:val="15"/>
          <w:szCs w:val="15"/>
          <w:color w:val="auto"/>
        </w:rPr>
      </w:pPr>
      <w:r>
        <w:rPr>
          <w:rFonts w:ascii="Arial" w:cs="Arial" w:eastAsia="Arial" w:hAnsi="Arial"/>
          <w:sz w:val="15"/>
          <w:szCs w:val="15"/>
          <w:color w:val="auto"/>
        </w:rPr>
        <w:t xml:space="preserve">in full, upon the termination of this Agreement and the payment of all Obligations hereunder (except for (w) contingent indemnification obligations in respect of which a claim has not yet been made, (x) Secured Hedge Obligations, (y) cash collateralized Letters of Credit pursuant to arrangements reasonably acceptable to the applicable Letter of Credit Issuer, and (z) Secured Cash Management Obligations),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5"/>
          <w:szCs w:val="15"/>
          <w:u w:val="single" w:color="auto"/>
          <w:color w:val="auto"/>
        </w:rPr>
        <w:t>Section 13.1</w:t>
      </w:r>
      <w:r>
        <w:rPr>
          <w:rFonts w:ascii="Arial" w:cs="Arial" w:eastAsia="Arial" w:hAnsi="Arial"/>
          <w:sz w:val="15"/>
          <w:szCs w:val="15"/>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330" w:lineRule="exact"/>
        <w:rPr>
          <w:sz w:val="20"/>
          <w:szCs w:val="20"/>
          <w:color w:val="auto"/>
        </w:rPr>
      </w:pPr>
    </w:p>
    <w:p>
      <w:pPr>
        <w:ind w:right="20" w:firstLine="619"/>
        <w:spacing w:after="0" w:line="236" w:lineRule="auto"/>
        <w:rPr>
          <w:sz w:val="20"/>
          <w:szCs w:val="20"/>
          <w:color w:val="auto"/>
        </w:rPr>
      </w:pPr>
      <w:r>
        <w:rPr>
          <w:rFonts w:ascii="Arial" w:cs="Arial" w:eastAsia="Arial" w:hAnsi="Arial"/>
          <w:sz w:val="17"/>
          <w:szCs w:val="17"/>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170" w:lineRule="exact"/>
        <w:rPr>
          <w:sz w:val="20"/>
          <w:szCs w:val="20"/>
          <w:color w:val="auto"/>
        </w:rPr>
      </w:pPr>
    </w:p>
    <w:p>
      <w:pPr>
        <w:ind w:right="40" w:firstLine="619"/>
        <w:spacing w:after="0" w:line="245" w:lineRule="auto"/>
        <w:rPr>
          <w:sz w:val="20"/>
          <w:szCs w:val="20"/>
          <w:color w:val="auto"/>
        </w:rPr>
      </w:pPr>
      <w:r>
        <w:rPr>
          <w:rFonts w:ascii="Arial" w:cs="Arial" w:eastAsia="Arial" w:hAnsi="Arial"/>
          <w:sz w:val="15"/>
          <w:szCs w:val="15"/>
          <w:color w:val="auto"/>
        </w:rPr>
        <w:t xml:space="preserve">Notwithstanding anything in this Agreement (including, without limitation, this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or any other Credit Document to the contrary, (i) this Agreement and the other Credit Documents may be amended to effect an incremental facility or extension facility pursuant to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(and the Administrative Agent and the Borrower may effect such amendments to this Agreement and the other Credit Documents without the consent of any other party as may be</w:t>
      </w:r>
    </w:p>
    <w:p>
      <w:pPr>
        <w:spacing w:after="0" w:line="1" w:lineRule="exact"/>
        <w:rPr>
          <w:sz w:val="20"/>
          <w:szCs w:val="20"/>
          <w:color w:val="auto"/>
        </w:rPr>
      </w:pPr>
    </w:p>
    <w:p>
      <w:pPr>
        <w:jc w:val="both"/>
        <w:ind w:right="120"/>
        <w:spacing w:after="0" w:line="239" w:lineRule="auto"/>
        <w:rPr>
          <w:sz w:val="20"/>
          <w:szCs w:val="20"/>
          <w:color w:val="auto"/>
        </w:rPr>
      </w:pPr>
      <w:r>
        <w:rPr>
          <w:rFonts w:ascii="Arial" w:cs="Arial" w:eastAsia="Arial" w:hAnsi="Arial"/>
          <w:sz w:val="15"/>
          <w:szCs w:val="15"/>
          <w:color w:val="auto"/>
        </w:rPr>
        <w:t>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(if any), any intercreditor agreement or arrangement permitted under this Agreement that is for the purpose of adding the holders of any Indebtedness as expressly contemplated by the terms of the</w:t>
      </w:r>
    </w:p>
    <w:p>
      <w:pPr>
        <w:spacing w:after="0" w:line="239" w:lineRule="auto"/>
        <w:rPr>
          <w:sz w:val="20"/>
          <w:szCs w:val="20"/>
          <w:color w:val="auto"/>
        </w:rPr>
      </w:pPr>
      <w:r>
        <w:rPr>
          <w:rFonts w:ascii="Arial" w:cs="Arial" w:eastAsia="Arial" w:hAnsi="Arial"/>
          <w:sz w:val="15"/>
          <w:szCs w:val="15"/>
          <w:color w:val="auto"/>
        </w:rPr>
        <w:t xml:space="preserve">First Lien Intercreditor Agreement (if any)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other changes are not adverse, in any material respect, to the interests of the</w:t>
      </w:r>
    </w:p>
    <w:p>
      <w:pPr>
        <w:ind w:right="120"/>
        <w:spacing w:after="0" w:line="237" w:lineRule="auto"/>
        <w:rPr>
          <w:sz w:val="20"/>
          <w:szCs w:val="20"/>
          <w:color w:val="auto"/>
        </w:rPr>
      </w:pPr>
      <w:r>
        <w:rPr>
          <w:rFonts w:ascii="Arial" w:cs="Arial" w:eastAsia="Arial" w:hAnsi="Arial"/>
          <w:sz w:val="15"/>
          <w:szCs w:val="15"/>
          <w:color w:val="auto"/>
        </w:rPr>
        <w:t xml:space="preserve">Lenders taken as a whole);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w:t>
      </w:r>
    </w:p>
    <w:p>
      <w:pPr>
        <w:spacing w:after="0" w:line="2" w:lineRule="exact"/>
        <w:rPr>
          <w:sz w:val="20"/>
          <w:szCs w:val="20"/>
          <w:color w:val="auto"/>
        </w:rPr>
      </w:pPr>
    </w:p>
    <w:p>
      <w:pPr>
        <w:ind w:right="320"/>
        <w:spacing w:after="0" w:line="227" w:lineRule="auto"/>
        <w:rPr>
          <w:sz w:val="20"/>
          <w:szCs w:val="20"/>
          <w:color w:val="auto"/>
        </w:rPr>
      </w:pPr>
      <w:r>
        <w:rPr>
          <w:rFonts w:ascii="Arial" w:cs="Arial" w:eastAsia="Arial" w:hAnsi="Arial"/>
          <w:sz w:val="17"/>
          <w:szCs w:val="17"/>
          <w:color w:val="auto"/>
        </w:rPr>
        <w:t>changes of a technical or immaterial nature (including to effect changes to the terms and conditions applicable solely to the Letter of Credit Issuer in respect of Issuances of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and such amendment shall be deemed approved by the Lenders if the Lenders shall have received at least five Business Days’ prior written notice of such change</w:t>
      </w:r>
    </w:p>
    <w:p>
      <w:pPr>
        <w:spacing w:after="0" w:line="22"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w:t>
      </w:r>
    </w:p>
    <w:p>
      <w:pPr>
        <w:ind w:right="20"/>
        <w:spacing w:after="0" w:line="239" w:lineRule="auto"/>
        <w:rPr>
          <w:sz w:val="20"/>
          <w:szCs w:val="20"/>
          <w:color w:val="auto"/>
        </w:rPr>
      </w:pPr>
      <w:r>
        <w:rPr>
          <w:rFonts w:ascii="Arial" w:cs="Arial" w:eastAsia="Arial" w:hAnsi="Arial"/>
          <w:sz w:val="15"/>
          <w:szCs w:val="15"/>
          <w:color w:val="auto"/>
        </w:rPr>
        <w:t>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w:t>
      </w:r>
    </w:p>
    <w:p>
      <w:pPr>
        <w:ind w:right="340"/>
        <w:spacing w:after="0" w:line="254" w:lineRule="auto"/>
        <w:rPr>
          <w:sz w:val="20"/>
          <w:szCs w:val="20"/>
          <w:color w:val="auto"/>
        </w:rPr>
      </w:pPr>
      <w:r>
        <w:rPr>
          <w:rFonts w:ascii="Arial" w:cs="Arial" w:eastAsia="Arial" w:hAnsi="Arial"/>
          <w:sz w:val="15"/>
          <w:szCs w:val="15"/>
          <w:color w:val="auto"/>
        </w:rPr>
        <w:t>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160" w:lineRule="exact"/>
        <w:rPr>
          <w:sz w:val="20"/>
          <w:szCs w:val="20"/>
          <w:color w:val="auto"/>
        </w:rPr>
      </w:pPr>
    </w:p>
    <w:p>
      <w:pPr>
        <w:ind w:right="460" w:firstLine="619"/>
        <w:spacing w:after="0" w:line="245" w:lineRule="auto"/>
        <w:rPr>
          <w:sz w:val="20"/>
          <w:szCs w:val="20"/>
          <w:color w:val="auto"/>
        </w:rPr>
      </w:pPr>
      <w:r>
        <w:rPr>
          <w:rFonts w:ascii="Arial" w:cs="Arial" w:eastAsia="Arial" w:hAnsi="Arial"/>
          <w:sz w:val="15"/>
          <w:szCs w:val="15"/>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5"/>
          <w:szCs w:val="15"/>
          <w:u w:val="single" w:color="auto"/>
          <w:color w:val="auto"/>
        </w:rPr>
        <w:t>Sections 9.12</w:t>
      </w:r>
      <w:r>
        <w:rPr>
          <w:rFonts w:ascii="Arial" w:cs="Arial" w:eastAsia="Arial" w:hAnsi="Arial"/>
          <w:sz w:val="15"/>
          <w:szCs w:val="15"/>
          <w:color w:val="auto"/>
        </w:rPr>
        <w:t xml:space="preserve">, </w:t>
      </w:r>
      <w:r>
        <w:rPr>
          <w:rFonts w:ascii="Arial" w:cs="Arial" w:eastAsia="Arial" w:hAnsi="Arial"/>
          <w:sz w:val="15"/>
          <w:szCs w:val="15"/>
          <w:u w:val="single" w:color="auto"/>
          <w:color w:val="auto"/>
        </w:rPr>
        <w:t>9.13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9.14</w:t>
      </w:r>
      <w:r>
        <w:rPr>
          <w:rFonts w:ascii="Arial" w:cs="Arial" w:eastAsia="Arial" w:hAnsi="Arial"/>
          <w:sz w:val="15"/>
          <w:szCs w:val="15"/>
          <w:color w:val="auto"/>
        </w:rPr>
        <w:t xml:space="preserve"> or any Security Documents in respect of any particular Collateral or any particular Subsidiary if it determines that the satisfaction thereof with respect to such Collateral or such Subsidiary cannot be accomplished</w:t>
      </w:r>
    </w:p>
    <w:p>
      <w:pPr>
        <w:spacing w:after="0" w:line="1" w:lineRule="exact"/>
        <w:rPr>
          <w:sz w:val="20"/>
          <w:szCs w:val="20"/>
          <w:color w:val="auto"/>
        </w:rPr>
      </w:pPr>
    </w:p>
    <w:p>
      <w:pPr>
        <w:ind w:right="380"/>
        <w:spacing w:after="0" w:line="227" w:lineRule="auto"/>
        <w:rPr>
          <w:sz w:val="20"/>
          <w:szCs w:val="20"/>
          <w:color w:val="auto"/>
        </w:rPr>
      </w:pPr>
      <w:r>
        <w:rPr>
          <w:rFonts w:ascii="Arial" w:cs="Arial" w:eastAsia="Arial" w:hAnsi="Arial"/>
          <w:sz w:val="17"/>
          <w:szCs w:val="17"/>
          <w:color w:val="auto"/>
        </w:rPr>
        <w:t>without undue expense or unreasonable effort or due to factors beyond the control of Holdings and the Restricted Subsidiaries by the time or times at which it would otherwise be required to be satisfied under this Agreement or any Security Document.</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u w:val="single" w:color="auto"/>
          <w:color w:val="auto"/>
        </w:rPr>
        <w:t>Notices</w:t>
      </w:r>
      <w:r>
        <w:rPr>
          <w:rFonts w:ascii="Arial" w:cs="Arial" w:eastAsia="Arial" w:hAnsi="Arial"/>
          <w:sz w:val="15"/>
          <w:szCs w:val="15"/>
          <w:color w:val="auto"/>
        </w:rPr>
        <w:t>. Unless otherwise expressly provided herein, all notices and other communications provided for hereunder or under any other Credit</w:t>
      </w:r>
    </w:p>
    <w:p>
      <w:pPr>
        <w:ind w:right="40"/>
        <w:spacing w:after="0" w:line="220" w:lineRule="auto"/>
        <w:rPr>
          <w:sz w:val="20"/>
          <w:szCs w:val="20"/>
          <w:color w:val="auto"/>
        </w:rPr>
      </w:pPr>
      <w:r>
        <w:rPr>
          <w:rFonts w:ascii="Arial" w:cs="Arial" w:eastAsia="Arial" w:hAnsi="Arial"/>
          <w:sz w:val="17"/>
          <w:szCs w:val="17"/>
          <w:color w:val="auto"/>
        </w:rPr>
        <w:t>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0" w:lineRule="exact"/>
        <w:rPr>
          <w:sz w:val="20"/>
          <w:szCs w:val="20"/>
          <w:color w:val="auto"/>
        </w:rPr>
      </w:pPr>
    </w:p>
    <w:p>
      <w:pPr>
        <w:ind w:left="620" w:right="120" w:firstLine="621"/>
        <w:spacing w:after="0"/>
        <w:tabs>
          <w:tab w:leader="none" w:pos="185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169" w:lineRule="exact"/>
        <w:rPr>
          <w:rFonts w:ascii="Arial" w:cs="Arial" w:eastAsia="Arial" w:hAnsi="Arial"/>
          <w:sz w:val="16"/>
          <w:szCs w:val="16"/>
          <w:color w:val="auto"/>
        </w:rPr>
      </w:pPr>
    </w:p>
    <w:p>
      <w:pPr>
        <w:ind w:left="620" w:right="120" w:firstLine="621"/>
        <w:spacing w:after="0"/>
        <w:tabs>
          <w:tab w:leader="none" w:pos="185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and the Swingline Lender.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All such notices and other communications shall be deemed to be given or made upon the earlier to occur of (i) actual receipt by the relevant party hereto and (ii)</w:t>
      </w:r>
    </w:p>
    <w:p>
      <w:pPr>
        <w:spacing w:after="0" w:line="9" w:lineRule="exact"/>
        <w:rPr>
          <w:sz w:val="20"/>
          <w:szCs w:val="20"/>
          <w:color w:val="auto"/>
        </w:rPr>
      </w:pPr>
    </w:p>
    <w:p>
      <w:pPr>
        <w:ind w:right="200" w:firstLine="3"/>
        <w:spacing w:after="0" w:line="220" w:lineRule="auto"/>
        <w:tabs>
          <w:tab w:leader="none" w:pos="28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notices and other communications to the Administrative Agent or the Lenders pursuant to </w:t>
      </w:r>
      <w:r>
        <w:rPr>
          <w:rFonts w:ascii="Arial" w:cs="Arial" w:eastAsia="Arial" w:hAnsi="Arial"/>
          <w:sz w:val="17"/>
          <w:szCs w:val="17"/>
          <w:u w:val="single" w:color="auto"/>
          <w:color w:val="auto"/>
        </w:rPr>
        <w:t>Sections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shall not be effective until received.</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u w:val="single" w:color="auto"/>
          <w:color w:val="auto"/>
        </w:rPr>
        <w:t>No Waiver; Cumulative Remedies</w:t>
      </w:r>
      <w:r>
        <w:rPr>
          <w:rFonts w:ascii="Arial" w:cs="Arial" w:eastAsia="Arial" w:hAnsi="Arial"/>
          <w:sz w:val="15"/>
          <w:szCs w:val="15"/>
          <w:color w:val="auto"/>
        </w:rPr>
        <w:t>. No failure to exercise and no delay in exercising, on the part of the Administrative Agent, the Collateral</w:t>
      </w:r>
    </w:p>
    <w:p>
      <w:pPr>
        <w:spacing w:after="0" w:line="239" w:lineRule="auto"/>
        <w:rPr>
          <w:sz w:val="20"/>
          <w:szCs w:val="20"/>
          <w:color w:val="auto"/>
        </w:rPr>
      </w:pPr>
      <w:r>
        <w:rPr>
          <w:rFonts w:ascii="Arial" w:cs="Arial" w:eastAsia="Arial" w:hAnsi="Arial"/>
          <w:sz w:val="15"/>
          <w:szCs w:val="15"/>
          <w:color w:val="auto"/>
        </w:rPr>
        <w:t>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w:t>
      </w:r>
    </w:p>
    <w:p>
      <w:pPr>
        <w:spacing w:after="0"/>
        <w:rPr>
          <w:sz w:val="20"/>
          <w:szCs w:val="20"/>
          <w:color w:val="auto"/>
        </w:rPr>
      </w:pPr>
      <w:r>
        <w:rPr>
          <w:rFonts w:ascii="Arial" w:cs="Arial" w:eastAsia="Arial" w:hAnsi="Arial"/>
          <w:sz w:val="17"/>
          <w:szCs w:val="17"/>
          <w:color w:val="auto"/>
        </w:rPr>
        <w:t>by law.</w:t>
      </w:r>
    </w:p>
    <w:p>
      <w:pPr>
        <w:spacing w:after="0" w:line="164" w:lineRule="exact"/>
        <w:rPr>
          <w:sz w:val="20"/>
          <w:szCs w:val="20"/>
          <w:color w:val="auto"/>
        </w:rPr>
      </w:pPr>
    </w:p>
    <w:p>
      <w:pPr>
        <w:ind w:right="160" w:firstLine="619"/>
        <w:spacing w:after="0" w:line="251"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All representations and warranties made hereunder, in the other Credit Documents and in any document, certificate or statement delivered pursuant hereto or in connection herewith shall survive the execution and delivery of this Agreement and the making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the Loans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0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5"/>
          <w:szCs w:val="15"/>
          <w:u w:val="single" w:color="auto"/>
          <w:color w:val="auto"/>
        </w:rPr>
        <w:t>Payment of Expenses; Indemnification</w:t>
      </w:r>
      <w:r>
        <w:rPr>
          <w:rFonts w:ascii="Arial" w:cs="Arial" w:eastAsia="Arial" w:hAnsi="Arial"/>
          <w:sz w:val="15"/>
          <w:szCs w:val="15"/>
          <w:color w:val="auto"/>
        </w:rPr>
        <w:t>.</w:t>
      </w:r>
    </w:p>
    <w:p>
      <w:pPr>
        <w:spacing w:after="0" w:line="191" w:lineRule="exact"/>
        <w:rPr>
          <w:sz w:val="20"/>
          <w:szCs w:val="20"/>
          <w:color w:val="auto"/>
        </w:rPr>
      </w:pPr>
    </w:p>
    <w:p>
      <w:pPr>
        <w:ind w:right="120" w:firstLine="622"/>
        <w:spacing w:after="0"/>
        <w:tabs>
          <w:tab w:leader="none" w:pos="1238" w:val="left"/>
        </w:tabs>
        <w:numPr>
          <w:ilvl w:val="1"/>
          <w:numId w:val="167"/>
        </w:numPr>
        <w:rPr>
          <w:rFonts w:ascii="Arial" w:cs="Arial" w:eastAsia="Arial" w:hAnsi="Arial"/>
          <w:sz w:val="15"/>
          <w:szCs w:val="15"/>
          <w:color w:val="auto"/>
        </w:rPr>
      </w:pPr>
      <w:r>
        <w:rPr>
          <w:rFonts w:ascii="Arial" w:cs="Arial" w:eastAsia="Arial" w:hAnsi="Arial"/>
          <w:sz w:val="15"/>
          <w:szCs w:val="15"/>
          <w:color w:val="auto"/>
        </w:rPr>
        <w:t>Each of Holdings and the Borrower, jointly and severally, agree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Cahill Gordon &amp; Reindel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w:t>
      </w:r>
    </w:p>
    <w:p>
      <w:pPr>
        <w:spacing w:after="0" w:line="3" w:lineRule="exact"/>
        <w:rPr>
          <w:rFonts w:ascii="Arial" w:cs="Arial" w:eastAsia="Arial" w:hAnsi="Arial"/>
          <w:sz w:val="15"/>
          <w:szCs w:val="15"/>
          <w:color w:val="auto"/>
        </w:rPr>
      </w:pPr>
    </w:p>
    <w:p>
      <w:pPr>
        <w:ind w:left="300" w:hanging="297"/>
        <w:spacing w:after="0" w:line="218" w:lineRule="auto"/>
        <w:tabs>
          <w:tab w:leader="none" w:pos="3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pay, indemnify and hold harmless each Lender, each Agent, the Letter of Credit Issuer and their respective Related Parties (without duplication) (the</w:t>
      </w:r>
    </w:p>
    <w:p>
      <w:pPr>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obligations, demands, actions, judgements, suits, costs, expenses,</w:t>
      </w:r>
    </w:p>
    <w:p>
      <w:pPr>
        <w:ind w:right="40"/>
        <w:spacing w:after="0" w:line="239" w:lineRule="auto"/>
        <w:rPr>
          <w:sz w:val="20"/>
          <w:szCs w:val="20"/>
          <w:color w:val="auto"/>
        </w:rPr>
      </w:pPr>
      <w:r>
        <w:rPr>
          <w:rFonts w:ascii="Arial" w:cs="Arial" w:eastAsia="Arial" w:hAnsi="Arial"/>
          <w:sz w:val="15"/>
          <w:szCs w:val="15"/>
          <w:color w:val="auto"/>
        </w:rPr>
        <w:t>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w:t>
      </w:r>
    </w:p>
    <w:p>
      <w:pPr>
        <w:jc w:val="both"/>
        <w:ind w:right="100"/>
        <w:spacing w:after="0" w:line="239" w:lineRule="auto"/>
        <w:rPr>
          <w:sz w:val="20"/>
          <w:szCs w:val="20"/>
          <w:color w:val="auto"/>
        </w:rPr>
      </w:pPr>
      <w:r>
        <w:rPr>
          <w:rFonts w:ascii="Arial" w:cs="Arial" w:eastAsia="Arial" w:hAnsi="Arial"/>
          <w:sz w:val="15"/>
          <w:szCs w:val="15"/>
          <w:color w:val="auto"/>
        </w:rPr>
        <w:t>(including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w:t>
      </w:r>
    </w:p>
    <w:p>
      <w:pPr>
        <w:ind w:right="100"/>
        <w:spacing w:after="0" w:line="239" w:lineRule="auto"/>
        <w:rPr>
          <w:sz w:val="20"/>
          <w:szCs w:val="20"/>
          <w:color w:val="auto"/>
        </w:rPr>
      </w:pPr>
      <w:r>
        <w:rPr>
          <w:rFonts w:ascii="Arial" w:cs="Arial" w:eastAsia="Arial" w:hAnsi="Arial"/>
          <w:sz w:val="15"/>
          <w:szCs w:val="15"/>
          <w:color w:val="auto"/>
        </w:rPr>
        <w:t>not such action, claim, litigation or proceeding (including any inquiry or investigation of the foregoing)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w:t>
      </w:r>
    </w:p>
    <w:p>
      <w:pPr>
        <w:ind w:right="80"/>
        <w:spacing w:after="0" w:line="239" w:lineRule="auto"/>
        <w:rPr>
          <w:sz w:val="20"/>
          <w:szCs w:val="20"/>
          <w:color w:val="auto"/>
        </w:rPr>
      </w:pPr>
      <w:r>
        <w:rPr>
          <w:rFonts w:ascii="Arial" w:cs="Arial" w:eastAsia="Arial" w:hAnsi="Arial"/>
          <w:sz w:val="15"/>
          <w:szCs w:val="15"/>
          <w:color w:val="auto"/>
        </w:rPr>
        <w:t>Environmental Law or any actual or alleged presence, Release or threatened Release of Hazardous Materials attributable to Holdings or any of its Subsidiaries (all the foregoing in this clause (iii), collectively, the “</w:t>
      </w:r>
      <w:r>
        <w:rPr>
          <w:rFonts w:ascii="Arial" w:cs="Arial" w:eastAsia="Arial" w:hAnsi="Arial"/>
          <w:sz w:val="15"/>
          <w:szCs w:val="15"/>
          <w:b w:val="1"/>
          <w:bCs w:val="1"/>
          <w:color w:val="auto"/>
        </w:rPr>
        <w:t>Indemnified Liabilities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Holdings and the Borrower shall have no obligation hereunder to any Indemnified Person with respect to indemnified liabilities to the extent arising from (i) the gross negligence, bad faith or willful misconduct of such Indemnified</w:t>
      </w:r>
    </w:p>
    <w:p>
      <w:pPr>
        <w:ind w:right="100"/>
        <w:spacing w:after="0" w:line="239" w:lineRule="auto"/>
        <w:rPr>
          <w:sz w:val="20"/>
          <w:szCs w:val="20"/>
          <w:color w:val="auto"/>
        </w:rPr>
      </w:pPr>
      <w:r>
        <w:rPr>
          <w:rFonts w:ascii="Arial" w:cs="Arial" w:eastAsia="Arial" w:hAnsi="Arial"/>
          <w:sz w:val="15"/>
          <w:szCs w:val="15"/>
          <w:color w:val="auto"/>
        </w:rPr>
        <w:t>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w:t>
      </w:r>
    </w:p>
    <w:p>
      <w:pPr>
        <w:jc w:val="both"/>
        <w:ind w:right="280"/>
        <w:spacing w:after="0" w:line="239" w:lineRule="auto"/>
        <w:rPr>
          <w:sz w:val="20"/>
          <w:szCs w:val="20"/>
          <w:color w:val="auto"/>
        </w:rPr>
      </w:pPr>
      <w:r>
        <w:rPr>
          <w:rFonts w:ascii="Arial" w:cs="Arial" w:eastAsia="Arial" w:hAnsi="Arial"/>
          <w:sz w:val="15"/>
          <w:szCs w:val="15"/>
          <w:color w:val="auto"/>
        </w:rPr>
        <w:t xml:space="preserve">not involve an act or omission by Holdings, the Borrower or its Restricted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Agents, to the extent acting in their capacity as such, shall remain indemnified in respect of such proceeding, to the extent that neither of the exceptions set forth in clause (i) or (ii) of the immediately preceding proviso applies to such person at such time. The agreements in this Section 13.5 shall survive repayment of the Loans and all other amounts payable hereunder. This</w:t>
      </w:r>
    </w:p>
    <w:p>
      <w:pPr>
        <w:ind w:right="780"/>
        <w:spacing w:after="0" w:line="227" w:lineRule="auto"/>
        <w:rPr>
          <w:sz w:val="20"/>
          <w:szCs w:val="20"/>
          <w:color w:val="auto"/>
        </w:rPr>
      </w:pPr>
      <w:r>
        <w:rPr>
          <w:rFonts w:ascii="Arial" w:cs="Arial" w:eastAsia="Arial" w:hAnsi="Arial"/>
          <w:sz w:val="17"/>
          <w:szCs w:val="17"/>
          <w:color w:val="auto"/>
        </w:rPr>
        <w:t>Section 13.5 shall not apply with respect to Taxes, other than any Taxes that represent losses, claims, damages, liabilities, obligations, penalties, actions, judgments, suits, costs, expenses or disbursements arising from any non-Tax claim.</w:t>
      </w:r>
    </w:p>
    <w:p>
      <w:pPr>
        <w:spacing w:after="0" w:line="158" w:lineRule="exact"/>
        <w:rPr>
          <w:sz w:val="20"/>
          <w:szCs w:val="20"/>
          <w:color w:val="auto"/>
        </w:rPr>
      </w:pPr>
    </w:p>
    <w:p>
      <w:pPr>
        <w:ind w:firstLine="622"/>
        <w:spacing w:after="0" w:line="230" w:lineRule="auto"/>
        <w:tabs>
          <w:tab w:leader="none" w:pos="123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Second Restatement Effective Date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limit Holdings’ and the Borrower’s indemnification obligations to the Indemnified Persons pursuant to </w:t>
      </w:r>
      <w:r>
        <w:rPr>
          <w:rFonts w:ascii="Arial" w:cs="Arial" w:eastAsia="Arial" w:hAnsi="Arial"/>
          <w:sz w:val="16"/>
          <w:szCs w:val="16"/>
          <w:u w:val="single" w:color="auto"/>
          <w:color w:val="auto"/>
        </w:rPr>
        <w:t>Section 13.5(a)</w:t>
      </w:r>
      <w:r>
        <w:rPr>
          <w:rFonts w:ascii="Arial" w:cs="Arial" w:eastAsia="Arial" w:hAnsi="Arial"/>
          <w:sz w:val="16"/>
          <w:szCs w:val="16"/>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175" w:lineRule="exact"/>
        <w:rPr>
          <w:rFonts w:ascii="Arial" w:cs="Arial" w:eastAsia="Arial" w:hAnsi="Arial"/>
          <w:sz w:val="16"/>
          <w:szCs w:val="16"/>
          <w:color w:val="auto"/>
        </w:rPr>
      </w:pPr>
    </w:p>
    <w:p>
      <w:pPr>
        <w:ind w:right="160" w:firstLine="622"/>
        <w:spacing w:after="0" w:line="236" w:lineRule="auto"/>
        <w:tabs>
          <w:tab w:leader="none" w:pos="123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Notwithstanding the foregoing, each Indemnified Person shall be obligated to refund or return any and all amounts paid by the Borrower under this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to such Indemnified Person for any losses,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damages, liabilities and expenses to the extent such Indemnified Person is not entitled to payment of such amounts in accordance with the terms hereof.</w:t>
      </w:r>
    </w:p>
    <w:p>
      <w:pPr>
        <w:spacing w:after="0" w:line="20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u w:val="single" w:color="auto"/>
          <w:color w:val="auto"/>
        </w:rPr>
        <w:t>Successors and Assigns; Participations and Assignments</w:t>
      </w:r>
      <w:r>
        <w:rPr>
          <w:rFonts w:ascii="Arial" w:cs="Arial" w:eastAsia="Arial" w:hAnsi="Arial"/>
          <w:sz w:val="15"/>
          <w:szCs w:val="15"/>
          <w:color w:val="auto"/>
        </w:rPr>
        <w:t>.</w:t>
      </w:r>
    </w:p>
    <w:p>
      <w:pPr>
        <w:spacing w:after="0" w:line="178" w:lineRule="exact"/>
        <w:rPr>
          <w:sz w:val="20"/>
          <w:szCs w:val="20"/>
          <w:color w:val="auto"/>
        </w:rPr>
      </w:pPr>
    </w:p>
    <w:p>
      <w:pPr>
        <w:ind w:right="60" w:firstLine="622"/>
        <w:spacing w:after="0" w:line="230" w:lineRule="auto"/>
        <w:tabs>
          <w:tab w:leader="none" w:pos="123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6"/>
          <w:szCs w:val="16"/>
          <w:u w:val="single" w:color="auto"/>
          <w:color w:val="auto"/>
        </w:rPr>
        <w:t>Section 13.5</w:t>
      </w:r>
      <w:r>
        <w:rPr>
          <w:rFonts w:ascii="Arial" w:cs="Arial" w:eastAsia="Arial" w:hAnsi="Arial"/>
          <w:sz w:val="16"/>
          <w:szCs w:val="16"/>
          <w:color w:val="auto"/>
        </w:rPr>
        <w:t>) any legal or equitable right, remedy or claim under or by reason of this Agreement.</w:t>
      </w:r>
    </w:p>
    <w:p>
      <w:pPr>
        <w:spacing w:after="0" w:line="175" w:lineRule="exact"/>
        <w:rPr>
          <w:rFonts w:ascii="Arial" w:cs="Arial" w:eastAsia="Arial" w:hAnsi="Arial"/>
          <w:sz w:val="16"/>
          <w:szCs w:val="16"/>
          <w:color w:val="auto"/>
        </w:rPr>
      </w:pPr>
    </w:p>
    <w:p>
      <w:pPr>
        <w:ind w:right="100" w:firstLine="622"/>
        <w:spacing w:after="0" w:line="234" w:lineRule="auto"/>
        <w:tabs>
          <w:tab w:leader="none" w:pos="123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13.7</w:t>
      </w:r>
      <w:r>
        <w:rPr>
          <w:rFonts w:ascii="Arial" w:cs="Arial" w:eastAsia="Arial" w:hAnsi="Arial"/>
          <w:sz w:val="16"/>
          <w:szCs w:val="16"/>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160" w:lineRule="exact"/>
        <w:rPr>
          <w:rFonts w:ascii="Arial" w:cs="Arial" w:eastAsia="Arial" w:hAnsi="Arial"/>
          <w:sz w:val="16"/>
          <w:szCs w:val="16"/>
          <w:color w:val="auto"/>
        </w:rPr>
      </w:pPr>
    </w:p>
    <w:p>
      <w:pPr>
        <w:jc w:val="both"/>
        <w:ind w:left="620" w:right="140" w:firstLine="621"/>
        <w:spacing w:after="0" w:line="231" w:lineRule="auto"/>
        <w:tabs>
          <w:tab w:leader="none" w:pos="185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(with respect to Holdings or the Borrower) has occurred and is continuing; and</w:t>
      </w:r>
    </w:p>
    <w:p>
      <w:pPr>
        <w:spacing w:after="0" w:line="157" w:lineRule="exact"/>
        <w:rPr>
          <w:rFonts w:ascii="Arial" w:cs="Arial" w:eastAsia="Arial" w:hAnsi="Arial"/>
          <w:sz w:val="17"/>
          <w:szCs w:val="17"/>
          <w:color w:val="auto"/>
        </w:rPr>
      </w:pPr>
    </w:p>
    <w:p>
      <w:pPr>
        <w:ind w:left="620" w:right="40" w:firstLine="621"/>
        <w:spacing w:after="0" w:line="231" w:lineRule="auto"/>
        <w:tabs>
          <w:tab w:leader="none" w:pos="185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the Administrative Agent (not to be unreasonably withheld or delayed) and, in the case of Revolving Credit Commitments or Revolving Credit Loans only, the Swingline Lender and the Letter of Credit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of any Term Loan to a Lender, an Affiliate of a Lender or an Approved Fund.</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Notwithstanding the foregoing, (i) no such assignment shall be made to a natural Person, Disqualified Lender or Defaulting Lender and (ii) Holdings, the</w:t>
      </w:r>
    </w:p>
    <w:p>
      <w:pPr>
        <w:spacing w:after="0" w:line="2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Borrower or Affiliates. For the avoidance of doubt, the Administrative Agent shall bear no responsibility or liability for monitoring and enforcing the list of Persons who are Disqualified Lenders at any time.</w:t>
      </w:r>
    </w:p>
    <w:p>
      <w:pPr>
        <w:spacing w:after="0" w:line="158" w:lineRule="exact"/>
        <w:rPr>
          <w:sz w:val="20"/>
          <w:szCs w:val="20"/>
          <w:color w:val="auto"/>
        </w:rPr>
      </w:pPr>
    </w:p>
    <w:p>
      <w:pPr>
        <w:ind w:left="1240" w:hanging="371"/>
        <w:spacing w:after="0"/>
        <w:tabs>
          <w:tab w:leader="none" w:pos="12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Assignments shall be subject to the following additional conditions:</w:t>
      </w:r>
    </w:p>
    <w:p>
      <w:pPr>
        <w:spacing w:after="0" w:line="191" w:lineRule="exact"/>
        <w:rPr>
          <w:rFonts w:ascii="Arial" w:cs="Arial" w:eastAsia="Arial" w:hAnsi="Arial"/>
          <w:sz w:val="17"/>
          <w:szCs w:val="17"/>
          <w:color w:val="auto"/>
        </w:rPr>
      </w:pPr>
    </w:p>
    <w:p>
      <w:pPr>
        <w:ind w:left="620" w:right="120" w:firstLine="621"/>
        <w:spacing w:after="0" w:line="247" w:lineRule="auto"/>
        <w:tabs>
          <w:tab w:leader="none" w:pos="1858" w:val="left"/>
        </w:tabs>
        <w:numPr>
          <w:ilvl w:val="1"/>
          <w:numId w:val="171"/>
        </w:numPr>
        <w:rPr>
          <w:rFonts w:ascii="Arial" w:cs="Arial" w:eastAsia="Arial" w:hAnsi="Arial"/>
          <w:sz w:val="15"/>
          <w:szCs w:val="15"/>
          <w:color w:val="auto"/>
        </w:rPr>
      </w:pPr>
      <w:r>
        <w:rPr>
          <w:rFonts w:ascii="Arial" w:cs="Arial" w:eastAsia="Arial" w:hAnsi="Arial"/>
          <w:sz w:val="15"/>
          <w:szCs w:val="15"/>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$1,000,000 in the case of Term Loans, unless each of the Borrower and the Administrative Agent otherwise consents (which consents shall not be unreasonably withheld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consent of the Borrower shall be required if an Event of Default under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11.5</w:t>
      </w:r>
      <w:r>
        <w:rPr>
          <w:rFonts w:ascii="Arial" w:cs="Arial" w:eastAsia="Arial" w:hAnsi="Arial"/>
          <w:sz w:val="15"/>
          <w:szCs w:val="15"/>
          <w:color w:val="auto"/>
        </w:rPr>
        <w:t xml:space="preserve"> has occurred and is continuing;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152" w:lineRule="exact"/>
        <w:rPr>
          <w:rFonts w:ascii="Arial" w:cs="Arial" w:eastAsia="Arial" w:hAnsi="Arial"/>
          <w:sz w:val="15"/>
          <w:szCs w:val="15"/>
          <w:color w:val="auto"/>
        </w:rPr>
      </w:pPr>
    </w:p>
    <w:p>
      <w:pPr>
        <w:ind w:left="620" w:right="20" w:firstLine="621"/>
        <w:spacing w:after="0" w:line="231" w:lineRule="auto"/>
        <w:tabs>
          <w:tab w:leader="none" w:pos="185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each partial assignment shall be made as an assignment of a proportionate part of all the assigning Lender’s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shall not be construed to prohibit the assignment of a proportionate part of all the assigning Lender’s rights and obligations in respect of one Class of Commitments or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06" w:lineRule="exact"/>
        <w:rPr>
          <w:sz w:val="20"/>
          <w:szCs w:val="20"/>
          <w:color w:val="auto"/>
        </w:rPr>
      </w:pPr>
    </w:p>
    <w:p>
      <w:pPr>
        <w:jc w:val="both"/>
        <w:ind w:left="600" w:right="240" w:firstLine="621"/>
        <w:spacing w:after="0" w:line="224" w:lineRule="auto"/>
        <w:tabs>
          <w:tab w:leader="none" w:pos="1838" w:val="left"/>
        </w:tabs>
        <w:numPr>
          <w:ilvl w:val="2"/>
          <w:numId w:val="172"/>
        </w:numPr>
        <w:rPr>
          <w:rFonts w:ascii="Arial" w:cs="Arial" w:eastAsia="Arial" w:hAnsi="Arial"/>
          <w:sz w:val="17"/>
          <w:szCs w:val="17"/>
          <w:color w:val="auto"/>
        </w:rPr>
      </w:pPr>
      <w:r>
        <w:rPr>
          <w:rFonts w:ascii="Arial" w:cs="Arial" w:eastAsia="Arial" w:hAnsi="Arial"/>
          <w:sz w:val="17"/>
          <w:szCs w:val="17"/>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in its sole discretion, elect to waive such processing and recordation fee in the case of any assignment; and</w:t>
      </w:r>
    </w:p>
    <w:p>
      <w:pPr>
        <w:spacing w:after="0" w:line="172" w:lineRule="exact"/>
        <w:rPr>
          <w:rFonts w:ascii="Arial" w:cs="Arial" w:eastAsia="Arial" w:hAnsi="Arial"/>
          <w:sz w:val="17"/>
          <w:szCs w:val="17"/>
          <w:color w:val="auto"/>
        </w:rPr>
      </w:pPr>
    </w:p>
    <w:p>
      <w:pPr>
        <w:ind w:left="600" w:right="80" w:firstLine="621"/>
        <w:spacing w:after="0" w:line="236" w:lineRule="auto"/>
        <w:tabs>
          <w:tab w:leader="none" w:pos="1838" w:val="left"/>
        </w:tabs>
        <w:numPr>
          <w:ilvl w:val="2"/>
          <w:numId w:val="172"/>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a form approved by the Administrative Agent (the “</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xml:space="preserve">”) and applicable tax forms (as required under </w:t>
      </w:r>
      <w:r>
        <w:rPr>
          <w:rFonts w:ascii="Arial" w:cs="Arial" w:eastAsia="Arial" w:hAnsi="Arial"/>
          <w:sz w:val="17"/>
          <w:szCs w:val="17"/>
          <w:u w:val="single" w:color="auto"/>
          <w:color w:val="auto"/>
        </w:rPr>
        <w:t>Section 5.4(e))</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20" w:right="20" w:firstLine="869"/>
        <w:spacing w:after="0" w:line="229" w:lineRule="auto"/>
        <w:tabs>
          <w:tab w:leader="none" w:pos="121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 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162" w:lineRule="exact"/>
        <w:rPr>
          <w:rFonts w:ascii="Arial" w:cs="Arial" w:eastAsia="Arial" w:hAnsi="Arial"/>
          <w:sz w:val="16"/>
          <w:szCs w:val="16"/>
          <w:color w:val="auto"/>
        </w:rPr>
      </w:pPr>
    </w:p>
    <w:p>
      <w:pPr>
        <w:ind w:left="-20" w:firstLine="869"/>
        <w:spacing w:after="0" w:line="233" w:lineRule="auto"/>
        <w:tabs>
          <w:tab w:leader="none" w:pos="121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156" w:lineRule="exact"/>
        <w:rPr>
          <w:rFonts w:ascii="Arial" w:cs="Arial" w:eastAsia="Arial" w:hAnsi="Arial"/>
          <w:sz w:val="16"/>
          <w:szCs w:val="16"/>
          <w:color w:val="auto"/>
        </w:rPr>
      </w:pPr>
    </w:p>
    <w:p>
      <w:pPr>
        <w:ind w:left="-20" w:right="100" w:firstLine="869"/>
        <w:spacing w:after="0" w:line="253" w:lineRule="auto"/>
        <w:tabs>
          <w:tab w:leader="none" w:pos="1217" w:val="left"/>
        </w:tabs>
        <w:numPr>
          <w:ilvl w:val="1"/>
          <w:numId w:val="173"/>
        </w:numPr>
        <w:rPr>
          <w:rFonts w:ascii="Arial" w:cs="Arial" w:eastAsia="Arial" w:hAnsi="Arial"/>
          <w:sz w:val="15"/>
          <w:szCs w:val="15"/>
          <w:color w:val="auto"/>
        </w:rPr>
      </w:pPr>
      <w:r>
        <w:rPr>
          <w:rFonts w:ascii="Arial" w:cs="Arial" w:eastAsia="Arial" w:hAnsi="Arial"/>
          <w:sz w:val="15"/>
          <w:szCs w:val="15"/>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13.6</w:t>
      </w:r>
      <w:r>
        <w:rPr>
          <w:rFonts w:ascii="Arial" w:cs="Arial" w:eastAsia="Arial" w:hAnsi="Arial"/>
          <w:sz w:val="15"/>
          <w:szCs w:val="15"/>
          <w:color w:val="auto"/>
        </w:rPr>
        <w:t xml:space="preserve"> and any written consent to such assignment required by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13.6</w:t>
      </w:r>
      <w:r>
        <w:rPr>
          <w:rFonts w:ascii="Arial" w:cs="Arial" w:eastAsia="Arial" w:hAnsi="Arial"/>
          <w:sz w:val="15"/>
          <w:szCs w:val="15"/>
          <w:color w:val="auto"/>
        </w:rPr>
        <w:t>,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(b)(v).</w:t>
      </w:r>
    </w:p>
    <w:p>
      <w:pPr>
        <w:spacing w:after="0" w:line="160" w:lineRule="exact"/>
        <w:rPr>
          <w:rFonts w:ascii="Arial" w:cs="Arial" w:eastAsia="Arial" w:hAnsi="Arial"/>
          <w:sz w:val="15"/>
          <w:szCs w:val="15"/>
          <w:color w:val="auto"/>
        </w:rPr>
      </w:pPr>
    </w:p>
    <w:p>
      <w:pPr>
        <w:ind w:left="-20" w:right="80" w:firstLine="622"/>
        <w:spacing w:after="0" w:line="229" w:lineRule="auto"/>
        <w:tabs>
          <w:tab w:leader="none" w:pos="121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Borrower or the Administrative Agent, the Letter of Credit Issuer or the Swingline Lender, sell participations to one or more banks or other entities (other than (x) a natural person (or a holding company, investment vehicle or trust for, or owned and operated by or for the primary benefit of a natural Person), (y) Holdings and its Subsidiaries or Affiliates and (z) any Disqualified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clause (y) hereof, participations may be sold to Disqualified Lenders unless a list of Disqualified Lenders has been made available to all Lenders)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00"/>
          </w:cols>
          <w:pgMar w:left="340" w:top="1440" w:right="359" w:bottom="1440" w:gutter="0" w:footer="0" w:header="0"/>
        </w:sectPr>
      </w:pPr>
    </w:p>
    <w:bookmarkStart w:id="154" w:name="page155"/>
    <w:bookmarkEnd w:id="154"/>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or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w:t>
      </w:r>
    </w:p>
    <w:p>
      <w:pPr>
        <w:spacing w:after="0" w:line="11" w:lineRule="exact"/>
        <w:rPr>
          <w:sz w:val="20"/>
          <w:szCs w:val="20"/>
          <w:color w:val="auto"/>
        </w:rPr>
      </w:pPr>
    </w:p>
    <w:p>
      <w:pPr>
        <w:ind w:right="220"/>
        <w:spacing w:after="0" w:line="239" w:lineRule="auto"/>
        <w:rPr>
          <w:sz w:val="20"/>
          <w:szCs w:val="20"/>
          <w:color w:val="auto"/>
        </w:rPr>
      </w:pPr>
      <w:r>
        <w:rPr>
          <w:rFonts w:ascii="Arial" w:cs="Arial" w:eastAsia="Arial" w:hAnsi="Arial"/>
          <w:sz w:val="15"/>
          <w:szCs w:val="15"/>
          <w:color w:val="auto"/>
        </w:rPr>
        <w:t xml:space="preserve">Participant, agree to any amendment, modification or waiver described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of the second proviso to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that affects such Participant. Subject to </w:t>
      </w:r>
      <w:r>
        <w:rPr>
          <w:rFonts w:ascii="Arial" w:cs="Arial" w:eastAsia="Arial" w:hAnsi="Arial"/>
          <w:sz w:val="15"/>
          <w:szCs w:val="15"/>
          <w:u w:val="single" w:color="auto"/>
          <w:color w:val="auto"/>
        </w:rPr>
        <w:t>clause (c)(ii)</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13.6</w:t>
      </w:r>
      <w:r>
        <w:rPr>
          <w:rFonts w:ascii="Arial" w:cs="Arial" w:eastAsia="Arial" w:hAnsi="Arial"/>
          <w:sz w:val="15"/>
          <w:szCs w:val="15"/>
          <w:color w:val="auto"/>
        </w:rPr>
        <w:t xml:space="preserve">, the Borrower agrees that each Participant shall be entitled to the benefits of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5.4</w:t>
      </w:r>
      <w:r>
        <w:rPr>
          <w:rFonts w:ascii="Arial" w:cs="Arial" w:eastAsia="Arial" w:hAnsi="Arial"/>
          <w:sz w:val="15"/>
          <w:szCs w:val="15"/>
          <w:color w:val="auto"/>
        </w:rPr>
        <w:t xml:space="preserve"> to the same extent as if it were a Lender (subject to the limitations and requirements of those Sections as though it were a Lender and had acquired its interest by</w:t>
      </w:r>
    </w:p>
    <w:p>
      <w:pPr>
        <w:ind w:right="160"/>
        <w:spacing w:after="0" w:line="234" w:lineRule="auto"/>
        <w:rPr>
          <w:sz w:val="20"/>
          <w:szCs w:val="20"/>
          <w:color w:val="auto"/>
        </w:rPr>
      </w:pPr>
      <w:r>
        <w:rPr>
          <w:rFonts w:ascii="Arial" w:cs="Arial" w:eastAsia="Arial" w:hAnsi="Arial"/>
          <w:sz w:val="16"/>
          <w:szCs w:val="16"/>
          <w:color w:val="auto"/>
        </w:rPr>
        <w:t xml:space="preserve">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Section 5.4(e) shall be provided solely to the participating Lender)). To the extent permitted by law, each Participant also shall be entitled to the benefits of </w:t>
      </w:r>
      <w:r>
        <w:rPr>
          <w:rFonts w:ascii="Arial" w:cs="Arial" w:eastAsia="Arial" w:hAnsi="Arial"/>
          <w:sz w:val="16"/>
          <w:szCs w:val="16"/>
          <w:u w:val="single" w:color="auto"/>
          <w:color w:val="auto"/>
        </w:rPr>
        <w:t>Section 13.8(b)</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w:t>
      </w:r>
      <w:r>
        <w:rPr>
          <w:rFonts w:ascii="Arial" w:cs="Arial" w:eastAsia="Arial" w:hAnsi="Arial"/>
          <w:sz w:val="16"/>
          <w:szCs w:val="16"/>
          <w:u w:val="single" w:color="auto"/>
          <w:color w:val="auto"/>
        </w:rPr>
        <w:t>Section 13.8(a)</w:t>
      </w:r>
      <w:r>
        <w:rPr>
          <w:rFonts w:ascii="Arial" w:cs="Arial" w:eastAsia="Arial" w:hAnsi="Arial"/>
          <w:sz w:val="16"/>
          <w:szCs w:val="16"/>
          <w:color w:val="auto"/>
        </w:rPr>
        <w:t xml:space="preserve"> as though it were a Lender.</w:t>
      </w:r>
    </w:p>
    <w:p>
      <w:pPr>
        <w:spacing w:after="0" w:line="170" w:lineRule="exact"/>
        <w:rPr>
          <w:sz w:val="20"/>
          <w:szCs w:val="20"/>
          <w:color w:val="auto"/>
        </w:rPr>
      </w:pPr>
    </w:p>
    <w:p>
      <w:pPr>
        <w:ind w:firstLine="869"/>
        <w:spacing w:after="0" w:line="246" w:lineRule="auto"/>
        <w:tabs>
          <w:tab w:leader="none" w:pos="1238" w:val="left"/>
        </w:tabs>
        <w:numPr>
          <w:ilvl w:val="1"/>
          <w:numId w:val="175"/>
        </w:numPr>
        <w:rPr>
          <w:rFonts w:ascii="Arial" w:cs="Arial" w:eastAsia="Arial" w:hAnsi="Arial"/>
          <w:sz w:val="15"/>
          <w:szCs w:val="15"/>
          <w:color w:val="auto"/>
        </w:rPr>
      </w:pPr>
      <w:r>
        <w:rPr>
          <w:rFonts w:ascii="Arial" w:cs="Arial" w:eastAsia="Arial" w:hAnsi="Arial"/>
          <w:sz w:val="15"/>
          <w:szCs w:val="15"/>
          <w:color w:val="auto"/>
        </w:rPr>
        <w:t xml:space="preserve">A Participant shall not be entitled to receive any greater payment under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5.4</w:t>
      </w:r>
      <w:r>
        <w:rPr>
          <w:rFonts w:ascii="Arial" w:cs="Arial" w:eastAsia="Arial" w:hAnsi="Arial"/>
          <w:sz w:val="15"/>
          <w:szCs w:val="15"/>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5"/>
          <w:szCs w:val="15"/>
          <w:b w:val="1"/>
          <w:bCs w:val="1"/>
          <w:color w:val="auto"/>
        </w:rPr>
        <w:t>Participant Register</w:t>
      </w:r>
      <w:r>
        <w:rPr>
          <w:rFonts w:ascii="Arial" w:cs="Arial" w:eastAsia="Arial" w:hAnsi="Arial"/>
          <w:sz w:val="15"/>
          <w:szCs w:val="15"/>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52" w:lineRule="exact"/>
        <w:rPr>
          <w:rFonts w:ascii="Arial" w:cs="Arial" w:eastAsia="Arial" w:hAnsi="Arial"/>
          <w:sz w:val="15"/>
          <w:szCs w:val="15"/>
          <w:color w:val="auto"/>
        </w:rPr>
      </w:pPr>
    </w:p>
    <w:p>
      <w:pPr>
        <w:ind w:right="180" w:firstLine="622"/>
        <w:spacing w:after="0" w:line="221" w:lineRule="auto"/>
        <w:tabs>
          <w:tab w:leader="none" w:pos="12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0" w:lineRule="exact"/>
        <w:rPr>
          <w:rFonts w:ascii="Arial" w:cs="Arial" w:eastAsia="Arial" w:hAnsi="Arial"/>
          <w:sz w:val="17"/>
          <w:szCs w:val="17"/>
          <w:color w:val="auto"/>
        </w:rPr>
      </w:pPr>
    </w:p>
    <w:p>
      <w:pPr>
        <w:ind w:firstLine="622"/>
        <w:spacing w:after="0" w:line="221" w:lineRule="auto"/>
        <w:tabs>
          <w:tab w:leader="none" w:pos="12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13.16</w:t>
      </w:r>
      <w:r>
        <w:rPr>
          <w:rFonts w:ascii="Arial" w:cs="Arial" w:eastAsia="Arial" w:hAnsi="Arial"/>
          <w:sz w:val="17"/>
          <w:szCs w:val="17"/>
          <w:color w:val="auto"/>
        </w:rPr>
        <w:t>, the Borrower authorizes each Lender to disclose to any Participant, secured creditor of such Lender or assignee (each, a “</w:t>
      </w:r>
      <w:r>
        <w:rPr>
          <w:rFonts w:ascii="Arial" w:cs="Arial" w:eastAsia="Arial" w:hAnsi="Arial"/>
          <w:sz w:val="17"/>
          <w:szCs w:val="17"/>
          <w:b w:val="1"/>
          <w:bCs w:val="1"/>
          <w:color w:val="auto"/>
        </w:rPr>
        <w:t>Transferee</w:t>
      </w:r>
      <w:r>
        <w:rPr>
          <w:rFonts w:ascii="Arial" w:cs="Arial" w:eastAsia="Arial" w:hAnsi="Arial"/>
          <w:sz w:val="17"/>
          <w:szCs w:val="17"/>
          <w:color w:val="auto"/>
        </w:rPr>
        <w:t>”) and any prospective Transferee any and all financial information in such Lender’s possession concerning the Borrower and their Affiliates that has been delivered to such Lender by or on behalf of the Borrower and their Affiliates pursuant to this Agreement or that has been delivered to such Lender by or on behalf of the Borrower and their Affiliates in connection with such Lender’s credit evaluation of the Borrower and their Affiliates prior to becoming a party to this Agreement.</w:t>
      </w:r>
    </w:p>
    <w:p>
      <w:pPr>
        <w:spacing w:after="0" w:line="157" w:lineRule="exact"/>
        <w:rPr>
          <w:rFonts w:ascii="Arial" w:cs="Arial" w:eastAsia="Arial" w:hAnsi="Arial"/>
          <w:sz w:val="17"/>
          <w:szCs w:val="17"/>
          <w:color w:val="auto"/>
        </w:rPr>
      </w:pPr>
    </w:p>
    <w:p>
      <w:pPr>
        <w:ind w:right="60" w:firstLine="622"/>
        <w:spacing w:after="0" w:line="231" w:lineRule="auto"/>
        <w:tabs>
          <w:tab w:leader="none" w:pos="123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The words “execution,” “signed,” “signature,” and words of like import used in or related to any document to be signed in connection with this Agreement and the transactions contemplated hereby (including without limitation Assignment and Acceptances,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nor any Letter of Credit Issuer or Lenders is under no obligation to agree to accept electronic signatures in any form or in any format unless expressly agreed to by the Administrative Agent pursuant to procedures approved by it.</w:t>
      </w:r>
    </w:p>
    <w:p>
      <w:pPr>
        <w:spacing w:after="0" w:line="153" w:lineRule="exact"/>
        <w:rPr>
          <w:rFonts w:ascii="Arial" w:cs="Arial" w:eastAsia="Arial" w:hAnsi="Arial"/>
          <w:sz w:val="16"/>
          <w:szCs w:val="16"/>
          <w:color w:val="auto"/>
        </w:rPr>
      </w:pPr>
    </w:p>
    <w:p>
      <w:pPr>
        <w:ind w:right="20" w:firstLine="622"/>
        <w:spacing w:after="0" w:line="220" w:lineRule="auto"/>
        <w:tabs>
          <w:tab w:leader="none" w:pos="1238"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SPV Lender</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b w:val="1"/>
          <w:bCs w:val="1"/>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b w:val="1"/>
          <w:bCs w:val="1"/>
          <w:color w:val="auto"/>
        </w:rPr>
        <w:t>SPV</w:t>
      </w:r>
      <w:r>
        <w:rPr>
          <w:rFonts w:ascii="Arial" w:cs="Arial" w:eastAsia="Arial" w:hAnsi="Arial"/>
          <w:sz w:val="17"/>
          <w:szCs w:val="17"/>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payment obligation under this Agreement (all liability for which shall remain with the Granting Lender). In furtherance of the foregoing, each party hereto hereby</w:t>
      </w:r>
    </w:p>
    <w:p>
      <w:pPr>
        <w:spacing w:after="0" w:line="22" w:lineRule="exact"/>
        <w:rPr>
          <w:sz w:val="20"/>
          <w:szCs w:val="20"/>
          <w:color w:val="auto"/>
        </w:rPr>
      </w:pPr>
    </w:p>
    <w:p>
      <w:pPr>
        <w:ind w:right="200"/>
        <w:spacing w:after="0" w:line="239" w:lineRule="auto"/>
        <w:rPr>
          <w:sz w:val="20"/>
          <w:szCs w:val="20"/>
          <w:color w:val="auto"/>
        </w:rPr>
      </w:pPr>
      <w:r>
        <w:rPr>
          <w:rFonts w:ascii="Arial" w:cs="Arial" w:eastAsia="Arial" w:hAnsi="Arial"/>
          <w:sz w:val="15"/>
          <w:szCs w:val="15"/>
          <w:color w:val="auto"/>
        </w:rPr>
        <w:t>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w:t>
      </w:r>
    </w:p>
    <w:p>
      <w:pPr>
        <w:ind w:right="60"/>
        <w:spacing w:after="0" w:line="239" w:lineRule="auto"/>
        <w:rPr>
          <w:sz w:val="20"/>
          <w:szCs w:val="20"/>
          <w:color w:val="auto"/>
        </w:rPr>
      </w:pPr>
      <w:r>
        <w:rPr>
          <w:rFonts w:ascii="Arial" w:cs="Arial" w:eastAsia="Arial" w:hAnsi="Arial"/>
          <w:sz w:val="15"/>
          <w:szCs w:val="15"/>
          <w:color w:val="auto"/>
        </w:rPr>
        <w:t xml:space="preserve">notwithstanding anything to the contrary contained in this </w:t>
      </w:r>
      <w:r>
        <w:rPr>
          <w:rFonts w:ascii="Arial" w:cs="Arial" w:eastAsia="Arial" w:hAnsi="Arial"/>
          <w:sz w:val="15"/>
          <w:szCs w:val="15"/>
          <w:u w:val="single" w:color="auto"/>
          <w:color w:val="auto"/>
        </w:rPr>
        <w:t>Section 13.6</w:t>
      </w:r>
      <w:r>
        <w:rPr>
          <w:rFonts w:ascii="Arial" w:cs="Arial" w:eastAsia="Arial" w:hAnsi="Arial"/>
          <w:sz w:val="15"/>
          <w:szCs w:val="15"/>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w:t>
      </w:r>
    </w:p>
    <w:p>
      <w:pPr>
        <w:ind w:right="20"/>
        <w:spacing w:after="0" w:line="239" w:lineRule="auto"/>
        <w:rPr>
          <w:sz w:val="20"/>
          <w:szCs w:val="20"/>
          <w:color w:val="auto"/>
        </w:rPr>
      </w:pPr>
      <w:r>
        <w:rPr>
          <w:rFonts w:ascii="Arial" w:cs="Arial" w:eastAsia="Arial" w:hAnsi="Arial"/>
          <w:sz w:val="15"/>
          <w:szCs w:val="15"/>
          <w:color w:val="auto"/>
        </w:rPr>
        <w:t xml:space="preserve">for the account of such SPV to support the funding or maintenance of Loans and (ii) subject to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5"/>
          <w:szCs w:val="15"/>
          <w:u w:val="single" w:color="auto"/>
          <w:color w:val="auto"/>
        </w:rPr>
        <w:t>Section 13.6(g)</w:t>
      </w:r>
      <w:r>
        <w:rPr>
          <w:rFonts w:ascii="Arial" w:cs="Arial" w:eastAsia="Arial" w:hAnsi="Arial"/>
          <w:sz w:val="15"/>
          <w:szCs w:val="15"/>
          <w:color w:val="auto"/>
        </w:rPr>
        <w:t xml:space="preserve"> may not be amended without the written consent of the SPV. Notwithstanding anything to the contrary in this Agreement but subject to the</w:t>
      </w:r>
    </w:p>
    <w:p>
      <w:pPr>
        <w:jc w:val="both"/>
        <w:ind w:right="60"/>
        <w:spacing w:after="0" w:line="239" w:lineRule="auto"/>
        <w:rPr>
          <w:sz w:val="20"/>
          <w:szCs w:val="20"/>
          <w:color w:val="auto"/>
        </w:rPr>
      </w:pPr>
      <w:r>
        <w:rPr>
          <w:rFonts w:ascii="Arial" w:cs="Arial" w:eastAsia="Arial" w:hAnsi="Arial"/>
          <w:sz w:val="15"/>
          <w:szCs w:val="15"/>
          <w:color w:val="auto"/>
        </w:rPr>
        <w:t xml:space="preserve">following sentence, each SPV shall be entitled to the benefits of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5.4</w:t>
      </w:r>
      <w:r>
        <w:rPr>
          <w:rFonts w:ascii="Arial" w:cs="Arial" w:eastAsia="Arial" w:hAnsi="Arial"/>
          <w:sz w:val="15"/>
          <w:szCs w:val="15"/>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13.6</w:t>
      </w:r>
      <w:r>
        <w:rPr>
          <w:rFonts w:ascii="Arial" w:cs="Arial" w:eastAsia="Arial" w:hAnsi="Arial"/>
          <w:sz w:val="15"/>
          <w:szCs w:val="15"/>
          <w:color w:val="auto"/>
        </w:rPr>
        <w:t xml:space="preserve">, including the requirements of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5.4</w:t>
      </w:r>
      <w:r>
        <w:rPr>
          <w:rFonts w:ascii="Arial" w:cs="Arial" w:eastAsia="Arial" w:hAnsi="Arial"/>
          <w:sz w:val="15"/>
          <w:szCs w:val="15"/>
          <w:color w:val="auto"/>
        </w:rPr>
        <w:t xml:space="preserve"> (it being agreed that any documentation required under </w:t>
      </w:r>
      <w:r>
        <w:rPr>
          <w:rFonts w:ascii="Arial" w:cs="Arial" w:eastAsia="Arial" w:hAnsi="Arial"/>
          <w:sz w:val="15"/>
          <w:szCs w:val="15"/>
          <w:u w:val="single" w:color="auto"/>
          <w:color w:val="auto"/>
        </w:rPr>
        <w:t>Section 5.4(e)</w:t>
      </w:r>
      <w:r>
        <w:rPr>
          <w:rFonts w:ascii="Arial" w:cs="Arial" w:eastAsia="Arial" w:hAnsi="Arial"/>
          <w:sz w:val="15"/>
          <w:szCs w:val="15"/>
          <w:color w:val="auto"/>
        </w:rPr>
        <w:t xml:space="preserve"> shall be provided solely to the Granting Lender)).</w:t>
      </w:r>
    </w:p>
    <w:p>
      <w:pPr>
        <w:spacing w:after="0" w:line="220" w:lineRule="auto"/>
        <w:rPr>
          <w:sz w:val="20"/>
          <w:szCs w:val="20"/>
          <w:color w:val="auto"/>
        </w:rPr>
      </w:pPr>
      <w:r>
        <w:rPr>
          <w:rFonts w:ascii="Arial" w:cs="Arial" w:eastAsia="Arial" w:hAnsi="Arial"/>
          <w:sz w:val="17"/>
          <w:szCs w:val="17"/>
          <w:color w:val="auto"/>
        </w:rPr>
        <w:t xml:space="preserve">Notwithstanding the prior sentence, an SPV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u w:val="single" w:color="auto"/>
          <w:color w:val="auto"/>
        </w:rPr>
        <w:t>Replacements of Lenders Under Certain Circumstances</w:t>
      </w:r>
      <w:r>
        <w:rPr>
          <w:rFonts w:ascii="Arial" w:cs="Arial" w:eastAsia="Arial" w:hAnsi="Arial"/>
          <w:sz w:val="15"/>
          <w:szCs w:val="15"/>
          <w:color w:val="auto"/>
        </w:rPr>
        <w:t>.</w:t>
      </w:r>
    </w:p>
    <w:p>
      <w:pPr>
        <w:spacing w:after="0" w:line="178" w:lineRule="exact"/>
        <w:rPr>
          <w:sz w:val="20"/>
          <w:szCs w:val="20"/>
          <w:color w:val="auto"/>
        </w:rPr>
      </w:pPr>
    </w:p>
    <w:p>
      <w:pPr>
        <w:ind w:right="20" w:firstLine="622"/>
        <w:spacing w:after="0" w:line="241" w:lineRule="auto"/>
        <w:tabs>
          <w:tab w:leader="none" w:pos="1238" w:val="left"/>
        </w:tabs>
        <w:numPr>
          <w:ilvl w:val="1"/>
          <w:numId w:val="177"/>
        </w:numPr>
        <w:rPr>
          <w:rFonts w:ascii="Arial" w:cs="Arial" w:eastAsia="Arial" w:hAnsi="Arial"/>
          <w:sz w:val="15"/>
          <w:szCs w:val="15"/>
          <w:color w:val="auto"/>
        </w:rPr>
      </w:pPr>
      <w:r>
        <w:rPr>
          <w:rFonts w:ascii="Arial" w:cs="Arial" w:eastAsia="Arial" w:hAnsi="Arial"/>
          <w:sz w:val="15"/>
          <w:szCs w:val="15"/>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or 5.4</w:t>
      </w:r>
      <w:r>
        <w:rPr>
          <w:rFonts w:ascii="Arial" w:cs="Arial" w:eastAsia="Arial" w:hAnsi="Arial"/>
          <w:sz w:val="15"/>
          <w:szCs w:val="15"/>
          <w:color w:val="auto"/>
        </w:rPr>
        <w:t xml:space="preserve">, (b) [reserved], or (c) becomes a Defaulting Lender, with a replacement bank or other financial institution; provided that (i) such replacement does not conflict with any Requirement of Law, (ii) no Event of Default under </w:t>
      </w:r>
      <w:r>
        <w:rPr>
          <w:rFonts w:ascii="Arial" w:cs="Arial" w:eastAsia="Arial" w:hAnsi="Arial"/>
          <w:sz w:val="15"/>
          <w:szCs w:val="15"/>
          <w:u w:val="single" w:color="auto"/>
          <w:color w:val="auto"/>
        </w:rPr>
        <w:t>Sections 11.1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11.5</w:t>
      </w:r>
      <w:r>
        <w:rPr>
          <w:rFonts w:ascii="Arial" w:cs="Arial" w:eastAsia="Arial" w:hAnsi="Arial"/>
          <w:sz w:val="15"/>
          <w:szCs w:val="15"/>
          <w:color w:val="auto"/>
        </w:rPr>
        <w:t xml:space="preserve"> shall have occurred and be continuing at the time of such replacement,</w:t>
      </w:r>
    </w:p>
    <w:p>
      <w:pPr>
        <w:ind w:left="300" w:hanging="297"/>
        <w:spacing w:after="0"/>
        <w:tabs>
          <w:tab w:leader="none" w:pos="3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the Borrower shall repay (or the replacement bank or institution shall purchase, at par) all Loans and other amounts pursuant to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5.4</w:t>
      </w:r>
      <w:r>
        <w:rPr>
          <w:rFonts w:ascii="Arial" w:cs="Arial" w:eastAsia="Arial" w:hAnsi="Arial"/>
          <w:sz w:val="15"/>
          <w:szCs w:val="15"/>
          <w:color w:val="auto"/>
        </w:rPr>
        <w:t>, as</w:t>
      </w:r>
    </w:p>
    <w:p>
      <w:pPr>
        <w:spacing w:after="0" w:line="8"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the case may be, owing to such replaced Lender prior to the date of replacement, (iv) the replacement bank or institution, if not already a Lender, an Affiliate of the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5"/>
          <w:szCs w:val="15"/>
          <w:u w:val="single" w:color="auto"/>
          <w:color w:val="auto"/>
        </w:rPr>
        <w:t>Section 13.6(b)</w:t>
      </w:r>
      <w:r>
        <w:rPr>
          <w:rFonts w:ascii="Arial" w:cs="Arial" w:eastAsia="Arial" w:hAnsi="Arial"/>
          <w:sz w:val="15"/>
          <w:szCs w:val="15"/>
          <w:color w:val="auto"/>
        </w:rPr>
        <w:t>, (vi) the replaced Lender shall be obligated to make such</w:t>
      </w:r>
    </w:p>
    <w:p>
      <w:pPr>
        <w:ind w:right="120"/>
        <w:spacing w:after="0" w:line="220" w:lineRule="auto"/>
        <w:rPr>
          <w:sz w:val="20"/>
          <w:szCs w:val="20"/>
          <w:color w:val="auto"/>
        </w:rPr>
      </w:pPr>
      <w:r>
        <w:rPr>
          <w:rFonts w:ascii="Arial" w:cs="Arial" w:eastAsia="Arial" w:hAnsi="Arial"/>
          <w:sz w:val="17"/>
          <w:szCs w:val="17"/>
          <w:color w:val="auto"/>
        </w:rPr>
        <w:t xml:space="preserve">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164" w:lineRule="exact"/>
        <w:rPr>
          <w:sz w:val="20"/>
          <w:szCs w:val="20"/>
          <w:color w:val="auto"/>
        </w:rPr>
      </w:pPr>
    </w:p>
    <w:p>
      <w:pPr>
        <w:ind w:right="20" w:firstLine="622"/>
        <w:spacing w:after="0" w:line="243" w:lineRule="auto"/>
        <w:tabs>
          <w:tab w:leader="none" w:pos="1238"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If any Lender (such Lender, a “</w:t>
      </w:r>
      <w:r>
        <w:rPr>
          <w:rFonts w:ascii="Arial" w:cs="Arial" w:eastAsia="Arial" w:hAnsi="Arial"/>
          <w:sz w:val="15"/>
          <w:szCs w:val="15"/>
          <w:b w:val="1"/>
          <w:bCs w:val="1"/>
          <w:color w:val="auto"/>
        </w:rPr>
        <w:t>Non-Consenting Lender</w:t>
      </w:r>
      <w:r>
        <w:rPr>
          <w:rFonts w:ascii="Arial" w:cs="Arial" w:eastAsia="Arial" w:hAnsi="Arial"/>
          <w:sz w:val="15"/>
          <w:szCs w:val="15"/>
          <w:color w:val="auto"/>
        </w:rPr>
        <w:t xml:space="preserve">”) has failed to consent to a proposed amendment, waiver, discharge or termination that pursuant to the terms of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5"/>
          <w:szCs w:val="15"/>
          <w:u w:val="single" w:color="auto"/>
          <w:color w:val="auto"/>
        </w:rPr>
        <w:t>Section 13.6)</w:t>
      </w:r>
      <w:r>
        <w:rPr>
          <w:rFonts w:ascii="Arial" w:cs="Arial" w:eastAsia="Arial" w:hAnsi="Arial"/>
          <w:sz w:val="15"/>
          <w:szCs w:val="15"/>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5"/>
          <w:szCs w:val="15"/>
          <w:u w:val="single" w:color="auto"/>
          <w:color w:val="auto"/>
        </w:rPr>
        <w:t>Section 2.11</w:t>
      </w:r>
      <w:r>
        <w:rPr>
          <w:rFonts w:ascii="Arial" w:cs="Arial" w:eastAsia="Arial" w:hAnsi="Arial"/>
          <w:sz w:val="15"/>
          <w:szCs w:val="15"/>
          <w:color w:val="auto"/>
        </w:rPr>
        <w:t>, and (b) the replacement Lender shall purchase the foregoing by paying to such Non-Consenting Lender a price equal to the principal amount thereof plus accrued and unpaid interest thereon, and (c) the Borrower shall pay (or cause to be paid) to such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Consenting Lender the amount, if any, owing to such Lender pursuant to </w:t>
      </w:r>
      <w:r>
        <w:rPr>
          <w:rFonts w:ascii="Arial" w:cs="Arial" w:eastAsia="Arial" w:hAnsi="Arial"/>
          <w:sz w:val="15"/>
          <w:szCs w:val="15"/>
          <w:u w:val="single" w:color="auto"/>
          <w:color w:val="auto"/>
        </w:rPr>
        <w:t>Section 5.1(b)</w:t>
      </w:r>
      <w:r>
        <w:rPr>
          <w:rFonts w:ascii="Arial" w:cs="Arial" w:eastAsia="Arial" w:hAnsi="Arial"/>
          <w:sz w:val="15"/>
          <w:szCs w:val="15"/>
          <w:color w:val="auto"/>
        </w:rPr>
        <w:t>. In connection with any such assignment, the Borrower, the Administrative</w:t>
      </w:r>
    </w:p>
    <w:p>
      <w:pPr>
        <w:spacing w:after="0" w:line="22" w:lineRule="exact"/>
        <w:rPr>
          <w:sz w:val="20"/>
          <w:szCs w:val="20"/>
          <w:color w:val="auto"/>
        </w:rPr>
      </w:pPr>
    </w:p>
    <w:p>
      <w:pPr>
        <w:ind w:right="220"/>
        <w:spacing w:after="0" w:line="239" w:lineRule="auto"/>
        <w:rPr>
          <w:sz w:val="20"/>
          <w:szCs w:val="20"/>
          <w:color w:val="auto"/>
        </w:rPr>
      </w:pPr>
      <w:r>
        <w:rPr>
          <w:rFonts w:ascii="Arial" w:cs="Arial" w:eastAsia="Arial" w:hAnsi="Arial"/>
          <w:sz w:val="15"/>
          <w:szCs w:val="15"/>
          <w:color w:val="auto"/>
        </w:rPr>
        <w:t xml:space="preserve">Agent, such Non-Consenting Lender and the replacement Lender shall otherwise comply with </w:t>
      </w:r>
      <w:r>
        <w:rPr>
          <w:rFonts w:ascii="Arial" w:cs="Arial" w:eastAsia="Arial" w:hAnsi="Arial"/>
          <w:sz w:val="15"/>
          <w:szCs w:val="15"/>
          <w:u w:val="single" w:color="auto"/>
          <w:color w:val="auto"/>
        </w:rPr>
        <w:t>Section 13.6</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 that if such Non-Consenting Lender does not execute and deliver an Assignment and Acceptance in respect of such assignment within one Business Day of the date on which the replacement Lender executes and delivers such Assignment and Acceptance to such Non-Consenting Lender (or such Assignment and Acceptance is delivered by the Administrative</w:t>
      </w:r>
    </w:p>
    <w:p>
      <w:pPr>
        <w:ind w:right="100"/>
        <w:spacing w:after="0" w:line="220" w:lineRule="auto"/>
        <w:rPr>
          <w:sz w:val="20"/>
          <w:szCs w:val="20"/>
          <w:color w:val="auto"/>
        </w:rPr>
      </w:pPr>
      <w:r>
        <w:rPr>
          <w:rFonts w:ascii="Arial" w:cs="Arial" w:eastAsia="Arial" w:hAnsi="Arial"/>
          <w:sz w:val="17"/>
          <w:szCs w:val="17"/>
          <w:color w:val="auto"/>
        </w:rPr>
        <w:t xml:space="preserve">Agent on behalf of such replacement Lender), such Non-Consenting Lender shall be deemed to have executed and delivered such Assignment and Acceptance without any action on the part of such Non-Consenting Lender and the Assignment and Acceptance so executed by such replacement Lender shall be effective for the purpose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13.7</w:t>
      </w:r>
      <w:r>
        <w:rPr>
          <w:rFonts w:ascii="Arial" w:cs="Arial" w:eastAsia="Arial" w:hAnsi="Arial"/>
          <w:sz w:val="17"/>
          <w:szCs w:val="17"/>
          <w:color w:val="auto"/>
        </w:rPr>
        <w: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u w:val="single" w:color="auto"/>
          <w:color w:val="auto"/>
        </w:rPr>
        <w:t>Adjustments; Set-off</w:t>
      </w:r>
      <w:r>
        <w:rPr>
          <w:rFonts w:ascii="Arial" w:cs="Arial" w:eastAsia="Arial" w:hAnsi="Arial"/>
          <w:sz w:val="15"/>
          <w:szCs w:val="15"/>
          <w:color w:val="auto"/>
        </w:rPr>
        <w:t>.</w:t>
      </w:r>
    </w:p>
    <w:p>
      <w:pPr>
        <w:spacing w:after="0" w:line="172" w:lineRule="exact"/>
        <w:rPr>
          <w:sz w:val="20"/>
          <w:szCs w:val="20"/>
          <w:color w:val="auto"/>
        </w:rPr>
      </w:pPr>
    </w:p>
    <w:p>
      <w:pPr>
        <w:ind w:firstLine="622"/>
        <w:spacing w:after="0" w:line="231" w:lineRule="auto"/>
        <w:tabs>
          <w:tab w:leader="none" w:pos="123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Except as contemplated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elsewhere herein, if any Lender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75" w:lineRule="exact"/>
        <w:rPr>
          <w:rFonts w:ascii="Arial" w:cs="Arial" w:eastAsia="Arial" w:hAnsi="Arial"/>
          <w:sz w:val="16"/>
          <w:szCs w:val="16"/>
          <w:color w:val="auto"/>
        </w:rPr>
      </w:pPr>
    </w:p>
    <w:p>
      <w:pPr>
        <w:ind w:right="20" w:firstLine="622"/>
        <w:spacing w:after="0" w:line="247" w:lineRule="auto"/>
        <w:tabs>
          <w:tab w:leader="none" w:pos="1238"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give such notice shall not affect the validity of such set-off and application.</w:t>
      </w:r>
    </w:p>
    <w:p>
      <w:pPr>
        <w:spacing w:after="0" w:line="152" w:lineRule="exact"/>
        <w:rPr>
          <w:sz w:val="20"/>
          <w:szCs w:val="20"/>
          <w:color w:val="auto"/>
        </w:rPr>
      </w:pPr>
    </w:p>
    <w:p>
      <w:pPr>
        <w:jc w:val="center"/>
        <w:ind w:right="40"/>
        <w:spacing w:after="0"/>
        <w:tabs>
          <w:tab w:leader="none" w:pos="30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by one or more of the parties to this Agreement on any number of separate counterparts</w:t>
      </w:r>
    </w:p>
    <w:p>
      <w:pPr>
        <w:ind w:right="140"/>
        <w:spacing w:after="0" w:line="227" w:lineRule="auto"/>
        <w:rPr>
          <w:sz w:val="20"/>
          <w:szCs w:val="20"/>
          <w:color w:val="auto"/>
        </w:rPr>
      </w:pPr>
      <w:r>
        <w:rPr>
          <w:rFonts w:ascii="Arial" w:cs="Arial" w:eastAsia="Arial" w:hAnsi="Arial"/>
          <w:sz w:val="17"/>
          <w:szCs w:val="17"/>
          <w:color w:val="auto"/>
        </w:rPr>
        <w:t>(including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13.10</w:t>
      </w:r>
      <w:r>
        <w:rPr>
          <w:sz w:val="20"/>
          <w:szCs w:val="20"/>
          <w:color w:val="auto"/>
        </w:rPr>
        <w:tab/>
      </w:r>
      <w:r>
        <w:rPr>
          <w:rFonts w:ascii="Arial" w:cs="Arial" w:eastAsia="Arial" w:hAnsi="Arial"/>
          <w:sz w:val="15"/>
          <w:szCs w:val="15"/>
          <w:u w:val="single" w:color="auto"/>
          <w:color w:val="auto"/>
        </w:rPr>
        <w:t>Severability</w:t>
      </w:r>
      <w:r>
        <w:rPr>
          <w:rFonts w:ascii="Arial" w:cs="Arial" w:eastAsia="Arial" w:hAnsi="Arial"/>
          <w:sz w:val="15"/>
          <w:szCs w:val="15"/>
          <w:color w:val="auto"/>
        </w:rPr>
        <w:t>. Any provision of this Agreement that is prohibited or unenforceable in any jurisdiction shall, as to such jurisdiction, be ineffective</w:t>
      </w:r>
    </w:p>
    <w:p>
      <w:pPr>
        <w:ind w:right="380"/>
        <w:spacing w:after="0" w:line="227" w:lineRule="auto"/>
        <w:rPr>
          <w:sz w:val="20"/>
          <w:szCs w:val="20"/>
          <w:color w:val="auto"/>
        </w:rPr>
      </w:pPr>
      <w:r>
        <w:rPr>
          <w:rFonts w:ascii="Arial" w:cs="Arial" w:eastAsia="Arial" w:hAnsi="Arial"/>
          <w:sz w:val="17"/>
          <w:szCs w:val="17"/>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13.11</w:t>
      </w:r>
      <w:r>
        <w:rPr>
          <w:sz w:val="20"/>
          <w:szCs w:val="20"/>
          <w:color w:val="auto"/>
        </w:rPr>
        <w:tab/>
      </w:r>
      <w:r>
        <w:rPr>
          <w:rFonts w:ascii="Arial" w:cs="Arial" w:eastAsia="Arial" w:hAnsi="Arial"/>
          <w:sz w:val="15"/>
          <w:szCs w:val="15"/>
          <w:u w:val="single" w:color="auto"/>
          <w:color w:val="auto"/>
        </w:rPr>
        <w:t>Integration</w:t>
      </w:r>
      <w:r>
        <w:rPr>
          <w:rFonts w:ascii="Arial" w:cs="Arial" w:eastAsia="Arial" w:hAnsi="Arial"/>
          <w:sz w:val="15"/>
          <w:szCs w:val="15"/>
          <w:color w:val="auto"/>
        </w:rPr>
        <w:t>. This Agreement and the other Credit Documents represent the agreement of Holdings, the Borrower, the Collateral Agent, the</w:t>
      </w:r>
    </w:p>
    <w:p>
      <w:pPr>
        <w:spacing w:after="0" w:line="220" w:lineRule="auto"/>
        <w:rPr>
          <w:sz w:val="20"/>
          <w:szCs w:val="20"/>
          <w:color w:val="auto"/>
        </w:rPr>
      </w:pPr>
      <w:r>
        <w:rPr>
          <w:rFonts w:ascii="Arial" w:cs="Arial" w:eastAsia="Arial" w:hAnsi="Arial"/>
          <w:sz w:val="17"/>
          <w:szCs w:val="17"/>
          <w:color w:val="auto"/>
        </w:rPr>
        <w:t>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170" w:lineRule="exact"/>
        <w:rPr>
          <w:sz w:val="20"/>
          <w:szCs w:val="20"/>
          <w:color w:val="auto"/>
        </w:rPr>
      </w:pPr>
    </w:p>
    <w:p>
      <w:pPr>
        <w:ind w:right="220" w:firstLine="619"/>
        <w:spacing w:after="0" w:line="22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13.13</w:t>
      </w:r>
      <w:r>
        <w:rPr>
          <w:sz w:val="20"/>
          <w:szCs w:val="20"/>
          <w:color w:val="auto"/>
        </w:rPr>
        <w:tab/>
      </w:r>
      <w:r>
        <w:rPr>
          <w:rFonts w:ascii="Arial" w:cs="Arial" w:eastAsia="Arial" w:hAnsi="Arial"/>
          <w:sz w:val="15"/>
          <w:szCs w:val="15"/>
          <w:u w:val="single" w:color="auto"/>
          <w:color w:val="auto"/>
        </w:rPr>
        <w:t>Submission to Jurisdiction; Waivers</w:t>
      </w:r>
      <w:r>
        <w:rPr>
          <w:rFonts w:ascii="Arial" w:cs="Arial" w:eastAsia="Arial" w:hAnsi="Arial"/>
          <w:sz w:val="15"/>
          <w:szCs w:val="15"/>
          <w:color w:val="auto"/>
        </w:rPr>
        <w:t>. Each party hereto irrevocably and unconditionally:</w:t>
      </w:r>
    </w:p>
    <w:p>
      <w:pPr>
        <w:spacing w:after="0" w:line="191" w:lineRule="exact"/>
        <w:rPr>
          <w:sz w:val="20"/>
          <w:szCs w:val="20"/>
          <w:color w:val="auto"/>
        </w:rPr>
      </w:pPr>
    </w:p>
    <w:p>
      <w:pPr>
        <w:jc w:val="both"/>
        <w:ind w:right="80" w:firstLine="621"/>
        <w:spacing w:after="0"/>
        <w:tabs>
          <w:tab w:leader="none" w:pos="123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69" w:lineRule="exact"/>
        <w:rPr>
          <w:rFonts w:ascii="Arial" w:cs="Arial" w:eastAsia="Arial" w:hAnsi="Arial"/>
          <w:sz w:val="16"/>
          <w:szCs w:val="16"/>
          <w:color w:val="auto"/>
        </w:rPr>
      </w:pPr>
    </w:p>
    <w:p>
      <w:pPr>
        <w:ind w:right="80" w:firstLine="621"/>
        <w:spacing w:after="0" w:line="264" w:lineRule="auto"/>
        <w:tabs>
          <w:tab w:leader="none" w:pos="1238" w:val="left"/>
        </w:tabs>
        <w:numPr>
          <w:ilvl w:val="0"/>
          <w:numId w:val="181"/>
        </w:numPr>
        <w:rPr>
          <w:rFonts w:ascii="Arial" w:cs="Arial" w:eastAsia="Arial" w:hAnsi="Arial"/>
          <w:sz w:val="15"/>
          <w:szCs w:val="15"/>
          <w:color w:val="auto"/>
        </w:rPr>
      </w:pPr>
      <w:r>
        <w:rPr>
          <w:rFonts w:ascii="Arial" w:cs="Arial" w:eastAsia="Arial" w:hAnsi="Arial"/>
          <w:sz w:val="15"/>
          <w:szCs w:val="15"/>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52" w:lineRule="exact"/>
        <w:rPr>
          <w:rFonts w:ascii="Arial" w:cs="Arial" w:eastAsia="Arial" w:hAnsi="Arial"/>
          <w:sz w:val="15"/>
          <w:szCs w:val="15"/>
          <w:color w:val="auto"/>
        </w:rPr>
      </w:pPr>
    </w:p>
    <w:p>
      <w:pPr>
        <w:ind w:right="20" w:firstLine="621"/>
        <w:spacing w:after="0" w:line="226" w:lineRule="auto"/>
        <w:tabs>
          <w:tab w:leader="none" w:pos="123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7"/>
          <w:szCs w:val="17"/>
          <w:u w:val="single" w:color="auto"/>
          <w:color w:val="auto"/>
        </w:rPr>
        <w:t>Schedule 13.2</w:t>
      </w:r>
      <w:r>
        <w:rPr>
          <w:rFonts w:ascii="Arial" w:cs="Arial" w:eastAsia="Arial" w:hAnsi="Arial"/>
          <w:sz w:val="17"/>
          <w:szCs w:val="17"/>
          <w:color w:val="auto"/>
        </w:rPr>
        <w:t xml:space="preserve"> at such other address of which the Administrative Agent shall have been notified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right="300" w:firstLine="621"/>
        <w:spacing w:after="0" w:line="226" w:lineRule="auto"/>
        <w:tabs>
          <w:tab w:leader="none" w:pos="123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of the Administrative Agent, any Lender or another Secured Party to effect service of process in any other manner permitted by law or to commence legal proceedings or otherwise proceed against Holdings or the Borrower or any other Credit Party in any other jurisdiction; and</w:t>
      </w:r>
    </w:p>
    <w:p>
      <w:pPr>
        <w:spacing w:after="0" w:line="169" w:lineRule="exact"/>
        <w:rPr>
          <w:rFonts w:ascii="Arial" w:cs="Arial" w:eastAsia="Arial" w:hAnsi="Arial"/>
          <w:sz w:val="17"/>
          <w:szCs w:val="17"/>
          <w:color w:val="auto"/>
        </w:rPr>
      </w:pPr>
    </w:p>
    <w:p>
      <w:pPr>
        <w:ind w:right="160" w:firstLine="621"/>
        <w:spacing w:after="0" w:line="226" w:lineRule="auto"/>
        <w:tabs>
          <w:tab w:leader="none" w:pos="123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waives, to the maximum extent not prohibited by law, any right it may have to claim or recover in any legal action or proceeding referred to in this </w:t>
      </w:r>
      <w:r>
        <w:rPr>
          <w:rFonts w:ascii="Arial" w:cs="Arial" w:eastAsia="Arial" w:hAnsi="Arial"/>
          <w:sz w:val="17"/>
          <w:szCs w:val="17"/>
          <w:u w:val="single" w:color="auto"/>
          <w:color w:val="auto"/>
        </w:rPr>
        <w:t>Section 13.13</w:t>
      </w:r>
      <w:r>
        <w:rPr>
          <w:rFonts w:ascii="Arial" w:cs="Arial" w:eastAsia="Arial" w:hAnsi="Arial"/>
          <w:sz w:val="17"/>
          <w:szCs w:val="17"/>
          <w:color w:val="auto"/>
        </w:rPr>
        <w:t xml:space="preserve"> any special, exemplary, punitive or consequential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(e) shall limit the Credit Parties’ indemnification obligations set forth in </w:t>
      </w:r>
      <w:r>
        <w:rPr>
          <w:rFonts w:ascii="Arial" w:cs="Arial" w:eastAsia="Arial" w:hAnsi="Arial"/>
          <w:sz w:val="17"/>
          <w:szCs w:val="17"/>
          <w:u w:val="single" w:color="auto"/>
          <w:color w:val="auto"/>
        </w:rPr>
        <w:t>Section 13.5</w:t>
      </w:r>
      <w:r>
        <w:rPr>
          <w:rFonts w:ascii="Arial" w:cs="Arial" w:eastAsia="Arial" w:hAnsi="Arial"/>
          <w:sz w:val="17"/>
          <w:szCs w:val="17"/>
          <w:color w:val="auto"/>
        </w:rPr>
        <w: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13.14</w:t>
      </w:r>
      <w:r>
        <w:rPr>
          <w:sz w:val="20"/>
          <w:szCs w:val="20"/>
          <w:color w:val="auto"/>
        </w:rPr>
        <w:tab/>
      </w:r>
      <w:r>
        <w:rPr>
          <w:rFonts w:ascii="Arial" w:cs="Arial" w:eastAsia="Arial" w:hAnsi="Arial"/>
          <w:sz w:val="15"/>
          <w:szCs w:val="15"/>
          <w:u w:val="single" w:color="auto"/>
          <w:color w:val="auto"/>
        </w:rPr>
        <w:t>Acknowledgments</w:t>
      </w:r>
      <w:r>
        <w:rPr>
          <w:rFonts w:ascii="Arial" w:cs="Arial" w:eastAsia="Arial" w:hAnsi="Arial"/>
          <w:sz w:val="15"/>
          <w:szCs w:val="15"/>
          <w:color w:val="auto"/>
        </w:rPr>
        <w:t>. Each of Holdings and the Borrower hereby acknowledges that:</w:t>
      </w:r>
    </w:p>
    <w:p>
      <w:pPr>
        <w:spacing w:after="0" w:line="178" w:lineRule="exact"/>
        <w:rPr>
          <w:sz w:val="20"/>
          <w:szCs w:val="20"/>
          <w:color w:val="auto"/>
        </w:rPr>
      </w:pPr>
    </w:p>
    <w:p>
      <w:pPr>
        <w:ind w:left="1240" w:hanging="619"/>
        <w:spacing w:after="0"/>
        <w:tabs>
          <w:tab w:leader="none" w:pos="12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Credit Documents;</w:t>
      </w:r>
    </w:p>
    <w:p>
      <w:pPr>
        <w:spacing w:after="0" w:line="189" w:lineRule="exact"/>
        <w:rPr>
          <w:rFonts w:ascii="Arial" w:cs="Arial" w:eastAsia="Arial" w:hAnsi="Arial"/>
          <w:sz w:val="16"/>
          <w:szCs w:val="16"/>
          <w:color w:val="auto"/>
        </w:rPr>
      </w:pPr>
    </w:p>
    <w:p>
      <w:pPr>
        <w:ind w:right="240" w:firstLine="621"/>
        <w:spacing w:after="0" w:line="257" w:lineRule="auto"/>
        <w:tabs>
          <w:tab w:leader="none" w:pos="1238" w:val="left"/>
        </w:tabs>
        <w:numPr>
          <w:ilvl w:val="0"/>
          <w:numId w:val="182"/>
        </w:numPr>
        <w:rPr>
          <w:rFonts w:ascii="Arial" w:cs="Arial" w:eastAsia="Arial" w:hAnsi="Arial"/>
          <w:sz w:val="15"/>
          <w:szCs w:val="15"/>
          <w:color w:val="auto"/>
        </w:rPr>
      </w:pPr>
      <w:r>
        <w:rPr>
          <w:rFonts w:ascii="Arial" w:cs="Arial" w:eastAsia="Arial" w:hAnsi="Arial"/>
          <w:sz w:val="15"/>
          <w:szCs w:val="15"/>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146" w:lineRule="exact"/>
        <w:rPr>
          <w:rFonts w:ascii="Arial" w:cs="Arial" w:eastAsia="Arial" w:hAnsi="Arial"/>
          <w:sz w:val="15"/>
          <w:szCs w:val="15"/>
          <w:color w:val="auto"/>
        </w:rPr>
      </w:pPr>
    </w:p>
    <w:p>
      <w:pPr>
        <w:ind w:firstLine="868"/>
        <w:spacing w:after="0" w:line="231" w:lineRule="auto"/>
        <w:tabs>
          <w:tab w:leader="none" w:pos="1238"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157" w:lineRule="exact"/>
        <w:rPr>
          <w:rFonts w:ascii="Arial" w:cs="Arial" w:eastAsia="Arial" w:hAnsi="Arial"/>
          <w:sz w:val="17"/>
          <w:szCs w:val="17"/>
          <w:color w:val="auto"/>
        </w:rPr>
      </w:pPr>
    </w:p>
    <w:p>
      <w:pPr>
        <w:ind w:right="80" w:firstLine="868"/>
        <w:spacing w:after="0" w:line="234" w:lineRule="auto"/>
        <w:tabs>
          <w:tab w:leader="none" w:pos="123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161" w:lineRule="exact"/>
        <w:rPr>
          <w:rFonts w:ascii="Arial" w:cs="Arial" w:eastAsia="Arial" w:hAnsi="Arial"/>
          <w:sz w:val="16"/>
          <w:szCs w:val="16"/>
          <w:color w:val="auto"/>
        </w:rPr>
      </w:pPr>
    </w:p>
    <w:p>
      <w:pPr>
        <w:ind w:firstLine="868"/>
        <w:spacing w:after="0" w:line="231" w:lineRule="auto"/>
        <w:tabs>
          <w:tab w:leader="none" w:pos="1237"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Administrative Agent, each other Agent and each Affiliate of the foregoing may be engaged in a broad range of transactions that involve interests that differ from those of the Borrower and their Affiliates, and neither the Administrative Agent nor any other Agent has any obligation to disclose any of such interests by virtue of any advisory, agency or fiduciary relationship;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620"/>
          </w:cols>
          <w:pgMar w:left="940" w:top="1440" w:right="339" w:bottom="1440" w:gutter="0" w:footer="0" w:header="0"/>
        </w:sectPr>
      </w:pPr>
    </w:p>
    <w:bookmarkStart w:id="158" w:name="page159"/>
    <w:bookmarkEnd w:id="158"/>
    <w:p>
      <w:pPr>
        <w:spacing w:after="0" w:line="106" w:lineRule="exact"/>
        <w:rPr>
          <w:sz w:val="20"/>
          <w:szCs w:val="20"/>
          <w:color w:val="auto"/>
        </w:rPr>
      </w:pPr>
    </w:p>
    <w:p>
      <w:pPr>
        <w:ind w:left="620" w:right="20" w:firstLine="868"/>
        <w:spacing w:after="0" w:line="234" w:lineRule="auto"/>
        <w:tabs>
          <w:tab w:leader="none" w:pos="185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have consulted their own legal, accounting, regulatory and tax advisors to the extent it has deemed appropriate. Each of Holdings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161" w:lineRule="exact"/>
        <w:rPr>
          <w:rFonts w:ascii="Arial" w:cs="Arial" w:eastAsia="Arial" w:hAnsi="Arial"/>
          <w:sz w:val="16"/>
          <w:szCs w:val="16"/>
          <w:color w:val="auto"/>
        </w:rPr>
      </w:pPr>
    </w:p>
    <w:p>
      <w:pPr>
        <w:ind w:right="80" w:firstLine="622"/>
        <w:spacing w:after="0" w:line="248" w:lineRule="auto"/>
        <w:tabs>
          <w:tab w:leader="none" w:pos="123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50" w:lineRule="exact"/>
        <w:rPr>
          <w:sz w:val="20"/>
          <w:szCs w:val="20"/>
          <w:color w:val="auto"/>
        </w:rPr>
      </w:pPr>
    </w:p>
    <w:p>
      <w:pPr>
        <w:ind w:right="500" w:firstLine="619"/>
        <w:spacing w:after="0" w:line="236" w:lineRule="auto"/>
        <w:rPr>
          <w:sz w:val="20"/>
          <w:szCs w:val="20"/>
          <w:color w:val="auto"/>
        </w:rPr>
      </w:pPr>
      <w:r>
        <w:rPr>
          <w:rFonts w:ascii="Arial" w:cs="Arial" w:eastAsia="Arial" w:hAnsi="Arial"/>
          <w:sz w:val="16"/>
          <w:szCs w:val="16"/>
          <w:color w:val="auto"/>
        </w:rPr>
        <w:t xml:space="preserve">13.15 </w:t>
      </w:r>
      <w:r>
        <w:rPr>
          <w:rFonts w:ascii="Arial" w:cs="Arial" w:eastAsia="Arial" w:hAnsi="Arial"/>
          <w:sz w:val="16"/>
          <w:szCs w:val="16"/>
          <w:u w:val="single" w:color="auto"/>
          <w:color w:val="auto"/>
        </w:rPr>
        <w:t>WAIVERS OF JURY TRIAL</w:t>
      </w:r>
      <w:r>
        <w:rPr>
          <w:rFonts w:ascii="Arial" w:cs="Arial" w:eastAsia="Arial" w:hAnsi="Arial"/>
          <w:sz w:val="16"/>
          <w:szCs w:val="16"/>
          <w:color w:val="auto"/>
        </w:rPr>
        <w:t>. EACH PARTY HERETO IRREVOCABLY AND UNCONDITIONALLY WAIVES (TO THE EXTENT PERMITTED BY APPLICABLE LAW) TRIAL BY JURY IN ANY LEGAL ACTION OR PROCEEDING RELATING TO THIS AGREEMENT OR ANY</w:t>
      </w:r>
    </w:p>
    <w:p>
      <w:pPr>
        <w:ind w:right="660"/>
        <w:spacing w:after="0" w:line="227" w:lineRule="auto"/>
        <w:rPr>
          <w:sz w:val="20"/>
          <w:szCs w:val="20"/>
          <w:color w:val="auto"/>
        </w:rPr>
      </w:pPr>
      <w:r>
        <w:rPr>
          <w:rFonts w:ascii="Arial" w:cs="Arial" w:eastAsia="Arial" w:hAnsi="Arial"/>
          <w:sz w:val="17"/>
          <w:szCs w:val="17"/>
          <w:color w:val="auto"/>
        </w:rPr>
        <w:t>OTHER CREDIT DOCUMENT OR THE PERFORMANCE OF SERVICES HEREUNDER AND THEREUNDER AND FOR ANY COUNTERCLAIM THEREIN.</w:t>
      </w:r>
    </w:p>
    <w:p>
      <w:pPr>
        <w:spacing w:after="0" w:line="15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13.16</w:t>
      </w:r>
      <w:r>
        <w:rPr>
          <w:sz w:val="20"/>
          <w:szCs w:val="20"/>
          <w:color w:val="auto"/>
        </w:rPr>
        <w:tab/>
      </w:r>
      <w:r>
        <w:rPr>
          <w:rFonts w:ascii="Arial" w:cs="Arial" w:eastAsia="Arial" w:hAnsi="Arial"/>
          <w:sz w:val="15"/>
          <w:szCs w:val="15"/>
          <w:u w:val="single" w:color="auto"/>
          <w:color w:val="auto"/>
        </w:rPr>
        <w:t>Confidentiality</w:t>
      </w:r>
      <w:r>
        <w:rPr>
          <w:rFonts w:ascii="Arial" w:cs="Arial" w:eastAsia="Arial" w:hAnsi="Arial"/>
          <w:sz w:val="15"/>
          <w:szCs w:val="15"/>
          <w:color w:val="auto"/>
        </w:rPr>
        <w:t>. The Administrative Agent, each other Agent and each Lender (collectively, the “</w:t>
      </w:r>
      <w:r>
        <w:rPr>
          <w:rFonts w:ascii="Arial" w:cs="Arial" w:eastAsia="Arial" w:hAnsi="Arial"/>
          <w:sz w:val="15"/>
          <w:szCs w:val="15"/>
          <w:b w:val="1"/>
          <w:bCs w:val="1"/>
          <w:color w:val="auto"/>
        </w:rPr>
        <w:t>Restricted Persons</w:t>
      </w:r>
      <w:r>
        <w:rPr>
          <w:rFonts w:ascii="Arial" w:cs="Arial" w:eastAsia="Arial" w:hAnsi="Arial"/>
          <w:sz w:val="15"/>
          <w:szCs w:val="15"/>
          <w:color w:val="auto"/>
        </w:rPr>
        <w:t>” and, each a “</w:t>
      </w:r>
      <w:r>
        <w:rPr>
          <w:rFonts w:ascii="Arial" w:cs="Arial" w:eastAsia="Arial" w:hAnsi="Arial"/>
          <w:sz w:val="15"/>
          <w:szCs w:val="15"/>
          <w:b w:val="1"/>
          <w:bCs w:val="1"/>
          <w:color w:val="auto"/>
        </w:rPr>
        <w:t>Restricted</w:t>
      </w:r>
    </w:p>
    <w:p>
      <w:pPr>
        <w:spacing w:after="0" w:line="6"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b w:val="1"/>
          <w:bCs w:val="1"/>
          <w:color w:val="auto"/>
        </w:rPr>
        <w:t>Person</w:t>
      </w:r>
      <w:r>
        <w:rPr>
          <w:rFonts w:ascii="Arial" w:cs="Arial" w:eastAsia="Arial" w:hAnsi="Arial"/>
          <w:sz w:val="15"/>
          <w:szCs w:val="15"/>
          <w:color w:val="auto"/>
        </w:rPr>
        <w:t>”) shall treat confidentially all non-public information provided to any Restricted Person by or on behalf of any Credit Party hereunder in connection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such Restricted Person’s evaluation of whether to become a Lender hereunder or obtained by such Restricted Person pursuant to the requirements of this Agreement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xml:space="preserve">”) and shall not publish, disclose or otherwise divulge such Confidential Information;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shall</w:t>
      </w:r>
    </w:p>
    <w:p>
      <w:pPr>
        <w:ind w:right="80"/>
        <w:spacing w:after="0" w:line="239" w:lineRule="auto"/>
        <w:rPr>
          <w:sz w:val="20"/>
          <w:szCs w:val="20"/>
          <w:color w:val="auto"/>
        </w:rPr>
      </w:pPr>
      <w:r>
        <w:rPr>
          <w:rFonts w:ascii="Arial" w:cs="Arial" w:eastAsia="Arial" w:hAnsi="Arial"/>
          <w:sz w:val="15"/>
          <w:szCs w:val="15"/>
          <w:color w:val="auto"/>
        </w:rPr>
        <w:t>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any governmental, bank</w:t>
      </w:r>
    </w:p>
    <w:p>
      <w:pPr>
        <w:ind w:right="80"/>
        <w:spacing w:after="0" w:line="239" w:lineRule="auto"/>
        <w:rPr>
          <w:sz w:val="20"/>
          <w:szCs w:val="20"/>
          <w:color w:val="auto"/>
        </w:rPr>
      </w:pPr>
      <w:r>
        <w:rPr>
          <w:rFonts w:ascii="Arial" w:cs="Arial" w:eastAsia="Arial" w:hAnsi="Arial"/>
          <w:sz w:val="15"/>
          <w:szCs w:val="15"/>
          <w:color w:val="auto"/>
        </w:rPr>
        <w:t>regulatory or self-regulatory authority exercising examination or regulatory authority), to the extent practicable and not prohibited by applicable law, rule or regulation, to inform the Borrower promptly thereof prior to disclosure), (b) upon the request or demand of any regulatory authority (including any self-regulatory authority) having jurisdiction over such Restricted Person or any of its Affiliates (in which case such Restricted Person agrees (except with respect to any audit or</w:t>
      </w:r>
    </w:p>
    <w:p>
      <w:pPr>
        <w:jc w:val="both"/>
        <w:ind w:right="180"/>
        <w:spacing w:after="0" w:line="239" w:lineRule="auto"/>
        <w:rPr>
          <w:sz w:val="20"/>
          <w:szCs w:val="20"/>
          <w:color w:val="auto"/>
        </w:rPr>
      </w:pPr>
      <w:r>
        <w:rPr>
          <w:rFonts w:ascii="Arial" w:cs="Arial" w:eastAsia="Arial" w:hAnsi="Arial"/>
          <w:sz w:val="15"/>
          <w:szCs w:val="15"/>
          <w:color w:val="auto"/>
        </w:rPr>
        <w:t>examination conducted by bank accountants or any governmental, bank regulatory or self-regulatory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w:t>
      </w:r>
    </w:p>
    <w:p>
      <w:pPr>
        <w:ind w:right="20"/>
        <w:spacing w:after="0" w:line="239" w:lineRule="auto"/>
        <w:rPr>
          <w:sz w:val="20"/>
          <w:szCs w:val="20"/>
          <w:color w:val="auto"/>
        </w:rPr>
      </w:pPr>
      <w:r>
        <w:rPr>
          <w:rFonts w:ascii="Arial" w:cs="Arial" w:eastAsia="Arial" w:hAnsi="Arial"/>
          <w:sz w:val="15"/>
          <w:szCs w:val="15"/>
          <w:color w:val="auto"/>
        </w:rPr>
        <w:t xml:space="preserve">related parties thereto in violation of any confidentiality obligations owing under this </w:t>
      </w:r>
      <w:r>
        <w:rPr>
          <w:rFonts w:ascii="Arial" w:cs="Arial" w:eastAsia="Arial" w:hAnsi="Arial"/>
          <w:sz w:val="15"/>
          <w:szCs w:val="15"/>
          <w:u w:val="single" w:color="auto"/>
          <w:color w:val="auto"/>
        </w:rPr>
        <w:t>Section 13.16</w:t>
      </w:r>
      <w:r>
        <w:rPr>
          <w:rFonts w:ascii="Arial" w:cs="Arial" w:eastAsia="Arial" w:hAnsi="Arial"/>
          <w:sz w:val="15"/>
          <w:szCs w:val="15"/>
          <w:color w:val="auto"/>
        </w:rPr>
        <w:t>,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w:t>
      </w:r>
    </w:p>
    <w:p>
      <w:pPr>
        <w:jc w:val="both"/>
        <w:ind w:right="180"/>
        <w:spacing w:after="0" w:line="239" w:lineRule="auto"/>
        <w:rPr>
          <w:sz w:val="20"/>
          <w:szCs w:val="20"/>
          <w:color w:val="auto"/>
        </w:rPr>
      </w:pPr>
      <w:r>
        <w:rPr>
          <w:rFonts w:ascii="Arial" w:cs="Arial" w:eastAsia="Arial" w:hAnsi="Arial"/>
          <w:sz w:val="15"/>
          <w:szCs w:val="15"/>
          <w:color w:val="auto"/>
        </w:rPr>
        <w:t>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w:t>
      </w:r>
    </w:p>
    <w:p>
      <w:pPr>
        <w:ind w:right="320"/>
        <w:spacing w:after="0" w:line="239" w:lineRule="auto"/>
        <w:rPr>
          <w:sz w:val="20"/>
          <w:szCs w:val="20"/>
          <w:color w:val="auto"/>
        </w:rPr>
      </w:pPr>
      <w:r>
        <w:rPr>
          <w:rFonts w:ascii="Arial" w:cs="Arial" w:eastAsia="Arial" w:hAnsi="Arial"/>
          <w:sz w:val="15"/>
          <w:szCs w:val="15"/>
          <w:color w:val="auto"/>
        </w:rPr>
        <w:t xml:space="preserve">confidential nature of such Confidential Information and who are subject to customary confidentiality obligations of professional practice or who agree to be bound by the terms of this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(or confidentiality provisions at least as restrictive as those set forth in this </w:t>
      </w:r>
      <w:r>
        <w:rPr>
          <w:rFonts w:ascii="Arial" w:cs="Arial" w:eastAsia="Arial" w:hAnsi="Arial"/>
          <w:sz w:val="15"/>
          <w:szCs w:val="15"/>
          <w:u w:val="single" w:color="auto"/>
          <w:color w:val="auto"/>
        </w:rPr>
        <w:t>Section 13.16</w:t>
      </w:r>
      <w:r>
        <w:rPr>
          <w:rFonts w:ascii="Arial" w:cs="Arial" w:eastAsia="Arial" w:hAnsi="Arial"/>
          <w:sz w:val="15"/>
          <w:szCs w:val="15"/>
          <w:color w:val="auto"/>
        </w:rPr>
        <w:t>) (with each such Restricted Person, to the extent within its control, responsible for such person’s compliance with this paragraph), (g) to potential or prospective Lenders, hedge providers,</w:t>
      </w:r>
    </w:p>
    <w:p>
      <w:pPr>
        <w:spacing w:after="0" w:line="239" w:lineRule="auto"/>
        <w:rPr>
          <w:sz w:val="20"/>
          <w:szCs w:val="20"/>
          <w:color w:val="auto"/>
        </w:rPr>
      </w:pPr>
      <w:r>
        <w:rPr>
          <w:rFonts w:ascii="Arial" w:cs="Arial" w:eastAsia="Arial" w:hAnsi="Arial"/>
          <w:sz w:val="15"/>
          <w:szCs w:val="15"/>
          <w:color w:val="auto"/>
        </w:rPr>
        <w:t xml:space="preserve">participants or assignees, in each case who agree (pursuant to customary syndication practice) to be bound by the terms of this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(or confidentiality provisions at least as restrictive as those set forth in this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disclosure of any such Confidential Information to any Lenders, hedge providers or prospective Lenders, hedge providers or participants or prospective participants referred to above shall be made subject to the acknowledgment and</w:t>
      </w:r>
    </w:p>
    <w:p>
      <w:pPr>
        <w:spacing w:after="0" w:line="237" w:lineRule="auto"/>
        <w:rPr>
          <w:sz w:val="20"/>
          <w:szCs w:val="20"/>
          <w:color w:val="auto"/>
        </w:rPr>
      </w:pPr>
      <w:r>
        <w:rPr>
          <w:rFonts w:ascii="Arial" w:cs="Arial" w:eastAsia="Arial" w:hAnsi="Arial"/>
          <w:sz w:val="15"/>
          <w:szCs w:val="15"/>
          <w:color w:val="auto"/>
        </w:rPr>
        <w:t xml:space="preserve">acceptance by such Lender, hedge provider or prospective Lender or participant or prospective participant that such Confidential Information is being disseminated on a confidential basis (on substantially the terms set forth in this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or confidentiality provisions at least as restrictive as those set forth in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13.16</w:t>
      </w:r>
      <w:r>
        <w:rPr>
          <w:rFonts w:ascii="Arial" w:cs="Arial" w:eastAsia="Arial" w:hAnsi="Arial"/>
          <w:sz w:val="15"/>
          <w:szCs w:val="15"/>
          <w:color w:val="auto"/>
        </w:rPr>
        <w:t>)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w:t>
      </w:r>
    </w:p>
    <w:p>
      <w:pPr>
        <w:spacing w:after="0" w:line="2" w:lineRule="exact"/>
        <w:rPr>
          <w:sz w:val="20"/>
          <w:szCs w:val="20"/>
          <w:color w:val="auto"/>
        </w:rPr>
      </w:pPr>
    </w:p>
    <w:p>
      <w:pPr>
        <w:ind w:right="600"/>
        <w:spacing w:after="0" w:line="227" w:lineRule="auto"/>
        <w:rPr>
          <w:sz w:val="20"/>
          <w:szCs w:val="20"/>
          <w:color w:val="auto"/>
        </w:rPr>
      </w:pPr>
      <w:r>
        <w:rPr>
          <w:rFonts w:ascii="Arial" w:cs="Arial" w:eastAsia="Arial" w:hAnsi="Arial"/>
          <w:sz w:val="17"/>
          <w:szCs w:val="17"/>
          <w:color w:val="auto"/>
        </w:rPr>
        <w:t>no such disclosure shall be made by such Restricted Person to any person that is at such time a Disqualified Lender, (h) for purposes of establishing a “due diligence” defense, or (i) to rating agencies in connection with obtaining ratings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Borrower and the facilities described hereunder to the extent such rating agencies are subject to customary confidentiality obligations of professional practice</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 xml:space="preserve">or agree to be bound by the terms of this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(or confidentiality provisions at least as restrictive as those set forth in this </w:t>
      </w:r>
      <w:r>
        <w:rPr>
          <w:rFonts w:ascii="Arial" w:cs="Arial" w:eastAsia="Arial" w:hAnsi="Arial"/>
          <w:sz w:val="15"/>
          <w:szCs w:val="15"/>
          <w:u w:val="single" w:color="auto"/>
          <w:color w:val="auto"/>
        </w:rPr>
        <w:t>Section 13.16</w:t>
      </w:r>
      <w:r>
        <w:rPr>
          <w:rFonts w:ascii="Arial" w:cs="Arial" w:eastAsia="Arial" w:hAnsi="Arial"/>
          <w:sz w:val="15"/>
          <w:szCs w:val="15"/>
          <w:color w:val="auto"/>
        </w:rPr>
        <w:t xml:space="preserve">). Notwithstanding the foregoing, (i) Confidential Information shall not include, with respect to any Person, information available to it or its Affiliates on a non-confidential basis from a source other than Holdings, its Subsidiaries or their respective Affiliates, (ii) the Administrative Agent shall not be responsible for compliance with this </w:t>
      </w:r>
      <w:r>
        <w:rPr>
          <w:rFonts w:ascii="Arial" w:cs="Arial" w:eastAsia="Arial" w:hAnsi="Arial"/>
          <w:sz w:val="15"/>
          <w:szCs w:val="15"/>
          <w:u w:val="single" w:color="auto"/>
          <w:color w:val="auto"/>
        </w:rPr>
        <w:t>Section</w:t>
      </w:r>
    </w:p>
    <w:p>
      <w:pPr>
        <w:jc w:val="both"/>
        <w:ind w:right="380"/>
        <w:spacing w:after="0" w:line="239" w:lineRule="auto"/>
        <w:rPr>
          <w:sz w:val="20"/>
          <w:szCs w:val="20"/>
          <w:color w:val="auto"/>
        </w:rPr>
      </w:pPr>
      <w:r>
        <w:rPr>
          <w:rFonts w:ascii="Arial" w:cs="Arial" w:eastAsia="Arial" w:hAnsi="Arial"/>
          <w:sz w:val="15"/>
          <w:szCs w:val="15"/>
          <w:u w:val="single" w:color="auto"/>
          <w:color w:val="auto"/>
        </w:rPr>
        <w:t>13.16</w:t>
      </w:r>
      <w:r>
        <w:rPr>
          <w:rFonts w:ascii="Arial" w:cs="Arial" w:eastAsia="Arial" w:hAnsi="Arial"/>
          <w:sz w:val="15"/>
          <w:szCs w:val="15"/>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w:t>
      </w:r>
    </w:p>
    <w:p>
      <w:pPr>
        <w:spacing w:after="0"/>
        <w:rPr>
          <w:sz w:val="20"/>
          <w:szCs w:val="20"/>
          <w:color w:val="auto"/>
        </w:rPr>
      </w:pPr>
      <w:r>
        <w:rPr>
          <w:rFonts w:ascii="Arial" w:cs="Arial" w:eastAsia="Arial" w:hAnsi="Arial"/>
          <w:sz w:val="15"/>
          <w:szCs w:val="15"/>
          <w:color w:val="auto"/>
        </w:rPr>
        <w:t>providers to the Agents and the Lenders in connection with the administration, settlement and management of this Agreement and the other Credit Documents.</w:t>
      </w:r>
    </w:p>
    <w:p>
      <w:pPr>
        <w:spacing w:after="0" w:line="187" w:lineRule="exact"/>
        <w:rPr>
          <w:sz w:val="20"/>
          <w:szCs w:val="20"/>
          <w:color w:val="auto"/>
        </w:rPr>
      </w:pPr>
    </w:p>
    <w:p>
      <w:pPr>
        <w:ind w:right="260" w:firstLine="619"/>
        <w:spacing w:after="0" w:line="236"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Each of Holdings and the Borrower may, at its option, provide to the Administrative Agent any information, documents and other materials that it is obligated to furnish to the Administrative Agent pursuant to the Credit Documents, including, without limitation, all</w:t>
      </w:r>
    </w:p>
    <w:p>
      <w:pPr>
        <w:ind w:right="200"/>
        <w:spacing w:after="0" w:line="239" w:lineRule="auto"/>
        <w:rPr>
          <w:sz w:val="20"/>
          <w:szCs w:val="20"/>
          <w:color w:val="auto"/>
        </w:rPr>
      </w:pPr>
      <w:r>
        <w:rPr>
          <w:rFonts w:ascii="Arial" w:cs="Arial" w:eastAsia="Arial" w:hAnsi="Arial"/>
          <w:sz w:val="15"/>
          <w:szCs w:val="15"/>
          <w:color w:val="auto"/>
        </w:rPr>
        <w:t>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w:t>
      </w:r>
    </w:p>
    <w:p>
      <w:pPr>
        <w:ind w:right="40"/>
        <w:spacing w:after="0" w:line="239" w:lineRule="auto"/>
        <w:rPr>
          <w:sz w:val="20"/>
          <w:szCs w:val="20"/>
          <w:color w:val="auto"/>
        </w:rPr>
      </w:pPr>
      <w:r>
        <w:rPr>
          <w:rFonts w:ascii="Arial" w:cs="Arial" w:eastAsia="Arial" w:hAnsi="Arial"/>
          <w:sz w:val="15"/>
          <w:szCs w:val="15"/>
          <w:color w:val="auto"/>
        </w:rPr>
        <w:t>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5"/>
          <w:szCs w:val="15"/>
          <w:b w:val="1"/>
          <w:bCs w:val="1"/>
          <w:color w:val="auto"/>
        </w:rPr>
        <w:t>Communications</w:t>
      </w:r>
      <w:r>
        <w:rPr>
          <w:rFonts w:ascii="Arial" w:cs="Arial" w:eastAsia="Arial" w:hAnsi="Arial"/>
          <w:sz w:val="15"/>
          <w:szCs w:val="15"/>
          <w:color w:val="auto"/>
        </w:rPr>
        <w:t>”), by transmitting the Communications in an electronic/soft medium in a format reasonably acceptable to the Administrative Agent to the Administrative Agent at an</w:t>
      </w:r>
    </w:p>
    <w:p>
      <w:pPr>
        <w:ind w:right="380"/>
        <w:spacing w:after="0" w:line="239" w:lineRule="auto"/>
        <w:rPr>
          <w:sz w:val="20"/>
          <w:szCs w:val="20"/>
          <w:color w:val="auto"/>
        </w:rPr>
      </w:pPr>
      <w:r>
        <w:rPr>
          <w:rFonts w:ascii="Arial" w:cs="Arial" w:eastAsia="Arial" w:hAnsi="Arial"/>
          <w:sz w:val="15"/>
          <w:szCs w:val="15"/>
          <w:color w:val="auto"/>
        </w:rPr>
        <w:t xml:space="preserve">email address provided by the Administrative Agent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upon written request by the Administrative Agent, Holdings or the Borrower shall deliver paper copies of such documents to the Administrative Agent for further distribution to each Lender until a written request to cease delivering paper copies is given by the Administrative Agent and (ii) Holdings or the Borrower shall notify (which may be by facsimile or electronic mail) the</w:t>
      </w:r>
    </w:p>
    <w:p>
      <w:pPr>
        <w:ind w:right="20"/>
        <w:spacing w:after="0" w:line="239" w:lineRule="auto"/>
        <w:rPr>
          <w:sz w:val="20"/>
          <w:szCs w:val="20"/>
          <w:color w:val="auto"/>
        </w:rPr>
      </w:pPr>
      <w:r>
        <w:rPr>
          <w:rFonts w:ascii="Arial" w:cs="Arial" w:eastAsia="Arial" w:hAnsi="Arial"/>
          <w:sz w:val="15"/>
          <w:szCs w:val="15"/>
          <w:color w:val="auto"/>
        </w:rPr>
        <w:t xml:space="preserve">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5"/>
          <w:szCs w:val="15"/>
          <w:u w:val="single" w:color="auto"/>
          <w:color w:val="auto"/>
        </w:rPr>
        <w:t>Section 13.17</w:t>
      </w:r>
      <w:r>
        <w:rPr>
          <w:rFonts w:ascii="Arial" w:cs="Arial" w:eastAsia="Arial" w:hAnsi="Arial"/>
          <w:sz w:val="15"/>
          <w:szCs w:val="15"/>
          <w:color w:val="auto"/>
        </w:rPr>
        <w:t xml:space="preserve"> shall prejudice the right of Holdings, the Borrower, the</w:t>
      </w:r>
    </w:p>
    <w:p>
      <w:pPr>
        <w:spacing w:after="0" w:line="227" w:lineRule="auto"/>
        <w:rPr>
          <w:sz w:val="20"/>
          <w:szCs w:val="20"/>
          <w:color w:val="auto"/>
        </w:rPr>
      </w:pPr>
      <w:r>
        <w:rPr>
          <w:rFonts w:ascii="Arial" w:cs="Arial" w:eastAsia="Arial" w:hAnsi="Arial"/>
          <w:sz w:val="17"/>
          <w:szCs w:val="17"/>
          <w:color w:val="auto"/>
        </w:rPr>
        <w:t>Administrative Agent, any other Agent or any Lender to give any notice or other communication pursuant to any Credit Document in any other manner specified in such Credit Document.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Administrative Agent agrees that the receipt of the Communications by the Administrative Agent at its e-mail address set forth above shall constitute</w:t>
      </w:r>
    </w:p>
    <w:p>
      <w:pPr>
        <w:spacing w:after="0" w:line="22"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w:t>
      </w:r>
    </w:p>
    <w:p>
      <w:pPr>
        <w:jc w:val="both"/>
        <w:ind w:right="60"/>
        <w:spacing w:after="0" w:line="227" w:lineRule="auto"/>
        <w:rPr>
          <w:sz w:val="20"/>
          <w:szCs w:val="20"/>
          <w:color w:val="auto"/>
        </w:rPr>
      </w:pPr>
      <w:r>
        <w:rPr>
          <w:rFonts w:ascii="Arial" w:cs="Arial" w:eastAsia="Arial" w:hAnsi="Arial"/>
          <w:sz w:val="17"/>
          <w:szCs w:val="17"/>
          <w:color w:val="auto"/>
        </w:rPr>
        <w:t>time of such Lender’s e-mail address to which the foregoing notice may be sent by electronic transmission and (B) that the foregoing notice may be sent to such e-mail address.</w:t>
      </w:r>
    </w:p>
    <w:p>
      <w:pPr>
        <w:spacing w:after="0" w:line="158" w:lineRule="exact"/>
        <w:rPr>
          <w:sz w:val="20"/>
          <w:szCs w:val="20"/>
          <w:color w:val="auto"/>
        </w:rPr>
      </w:pPr>
    </w:p>
    <w:p>
      <w:pPr>
        <w:ind w:right="20" w:firstLine="622"/>
        <w:spacing w:after="0" w:line="248" w:lineRule="auto"/>
        <w:tabs>
          <w:tab w:leader="none" w:pos="123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of Holdings and the Borrower further agrees that any Agent may make the Communications available to the Lenders by posting the Communications on Intralinks or a substantially similar electronic transmission system (the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6"/>
          <w:szCs w:val="16"/>
          <w:u w:val="single" w:color="auto"/>
          <w:color w:val="auto"/>
        </w:rPr>
        <w:t>Section 13.16</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right="160" w:firstLine="622"/>
        <w:spacing w:after="0" w:line="230" w:lineRule="auto"/>
        <w:tabs>
          <w:tab w:leader="none" w:pos="123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DO NOT WARRANT THE ACCURACY OR COMPLETENESS OF ANY MATERIALS OR INFORMATION PROVIDED BY THE CREDIT PARTIES (THE “</w:t>
      </w:r>
      <w:r>
        <w:rPr>
          <w:rFonts w:ascii="Arial" w:cs="Arial" w:eastAsia="Arial" w:hAnsi="Arial"/>
          <w:sz w:val="16"/>
          <w:szCs w:val="16"/>
          <w:b w:val="1"/>
          <w:bCs w:val="1"/>
          <w:color w:val="auto"/>
        </w:rPr>
        <w:t>BORROWER MATERIALS</w:t>
      </w:r>
      <w:r>
        <w:rPr>
          <w:rFonts w:ascii="Arial" w:cs="Arial" w:eastAsia="Arial" w:hAnsi="Arial"/>
          <w:sz w:val="16"/>
          <w:szCs w:val="16"/>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b w:val="1"/>
          <w:bCs w:val="1"/>
          <w:color w:val="auto"/>
        </w:rPr>
        <w:t>Agent Parties</w:t>
      </w:r>
      <w:r>
        <w:rPr>
          <w:rFonts w:ascii="Arial" w:cs="Arial" w:eastAsia="Arial" w:hAnsi="Arial"/>
          <w:sz w:val="16"/>
          <w:szCs w:val="16"/>
          <w:color w:val="auto"/>
        </w:rPr>
        <w:t>” and each an “</w:t>
      </w:r>
      <w:r>
        <w:rPr>
          <w:rFonts w:ascii="Arial" w:cs="Arial" w:eastAsia="Arial" w:hAnsi="Arial"/>
          <w:sz w:val="16"/>
          <w:szCs w:val="16"/>
          <w:b w:val="1"/>
          <w:bCs w:val="1"/>
          <w:color w:val="auto"/>
        </w:rPr>
        <w:t>Agent Party</w:t>
      </w:r>
      <w:r>
        <w:rPr>
          <w:rFonts w:ascii="Arial" w:cs="Arial" w:eastAsia="Arial" w:hAnsi="Arial"/>
          <w:sz w:val="16"/>
          <w:szCs w:val="16"/>
          <w:color w:val="auto"/>
        </w:rPr>
        <w:t>”) have any liability to the Borrower, any Lender, or any other Person for losses, claims, damages, liabilities, or expenses of any kind (whether in tort, contract or otherwise)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Borrower’s or the Administrative Agent’s transmission of Borrower Materials or notices through the Platform, any other electronic platform or electronic</w:t>
      </w:r>
    </w:p>
    <w:p>
      <w:pPr>
        <w:spacing w:after="0" w:line="11" w:lineRule="exact"/>
        <w:rPr>
          <w:sz w:val="20"/>
          <w:szCs w:val="20"/>
          <w:color w:val="auto"/>
        </w:rPr>
      </w:pPr>
    </w:p>
    <w:p>
      <w:pPr>
        <w:ind w:right="260"/>
        <w:spacing w:after="0" w:line="220" w:lineRule="auto"/>
        <w:rPr>
          <w:sz w:val="20"/>
          <w:szCs w:val="20"/>
          <w:color w:val="auto"/>
        </w:rPr>
      </w:pPr>
      <w:r>
        <w:rPr>
          <w:rFonts w:ascii="Arial" w:cs="Arial" w:eastAsia="Arial" w:hAnsi="Arial"/>
          <w:sz w:val="17"/>
          <w:szCs w:val="17"/>
          <w:color w:val="auto"/>
        </w:rPr>
        <w:t>messaging service, or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170" w:lineRule="exact"/>
        <w:rPr>
          <w:sz w:val="20"/>
          <w:szCs w:val="20"/>
          <w:color w:val="auto"/>
        </w:rPr>
      </w:pPr>
    </w:p>
    <w:p>
      <w:pPr>
        <w:ind w:firstLine="622"/>
        <w:spacing w:after="0" w:line="229" w:lineRule="auto"/>
        <w:tabs>
          <w:tab w:leader="none" w:pos="123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and each Lender acknowledge that certain of the Lenders may be “public-side” Lenders (Lenders that do not wish to receive material non-public information with respect to Holdings,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5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13.18</w:t>
      </w:r>
      <w:r>
        <w:rPr>
          <w:sz w:val="20"/>
          <w:szCs w:val="20"/>
          <w:color w:val="auto"/>
        </w:rPr>
        <w:tab/>
      </w:r>
      <w:r>
        <w:rPr>
          <w:rFonts w:ascii="Arial" w:cs="Arial" w:eastAsia="Arial" w:hAnsi="Arial"/>
          <w:sz w:val="15"/>
          <w:szCs w:val="15"/>
          <w:u w:val="single" w:color="auto"/>
          <w:color w:val="auto"/>
        </w:rPr>
        <w:t>USA PATRIOT Act</w:t>
      </w:r>
      <w:r>
        <w:rPr>
          <w:rFonts w:ascii="Arial" w:cs="Arial" w:eastAsia="Arial" w:hAnsi="Arial"/>
          <w:sz w:val="15"/>
          <w:szCs w:val="15"/>
          <w:color w:val="auto"/>
        </w:rPr>
        <w:t>. Each Lender hereby notifies each Credit Party that pursuant to the requirements of the USA Patriot Act (Title III of Pub. L.</w:t>
      </w:r>
    </w:p>
    <w:p>
      <w:pPr>
        <w:ind w:right="80"/>
        <w:spacing w:after="0" w:line="220" w:lineRule="auto"/>
        <w:rPr>
          <w:sz w:val="20"/>
          <w:szCs w:val="20"/>
          <w:color w:val="auto"/>
        </w:rPr>
      </w:pPr>
      <w:r>
        <w:rPr>
          <w:rFonts w:ascii="Arial" w:cs="Arial" w:eastAsia="Arial" w:hAnsi="Arial"/>
          <w:sz w:val="17"/>
          <w:szCs w:val="17"/>
          <w:color w:val="auto"/>
        </w:rPr>
        <w:t>107-56 (signed into law October 26, 2001)) (the “</w:t>
      </w:r>
      <w:r>
        <w:rPr>
          <w:rFonts w:ascii="Arial" w:cs="Arial" w:eastAsia="Arial" w:hAnsi="Arial"/>
          <w:sz w:val="17"/>
          <w:szCs w:val="17"/>
          <w:b w:val="1"/>
          <w:bCs w:val="1"/>
          <w:color w:val="auto"/>
        </w:rPr>
        <w:t>Patriot Act</w:t>
      </w:r>
      <w:r>
        <w:rPr>
          <w:rFonts w:ascii="Arial" w:cs="Arial" w:eastAsia="Arial" w:hAnsi="Arial"/>
          <w:sz w:val="17"/>
          <w:szCs w:val="17"/>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13.19</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78" w:lineRule="exact"/>
        <w:rPr>
          <w:sz w:val="20"/>
          <w:szCs w:val="20"/>
          <w:color w:val="auto"/>
        </w:rPr>
      </w:pPr>
    </w:p>
    <w:p>
      <w:pPr>
        <w:ind w:right="280" w:firstLine="619"/>
        <w:spacing w:after="0" w:line="251" w:lineRule="auto"/>
        <w:rPr>
          <w:sz w:val="20"/>
          <w:szCs w:val="20"/>
          <w:color w:val="auto"/>
        </w:rPr>
      </w:pPr>
      <w:r>
        <w:rPr>
          <w:rFonts w:ascii="Arial" w:cs="Arial" w:eastAsia="Arial" w:hAnsi="Arial"/>
          <w:sz w:val="15"/>
          <w:szCs w:val="15"/>
          <w:color w:val="auto"/>
        </w:rPr>
        <w:t xml:space="preserve">13.20 </w:t>
      </w:r>
      <w:r>
        <w:rPr>
          <w:rFonts w:ascii="Arial" w:cs="Arial" w:eastAsia="Arial" w:hAnsi="Arial"/>
          <w:sz w:val="15"/>
          <w:szCs w:val="15"/>
          <w:u w:val="single" w:color="auto"/>
          <w:color w:val="auto"/>
        </w:rPr>
        <w:t>Payments Set Aside</w:t>
      </w:r>
      <w:r>
        <w:rPr>
          <w:rFonts w:ascii="Arial" w:cs="Arial" w:eastAsia="Arial" w:hAnsi="Arial"/>
          <w:sz w:val="15"/>
          <w:szCs w:val="15"/>
          <w:color w:val="auto"/>
        </w:rPr>
        <w:t>. To the extent that any payment by or on behalf of Holdings or the Borrower is made to any Agent or any Lender, or any Agent or any Lender exercises its right of setoff, and such payment or the proceeds of such setoff or any part thereof is subsequently invalidated, declared to be</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w:t>
      </w:r>
    </w:p>
    <w:p>
      <w:pPr>
        <w:ind w:right="280"/>
        <w:spacing w:after="0" w:line="220" w:lineRule="auto"/>
        <w:rPr>
          <w:sz w:val="20"/>
          <w:szCs w:val="20"/>
          <w:color w:val="auto"/>
        </w:rPr>
      </w:pPr>
      <w:r>
        <w:rPr>
          <w:rFonts w:ascii="Arial" w:cs="Arial" w:eastAsia="Arial" w:hAnsi="Arial"/>
          <w:sz w:val="17"/>
          <w:szCs w:val="17"/>
          <w:color w:val="auto"/>
        </w:rPr>
        <w:t>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170" w:lineRule="exact"/>
        <w:rPr>
          <w:sz w:val="20"/>
          <w:szCs w:val="20"/>
          <w:color w:val="auto"/>
        </w:rPr>
      </w:pPr>
    </w:p>
    <w:p>
      <w:pPr>
        <w:ind w:right="60" w:firstLine="619"/>
        <w:spacing w:after="0" w:line="245" w:lineRule="auto"/>
        <w:rPr>
          <w:sz w:val="20"/>
          <w:szCs w:val="20"/>
          <w:color w:val="auto"/>
        </w:rPr>
      </w:pPr>
      <w:r>
        <w:rPr>
          <w:rFonts w:ascii="Arial" w:cs="Arial" w:eastAsia="Arial" w:hAnsi="Arial"/>
          <w:sz w:val="15"/>
          <w:szCs w:val="15"/>
          <w:color w:val="auto"/>
        </w:rPr>
        <w:t xml:space="preserve">13.21 </w:t>
      </w:r>
      <w:r>
        <w:rPr>
          <w:rFonts w:ascii="Arial" w:cs="Arial" w:eastAsia="Arial" w:hAnsi="Arial"/>
          <w:sz w:val="15"/>
          <w:szCs w:val="15"/>
          <w:u w:val="single" w:color="auto"/>
          <w:color w:val="auto"/>
        </w:rPr>
        <w:t>No Fiduciary Duty</w:t>
      </w:r>
      <w:r>
        <w:rPr>
          <w:rFonts w:ascii="Arial" w:cs="Arial" w:eastAsia="Arial" w:hAnsi="Arial"/>
          <w:sz w:val="15"/>
          <w:szCs w:val="15"/>
          <w:color w:val="auto"/>
        </w:rPr>
        <w:t xml:space="preserve">. Each Agent, each Syndication Agent, each Documentation Agent, each Joint Lead Arranger and Bookrunner, each Letter of Credit Issuer, each Lender and their Affiliates (collectively, the “ </w:t>
      </w:r>
      <w:r>
        <w:rPr>
          <w:rFonts w:ascii="Arial" w:cs="Arial" w:eastAsia="Arial" w:hAnsi="Arial"/>
          <w:sz w:val="15"/>
          <w:szCs w:val="15"/>
          <w:b w:val="1"/>
          <w:bCs w:val="1"/>
          <w:color w:val="auto"/>
        </w:rPr>
        <w:t>Lender Parties</w:t>
      </w:r>
      <w:r>
        <w:rPr>
          <w:rFonts w:ascii="Arial" w:cs="Arial" w:eastAsia="Arial" w:hAnsi="Arial"/>
          <w:sz w:val="15"/>
          <w:szCs w:val="15"/>
          <w:color w:val="auto"/>
        </w:rPr>
        <w:t>”), may have economic interests that conflict with those of the Credit Parties, their stockholders and/or their affiliates. Each Credit Party agrees that nothing in the Credit Documents or otherwise will be deemed to create an advisory, fiduciary or</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5"/>
          <w:szCs w:val="15"/>
          <w:color w:val="auto"/>
        </w:rPr>
        <w:t>agency relationship or fiduciary or other implied duty between any Lender Party,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 Parties, on the one hand, and the Credit Parties, on the other, and (ii) in</w:t>
      </w:r>
    </w:p>
    <w:p>
      <w:pPr>
        <w:jc w:val="both"/>
        <w:ind w:right="80"/>
        <w:spacing w:after="0" w:line="239" w:lineRule="auto"/>
        <w:rPr>
          <w:sz w:val="20"/>
          <w:szCs w:val="20"/>
          <w:color w:val="auto"/>
        </w:rPr>
      </w:pPr>
      <w:r>
        <w:rPr>
          <w:rFonts w:ascii="Arial" w:cs="Arial" w:eastAsia="Arial" w:hAnsi="Arial"/>
          <w:sz w:val="15"/>
          <w:szCs w:val="15"/>
          <w:color w:val="auto"/>
        </w:rPr>
        <w:t>connection therewith and with the process leading thereto, (x) no Lender Party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Party has advised, is currently advising or will advise any Credit Party, its stockholders or its Affiliates on other</w:t>
      </w:r>
    </w:p>
    <w:p>
      <w:pPr>
        <w:ind w:right="40"/>
        <w:spacing w:after="0" w:line="237" w:lineRule="auto"/>
        <w:rPr>
          <w:sz w:val="20"/>
          <w:szCs w:val="20"/>
          <w:color w:val="auto"/>
        </w:rPr>
      </w:pPr>
      <w:r>
        <w:rPr>
          <w:rFonts w:ascii="Arial" w:cs="Arial" w:eastAsia="Arial" w:hAnsi="Arial"/>
          <w:sz w:val="15"/>
          <w:szCs w:val="15"/>
          <w:color w:val="auto"/>
        </w:rPr>
        <w:t>matters) or any other obligation to any Credit Party except the obligations expressly set forth in the Credit Documents and (y) each Lender Party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Party has rendered advisory services of any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nature or respect, or owes a fiduciary or similar duty to such Credit Party, in connection with such transaction or the process leading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0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13.22</w:t>
      </w:r>
      <w:r>
        <w:rPr>
          <w:sz w:val="20"/>
          <w:szCs w:val="20"/>
          <w:color w:val="auto"/>
        </w:rPr>
        <w:tab/>
      </w:r>
      <w:r>
        <w:rPr>
          <w:rFonts w:ascii="Arial" w:cs="Arial" w:eastAsia="Arial" w:hAnsi="Arial"/>
          <w:sz w:val="15"/>
          <w:szCs w:val="15"/>
          <w:u w:val="single" w:color="auto"/>
          <w:color w:val="auto"/>
        </w:rPr>
        <w:t>Acknowledgement and Consent to Bail-In of Affected Financial Institutions</w:t>
      </w:r>
      <w:r>
        <w:rPr>
          <w:rFonts w:ascii="Arial" w:cs="Arial" w:eastAsia="Arial" w:hAnsi="Arial"/>
          <w:sz w:val="15"/>
          <w:szCs w:val="15"/>
          <w:color w:val="auto"/>
        </w:rPr>
        <w:t>. Solely to the extent any Lender that is an EEA Financial Institution</w:t>
      </w:r>
    </w:p>
    <w:p>
      <w:pPr>
        <w:jc w:val="both"/>
        <w:spacing w:after="0" w:line="239" w:lineRule="auto"/>
        <w:rPr>
          <w:sz w:val="20"/>
          <w:szCs w:val="20"/>
          <w:color w:val="auto"/>
        </w:rPr>
      </w:pPr>
      <w:r>
        <w:rPr>
          <w:rFonts w:ascii="Arial" w:cs="Arial" w:eastAsia="Arial" w:hAnsi="Arial"/>
          <w:sz w:val="15"/>
          <w:szCs w:val="15"/>
          <w:color w:val="auto"/>
        </w:rPr>
        <w:t>is a party to this Agreement and notwithstanding anything to the contrary in any Credit Document or in any other agreement, arrangement or understanding among any such parties, each party hereto acknowledges that any liability of any Lender that is an Affected Financial Institution arising under any Credit Document, to the extent such liability is unsecured, may be subject to the Write-down and Conversion Powers of the applicable Resolution Authority and agrees and consents to, and</w:t>
      </w:r>
    </w:p>
    <w:p>
      <w:pPr>
        <w:spacing w:after="0"/>
        <w:rPr>
          <w:sz w:val="20"/>
          <w:szCs w:val="20"/>
          <w:color w:val="auto"/>
        </w:rPr>
      </w:pPr>
      <w:r>
        <w:rPr>
          <w:rFonts w:ascii="Arial" w:cs="Arial" w:eastAsia="Arial" w:hAnsi="Arial"/>
          <w:sz w:val="17"/>
          <w:szCs w:val="17"/>
          <w:color w:val="auto"/>
        </w:rPr>
        <w:t>acknowledges and agrees to be bound by:</w:t>
      </w:r>
    </w:p>
    <w:p>
      <w:pPr>
        <w:spacing w:after="0" w:line="164" w:lineRule="exact"/>
        <w:rPr>
          <w:sz w:val="20"/>
          <w:szCs w:val="20"/>
          <w:color w:val="auto"/>
        </w:rPr>
      </w:pPr>
    </w:p>
    <w:p>
      <w:pPr>
        <w:ind w:left="620" w:right="580" w:firstLine="621"/>
        <w:spacing w:after="0" w:line="236" w:lineRule="auto"/>
        <w:tabs>
          <w:tab w:leader="none" w:pos="185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9" w:lineRule="exact"/>
        <w:rPr>
          <w:rFonts w:ascii="Arial" w:cs="Arial" w:eastAsia="Arial" w:hAnsi="Arial"/>
          <w:sz w:val="17"/>
          <w:szCs w:val="17"/>
          <w:color w:val="auto"/>
        </w:rPr>
      </w:pPr>
    </w:p>
    <w:p>
      <w:pPr>
        <w:ind w:left="1860" w:hanging="619"/>
        <w:spacing w:after="0"/>
        <w:tabs>
          <w:tab w:leader="none" w:pos="18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w:t>
      </w:r>
    </w:p>
    <w:p>
      <w:pPr>
        <w:spacing w:after="0" w:line="178" w:lineRule="exact"/>
        <w:rPr>
          <w:rFonts w:ascii="Arial" w:cs="Arial" w:eastAsia="Arial" w:hAnsi="Arial"/>
          <w:sz w:val="17"/>
          <w:szCs w:val="17"/>
          <w:color w:val="auto"/>
        </w:rPr>
      </w:pPr>
    </w:p>
    <w:p>
      <w:pPr>
        <w:ind w:left="2480" w:hanging="373"/>
        <w:spacing w:after="0"/>
        <w:tabs>
          <w:tab w:leader="none" w:pos="248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 reduction in full or in part or cancellation of any such liability;</w:t>
      </w:r>
    </w:p>
    <w:p>
      <w:pPr>
        <w:spacing w:after="0" w:line="178" w:lineRule="exact"/>
        <w:rPr>
          <w:rFonts w:ascii="Arial" w:cs="Arial" w:eastAsia="Arial" w:hAnsi="Arial"/>
          <w:sz w:val="17"/>
          <w:szCs w:val="17"/>
          <w:color w:val="auto"/>
        </w:rPr>
      </w:pPr>
    </w:p>
    <w:p>
      <w:pPr>
        <w:ind w:left="1240" w:right="200" w:firstLine="867"/>
        <w:spacing w:after="0" w:line="224" w:lineRule="auto"/>
        <w:tabs>
          <w:tab w:leader="none" w:pos="247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2" w:lineRule="exact"/>
        <w:rPr>
          <w:rFonts w:ascii="Arial" w:cs="Arial" w:eastAsia="Arial" w:hAnsi="Arial"/>
          <w:sz w:val="17"/>
          <w:szCs w:val="17"/>
          <w:color w:val="auto"/>
        </w:rPr>
      </w:pPr>
    </w:p>
    <w:p>
      <w:pPr>
        <w:ind w:left="1240" w:right="320" w:firstLine="867"/>
        <w:spacing w:after="0" w:line="236" w:lineRule="auto"/>
        <w:tabs>
          <w:tab w:leader="none" w:pos="247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the applicable Resolution Authority.</w:t>
      </w:r>
    </w:p>
    <w:p>
      <w:pPr>
        <w:spacing w:after="0" w:line="15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13.23</w:t>
      </w:r>
      <w:r>
        <w:rPr>
          <w:sz w:val="20"/>
          <w:szCs w:val="20"/>
          <w:color w:val="auto"/>
        </w:rPr>
        <w:tab/>
      </w:r>
      <w:r>
        <w:rPr>
          <w:rFonts w:ascii="Arial" w:cs="Arial" w:eastAsia="Arial" w:hAnsi="Arial"/>
          <w:sz w:val="15"/>
          <w:szCs w:val="15"/>
          <w:u w:val="single" w:color="auto"/>
          <w:color w:val="auto"/>
        </w:rPr>
        <w:t>Acknowledgement Regarding Any Supported QFCs</w:t>
      </w:r>
      <w:r>
        <w:rPr>
          <w:rFonts w:ascii="Arial" w:cs="Arial" w:eastAsia="Arial" w:hAnsi="Arial"/>
          <w:sz w:val="15"/>
          <w:szCs w:val="15"/>
          <w:color w:val="auto"/>
        </w:rPr>
        <w:t>. To the extent that the Credit Documents provide support, through a guarantee or otherwise,</w:t>
      </w:r>
    </w:p>
    <w:p>
      <w:pPr>
        <w:jc w:val="both"/>
        <w:ind w:right="140"/>
        <w:spacing w:after="0" w:line="239" w:lineRule="auto"/>
        <w:rPr>
          <w:sz w:val="20"/>
          <w:szCs w:val="20"/>
          <w:color w:val="auto"/>
        </w:rPr>
      </w:pPr>
      <w:r>
        <w:rPr>
          <w:rFonts w:ascii="Arial" w:cs="Arial" w:eastAsia="Arial" w:hAnsi="Arial"/>
          <w:sz w:val="15"/>
          <w:szCs w:val="15"/>
          <w:color w:val="auto"/>
        </w:rPr>
        <w:t>for any swap contract or any other agreement or instrument that is a QFC (such support, “</w:t>
      </w:r>
      <w:r>
        <w:rPr>
          <w:rFonts w:ascii="Arial" w:cs="Arial" w:eastAsia="Arial" w:hAnsi="Arial"/>
          <w:sz w:val="15"/>
          <w:szCs w:val="15"/>
          <w:b w:val="1"/>
          <w:bCs w:val="1"/>
          <w:color w:val="auto"/>
        </w:rPr>
        <w:t>QFC Credit Support</w:t>
      </w:r>
      <w:r>
        <w:rPr>
          <w:rFonts w:ascii="Arial" w:cs="Arial" w:eastAsia="Arial" w:hAnsi="Arial"/>
          <w:sz w:val="15"/>
          <w:szCs w:val="15"/>
          <w:color w:val="auto"/>
        </w:rPr>
        <w:t xml:space="preserve"> ”, and each such QFC, a “</w:t>
      </w:r>
      <w:r>
        <w:rPr>
          <w:rFonts w:ascii="Arial" w:cs="Arial" w:eastAsia="Arial" w:hAnsi="Arial"/>
          <w:sz w:val="15"/>
          <w:szCs w:val="15"/>
          <w:b w:val="1"/>
          <w:bCs w:val="1"/>
          <w:color w:val="auto"/>
        </w:rPr>
        <w:t>Supported QFC</w:t>
      </w:r>
      <w:r>
        <w:rPr>
          <w:rFonts w:ascii="Arial" w:cs="Arial" w:eastAsia="Arial" w:hAnsi="Arial"/>
          <w:sz w:val="15"/>
          <w:szCs w:val="15"/>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5"/>
          <w:szCs w:val="15"/>
          <w:b w:val="1"/>
          <w:bCs w:val="1"/>
          <w:color w:val="auto"/>
        </w:rPr>
        <w:t>U.S. Special</w:t>
      </w:r>
    </w:p>
    <w:p>
      <w:pPr>
        <w:ind w:right="80"/>
        <w:spacing w:after="0" w:line="220" w:lineRule="auto"/>
        <w:rPr>
          <w:sz w:val="20"/>
          <w:szCs w:val="20"/>
          <w:color w:val="auto"/>
        </w:rPr>
      </w:pPr>
      <w:r>
        <w:rPr>
          <w:rFonts w:ascii="Arial" w:cs="Arial" w:eastAsia="Arial" w:hAnsi="Arial"/>
          <w:sz w:val="17"/>
          <w:szCs w:val="17"/>
          <w:b w:val="1"/>
          <w:bCs w:val="1"/>
          <w:color w:val="auto"/>
        </w:rPr>
        <w:t>Resolution Regimes</w:t>
      </w:r>
      <w:r>
        <w:rPr>
          <w:rFonts w:ascii="Arial" w:cs="Arial" w:eastAsia="Arial" w:hAnsi="Arial"/>
          <w:sz w:val="17"/>
          <w:szCs w:val="17"/>
          <w:color w:val="auto"/>
        </w:rPr>
        <w:t>”) in respect of such Supported QFC and QFC Credit Support (with the provisions below applicable notwithstanding that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any Supported QFC may in fact be stated to be governed by the laws of the State of New York and/or of the United States or any other state of the United States):</w:t>
      </w:r>
    </w:p>
    <w:p>
      <w:pPr>
        <w:spacing w:after="0" w:line="164" w:lineRule="exact"/>
        <w:rPr>
          <w:sz w:val="20"/>
          <w:szCs w:val="20"/>
          <w:color w:val="auto"/>
        </w:rPr>
      </w:pPr>
    </w:p>
    <w:p>
      <w:pPr>
        <w:ind w:left="620" w:firstLine="621"/>
        <w:spacing w:after="0" w:line="229" w:lineRule="auto"/>
        <w:tabs>
          <w:tab w:leader="none" w:pos="185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3" w:lineRule="exact"/>
        <w:rPr>
          <w:rFonts w:ascii="Arial" w:cs="Arial" w:eastAsia="Arial" w:hAnsi="Arial"/>
          <w:sz w:val="16"/>
          <w:szCs w:val="16"/>
          <w:color w:val="auto"/>
        </w:rPr>
      </w:pPr>
    </w:p>
    <w:p>
      <w:pPr>
        <w:ind w:left="1860" w:hanging="619"/>
        <w:spacing w:after="0"/>
        <w:tabs>
          <w:tab w:leader="none" w:pos="18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Section 13.23</w:t>
      </w:r>
      <w:r>
        <w:rPr>
          <w:rFonts w:ascii="Arial" w:cs="Arial" w:eastAsia="Arial" w:hAnsi="Arial"/>
          <w:sz w:val="17"/>
          <w:szCs w:val="17"/>
          <w:color w:val="auto"/>
        </w:rPr>
        <w:t>, the following terms have the following meanings:</w:t>
      </w:r>
    </w:p>
    <w:p>
      <w:pPr>
        <w:spacing w:after="0" w:line="185"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of a party means an “affiliate” (as such term is defined under, and interpreted in accordance with, 12 U.S.C.</w:t>
      </w:r>
    </w:p>
    <w:p>
      <w:pPr>
        <w:spacing w:after="0" w:line="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1841(k)) of such party.</w:t>
      </w:r>
    </w:p>
    <w:p>
      <w:pPr>
        <w:spacing w:after="0" w:line="158"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Entity</w:t>
      </w:r>
      <w:r>
        <w:rPr>
          <w:rFonts w:ascii="Arial" w:cs="Arial" w:eastAsia="Arial" w:hAnsi="Arial"/>
          <w:sz w:val="16"/>
          <w:szCs w:val="16"/>
          <w:color w:val="auto"/>
        </w:rPr>
        <w:t>” shall mean any of the following: (i) a “covered entity” as that term is defined in, and interpreted in accordance with,</w:t>
      </w:r>
    </w:p>
    <w:p>
      <w:pPr>
        <w:spacing w:after="0" w:line="17" w:lineRule="exact"/>
        <w:rPr>
          <w:sz w:val="20"/>
          <w:szCs w:val="20"/>
          <w:color w:val="auto"/>
        </w:rPr>
      </w:pPr>
    </w:p>
    <w:p>
      <w:pPr>
        <w:ind w:left="1240" w:right="40"/>
        <w:spacing w:after="0" w:line="227" w:lineRule="auto"/>
        <w:rPr>
          <w:sz w:val="20"/>
          <w:szCs w:val="20"/>
          <w:color w:val="auto"/>
        </w:rPr>
      </w:pPr>
      <w:r>
        <w:rPr>
          <w:rFonts w:ascii="Arial" w:cs="Arial" w:eastAsia="Arial" w:hAnsi="Arial"/>
          <w:sz w:val="17"/>
          <w:szCs w:val="17"/>
          <w:color w:val="auto"/>
        </w:rPr>
        <w:t>12 C.F.R. § 252.82(b); (ii) a “covered bank” as that term is defined in, and interpreted in accordance with, 12 C.F.R. § 47.3(b); or (iii) 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00" w:lineRule="exact"/>
        <w:rPr>
          <w:sz w:val="20"/>
          <w:szCs w:val="20"/>
          <w:color w:val="auto"/>
        </w:rPr>
      </w:pPr>
    </w:p>
    <w:p>
      <w:pPr>
        <w:ind w:left="120" w:right="80" w:firstLine="6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QFC</w:t>
      </w:r>
      <w:r>
        <w:rPr>
          <w:rFonts w:ascii="Arial" w:cs="Arial" w:eastAsia="Arial" w:hAnsi="Arial"/>
          <w:sz w:val="15"/>
          <w:szCs w:val="15"/>
          <w:color w:val="auto"/>
        </w:rPr>
        <w:t>” has the meaning assigned to the term “qualified financial contract” in, and shall be interpreted in accordance with, 12 U.S.C.</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5390(c)(8)(D).</w:t>
      </w:r>
    </w:p>
    <w:p>
      <w:pPr>
        <w:spacing w:after="0" w:line="177"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intentionally omitted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-137-</w:t>
      </w:r>
    </w:p>
    <w:sectPr>
      <w:pgSz w:w="11900" w:h="16838" w:orient="portrait"/>
      <w:cols w:equalWidth="0" w:num="1">
        <w:col w:w="9860"/>
      </w:cols>
      <w:pgMar w:left="144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1)"/>
      <w:numFmt w:val="lowerLetter"/>
      <w:start w:val="4"/>
    </w:lvl>
  </w:abstractNum>
  <w:abstractNum w:abstractNumId="2">
    <w:nsid w:val="49DA307D"/>
    <w:multiLevelType w:val="hybridMultilevel"/>
    <w:lvl w:ilvl="0">
      <w:lvlJc w:val="left"/>
      <w:lvlText w:val="(%1)"/>
      <w:numFmt w:val="lowerLetter"/>
      <w:start w:val="1"/>
    </w:lvl>
  </w:abstractNum>
  <w:abstractNum w:abstractNumId="3">
    <w:nsid w:val="7055A5F5"/>
    <w:multiLevelType w:val="hybridMultilevel"/>
    <w:lvl w:ilvl="0">
      <w:lvlJc w:val="left"/>
      <w:lvlText w:val="(%1)"/>
      <w:numFmt w:val="lowerLetter"/>
      <w:start w:val="1"/>
    </w:lvl>
  </w:abstractNum>
  <w:abstractNum w:abstractNumId="4">
    <w:nsid w:val="5FB8370B"/>
    <w:multiLevelType w:val="hybridMultilevel"/>
    <w:lvl w:ilvl="0">
      <w:lvlJc w:val="left"/>
      <w:lvlText w:val="(%1)"/>
      <w:numFmt w:val="lowerLetter"/>
      <w:start w:val="3"/>
    </w:lvl>
  </w:abstractNum>
  <w:abstractNum w:abstractNumId="5">
    <w:nsid w:val="50801EE1"/>
    <w:multiLevelType w:val="hybridMultilevel"/>
    <w:lvl w:ilvl="0">
      <w:lvlJc w:val="left"/>
      <w:lvlText w:val="(%1)"/>
      <w:numFmt w:val="lowerLetter"/>
      <w:start w:val="1"/>
    </w:lvl>
  </w:abstractNum>
  <w:abstractNum w:abstractNumId="6">
    <w:nsid w:val="488AC1A"/>
    <w:multiLevelType w:val="hybridMultilevel"/>
    <w:lvl w:ilvl="0">
      <w:lvlJc w:val="left"/>
      <w:lvlText w:val="(%1)"/>
      <w:numFmt w:val="lowerLetter"/>
      <w:start w:val="1"/>
    </w:lvl>
  </w:abstractNum>
  <w:abstractNum w:abstractNumId="7">
    <w:nsid w:val="5FB8011C"/>
    <w:multiLevelType w:val="hybridMultilevel"/>
    <w:lvl w:ilvl="0">
      <w:lvlJc w:val="left"/>
      <w:lvlText w:val="(%1)"/>
      <w:numFmt w:val="lowerLetter"/>
      <w:start w:val="2"/>
    </w:lvl>
  </w:abstractNum>
  <w:abstractNum w:abstractNumId="8">
    <w:nsid w:val="6AA78F7F"/>
    <w:multiLevelType w:val="hybridMultilevel"/>
    <w:lvl w:ilvl="0">
      <w:lvlJc w:val="left"/>
      <w:lvlText w:val="(%1)"/>
      <w:numFmt w:val="lowerRoman"/>
      <w:start w:val="1"/>
    </w:lvl>
  </w:abstractNum>
  <w:abstractNum w:abstractNumId="9">
    <w:nsid w:val="7672BD23"/>
    <w:multiLevelType w:val="hybridMultilevel"/>
    <w:lvl w:ilvl="0">
      <w:lvlJc w:val="left"/>
      <w:lvlText w:val="(%1)"/>
      <w:numFmt w:val="lowerLetter"/>
      <w:start w:val="35"/>
    </w:lvl>
    <w:lvl w:ilvl="1">
      <w:lvlJc w:val="left"/>
      <w:lvlText w:val="(%2)"/>
      <w:numFmt w:val="lowerLetter"/>
      <w:start w:val="1"/>
    </w:lvl>
  </w:abstractNum>
  <w:abstractNum w:abstractNumId="10">
    <w:nsid w:val="6FC75AF8"/>
    <w:multiLevelType w:val="hybridMultilevel"/>
    <w:lvl w:ilvl="0">
      <w:lvlJc w:val="left"/>
      <w:lvlText w:val="(%1)"/>
      <w:numFmt w:val="lowerLetter"/>
      <w:start w:val="15"/>
    </w:lvl>
  </w:abstractNum>
  <w:abstractNum w:abstractNumId="11">
    <w:nsid w:val="6A5F7029"/>
    <w:multiLevelType w:val="hybridMultilevel"/>
    <w:lvl w:ilvl="0">
      <w:lvlJc w:val="left"/>
      <w:lvlText w:val="(%1)"/>
      <w:numFmt w:val="lowerRoman"/>
      <w:start w:val="1"/>
    </w:lvl>
  </w:abstractNum>
  <w:abstractNum w:abstractNumId="12">
    <w:nsid w:val="7D5E18F8"/>
    <w:multiLevelType w:val="hybridMultilevel"/>
    <w:lvl w:ilvl="0">
      <w:lvlJc w:val="left"/>
      <w:lvlText w:val="(%1)"/>
      <w:numFmt w:val="lowerRoman"/>
      <w:start w:val="11"/>
    </w:lvl>
  </w:abstractNum>
  <w:abstractNum w:abstractNumId="13">
    <w:nsid w:val="5F3534A4"/>
    <w:multiLevelType w:val="hybridMultilevel"/>
    <w:lvl w:ilvl="0">
      <w:lvlJc w:val="left"/>
      <w:lvlText w:val="(%1)"/>
      <w:numFmt w:val="lowerLetter"/>
      <w:start w:val="9"/>
    </w:lvl>
    <w:lvl w:ilvl="1">
      <w:lvlJc w:val="left"/>
      <w:lvlText w:val="(%2)"/>
      <w:numFmt w:val="lowerLetter"/>
      <w:start w:val="1"/>
    </w:lvl>
  </w:abstractNum>
  <w:abstractNum w:abstractNumId="14">
    <w:nsid w:val="73A1821B"/>
    <w:multiLevelType w:val="hybridMultilevel"/>
    <w:lvl w:ilvl="0">
      <w:lvlJc w:val="left"/>
      <w:lvlText w:val="(%1)"/>
      <w:numFmt w:val="lowerLetter"/>
      <w:start w:val="8"/>
    </w:lvl>
  </w:abstractNum>
  <w:abstractNum w:abstractNumId="15">
    <w:nsid w:val="7DE67713"/>
    <w:multiLevelType w:val="hybridMultilevel"/>
    <w:lvl w:ilvl="0">
      <w:lvlJc w:val="left"/>
      <w:lvlText w:val="%1"/>
      <w:numFmt w:val="lowerLetter"/>
      <w:start w:val="1"/>
    </w:lvl>
    <w:lvl w:ilvl="1">
      <w:lvlJc w:val="left"/>
      <w:lvlText w:val="(%2)"/>
      <w:numFmt w:val="lowerLetter"/>
      <w:start w:val="17"/>
    </w:lvl>
  </w:abstractNum>
  <w:abstractNum w:abstractNumId="16">
    <w:nsid w:val="555C55B5"/>
    <w:multiLevelType w:val="hybridMultilevel"/>
    <w:lvl w:ilvl="0">
      <w:lvlJc w:val="left"/>
      <w:lvlText w:val="(%1)"/>
      <w:numFmt w:val="lowerLetter"/>
      <w:start w:val="35"/>
    </w:lvl>
    <w:lvl w:ilvl="1">
      <w:lvlJc w:val="left"/>
      <w:lvlText w:val="(%2)"/>
      <w:numFmt w:val="lowerLetter"/>
      <w:start w:val="1"/>
    </w:lvl>
  </w:abstractNum>
  <w:abstractNum w:abstractNumId="17">
    <w:nsid w:val="3FA62ACA"/>
    <w:multiLevelType w:val="hybridMultilevel"/>
    <w:lvl w:ilvl="0">
      <w:lvlJc w:val="left"/>
      <w:lvlText w:val="(%1)"/>
      <w:numFmt w:val="lowerLetter"/>
      <w:start w:val="61"/>
    </w:lvl>
    <w:lvl w:ilvl="1">
      <w:lvlJc w:val="left"/>
      <w:lvlText w:val="(%2)"/>
      <w:numFmt w:val="lowerLetter"/>
      <w:start w:val="1"/>
    </w:lvl>
  </w:abstractNum>
  <w:abstractNum w:abstractNumId="18">
    <w:nsid w:val="14FCE74E"/>
    <w:multiLevelType w:val="hybridMultilevel"/>
    <w:lvl w:ilvl="0">
      <w:lvlJc w:val="left"/>
      <w:lvlText w:val="(%1)"/>
      <w:numFmt w:val="lowerRoman"/>
      <w:start w:val="1"/>
    </w:lvl>
  </w:abstractNum>
  <w:abstractNum w:abstractNumId="19">
    <w:nsid w:val="6A3DD3E8"/>
    <w:multiLevelType w:val="hybridMultilevel"/>
    <w:lvl w:ilvl="0">
      <w:lvlJc w:val="left"/>
      <w:lvlText w:val="(%1)"/>
      <w:numFmt w:val="lowerRoman"/>
      <w:start w:val="2"/>
    </w:lvl>
  </w:abstractNum>
  <w:abstractNum w:abstractNumId="20">
    <w:nsid w:val="71C91298"/>
    <w:multiLevelType w:val="hybridMultilevel"/>
    <w:lvl w:ilvl="0">
      <w:lvlJc w:val="left"/>
      <w:lvlText w:val="(%1)"/>
      <w:numFmt w:val="lowerRoman"/>
      <w:start w:val="1"/>
    </w:lvl>
  </w:abstractNum>
  <w:abstractNum w:abstractNumId="21">
    <w:nsid w:val="9DAF632"/>
    <w:multiLevelType w:val="hybridMultilevel"/>
    <w:lvl w:ilvl="0">
      <w:lvlJc w:val="left"/>
      <w:lvlText w:val="(%1)"/>
      <w:numFmt w:val="lowerRoman"/>
      <w:start w:val="1"/>
    </w:lvl>
  </w:abstractNum>
  <w:abstractNum w:abstractNumId="22">
    <w:nsid w:val="53299938"/>
    <w:multiLevelType w:val="hybridMultilevel"/>
    <w:lvl w:ilvl="0">
      <w:lvlJc w:val="left"/>
      <w:lvlText w:val="%1"/>
      <w:numFmt w:val="lowerLetter"/>
      <w:start w:val="1"/>
    </w:lvl>
    <w:lvl w:ilvl="1">
      <w:lvlJc w:val="left"/>
      <w:lvlText w:val="(%2)"/>
      <w:numFmt w:val="lowerRoman"/>
      <w:start w:val="2"/>
    </w:lvl>
  </w:abstractNum>
  <w:abstractNum w:abstractNumId="23">
    <w:nsid w:val="1FBFE8E0"/>
    <w:multiLevelType w:val="hybridMultilevel"/>
    <w:lvl w:ilvl="0">
      <w:lvlJc w:val="left"/>
      <w:lvlText w:val="(%1)"/>
      <w:numFmt w:val="lowerLetter"/>
      <w:start w:val="3"/>
    </w:lvl>
    <w:lvl w:ilvl="1">
      <w:lvlJc w:val="left"/>
      <w:lvlText w:val="(%2)"/>
      <w:numFmt w:val="lowerRoman"/>
      <w:start w:val="9"/>
    </w:lvl>
  </w:abstractNum>
  <w:abstractNum w:abstractNumId="24">
    <w:nsid w:val="5092CA79"/>
    <w:multiLevelType w:val="hybridMultilevel"/>
    <w:lvl w:ilvl="0">
      <w:lvlJc w:val="left"/>
      <w:lvlText w:val="(%1)"/>
      <w:numFmt w:val="lowerRoman"/>
      <w:start w:val="10"/>
    </w:lvl>
  </w:abstractNum>
  <w:abstractNum w:abstractNumId="25">
    <w:nsid w:val="1D545C4D"/>
    <w:multiLevelType w:val="hybridMultilevel"/>
    <w:lvl w:ilvl="0">
      <w:lvlJc w:val="left"/>
      <w:lvlText w:val="(%1)"/>
      <w:numFmt w:val="lowerRoman"/>
      <w:start w:val="17"/>
    </w:lvl>
  </w:abstractNum>
  <w:abstractNum w:abstractNumId="26">
    <w:nsid w:val="59ADEA3D"/>
    <w:multiLevelType w:val="hybridMultilevel"/>
    <w:lvl w:ilvl="0">
      <w:lvlJc w:val="left"/>
      <w:lvlText w:val="(%1)"/>
      <w:numFmt w:val="lowerRoman"/>
      <w:start w:val="4"/>
    </w:lvl>
  </w:abstractNum>
  <w:abstractNum w:abstractNumId="27">
    <w:nsid w:val="288F1A34"/>
    <w:multiLevelType w:val="hybridMultilevel"/>
    <w:lvl w:ilvl="0">
      <w:lvlJc w:val="left"/>
      <w:lvlText w:val="(%1)"/>
      <w:numFmt w:val="lowerRoman"/>
      <w:start w:val="6"/>
    </w:lvl>
  </w:abstractNum>
  <w:abstractNum w:abstractNumId="28">
    <w:nsid w:val="2A155DBC"/>
    <w:multiLevelType w:val="hybridMultilevel"/>
    <w:lvl w:ilvl="0">
      <w:lvlJc w:val="left"/>
      <w:lvlText w:val="(%1)"/>
      <w:numFmt w:val="lowerRoman"/>
      <w:start w:val="1"/>
    </w:lvl>
  </w:abstractNum>
  <w:abstractNum w:abstractNumId="29">
    <w:nsid w:val="1D9F6E5F"/>
    <w:multiLevelType w:val="hybridMultilevel"/>
    <w:lvl w:ilvl="0">
      <w:lvlJc w:val="left"/>
      <w:lvlText w:val="(%1)"/>
      <w:numFmt w:val="lowerRoman"/>
      <w:start w:val="1"/>
    </w:lvl>
  </w:abstractNum>
  <w:abstractNum w:abstractNumId="30">
    <w:nsid w:val="97E1B4E"/>
    <w:multiLevelType w:val="hybridMultilevel"/>
    <w:lvl w:ilvl="0">
      <w:lvlJc w:val="left"/>
      <w:lvlText w:val="(%1)"/>
      <w:numFmt w:val="lowerLetter"/>
      <w:start w:val="1"/>
    </w:lvl>
  </w:abstractNum>
  <w:abstractNum w:abstractNumId="31">
    <w:nsid w:val="51088277"/>
    <w:multiLevelType w:val="hybridMultilevel"/>
    <w:lvl w:ilvl="0">
      <w:lvlJc w:val="left"/>
      <w:lvlText w:val="(%1)"/>
      <w:numFmt w:val="lowerRoman"/>
      <w:start w:val="1"/>
    </w:lvl>
  </w:abstractNum>
  <w:abstractNum w:abstractNumId="32">
    <w:nsid w:val="1CA0C5FA"/>
    <w:multiLevelType w:val="hybridMultilevel"/>
    <w:lvl w:ilvl="0">
      <w:lvlJc w:val="left"/>
      <w:lvlText w:val="(%1)"/>
      <w:numFmt w:val="lowerRoman"/>
      <w:start w:val="1"/>
    </w:lvl>
  </w:abstractNum>
  <w:abstractNum w:abstractNumId="33">
    <w:nsid w:val="53584BCB"/>
    <w:multiLevelType w:val="hybridMultilevel"/>
    <w:lvl w:ilvl="0">
      <w:lvlJc w:val="left"/>
      <w:lvlText w:val="(%1)"/>
      <w:numFmt w:val="lowerLetter"/>
      <w:start w:val="1"/>
    </w:lvl>
  </w:abstractNum>
  <w:abstractNum w:abstractNumId="34">
    <w:nsid w:val="415E286C"/>
    <w:multiLevelType w:val="hybridMultilevel"/>
    <w:lvl w:ilvl="0">
      <w:lvlJc w:val="left"/>
      <w:lvlText w:val="%1"/>
      <w:numFmt w:val="lowerLetter"/>
      <w:start w:val="1"/>
    </w:lvl>
    <w:lvl w:ilvl="1">
      <w:lvlJc w:val="left"/>
      <w:lvlText w:val="(%2)"/>
      <w:numFmt w:val="lowerLetter"/>
      <w:start w:val="9"/>
    </w:lvl>
  </w:abstractNum>
  <w:abstractNum w:abstractNumId="35">
    <w:nsid w:val="7C58FD05"/>
    <w:multiLevelType w:val="hybridMultilevel"/>
    <w:lvl w:ilvl="0">
      <w:lvlJc w:val="left"/>
      <w:lvlText w:val="(%1)"/>
      <w:numFmt w:val="lowerLetter"/>
      <w:start w:val="25"/>
    </w:lvl>
    <w:lvl w:ilvl="1">
      <w:lvlJc w:val="left"/>
      <w:lvlText w:val="(%2)"/>
      <w:numFmt w:val="lowerLetter"/>
      <w:start w:val="35"/>
    </w:lvl>
  </w:abstractNum>
  <w:abstractNum w:abstractNumId="36">
    <w:nsid w:val="23D86AAC"/>
    <w:multiLevelType w:val="hybridMultilevel"/>
    <w:lvl w:ilvl="0">
      <w:lvlJc w:val="left"/>
      <w:lvlText w:val="(%1)"/>
      <w:numFmt w:val="lowerRoman"/>
      <w:start w:val="3"/>
    </w:lvl>
  </w:abstractNum>
  <w:abstractNum w:abstractNumId="37">
    <w:nsid w:val="45E6D486"/>
    <w:multiLevelType w:val="hybridMultilevel"/>
    <w:lvl w:ilvl="0">
      <w:lvlJc w:val="left"/>
      <w:lvlText w:val="(%1)"/>
      <w:numFmt w:val="lowerRoman"/>
      <w:start w:val="5"/>
    </w:lvl>
  </w:abstractNum>
  <w:abstractNum w:abstractNumId="38">
    <w:nsid w:val="5C10FE21"/>
    <w:multiLevelType w:val="hybridMultilevel"/>
    <w:lvl w:ilvl="0">
      <w:lvlJc w:val="left"/>
      <w:lvlText w:val="(%1)"/>
      <w:numFmt w:val="lowerRoman"/>
      <w:start w:val="15"/>
    </w:lvl>
    <w:lvl w:ilvl="1">
      <w:lvlJc w:val="left"/>
      <w:lvlText w:val="(%2)"/>
      <w:numFmt w:val="lowerRoman"/>
      <w:start w:val="23"/>
    </w:lvl>
  </w:abstractNum>
  <w:abstractNum w:abstractNumId="39">
    <w:nsid w:val="E7FFA2B"/>
    <w:multiLevelType w:val="hybridMultilevel"/>
    <w:lvl w:ilvl="0">
      <w:lvlJc w:val="left"/>
      <w:lvlText w:val="(%1)"/>
      <w:numFmt w:val="lowerRoman"/>
      <w:start w:val="1"/>
    </w:lvl>
  </w:abstractNum>
  <w:abstractNum w:abstractNumId="40">
    <w:nsid w:val="3C5991AA"/>
    <w:multiLevelType w:val="hybridMultilevel"/>
    <w:lvl w:ilvl="0">
      <w:lvlJc w:val="left"/>
      <w:lvlText w:val="(%1)"/>
      <w:numFmt w:val="lowerRoman"/>
      <w:start w:val="3"/>
    </w:lvl>
  </w:abstractNum>
  <w:abstractNum w:abstractNumId="41">
    <w:nsid w:val="4BD8591A"/>
    <w:multiLevelType w:val="hybridMultilevel"/>
    <w:lvl w:ilvl="0">
      <w:lvlJc w:val="left"/>
      <w:lvlText w:val="(%1)"/>
      <w:numFmt w:val="lowerRoman"/>
      <w:start w:val="9"/>
    </w:lvl>
  </w:abstractNum>
  <w:abstractNum w:abstractNumId="42">
    <w:nsid w:val="78DF6A55"/>
    <w:multiLevelType w:val="hybridMultilevel"/>
    <w:lvl w:ilvl="0">
      <w:lvlJc w:val="left"/>
      <w:lvlText w:val="(%1)"/>
      <w:numFmt w:val="lowerRoman"/>
      <w:start w:val="19"/>
    </w:lvl>
  </w:abstractNum>
  <w:abstractNum w:abstractNumId="43">
    <w:nsid w:val="39B7AAA2"/>
    <w:multiLevelType w:val="hybridMultilevel"/>
    <w:lvl w:ilvl="0">
      <w:lvlJc w:val="left"/>
      <w:lvlText w:val="(%1)"/>
      <w:numFmt w:val="lowerRoman"/>
      <w:start w:val="33"/>
    </w:lvl>
  </w:abstractNum>
  <w:abstractNum w:abstractNumId="44">
    <w:nsid w:val="2B0D8DBE"/>
    <w:multiLevelType w:val="hybridMultilevel"/>
    <w:lvl w:ilvl="0">
      <w:lvlJc w:val="left"/>
      <w:lvlText w:val="(%1)"/>
      <w:numFmt w:val="lowerLetter"/>
      <w:start w:val="1"/>
    </w:lvl>
  </w:abstractNum>
  <w:abstractNum w:abstractNumId="45">
    <w:nsid w:val="6C80EC70"/>
    <w:multiLevelType w:val="hybridMultilevel"/>
    <w:lvl w:ilvl="0">
      <w:lvlJc w:val="left"/>
      <w:lvlText w:val="(%1)"/>
      <w:numFmt w:val="lowerLetter"/>
      <w:start w:val="1"/>
    </w:lvl>
  </w:abstractNum>
  <w:abstractNum w:abstractNumId="46">
    <w:nsid w:val="379E21B5"/>
    <w:multiLevelType w:val="hybridMultilevel"/>
    <w:lvl w:ilvl="0">
      <w:lvlJc w:val="left"/>
      <w:lvlText w:val="(%1)"/>
      <w:numFmt w:val="lowerLetter"/>
      <w:start w:val="1"/>
    </w:lvl>
  </w:abstractNum>
  <w:abstractNum w:abstractNumId="47">
    <w:nsid w:val="69E373"/>
    <w:multiLevelType w:val="hybridMultilevel"/>
    <w:lvl w:ilvl="0">
      <w:lvlJc w:val="left"/>
      <w:lvlText w:val="(%1)"/>
      <w:numFmt w:val="lowerLetter"/>
      <w:start w:val="1"/>
    </w:lvl>
  </w:abstractNum>
  <w:abstractNum w:abstractNumId="48">
    <w:nsid w:val="2C27173B"/>
    <w:multiLevelType w:val="hybridMultilevel"/>
    <w:lvl w:ilvl="0">
      <w:lvlJc w:val="left"/>
      <w:lvlText w:val="(%1)"/>
      <w:numFmt w:val="lowerLetter"/>
      <w:start w:val="3"/>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Roman"/>
      <w:start w:val="1"/>
    </w:lvl>
  </w:abstractNum>
  <w:abstractNum w:abstractNumId="51">
    <w:nsid w:val="1DF029D3"/>
    <w:multiLevelType w:val="hybridMultilevel"/>
    <w:lvl w:ilvl="0">
      <w:lvlJc w:val="left"/>
      <w:lvlText w:val="(%1)"/>
      <w:numFmt w:val="lowerLetter"/>
      <w:start w:val="3"/>
    </w:lvl>
  </w:abstractNum>
  <w:abstractNum w:abstractNumId="52">
    <w:nsid w:val="5675FF36"/>
    <w:multiLevelType w:val="hybridMultilevel"/>
    <w:lvl w:ilvl="0">
      <w:lvlJc w:val="left"/>
      <w:lvlText w:val="%1"/>
      <w:numFmt w:val="upperLetter"/>
      <w:start w:val="1"/>
    </w:lvl>
    <w:lvl w:ilvl="1">
      <w:lvlJc w:val="left"/>
      <w:lvlText w:val="(%2)"/>
      <w:numFmt w:val="lowerLetter"/>
      <w:start w:val="1"/>
    </w:lvl>
  </w:abstractNum>
  <w:abstractNum w:abstractNumId="53">
    <w:nsid w:val="3DD15094"/>
    <w:multiLevelType w:val="hybridMultilevel"/>
    <w:lvl w:ilvl="0">
      <w:lvlJc w:val="left"/>
      <w:lvlText w:val="(%1)"/>
      <w:numFmt w:val="upperLetter"/>
      <w:start w:val="2"/>
    </w:lvl>
    <w:lvl w:ilvl="1">
      <w:lvlJc w:val="left"/>
      <w:lvlText w:val="%2"/>
      <w:numFmt w:val="lowerLetter"/>
      <w:start w:val="1"/>
    </w:lvl>
  </w:abstractNum>
  <w:abstractNum w:abstractNumId="54">
    <w:nsid w:val="3DB012B3"/>
    <w:multiLevelType w:val="hybridMultilevel"/>
    <w:lvl w:ilvl="0">
      <w:lvlJc w:val="left"/>
      <w:lvlText w:val="(%1)"/>
      <w:numFmt w:val="upperLetter"/>
      <w:start w:val="4"/>
    </w:lvl>
    <w:lvl w:ilvl="1">
      <w:lvlJc w:val="left"/>
      <w:lvlText w:val="(%2)"/>
      <w:numFmt w:val="lowerLetter"/>
      <w:start w:val="3"/>
    </w:lvl>
  </w:abstractNum>
  <w:abstractNum w:abstractNumId="55">
    <w:nsid w:val="2708C9AF"/>
    <w:multiLevelType w:val="hybridMultilevel"/>
    <w:lvl w:ilvl="0">
      <w:lvlJc w:val="left"/>
      <w:lvlText w:val="(%1)"/>
      <w:numFmt w:val="lowerLetter"/>
      <w:start w:val="4"/>
    </w:lvl>
  </w:abstractNum>
  <w:abstractNum w:abstractNumId="56">
    <w:nsid w:val="5B25ACE2"/>
    <w:multiLevelType w:val="hybridMultilevel"/>
    <w:lvl w:ilvl="0">
      <w:lvlJc w:val="left"/>
      <w:lvlText w:val="(%1)"/>
      <w:numFmt w:val="lowerLetter"/>
      <w:start w:val="1"/>
    </w:lvl>
  </w:abstractNum>
  <w:abstractNum w:abstractNumId="57">
    <w:nsid w:val="175DFCF0"/>
    <w:multiLevelType w:val="hybridMultilevel"/>
    <w:lvl w:ilvl="0">
      <w:lvlJc w:val="left"/>
      <w:lvlText w:val="(%1)"/>
      <w:numFmt w:val="lowerLetter"/>
      <w:start w:val="2"/>
    </w:lvl>
  </w:abstractNum>
  <w:abstractNum w:abstractNumId="58">
    <w:nsid w:val="4F97E3E4"/>
    <w:multiLevelType w:val="hybridMultilevel"/>
    <w:lvl w:ilvl="0">
      <w:lvlJc w:val="left"/>
      <w:lvlText w:val="(%1)"/>
      <w:numFmt w:val="lowerLetter"/>
      <w:start w:val="1"/>
    </w:lvl>
  </w:abstractNum>
  <w:abstractNum w:abstractNumId="59">
    <w:nsid w:val="53B0A9E"/>
    <w:multiLevelType w:val="hybridMultilevel"/>
    <w:lvl w:ilvl="0">
      <w:lvlJc w:val="left"/>
      <w:lvlText w:val="(%1)"/>
      <w:numFmt w:val="lowerLetter"/>
      <w:start w:val="3"/>
    </w:lvl>
  </w:abstractNum>
  <w:abstractNum w:abstractNumId="60">
    <w:nsid w:val="34FD6B4F"/>
    <w:multiLevelType w:val="hybridMultilevel"/>
    <w:lvl w:ilvl="0">
      <w:lvlJc w:val="left"/>
      <w:lvlText w:val="(%1)"/>
      <w:numFmt w:val="lowerLetter"/>
      <w:start w:val="1"/>
    </w:lvl>
  </w:abstractNum>
  <w:abstractNum w:abstractNumId="61">
    <w:nsid w:val="5915FF32"/>
    <w:multiLevelType w:val="hybridMultilevel"/>
    <w:lvl w:ilvl="0">
      <w:lvlJc w:val="left"/>
      <w:lvlText w:val="(%1)"/>
      <w:numFmt w:val="lowerLetter"/>
      <w:start w:val="3"/>
    </w:lvl>
  </w:abstractNum>
  <w:abstractNum w:abstractNumId="62">
    <w:nsid w:val="56438D15"/>
    <w:multiLevelType w:val="hybridMultilevel"/>
    <w:lvl w:ilvl="0">
      <w:lvlJc w:val="left"/>
      <w:lvlText w:val="(%1)"/>
      <w:numFmt w:val="lowerLetter"/>
      <w:start w:val="5"/>
    </w:lvl>
  </w:abstractNum>
  <w:abstractNum w:abstractNumId="63">
    <w:nsid w:val="519E3149"/>
    <w:multiLevelType w:val="hybridMultilevel"/>
    <w:lvl w:ilvl="0">
      <w:lvlJc w:val="left"/>
      <w:lvlText w:val="(%1)"/>
      <w:numFmt w:val="lowerLetter"/>
      <w:start w:val="1"/>
    </w:lvl>
  </w:abstractNum>
  <w:abstractNum w:abstractNumId="64">
    <w:nsid w:val="2C6E4AFD"/>
    <w:multiLevelType w:val="hybridMultilevel"/>
    <w:lvl w:ilvl="0">
      <w:lvlJc w:val="left"/>
      <w:lvlText w:val="(%1)"/>
      <w:numFmt w:val="lowerLetter"/>
      <w:start w:val="2"/>
    </w:lvl>
  </w:abstractNum>
  <w:abstractNum w:abstractNumId="65">
    <w:nsid w:val="17A1B582"/>
    <w:multiLevelType w:val="hybridMultilevel"/>
    <w:lvl w:ilvl="0">
      <w:lvlJc w:val="left"/>
      <w:lvlText w:val="(%1)"/>
      <w:numFmt w:val="lowerLetter"/>
      <w:start w:val="1"/>
    </w:lvl>
  </w:abstractNum>
  <w:abstractNum w:abstractNumId="66">
    <w:nsid w:val="4DF72E4E"/>
    <w:multiLevelType w:val="hybridMultilevel"/>
    <w:lvl w:ilvl="0">
      <w:lvlJc w:val="left"/>
      <w:lvlText w:val="(%1)"/>
      <w:numFmt w:val="lowerLetter"/>
      <w:start w:val="1"/>
    </w:lvl>
  </w:abstractNum>
  <w:abstractNum w:abstractNumId="67">
    <w:nsid w:val="5046B5A9"/>
    <w:multiLevelType w:val="hybridMultilevel"/>
    <w:lvl w:ilvl="0">
      <w:lvlJc w:val="left"/>
      <w:lvlText w:val="(%1)"/>
      <w:numFmt w:val="lowerLetter"/>
      <w:start w:val="1"/>
    </w:lvl>
  </w:abstractNum>
  <w:abstractNum w:abstractNumId="68">
    <w:nsid w:val="5D888A08"/>
    <w:multiLevelType w:val="hybridMultilevel"/>
    <w:lvl w:ilvl="0">
      <w:lvlJc w:val="left"/>
      <w:lvlText w:val="(%1)"/>
      <w:numFmt w:val="lowerLetter"/>
      <w:start w:val="35"/>
    </w:lvl>
    <w:lvl w:ilvl="1">
      <w:lvlJc w:val="left"/>
      <w:lvlText w:val="(%2)"/>
      <w:numFmt w:val="lowerLetter"/>
      <w:start w:val="4"/>
    </w:lvl>
  </w:abstractNum>
  <w:abstractNum w:abstractNumId="69">
    <w:nsid w:val="2A082C70"/>
    <w:multiLevelType w:val="hybridMultilevel"/>
    <w:lvl w:ilvl="0">
      <w:lvlJc w:val="left"/>
      <w:lvlText w:val="%1"/>
      <w:numFmt w:val="lowerLetter"/>
      <w:start w:val="1"/>
    </w:lvl>
    <w:lvl w:ilvl="1">
      <w:lvlJc w:val="left"/>
      <w:lvlText w:val="(%2)"/>
      <w:numFmt w:val="lowerLetter"/>
      <w:start w:val="35"/>
    </w:lvl>
  </w:abstractNum>
  <w:abstractNum w:abstractNumId="70">
    <w:nsid w:val="5EC6AFD4"/>
    <w:multiLevelType w:val="hybridMultilevel"/>
    <w:lvl w:ilvl="0">
      <w:lvlJc w:val="left"/>
      <w:lvlText w:val="(%1)"/>
      <w:numFmt w:val="lowerLetter"/>
      <w:start w:val="25"/>
    </w:lvl>
    <w:lvl w:ilvl="1">
      <w:lvlJc w:val="left"/>
      <w:lvlText w:val="%2"/>
      <w:numFmt w:val="lowerLetter"/>
      <w:start w:val="1"/>
    </w:lvl>
  </w:abstractNum>
  <w:abstractNum w:abstractNumId="71">
    <w:nsid w:val="19E21BB2"/>
    <w:multiLevelType w:val="hybridMultilevel"/>
    <w:lvl w:ilvl="0">
      <w:lvlJc w:val="left"/>
      <w:lvlText w:val="(%1)"/>
      <w:numFmt w:val="lowerLetter"/>
      <w:start w:val="25"/>
    </w:lvl>
    <w:lvl w:ilvl="1">
      <w:lvlJc w:val="left"/>
      <w:lvlText w:val="(%2)"/>
      <w:numFmt w:val="lowerLetter"/>
      <w:start w:val="61"/>
    </w:lvl>
  </w:abstractNum>
  <w:abstractNum w:abstractNumId="72">
    <w:nsid w:val="75E0858A"/>
    <w:multiLevelType w:val="hybridMultilevel"/>
    <w:lvl w:ilvl="0">
      <w:lvlJc w:val="left"/>
      <w:lvlText w:val="(%1)"/>
      <w:numFmt w:val="lowerRoman"/>
      <w:start w:val="5"/>
    </w:lvl>
  </w:abstractNum>
  <w:abstractNum w:abstractNumId="73">
    <w:nsid w:val="57A61A29"/>
    <w:multiLevelType w:val="hybridMultilevel"/>
    <w:lvl w:ilvl="0">
      <w:lvlJc w:val="left"/>
      <w:lvlText w:val="(%1)"/>
      <w:numFmt w:val="lowerLetter"/>
      <w:start w:val="1"/>
    </w:lvl>
  </w:abstractNum>
  <w:abstractNum w:abstractNumId="74">
    <w:nsid w:val="5399C654"/>
    <w:multiLevelType w:val="hybridMultilevel"/>
    <w:lvl w:ilvl="0">
      <w:lvlJc w:val="left"/>
      <w:lvlText w:val="(%1)"/>
      <w:numFmt w:val="lowerLetter"/>
      <w:start w:val="2"/>
    </w:lvl>
    <w:lvl w:ilvl="1">
      <w:lvlJc w:val="left"/>
      <w:lvlText w:val="(%2)"/>
      <w:numFmt w:val="lowerRoman"/>
      <w:start w:val="1"/>
    </w:lvl>
  </w:abstractNum>
  <w:abstractNum w:abstractNumId="75">
    <w:nsid w:val="20EE1348"/>
    <w:multiLevelType w:val="hybridMultilevel"/>
    <w:lvl w:ilvl="0">
      <w:lvlJc w:val="left"/>
      <w:lvlText w:val="(%1)"/>
      <w:numFmt w:val="lowerLetter"/>
      <w:start w:val="1"/>
    </w:lvl>
    <w:lvl w:ilvl="1">
      <w:lvlJc w:val="left"/>
      <w:lvlText w:val="(%2)"/>
      <w:numFmt w:val="lowerRoman"/>
      <w:start w:val="1"/>
    </w:lvl>
  </w:abstractNum>
  <w:abstractNum w:abstractNumId="76">
    <w:nsid w:val="4427069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Roman"/>
      <w:start w:val="3"/>
    </w:lvl>
  </w:abstractNum>
  <w:abstractNum w:abstractNumId="77">
    <w:nsid w:val="B37E80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lvl w:ilvl="3">
      <w:lvlJc w:val="left"/>
      <w:lvlText w:val="(%4)"/>
      <w:numFmt w:val="lowerRoman"/>
      <w:start w:val="5"/>
    </w:lvl>
  </w:abstractNum>
  <w:abstractNum w:abstractNumId="78">
    <w:nsid w:val="2157F6BC"/>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79">
    <w:nsid w:val="704E1DD5"/>
    <w:multiLevelType w:val="hybridMultilevel"/>
    <w:lvl w:ilvl="0">
      <w:lvlJc w:val="left"/>
      <w:lvlText w:val="(%1)"/>
      <w:numFmt w:val="lowerLetter"/>
      <w:start w:val="1"/>
    </w:lvl>
    <w:lvl w:ilvl="1">
      <w:lvlJc w:val="left"/>
      <w:lvlText w:val="(%2)"/>
      <w:numFmt w:val="lowerRoman"/>
      <w:start w:val="1"/>
    </w:lvl>
  </w:abstractNum>
  <w:abstractNum w:abstractNumId="80">
    <w:nsid w:val="57D2F10E"/>
    <w:multiLevelType w:val="hybridMultilevel"/>
    <w:lvl w:ilvl="0">
      <w:lvlJc w:val="left"/>
      <w:lvlText w:val="%1"/>
      <w:numFmt w:val="lowerLetter"/>
      <w:start w:val="1"/>
    </w:lvl>
    <w:lvl w:ilvl="1">
      <w:lvlJc w:val="left"/>
      <w:lvlText w:val="(%2)"/>
      <w:numFmt w:val="lowerRoman"/>
      <w:start w:val="3"/>
    </w:lvl>
  </w:abstractNum>
  <w:abstractNum w:abstractNumId="81">
    <w:nsid w:val="BFFAE18"/>
    <w:multiLevelType w:val="hybridMultilevel"/>
    <w:lvl w:ilvl="0">
      <w:lvlJc w:val="left"/>
      <w:lvlText w:val="(%1)"/>
      <w:numFmt w:val="lowerLetter"/>
      <w:start w:val="6"/>
    </w:lvl>
    <w:lvl w:ilvl="1">
      <w:lvlJc w:val="left"/>
      <w:lvlText w:val="%2"/>
      <w:numFmt w:val="lowerRoman"/>
      <w:start w:val="1"/>
    </w:lvl>
  </w:abstractNum>
  <w:abstractNum w:abstractNumId="82">
    <w:nsid w:val="E3E47A8"/>
    <w:multiLevelType w:val="hybridMultilevel"/>
    <w:lvl w:ilvl="0">
      <w:lvlJc w:val="left"/>
      <w:lvlText w:val="%1"/>
      <w:numFmt w:val="upperLetter"/>
      <w:start w:val="1"/>
    </w:lvl>
    <w:lvl w:ilvl="1">
      <w:lvlJc w:val="left"/>
      <w:lvlText w:val="(%2)"/>
      <w:numFmt w:val="lowerLetter"/>
      <w:start w:val="1"/>
    </w:lvl>
  </w:abstractNum>
  <w:abstractNum w:abstractNumId="83">
    <w:nsid w:val="2E48F044"/>
    <w:multiLevelType w:val="hybridMultilevel"/>
    <w:lvl w:ilvl="0">
      <w:lvlJc w:val="left"/>
      <w:lvlText w:val="(%1)"/>
      <w:numFmt w:val="upperLetter"/>
      <w:start w:val="8"/>
    </w:lvl>
    <w:lvl w:ilvl="1">
      <w:lvlJc w:val="left"/>
      <w:lvlText w:val="(%2)"/>
      <w:numFmt w:val="lowerLetter"/>
      <w:start w:val="3"/>
    </w:lvl>
  </w:abstractNum>
  <w:abstractNum w:abstractNumId="84">
    <w:nsid w:val="49D0FEAC"/>
    <w:multiLevelType w:val="hybridMultilevel"/>
    <w:lvl w:ilvl="0">
      <w:lvlJc w:val="left"/>
      <w:lvlText w:val="(%1)"/>
      <w:numFmt w:val="lowerLetter"/>
      <w:start w:val="4"/>
    </w:lvl>
  </w:abstractNum>
  <w:abstractNum w:abstractNumId="85">
    <w:nsid w:val="4BEE5A5B"/>
    <w:multiLevelType w:val="hybridMultilevel"/>
    <w:lvl w:ilvl="0">
      <w:lvlJc w:val="left"/>
      <w:lvlText w:val="(%1)"/>
      <w:numFmt w:val="lowerLetter"/>
      <w:start w:val="1"/>
    </w:lvl>
  </w:abstractNum>
  <w:abstractNum w:abstractNumId="86">
    <w:nsid w:val="5551B9F3"/>
    <w:multiLevelType w:val="hybridMultilevel"/>
    <w:lvl w:ilvl="0">
      <w:lvlJc w:val="left"/>
      <w:lvlText w:val="(%1)"/>
      <w:numFmt w:val="lowerLetter"/>
      <w:start w:val="4"/>
    </w:lvl>
  </w:abstractNum>
  <w:abstractNum w:abstractNumId="87">
    <w:nsid w:val="24F6AB8E"/>
    <w:multiLevelType w:val="hybridMultilevel"/>
    <w:lvl w:ilvl="0">
      <w:lvlJc w:val="left"/>
      <w:lvlText w:val="(%1)"/>
      <w:numFmt w:val="lowerLetter"/>
      <w:start w:val="1"/>
    </w:lvl>
  </w:abstractNum>
  <w:abstractNum w:abstractNumId="88">
    <w:nsid w:val="634C574C"/>
    <w:multiLevelType w:val="hybridMultilevel"/>
    <w:lvl w:ilvl="0">
      <w:lvlJc w:val="left"/>
      <w:lvlText w:val="(%1)"/>
      <w:numFmt w:val="lowerLetter"/>
      <w:start w:val="2"/>
    </w:lvl>
    <w:lvl w:ilvl="1">
      <w:lvlJc w:val="left"/>
      <w:lvlText w:val="(%2)"/>
      <w:numFmt w:val="lowerRoman"/>
      <w:start w:val="1"/>
    </w:lvl>
  </w:abstractNum>
  <w:abstractNum w:abstractNumId="89">
    <w:nsid w:val="24E99DD7"/>
    <w:multiLevelType w:val="hybridMultilevel"/>
    <w:lvl w:ilvl="0">
      <w:lvlJc w:val="left"/>
      <w:lvlText w:val="(%1)"/>
      <w:numFmt w:val="lowerLetter"/>
      <w:start w:val="1"/>
    </w:lvl>
  </w:abstractNum>
  <w:abstractNum w:abstractNumId="90">
    <w:nsid w:val="2A31B62D"/>
    <w:multiLevelType w:val="hybridMultilevel"/>
    <w:lvl w:ilvl="0">
      <w:lvlJc w:val="left"/>
      <w:lvlText w:val="%1"/>
      <w:numFmt w:val="lowerLetter"/>
      <w:start w:val="1"/>
    </w:lvl>
    <w:lvl w:ilvl="1">
      <w:lvlJc w:val="left"/>
      <w:lvlText w:val="(%2)"/>
      <w:numFmt w:val="lowerLetter"/>
      <w:start w:val="2"/>
    </w:lvl>
  </w:abstractNum>
  <w:abstractNum w:abstractNumId="91">
    <w:nsid w:val="1849C29B"/>
    <w:multiLevelType w:val="hybridMultilevel"/>
    <w:lvl w:ilvl="0">
      <w:lvlJc w:val="left"/>
      <w:lvlText w:val="(%1)"/>
      <w:numFmt w:val="lowerLetter"/>
      <w:start w:val="1"/>
    </w:lvl>
    <w:lvl w:ilvl="1">
      <w:lvlJc w:val="left"/>
      <w:lvlText w:val="%2"/>
      <w:numFmt w:val="lowerLetter"/>
      <w:start w:val="1"/>
    </w:lvl>
  </w:abstractNum>
  <w:abstractNum w:abstractNumId="92">
    <w:nsid w:val="7DFF9D09"/>
    <w:multiLevelType w:val="hybridMultilevel"/>
    <w:lvl w:ilvl="0">
      <w:lvlJc w:val="left"/>
      <w:lvlText w:val="%1"/>
      <w:numFmt w:val="lowerLetter"/>
      <w:start w:val="1"/>
    </w:lvl>
    <w:lvl w:ilvl="1">
      <w:lvlJc w:val="left"/>
      <w:lvlText w:val="(%2)"/>
      <w:numFmt w:val="lowerLetter"/>
      <w:start w:val="1"/>
    </w:lvl>
  </w:abstractNum>
  <w:abstractNum w:abstractNumId="93">
    <w:nsid w:val="754342"/>
    <w:multiLevelType w:val="hybridMultilevel"/>
    <w:lvl w:ilvl="0">
      <w:lvlJc w:val="left"/>
      <w:lvlText w:val="(%1)"/>
      <w:numFmt w:val="lowerLetter"/>
      <w:start w:val="61"/>
    </w:lvl>
    <w:lvl w:ilvl="1">
      <w:lvlJc w:val="left"/>
      <w:lvlText w:val="%2"/>
      <w:numFmt w:val="lowerLetter"/>
      <w:start w:val="1"/>
    </w:lvl>
  </w:abstractNum>
  <w:abstractNum w:abstractNumId="94">
    <w:nsid w:val="69E7F3E5"/>
    <w:multiLevelType w:val="hybridMultilevel"/>
    <w:lvl w:ilvl="0">
      <w:lvlJc w:val="left"/>
      <w:lvlText w:val="(%1)"/>
      <w:numFmt w:val="lowerLetter"/>
      <w:start w:val="2"/>
    </w:lvl>
  </w:abstractNum>
  <w:abstractNum w:abstractNumId="95">
    <w:nsid w:val="2A6DE806"/>
    <w:multiLevelType w:val="hybridMultilevel"/>
    <w:lvl w:ilvl="0">
      <w:lvlJc w:val="left"/>
      <w:lvlText w:val="(%1)"/>
      <w:numFmt w:val="lowerLetter"/>
      <w:start w:val="3"/>
    </w:lvl>
  </w:abstractNum>
  <w:abstractNum w:abstractNumId="96">
    <w:nsid w:val="1816F8C4"/>
    <w:multiLevelType w:val="hybridMultilevel"/>
    <w:lvl w:ilvl="0">
      <w:lvlJc w:val="left"/>
      <w:lvlText w:val="(%1)"/>
      <w:numFmt w:val="lowerLetter"/>
      <w:start w:val="1"/>
    </w:lvl>
  </w:abstractNum>
  <w:abstractNum w:abstractNumId="97">
    <w:nsid w:val="37DF2233"/>
    <w:multiLevelType w:val="hybridMultilevel"/>
    <w:lvl w:ilvl="0">
      <w:lvlJc w:val="left"/>
      <w:lvlText w:val="(%1)"/>
      <w:numFmt w:val="lowerRoman"/>
      <w:start w:val="1"/>
    </w:lvl>
  </w:abstractNum>
  <w:abstractNum w:abstractNumId="98">
    <w:nsid w:val="7AB49DAF"/>
    <w:multiLevelType w:val="hybridMultilevel"/>
    <w:lvl w:ilvl="0">
      <w:lvlJc w:val="left"/>
      <w:lvlText w:val="(%1)"/>
      <w:numFmt w:val="lowerLetter"/>
      <w:start w:val="1"/>
    </w:lvl>
  </w:abstractNum>
  <w:abstractNum w:abstractNumId="99">
    <w:nsid w:val="759F82CD"/>
    <w:multiLevelType w:val="hybridMultilevel"/>
    <w:lvl w:ilvl="0">
      <w:lvlJc w:val="left"/>
      <w:lvlText w:val="(%1)"/>
      <w:numFmt w:val="lowerLetter"/>
      <w:start w:val="1"/>
    </w:lvl>
    <w:lvl w:ilvl="1">
      <w:lvlJc w:val="left"/>
      <w:lvlText w:val="(%2)"/>
      <w:numFmt w:val="lowerRoman"/>
      <w:start w:val="1"/>
    </w:lvl>
  </w:abstractNum>
  <w:abstractNum w:abstractNumId="100">
    <w:nsid w:val="61E74EA3"/>
    <w:multiLevelType w:val="hybridMultilevel"/>
    <w:lvl w:ilvl="0">
      <w:lvlJc w:val="left"/>
      <w:lvlText w:val="(%1)"/>
      <w:numFmt w:val="lowerLetter"/>
      <w:start w:val="3"/>
    </w:lvl>
  </w:abstractNum>
  <w:abstractNum w:abstractNumId="101">
    <w:nsid w:val="597B4D84"/>
    <w:multiLevelType w:val="hybridMultilevel"/>
    <w:lvl w:ilvl="0">
      <w:lvlJc w:val="left"/>
      <w:lvlText w:val="(%1)"/>
      <w:numFmt w:val="lowerLetter"/>
      <w:start w:val="1"/>
    </w:lvl>
  </w:abstractNum>
  <w:abstractNum w:abstractNumId="102">
    <w:nsid w:val="F819E7F"/>
    <w:multiLevelType w:val="hybridMultilevel"/>
    <w:lvl w:ilvl="0">
      <w:lvlJc w:val="left"/>
      <w:lvlText w:val="(%1)"/>
      <w:numFmt w:val="lowerLetter"/>
      <w:start w:val="2"/>
    </w:lvl>
  </w:abstractNum>
  <w:abstractNum w:abstractNumId="103">
    <w:nsid w:val="57C7D42D"/>
    <w:multiLevelType w:val="hybridMultilevel"/>
    <w:lvl w:ilvl="0">
      <w:lvlJc w:val="left"/>
      <w:lvlText w:val="(%1)"/>
      <w:numFmt w:val="lowerLetter"/>
      <w:start w:val="1"/>
    </w:lvl>
    <w:lvl w:ilvl="1">
      <w:lvlJc w:val="left"/>
      <w:lvlText w:val="(%2)"/>
      <w:numFmt w:val="lowerRoman"/>
      <w:start w:val="1"/>
    </w:lvl>
  </w:abstractNum>
  <w:abstractNum w:abstractNumId="104">
    <w:nsid w:val="312167A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5">
    <w:nsid w:val="631B64D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6">
    <w:nsid w:val="78B5E77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7">
    <w:nsid w:val="75486E47"/>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08">
    <w:nsid w:val="6E534CDE"/>
    <w:multiLevelType w:val="hybridMultilevel"/>
    <w:lvl w:ilvl="0">
      <w:lvlJc w:val="left"/>
      <w:lvlText w:val="(%1)"/>
      <w:numFmt w:val="lowerLetter"/>
      <w:start w:val="1"/>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1)"/>
      <w:numFmt w:val="lowerLetter"/>
      <w:start w:val="1"/>
    </w:lvl>
  </w:abstractNum>
  <w:abstractNum w:abstractNumId="111">
    <w:nsid w:val="46263DEC"/>
    <w:multiLevelType w:val="hybridMultilevel"/>
    <w:lvl w:ilvl="0">
      <w:lvlJc w:val="left"/>
      <w:lvlText w:val="(%1)"/>
      <w:numFmt w:val="lowerLetter"/>
      <w:start w:val="4"/>
    </w:lvl>
  </w:abstractNum>
  <w:abstractNum w:abstractNumId="112">
    <w:nsid w:val="260D8C4A"/>
    <w:multiLevelType w:val="hybridMultilevel"/>
    <w:lvl w:ilvl="0">
      <w:lvlJc w:val="left"/>
      <w:lvlText w:val="(%1)"/>
      <w:numFmt w:val="lowerLetter"/>
      <w:start w:val="1"/>
    </w:lvl>
  </w:abstractNum>
  <w:abstractNum w:abstractNumId="113">
    <w:nsid w:val="73D4D3C4"/>
    <w:multiLevelType w:val="hybridMultilevel"/>
    <w:lvl w:ilvl="0">
      <w:lvlJc w:val="left"/>
      <w:lvlText w:val="(%1)"/>
      <w:numFmt w:val="lowerLetter"/>
      <w:start w:val="1"/>
    </w:lvl>
  </w:abstractNum>
  <w:abstractNum w:abstractNumId="114">
    <w:nsid w:val="746F2E30"/>
    <w:multiLevelType w:val="hybridMultilevel"/>
    <w:lvl w:ilvl="0">
      <w:lvlJc w:val="left"/>
      <w:lvlText w:val="(%1)"/>
      <w:numFmt w:val="lowerLetter"/>
      <w:start w:val="1"/>
    </w:lvl>
  </w:abstractNum>
  <w:abstractNum w:abstractNumId="115">
    <w:nsid w:val="6FDE8AF6"/>
    <w:multiLevelType w:val="hybridMultilevel"/>
    <w:lvl w:ilvl="0">
      <w:lvlJc w:val="left"/>
      <w:lvlText w:val="(%1)"/>
      <w:numFmt w:val="lowerLetter"/>
      <w:start w:val="2"/>
    </w:lvl>
  </w:abstractNum>
  <w:abstractNum w:abstractNumId="116">
    <w:nsid w:val="3FC32E20"/>
    <w:multiLevelType w:val="hybridMultilevel"/>
    <w:lvl w:ilvl="0">
      <w:lvlJc w:val="left"/>
      <w:lvlText w:val="(%1)"/>
      <w:numFmt w:val="lowerLetter"/>
      <w:start w:val="1"/>
    </w:lvl>
  </w:abstractNum>
  <w:abstractNum w:abstractNumId="117">
    <w:nsid w:val="49C0E823"/>
    <w:multiLevelType w:val="hybridMultilevel"/>
    <w:lvl w:ilvl="0">
      <w:lvlJc w:val="left"/>
      <w:lvlText w:val="(%1)"/>
      <w:numFmt w:val="lowerLetter"/>
      <w:start w:val="1"/>
    </w:lvl>
  </w:abstractNum>
  <w:abstractNum w:abstractNumId="118">
    <w:nsid w:val="14D53685"/>
    <w:multiLevelType w:val="hybridMultilevel"/>
    <w:lvl w:ilvl="0">
      <w:lvlJc w:val="left"/>
      <w:lvlText w:val="(%1)"/>
      <w:numFmt w:val="lowerLetter"/>
      <w:start w:val="2"/>
    </w:lvl>
  </w:abstractNum>
  <w:abstractNum w:abstractNumId="119">
    <w:nsid w:val="230F856C"/>
    <w:multiLevelType w:val="hybridMultilevel"/>
    <w:lvl w:ilvl="0">
      <w:lvlJc w:val="left"/>
      <w:lvlText w:val="(%1)"/>
      <w:numFmt w:val="lowerLetter"/>
      <w:start w:val="1"/>
    </w:lvl>
  </w:abstractNum>
  <w:abstractNum w:abstractNumId="120">
    <w:nsid w:val="6EAA85FB"/>
    <w:multiLevelType w:val="hybridMultilevel"/>
    <w:lvl w:ilvl="0">
      <w:lvlJc w:val="left"/>
      <w:lvlText w:val="(%1)"/>
      <w:numFmt w:val="lowerLetter"/>
      <w:start w:val="1"/>
    </w:lvl>
  </w:abstractNum>
  <w:abstractNum w:abstractNumId="121">
    <w:nsid w:val="3F06ECB2"/>
    <w:multiLevelType w:val="hybridMultilevel"/>
    <w:lvl w:ilvl="0">
      <w:lvlJc w:val="left"/>
      <w:lvlText w:val="(%1)"/>
      <w:numFmt w:val="lowerLetter"/>
      <w:start w:val="1"/>
    </w:lvl>
  </w:abstractNum>
  <w:abstractNum w:abstractNumId="122">
    <w:nsid w:val="3B594807"/>
    <w:multiLevelType w:val="hybridMultilevel"/>
    <w:lvl w:ilvl="0">
      <w:lvlJc w:val="left"/>
      <w:lvlText w:val="(%1)"/>
      <w:numFmt w:val="lowerLetter"/>
      <w:start w:val="5"/>
    </w:lvl>
    <w:lvl w:ilvl="1">
      <w:lvlJc w:val="left"/>
      <w:lvlText w:val="(%2)"/>
      <w:numFmt w:val="lowerRoman"/>
      <w:start w:val="1"/>
    </w:lvl>
  </w:abstractNum>
  <w:abstractNum w:abstractNumId="123">
    <w:nsid w:val="6CAA2304"/>
    <w:multiLevelType w:val="hybridMultilevel"/>
    <w:lvl w:ilvl="0">
      <w:lvlJc w:val="left"/>
      <w:lvlText w:val="(%1)"/>
      <w:numFmt w:val="lowerLetter"/>
      <w:start w:val="7"/>
    </w:lvl>
  </w:abstractNum>
  <w:abstractNum w:abstractNumId="124">
    <w:nsid w:val="3F7C2FF4"/>
    <w:multiLevelType w:val="hybridMultilevel"/>
    <w:lvl w:ilvl="0">
      <w:lvlJc w:val="left"/>
      <w:lvlText w:val="(%1)"/>
      <w:numFmt w:val="lowerLetter"/>
      <w:start w:val="1"/>
    </w:lvl>
  </w:abstractNum>
  <w:abstractNum w:abstractNumId="125">
    <w:nsid w:val="25413BEC"/>
    <w:multiLevelType w:val="hybridMultilevel"/>
    <w:lvl w:ilvl="0">
      <w:lvlJc w:val="left"/>
      <w:lvlText w:val="(%1)"/>
      <w:numFmt w:val="lowerLetter"/>
      <w:start w:val="1"/>
    </w:lvl>
  </w:abstractNum>
  <w:abstractNum w:abstractNumId="126">
    <w:nsid w:val="17180B0B"/>
    <w:multiLevelType w:val="hybridMultilevel"/>
    <w:lvl w:ilvl="0">
      <w:lvlJc w:val="left"/>
      <w:lvlText w:val="(%1)"/>
      <w:numFmt w:val="lowerLetter"/>
      <w:start w:val="3"/>
    </w:lvl>
  </w:abstractNum>
  <w:abstractNum w:abstractNumId="127">
    <w:nsid w:val="579328B9"/>
    <w:multiLevelType w:val="hybridMultilevel"/>
    <w:lvl w:ilvl="0">
      <w:lvlJc w:val="left"/>
      <w:lvlText w:val="%1"/>
      <w:numFmt w:val="lowerLetter"/>
      <w:start w:val="1"/>
    </w:lvl>
    <w:lvl w:ilvl="1">
      <w:lvlJc w:val="left"/>
      <w:lvlText w:val="(%2)"/>
      <w:numFmt w:val="lowerLetter"/>
      <w:start w:val="1"/>
    </w:lvl>
  </w:abstractNum>
  <w:abstractNum w:abstractNumId="128">
    <w:nsid w:val="5D205E20"/>
    <w:multiLevelType w:val="hybridMultilevel"/>
    <w:lvl w:ilvl="0">
      <w:lvlJc w:val="left"/>
      <w:lvlText w:val="(%1)"/>
      <w:numFmt w:val="lowerLetter"/>
      <w:start w:val="35"/>
    </w:lvl>
    <w:lvl w:ilvl="1">
      <w:lvlJc w:val="left"/>
      <w:lvlText w:val="(%2)"/>
      <w:numFmt w:val="lowerLetter"/>
      <w:start w:val="4"/>
    </w:lvl>
  </w:abstractNum>
  <w:abstractNum w:abstractNumId="129">
    <w:nsid w:val="11CCA8BA"/>
    <w:multiLevelType w:val="hybridMultilevel"/>
    <w:lvl w:ilvl="0">
      <w:lvlJc w:val="left"/>
      <w:lvlText w:val="(%1)"/>
      <w:numFmt w:val="lowerLetter"/>
      <w:start w:val="8"/>
    </w:lvl>
  </w:abstractNum>
  <w:abstractNum w:abstractNumId="130">
    <w:nsid w:val="4D32AB86"/>
    <w:multiLevelType w:val="hybridMultilevel"/>
    <w:lvl w:ilvl="0">
      <w:lvlJc w:val="left"/>
      <w:lvlText w:val="(%1)"/>
      <w:numFmt w:val="lowerLetter"/>
      <w:start w:val="15"/>
    </w:lvl>
  </w:abstractNum>
  <w:abstractNum w:abstractNumId="131">
    <w:nsid w:val="3F07ACC3"/>
    <w:multiLevelType w:val="hybridMultilevel"/>
    <w:lvl w:ilvl="0">
      <w:lvlJc w:val="left"/>
      <w:lvlText w:val="(%1)"/>
      <w:numFmt w:val="lowerRoman"/>
      <w:start w:val="10"/>
    </w:lvl>
  </w:abstractNum>
  <w:abstractNum w:abstractNumId="132">
    <w:nsid w:val="6B47F63E"/>
    <w:multiLevelType w:val="hybridMultilevel"/>
    <w:lvl w:ilvl="0">
      <w:lvlJc w:val="left"/>
      <w:lvlText w:val="(%1)"/>
      <w:numFmt w:val="lowerRoman"/>
      <w:start w:val="1"/>
    </w:lvl>
  </w:abstractNum>
  <w:abstractNum w:abstractNumId="133">
    <w:nsid w:val="5CB44A05"/>
    <w:multiLevelType w:val="hybridMultilevel"/>
    <w:lvl w:ilvl="0">
      <w:lvlJc w:val="left"/>
      <w:lvlText w:val="(%1)"/>
      <w:numFmt w:val="lowerRoman"/>
      <w:start w:val="3"/>
    </w:lvl>
  </w:abstractNum>
  <w:abstractNum w:abstractNumId="134">
    <w:nsid w:val="16CF80F1"/>
    <w:multiLevelType w:val="hybridMultilevel"/>
    <w:lvl w:ilvl="0">
      <w:lvlJc w:val="left"/>
      <w:lvlText w:val="(%1)"/>
      <w:numFmt w:val="lowerLetter"/>
      <w:start w:val="1"/>
    </w:lvl>
  </w:abstractNum>
  <w:abstractNum w:abstractNumId="135">
    <w:nsid w:val="1C695DEC"/>
    <w:multiLevelType w:val="hybridMultilevel"/>
    <w:lvl w:ilvl="0">
      <w:lvlJc w:val="left"/>
      <w:lvlText w:val="(%1)"/>
      <w:numFmt w:val="lowerLetter"/>
      <w:start w:val="3"/>
    </w:lvl>
  </w:abstractNum>
  <w:abstractNum w:abstractNumId="136">
    <w:nsid w:val="3FCFAED9"/>
    <w:multiLevelType w:val="hybridMultilevel"/>
    <w:lvl w:ilvl="0">
      <w:lvlJc w:val="left"/>
      <w:lvlText w:val="(%1)"/>
      <w:numFmt w:val="lowerLetter"/>
      <w:start w:val="1"/>
    </w:lvl>
    <w:lvl w:ilvl="1">
      <w:lvlJc w:val="left"/>
      <w:lvlText w:val="(%2)"/>
      <w:numFmt w:val="lowerRoman"/>
      <w:start w:val="1"/>
    </w:lvl>
  </w:abstractNum>
  <w:abstractNum w:abstractNumId="137">
    <w:nsid w:val="F856867"/>
    <w:multiLevelType w:val="hybridMultilevel"/>
    <w:lvl w:ilvl="0">
      <w:lvlJc w:val="left"/>
      <w:lvlText w:val="(%1)"/>
      <w:numFmt w:val="lowerRoman"/>
      <w:start w:val="3"/>
    </w:lvl>
  </w:abstractNum>
  <w:abstractNum w:abstractNumId="138">
    <w:nsid w:val="11B1CC33"/>
    <w:multiLevelType w:val="hybridMultilevel"/>
    <w:lvl w:ilvl="0">
      <w:lvlJc w:val="left"/>
      <w:lvlText w:val="%1"/>
      <w:numFmt w:val="lowerLetter"/>
      <w:start w:val="1"/>
    </w:lvl>
    <w:lvl w:ilvl="1">
      <w:lvlJc w:val="left"/>
      <w:lvlText w:val="(%2)"/>
      <w:numFmt w:val="lowerRoman"/>
      <w:start w:val="1"/>
    </w:lvl>
  </w:abstractNum>
  <w:abstractNum w:abstractNumId="139">
    <w:nsid w:val="2E22FBB7"/>
    <w:multiLevelType w:val="hybridMultilevel"/>
    <w:lvl w:ilvl="0">
      <w:lvlJc w:val="left"/>
      <w:lvlText w:val="(%1)"/>
      <w:numFmt w:val="lowerLetter"/>
      <w:start w:val="3"/>
    </w:lvl>
    <w:lvl w:ilvl="1">
      <w:lvlJc w:val="left"/>
      <w:lvlText w:val="%2"/>
      <w:numFmt w:val="lowerRoman"/>
      <w:start w:val="1"/>
    </w:lvl>
  </w:abstractNum>
  <w:abstractNum w:abstractNumId="140">
    <w:nsid w:val="2993469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1">
    <w:nsid w:val="77485850"/>
    <w:multiLevelType w:val="hybridMultilevel"/>
    <w:lvl w:ilvl="0">
      <w:lvlJc w:val="left"/>
      <w:lvlText w:val="(%1)"/>
      <w:numFmt w:val="decimal"/>
      <w:start w:val="2"/>
    </w:lvl>
  </w:abstractNum>
  <w:abstractNum w:abstractNumId="142">
    <w:nsid w:val="744939A3"/>
    <w:multiLevelType w:val="hybridMultilevel"/>
    <w:lvl w:ilvl="0">
      <w:lvlJc w:val="left"/>
      <w:lvlText w:val="(%1)"/>
      <w:numFmt w:val="lowerRoman"/>
      <w:start w:val="1"/>
    </w:lvl>
    <w:lvl w:ilvl="1">
      <w:lvlJc w:val="left"/>
      <w:lvlText w:val="(%2)"/>
      <w:numFmt w:val="upperLetter"/>
      <w:start w:val="1"/>
    </w:lvl>
  </w:abstractNum>
  <w:abstractNum w:abstractNumId="143">
    <w:nsid w:val="4FA0D2E3"/>
    <w:multiLevelType w:val="hybridMultilevel"/>
    <w:lvl w:ilvl="0">
      <w:lvlJc w:val="left"/>
      <w:lvlText w:val="(%1)"/>
      <w:numFmt w:val="lowerLetter"/>
      <w:start w:val="25"/>
    </w:lvl>
  </w:abstractNum>
  <w:abstractNum w:abstractNumId="144">
    <w:nsid w:val="6B1D2C1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45">
    <w:nsid w:val="68B867D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46">
    <w:nsid w:val="3F7F5DD9"/>
    <w:multiLevelType w:val="hybridMultilevel"/>
    <w:lvl w:ilvl="0">
      <w:lvlJc w:val="left"/>
      <w:lvlText w:val="(%1)"/>
      <w:numFmt w:val="decimal"/>
      <w:start w:val="4"/>
    </w:lvl>
  </w:abstractNum>
  <w:abstractNum w:abstractNumId="147">
    <w:nsid w:val="2AE05A34"/>
    <w:multiLevelType w:val="hybridMultilevel"/>
    <w:lvl w:ilvl="0">
      <w:lvlJc w:val="left"/>
      <w:lvlText w:val="(%1)"/>
      <w:numFmt w:val="decimal"/>
      <w:start w:val="8"/>
    </w:lvl>
  </w:abstractNum>
  <w:abstractNum w:abstractNumId="148">
    <w:nsid w:val="32794FF7"/>
    <w:multiLevelType w:val="hybridMultilevel"/>
    <w:lvl w:ilvl="0">
      <w:lvlJc w:val="left"/>
      <w:lvlText w:val="(%1)"/>
      <w:numFmt w:val="decimal"/>
      <w:start w:val="16"/>
    </w:lvl>
  </w:abstractNum>
  <w:abstractNum w:abstractNumId="149">
    <w:nsid w:val="5454945E"/>
    <w:multiLevelType w:val="hybridMultilevel"/>
    <w:lvl w:ilvl="0">
      <w:lvlJc w:val="left"/>
      <w:lvlText w:val="(%1)"/>
      <w:numFmt w:val="lowerLetter"/>
      <w:start w:val="1"/>
    </w:lvl>
  </w:abstractNum>
  <w:abstractNum w:abstractNumId="150">
    <w:nsid w:val="4DEFDFA0"/>
    <w:multiLevelType w:val="hybridMultilevel"/>
    <w:lvl w:ilvl="0">
      <w:lvlJc w:val="left"/>
      <w:lvlText w:val="%1"/>
      <w:numFmt w:val="lowerRoman"/>
      <w:start w:val="1"/>
    </w:lvl>
    <w:lvl w:ilvl="1">
      <w:lvlJc w:val="left"/>
      <w:lvlText w:val="(%2)"/>
      <w:numFmt w:val="lowerRoman"/>
      <w:start w:val="1"/>
    </w:lvl>
  </w:abstractNum>
  <w:abstractNum w:abstractNumId="151">
    <w:nsid w:val="2123D5F2"/>
    <w:multiLevelType w:val="hybridMultilevel"/>
    <w:lvl w:ilvl="0">
      <w:lvlJc w:val="left"/>
      <w:lvlText w:val="(%1)"/>
      <w:numFmt w:val="lowerRoman"/>
      <w:start w:val="1"/>
    </w:lvl>
    <w:lvl w:ilvl="1">
      <w:lvlJc w:val="left"/>
      <w:lvlText w:val="%2"/>
      <w:numFmt w:val="lowerRoman"/>
      <w:start w:val="1"/>
    </w:lvl>
  </w:abstractNum>
  <w:abstractNum w:abstractNumId="152">
    <w:nsid w:val="135B8110"/>
    <w:multiLevelType w:val="hybridMultilevel"/>
    <w:lvl w:ilvl="0">
      <w:lvlJc w:val="left"/>
      <w:lvlText w:val="(%1)"/>
      <w:numFmt w:val="lowerRoman"/>
      <w:start w:val="1"/>
    </w:lvl>
  </w:abstractNum>
  <w:abstractNum w:abstractNumId="153">
    <w:nsid w:val="94927A8"/>
    <w:multiLevelType w:val="hybridMultilevel"/>
    <w:lvl w:ilvl="0">
      <w:lvlJc w:val="left"/>
      <w:lvlText w:val="(%1)"/>
      <w:numFmt w:val="lowerLetter"/>
      <w:start w:val="1"/>
    </w:lvl>
  </w:abstractNum>
  <w:abstractNum w:abstractNumId="154">
    <w:nsid w:val="DCDF8F6"/>
    <w:multiLevelType w:val="hybridMultilevel"/>
    <w:lvl w:ilvl="0">
      <w:lvlJc w:val="left"/>
      <w:lvlText w:val="(%1)"/>
      <w:numFmt w:val="lowerRoman"/>
      <w:start w:val="1"/>
    </w:lvl>
  </w:abstractNum>
  <w:abstractNum w:abstractNumId="155">
    <w:nsid w:val="52D7B105"/>
    <w:multiLevelType w:val="hybridMultilevel"/>
    <w:lvl w:ilvl="0">
      <w:lvlJc w:val="left"/>
      <w:lvlText w:val="(%1)"/>
      <w:numFmt w:val="lowerLetter"/>
      <w:start w:val="1"/>
    </w:lvl>
  </w:abstractNum>
  <w:abstractNum w:abstractNumId="156">
    <w:nsid w:val="2E8A6394"/>
    <w:multiLevelType w:val="hybridMultilevel"/>
    <w:lvl w:ilvl="0">
      <w:lvlJc w:val="left"/>
      <w:lvlText w:val="(%1)"/>
      <w:numFmt w:val="lowerLetter"/>
      <w:start w:val="1"/>
    </w:lvl>
  </w:abstractNum>
  <w:abstractNum w:abstractNumId="157">
    <w:nsid w:val="24E60401"/>
    <w:multiLevelType w:val="hybridMultilevel"/>
    <w:lvl w:ilvl="0">
      <w:lvlJc w:val="left"/>
      <w:lvlText w:val="(%1)"/>
      <w:numFmt w:val="lowerLetter"/>
      <w:start w:val="2"/>
    </w:lvl>
  </w:abstractNum>
  <w:abstractNum w:abstractNumId="158">
    <w:nsid w:val="2A6AD9BE"/>
    <w:multiLevelType w:val="hybridMultilevel"/>
    <w:lvl w:ilvl="0">
      <w:lvlJc w:val="left"/>
      <w:lvlText w:val="(%1)"/>
      <w:numFmt w:val="lowerLetter"/>
      <w:start w:val="1"/>
    </w:lvl>
  </w:abstractNum>
  <w:abstractNum w:abstractNumId="159">
    <w:nsid w:val="BAAC1B4"/>
    <w:multiLevelType w:val="hybridMultilevel"/>
    <w:lvl w:ilvl="0">
      <w:lvlJc w:val="left"/>
      <w:lvlText w:val="(%1)"/>
      <w:numFmt w:val="lowerLetter"/>
      <w:start w:val="3"/>
    </w:lvl>
  </w:abstractNum>
  <w:abstractNum w:abstractNumId="160">
    <w:nsid w:val="36B2ACBC"/>
    <w:multiLevelType w:val="hybridMultilevel"/>
    <w:lvl w:ilvl="0">
      <w:lvlJc w:val="left"/>
      <w:lvlText w:val="(%1)"/>
      <w:numFmt w:val="lowerLetter"/>
      <w:start w:val="3"/>
    </w:lvl>
  </w:abstractNum>
  <w:abstractNum w:abstractNumId="161">
    <w:nsid w:val="779D8544"/>
    <w:multiLevelType w:val="hybridMultilevel"/>
    <w:lvl w:ilvl="0">
      <w:lvlJc w:val="left"/>
      <w:lvlText w:val="(%1)"/>
      <w:numFmt w:val="lowerLetter"/>
      <w:start w:val="1"/>
    </w:lvl>
    <w:lvl w:ilvl="1">
      <w:lvlJc w:val="left"/>
      <w:lvlText w:val="(%2)"/>
      <w:numFmt w:val="lowerRoman"/>
      <w:start w:val="1"/>
    </w:lvl>
  </w:abstractNum>
  <w:abstractNum w:abstractNumId="162">
    <w:nsid w:val="4AB26E78"/>
    <w:multiLevelType w:val="hybridMultilevel"/>
    <w:lvl w:ilvl="0">
      <w:lvlJc w:val="left"/>
      <w:lvlText w:val="(%1)"/>
      <w:numFmt w:val="lowerRoman"/>
      <w:start w:val="10"/>
    </w:lvl>
  </w:abstractNum>
  <w:abstractNum w:abstractNumId="163">
    <w:nsid w:val="21FAA2FA"/>
    <w:multiLevelType w:val="hybridMultilevel"/>
    <w:lvl w:ilvl="0">
      <w:lvlJc w:val="left"/>
      <w:lvlText w:val="(%1)"/>
      <w:numFmt w:val="lowerRoman"/>
      <w:start w:val="1"/>
    </w:lvl>
  </w:abstractNum>
  <w:abstractNum w:abstractNumId="164">
    <w:nsid w:val="5451CF49"/>
    <w:multiLevelType w:val="hybridMultilevel"/>
    <w:lvl w:ilvl="0">
      <w:lvlJc w:val="left"/>
      <w:lvlText w:val="(%1)"/>
      <w:numFmt w:val="lowerLetter"/>
      <w:start w:val="1"/>
    </w:lvl>
  </w:abstractNum>
  <w:abstractNum w:abstractNumId="165">
    <w:nsid w:val="6181EF69"/>
    <w:multiLevelType w:val="hybridMultilevel"/>
    <w:lvl w:ilvl="0">
      <w:lvlJc w:val="left"/>
      <w:lvlText w:val="(%1)"/>
      <w:numFmt w:val="upperLetter"/>
      <w:start w:val="1"/>
    </w:lvl>
  </w:abstractNum>
  <w:abstractNum w:abstractNumId="166">
    <w:nsid w:val="3E6400E6"/>
    <w:multiLevelType w:val="hybridMultilevel"/>
    <w:lvl w:ilvl="0">
      <w:lvlJc w:val="left"/>
      <w:lvlText w:val="%1"/>
      <w:numFmt w:val="lowerLetter"/>
      <w:start w:val="1"/>
    </w:lvl>
    <w:lvl w:ilvl="1">
      <w:lvlJc w:val="left"/>
      <w:lvlText w:val="(%2)"/>
      <w:numFmt w:val="lowerLetter"/>
      <w:start w:val="1"/>
    </w:lvl>
  </w:abstractNum>
  <w:abstractNum w:abstractNumId="167">
    <w:nsid w:val="14217E23"/>
    <w:multiLevelType w:val="hybridMultilevel"/>
    <w:lvl w:ilvl="0">
      <w:lvlJc w:val="left"/>
      <w:lvlText w:val="(%1)"/>
      <w:numFmt w:val="lowerLetter"/>
      <w:start w:val="61"/>
    </w:lvl>
    <w:lvl w:ilvl="1">
      <w:lvlJc w:val="left"/>
      <w:lvlText w:val="%2"/>
      <w:numFmt w:val="lowerLetter"/>
      <w:start w:val="1"/>
    </w:lvl>
  </w:abstractNum>
  <w:abstractNum w:abstractNumId="168">
    <w:nsid w:val="710757D0"/>
    <w:multiLevelType w:val="hybridMultilevel"/>
    <w:lvl w:ilvl="0">
      <w:lvlJc w:val="left"/>
      <w:lvlText w:val="(%1)"/>
      <w:numFmt w:val="lowerLetter"/>
      <w:start w:val="2"/>
    </w:lvl>
  </w:abstractNum>
  <w:abstractNum w:abstractNumId="169">
    <w:nsid w:val="5015CD1A"/>
    <w:multiLevelType w:val="hybridMultilevel"/>
    <w:lvl w:ilvl="0">
      <w:lvlJc w:val="left"/>
      <w:lvlText w:val="(%1)"/>
      <w:numFmt w:val="lowerLetter"/>
      <w:start w:val="1"/>
    </w:lvl>
    <w:lvl w:ilvl="1">
      <w:lvlJc w:val="left"/>
      <w:lvlText w:val="(%2)"/>
      <w:numFmt w:val="upperLetter"/>
      <w:start w:val="1"/>
    </w:lvl>
  </w:abstractNum>
  <w:abstractNum w:abstractNumId="170">
    <w:nsid w:val="424479DA"/>
    <w:multiLevelType w:val="hybridMultilevel"/>
    <w:lvl w:ilvl="0">
      <w:lvlJc w:val="left"/>
      <w:lvlText w:val="(%1)"/>
      <w:numFmt w:val="lowerRoman"/>
      <w:start w:val="2"/>
    </w:lvl>
    <w:lvl w:ilvl="1">
      <w:lvlJc w:val="left"/>
      <w:lvlText w:val="(%2)"/>
      <w:numFmt w:val="upperLetter"/>
      <w:start w:val="1"/>
    </w:lvl>
  </w:abstractNum>
  <w:abstractNum w:abstractNumId="171">
    <w:nsid w:val="1A9A9E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72">
    <w:nsid w:val="475E256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73">
    <w:nsid w:val="368DB37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4">
    <w:nsid w:val="6A3B714C"/>
    <w:multiLevelType w:val="hybridMultilevel"/>
    <w:lvl w:ilvl="0">
      <w:lvlJc w:val="left"/>
      <w:lvlText w:val="%1"/>
      <w:numFmt w:val="lowerLetter"/>
      <w:start w:val="1"/>
    </w:lvl>
    <w:lvl w:ilvl="1">
      <w:lvlJc w:val="left"/>
      <w:lvlText w:val="(%2)"/>
      <w:numFmt w:val="lowerLetter"/>
      <w:start w:val="35"/>
    </w:lvl>
  </w:abstractNum>
  <w:abstractNum w:abstractNumId="175">
    <w:nsid w:val="327B517E"/>
    <w:multiLevelType w:val="hybridMultilevel"/>
    <w:lvl w:ilvl="0">
      <w:lvlJc w:val="left"/>
      <w:lvlText w:val="(%1)"/>
      <w:numFmt w:val="lowerLetter"/>
      <w:start w:val="4"/>
    </w:lvl>
    <w:lvl w:ilvl="1">
      <w:lvlJc w:val="left"/>
      <w:lvlText w:val="%2"/>
      <w:numFmt w:val="lowerLetter"/>
      <w:start w:val="1"/>
    </w:lvl>
  </w:abstractNum>
  <w:abstractNum w:abstractNumId="176">
    <w:nsid w:val="1F461B51"/>
    <w:multiLevelType w:val="hybridMultilevel"/>
    <w:lvl w:ilvl="0">
      <w:lvlJc w:val="left"/>
      <w:lvlText w:val="%1"/>
      <w:numFmt w:val="lowerLetter"/>
      <w:start w:val="1"/>
    </w:lvl>
    <w:lvl w:ilvl="1">
      <w:lvlJc w:val="left"/>
      <w:lvlText w:val="(%2)"/>
      <w:numFmt w:val="lowerLetter"/>
      <w:start w:val="1"/>
    </w:lvl>
  </w:abstractNum>
  <w:abstractNum w:abstractNumId="177">
    <w:nsid w:val="29BACF25"/>
    <w:multiLevelType w:val="hybridMultilevel"/>
    <w:lvl w:ilvl="0">
      <w:lvlJc w:val="left"/>
      <w:lvlText w:val="(%1)"/>
      <w:numFmt w:val="lowerLetter"/>
      <w:start w:val="61"/>
    </w:lvl>
    <w:lvl w:ilvl="1">
      <w:lvlJc w:val="left"/>
      <w:lvlText w:val="%2"/>
      <w:numFmt w:val="lowerLetter"/>
      <w:start w:val="1"/>
    </w:lvl>
  </w:abstractNum>
  <w:abstractNum w:abstractNumId="178">
    <w:nsid w:val="5D5BABB3"/>
    <w:multiLevelType w:val="hybridMultilevel"/>
    <w:lvl w:ilvl="0">
      <w:lvlJc w:val="left"/>
      <w:lvlText w:val="(%1)"/>
      <w:numFmt w:val="lowerLetter"/>
      <w:start w:val="2"/>
    </w:lvl>
  </w:abstractNum>
  <w:abstractNum w:abstractNumId="179">
    <w:nsid w:val="51BF6B48"/>
    <w:multiLevelType w:val="hybridMultilevel"/>
    <w:lvl w:ilvl="0">
      <w:lvlJc w:val="left"/>
      <w:lvlText w:val="(%1)"/>
      <w:numFmt w:val="lowerLetter"/>
      <w:start w:val="1"/>
    </w:lvl>
  </w:abstractNum>
  <w:abstractNum w:abstractNumId="180">
    <w:nsid w:val="7E0F6384"/>
    <w:multiLevelType w:val="hybridMultilevel"/>
    <w:lvl w:ilvl="0">
      <w:lvlJc w:val="left"/>
      <w:lvlText w:val="(%1)"/>
      <w:numFmt w:val="lowerLetter"/>
      <w:start w:val="1"/>
    </w:lvl>
  </w:abstractNum>
  <w:abstractNum w:abstractNumId="181">
    <w:nsid w:val="2B4B8B53"/>
    <w:multiLevelType w:val="hybridMultilevel"/>
    <w:lvl w:ilvl="0">
      <w:lvlJc w:val="left"/>
      <w:lvlText w:val="(%1)"/>
      <w:numFmt w:val="lowerLetter"/>
      <w:start w:val="1"/>
    </w:lvl>
    <w:lvl w:ilvl="1">
      <w:lvlJc w:val="left"/>
      <w:lvlText w:val="(%2)"/>
      <w:numFmt w:val="lowerRoman"/>
      <w:start w:val="2"/>
    </w:lvl>
  </w:abstractNum>
  <w:abstractNum w:abstractNumId="182">
    <w:nsid w:val="72E3413A"/>
    <w:multiLevelType w:val="hybridMultilevel"/>
    <w:lvl w:ilvl="0">
      <w:lvlJc w:val="left"/>
      <w:lvlText w:val="%1"/>
      <w:numFmt w:val="lowerLetter"/>
      <w:start w:val="1"/>
    </w:lvl>
    <w:lvl w:ilvl="1">
      <w:lvlJc w:val="left"/>
      <w:lvlText w:val="(%2)"/>
      <w:numFmt w:val="lowerLetter"/>
      <w:start w:val="22"/>
    </w:lvl>
  </w:abstractNum>
  <w:abstractNum w:abstractNumId="183">
    <w:nsid w:val="116AE494"/>
    <w:multiLevelType w:val="hybridMultilevel"/>
    <w:lvl w:ilvl="0">
      <w:lvlJc w:val="left"/>
      <w:lvlText w:val="(%1)"/>
      <w:numFmt w:val="lowerLetter"/>
      <w:start w:val="3"/>
    </w:lvl>
    <w:lvl w:ilvl="1">
      <w:lvlJc w:val="left"/>
      <w:lvlText w:val="%2"/>
      <w:numFmt w:val="lowerLetter"/>
      <w:start w:val="1"/>
    </w:lvl>
  </w:abstractNum>
  <w:abstractNum w:abstractNumId="184">
    <w:nsid w:val="3494B2FB"/>
    <w:multiLevelType w:val="hybridMultilevel"/>
    <w:lvl w:ilvl="0">
      <w:lvlJc w:val="left"/>
      <w:lvlText w:val="(%1)"/>
      <w:numFmt w:val="lowerLetter"/>
      <w:start w:val="1"/>
    </w:lvl>
  </w:abstractNum>
  <w:abstractNum w:abstractNumId="185">
    <w:nsid w:val="B13A31"/>
    <w:multiLevelType w:val="hybridMultilevel"/>
    <w:lvl w:ilvl="0">
      <w:lvlJc w:val="left"/>
      <w:lvlText w:val="(%1)"/>
      <w:numFmt w:val="lowerLetter"/>
      <w:start w:val="3"/>
    </w:lvl>
  </w:abstractNum>
  <w:abstractNum w:abstractNumId="186">
    <w:nsid w:val="64429599"/>
    <w:multiLevelType w:val="hybridMultilevel"/>
    <w:lvl w:ilvl="0">
      <w:lvlJc w:val="left"/>
      <w:lvlText w:val="(%1)"/>
      <w:numFmt w:val="lowerLetter"/>
      <w:start w:val="1"/>
    </w:lvl>
    <w:lvl w:ilvl="1">
      <w:lvlJc w:val="left"/>
      <w:lvlText w:val="(%2)"/>
      <w:numFmt w:val="lowerRoman"/>
      <w:start w:val="1"/>
    </w:lvl>
  </w:abstractNum>
  <w:abstractNum w:abstractNumId="187">
    <w:nsid w:val="631F169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2023-06-20T07:39:14Z</dcterms:created>
  <dcterms:modified xsi:type="dcterms:W3CDTF">2023-06-20T07:39:14Z</dcterms:modified>
</cp:coreProperties>
</file>