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June 13, 2024 (June 12, 2024)</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20"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incorporation)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66"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69437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43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100"/>
          </w:cols>
          <w:pgMar w:left="320" w:top="1190" w:right="47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further below in Item 5.07, at the 2024 Annual Meeting of Stockholders of National Vision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on June 12, 2024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stockholders, upon the recommendation of the Company’s Board of Directors, approved the amendment and restatement of the National Vision Holdings, Inc. 2017 Omnibus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as amended and restated, the “</w:t>
      </w:r>
      <w:r>
        <w:rPr>
          <w:rFonts w:ascii="Times New Roman" w:cs="Times New Roman" w:eastAsia="Times New Roman" w:hAnsi="Times New Roman"/>
          <w:sz w:val="18"/>
          <w:szCs w:val="18"/>
          <w:u w:val="single" w:color="auto"/>
          <w:color w:val="auto"/>
        </w:rPr>
        <w:t>Amended Equity Plan</w:t>
      </w:r>
      <w:r>
        <w:rPr>
          <w:rFonts w:ascii="Times New Roman" w:cs="Times New Roman" w:eastAsia="Times New Roman" w:hAnsi="Times New Roman"/>
          <w:sz w:val="18"/>
          <w:szCs w:val="18"/>
          <w:color w:val="auto"/>
        </w:rPr>
        <w:t>”). The Amended Equity Plan increased the number of shares of common stock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reserved for issuance under the 2017 Plan by an additional 5.6 million Shares.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the Amended Equity Plan was also included as part of Proposal 4 in the Company’s definitive proxy statement filed on Schedule 14A with the Securities and Exchange Commission on April 25, 2024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The summary of the Amended Equity Plan provided herein and that contained in the Proxy Statement is qualified in its entirety by reference to the full text of the Amended Equity Plan, a copy of which is filed as Exhibit 10.1 to this Current Report on Form 8-K, and is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submitted to stockholders at the Annual Meeting and the voting results are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elected eight director nominees to hold office for terms expiring at the 2025 annual meeting of stockholders and until his or her successor is duly elected and qualified.</w:t>
      </w:r>
    </w:p>
    <w:p>
      <w:pPr>
        <w:spacing w:after="0" w:line="106" w:lineRule="exact"/>
        <w:rPr>
          <w:sz w:val="20"/>
          <w:szCs w:val="20"/>
          <w:color w:val="auto"/>
        </w:rPr>
      </w:pPr>
    </w:p>
    <w:tbl>
      <w:tblPr>
        <w:tblLayout w:type="fixed"/>
        <w:tblInd w:w="1090" w:type="dxa"/>
        <w:tblCellMar>
          <w:top w:w="0" w:type="dxa"/>
          <w:left w:w="0" w:type="dxa"/>
          <w:bottom w:w="0" w:type="dxa"/>
          <w:right w:w="0" w:type="dxa"/>
        </w:tblCellMar>
      </w:tblPr>
      <w:tr>
        <w:trPr>
          <w:trHeight w:val="216"/>
        </w:trPr>
        <w:tc>
          <w:tcPr>
            <w:tcW w:w="260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4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18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8"/>
        </w:trPr>
        <w:tc>
          <w:tcPr>
            <w:tcW w:w="700" w:type="dxa"/>
            <w:vAlign w:val="bottom"/>
            <w:tcBorders>
              <w:top w:val="single" w:sz="8" w:color="auto"/>
              <w:left w:val="single" w:sz="8" w:color="auto"/>
              <w:bottom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r>
      <w:tr>
        <w:trPr>
          <w:trHeight w:val="243"/>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 Randolph Peeler</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71,842,305</w:t>
            </w:r>
          </w:p>
        </w:tc>
        <w:tc>
          <w:tcPr>
            <w:tcW w:w="14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1,252,523</w:t>
            </w: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70,676</w:t>
            </w:r>
          </w:p>
        </w:tc>
        <w:tc>
          <w:tcPr>
            <w:tcW w:w="34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1"/>
                <w:szCs w:val="21"/>
                <w:color w:val="auto"/>
              </w:rPr>
            </w:pPr>
          </w:p>
        </w:tc>
      </w:tr>
      <w:tr>
        <w:trPr>
          <w:trHeight w:val="25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 Reade Fahs</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72,929,559</w:t>
            </w:r>
          </w:p>
        </w:tc>
        <w:tc>
          <w:tcPr>
            <w:tcW w:w="10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157,032</w:t>
            </w:r>
          </w:p>
        </w:tc>
        <w:tc>
          <w:tcPr>
            <w:tcW w:w="4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78,913</w:t>
            </w:r>
          </w:p>
        </w:tc>
        <w:tc>
          <w:tcPr>
            <w:tcW w:w="34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1"/>
                <w:szCs w:val="21"/>
                <w:color w:val="auto"/>
              </w:rPr>
            </w:pPr>
          </w:p>
        </w:tc>
      </w:tr>
      <w:tr>
        <w:trPr>
          <w:trHeight w:val="25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Jose Armario</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72,912,431</w:t>
            </w:r>
          </w:p>
        </w:tc>
        <w:tc>
          <w:tcPr>
            <w:tcW w:w="10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183,104</w:t>
            </w:r>
          </w:p>
        </w:tc>
        <w:tc>
          <w:tcPr>
            <w:tcW w:w="4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69,969</w:t>
            </w:r>
          </w:p>
        </w:tc>
        <w:tc>
          <w:tcPr>
            <w:tcW w:w="34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1"/>
                <w:szCs w:val="21"/>
                <w:color w:val="auto"/>
              </w:rPr>
            </w:pPr>
          </w:p>
        </w:tc>
      </w:tr>
      <w:tr>
        <w:trPr>
          <w:trHeight w:val="25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Virginia A. Hepner</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72,845,528</w:t>
            </w:r>
          </w:p>
        </w:tc>
        <w:tc>
          <w:tcPr>
            <w:tcW w:w="10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249,626</w:t>
            </w:r>
          </w:p>
        </w:tc>
        <w:tc>
          <w:tcPr>
            <w:tcW w:w="4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70,350</w:t>
            </w:r>
          </w:p>
        </w:tc>
        <w:tc>
          <w:tcPr>
            <w:tcW w:w="34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2"/>
                <w:szCs w:val="22"/>
                <w:color w:val="auto"/>
              </w:rPr>
            </w:pPr>
          </w:p>
        </w:tc>
      </w:tr>
      <w:tr>
        <w:trPr>
          <w:trHeight w:val="243"/>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Susan S. Johnson</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72,923,881</w:t>
            </w:r>
          </w:p>
        </w:tc>
        <w:tc>
          <w:tcPr>
            <w:tcW w:w="10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171,273</w:t>
            </w:r>
          </w:p>
        </w:tc>
        <w:tc>
          <w:tcPr>
            <w:tcW w:w="4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70,350</w:t>
            </w:r>
          </w:p>
        </w:tc>
        <w:tc>
          <w:tcPr>
            <w:tcW w:w="34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1"/>
                <w:szCs w:val="21"/>
                <w:color w:val="auto"/>
              </w:rPr>
            </w:pPr>
          </w:p>
        </w:tc>
      </w:tr>
      <w:tr>
        <w:trPr>
          <w:trHeight w:val="25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Naomi Kelman</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72,832,899</w:t>
            </w:r>
          </w:p>
        </w:tc>
        <w:tc>
          <w:tcPr>
            <w:tcW w:w="10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261,997</w:t>
            </w:r>
          </w:p>
        </w:tc>
        <w:tc>
          <w:tcPr>
            <w:tcW w:w="4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70,608</w:t>
            </w:r>
          </w:p>
        </w:tc>
        <w:tc>
          <w:tcPr>
            <w:tcW w:w="34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1"/>
                <w:szCs w:val="21"/>
                <w:color w:val="auto"/>
              </w:rPr>
            </w:pPr>
          </w:p>
        </w:tc>
      </w:tr>
      <w:tr>
        <w:trPr>
          <w:trHeight w:val="250"/>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Susan O'Farrell</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73,003,070</w:t>
            </w:r>
          </w:p>
        </w:tc>
        <w:tc>
          <w:tcPr>
            <w:tcW w:w="10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6"/>
              </w:rPr>
              <w:t>75,691</w:t>
            </w:r>
          </w:p>
        </w:tc>
        <w:tc>
          <w:tcPr>
            <w:tcW w:w="44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86,743</w:t>
            </w:r>
          </w:p>
        </w:tc>
        <w:tc>
          <w:tcPr>
            <w:tcW w:w="34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1"/>
                <w:szCs w:val="21"/>
                <w:color w:val="auto"/>
              </w:rPr>
            </w:pPr>
          </w:p>
        </w:tc>
      </w:tr>
      <w:tr>
        <w:trPr>
          <w:trHeight w:val="256"/>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Thomas V. Taylor, Jr.</w:t>
            </w:r>
          </w:p>
        </w:tc>
        <w:tc>
          <w:tcPr>
            <w:tcW w:w="14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72,554,932</w:t>
            </w:r>
          </w:p>
        </w:tc>
        <w:tc>
          <w:tcPr>
            <w:tcW w:w="10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540,287</w:t>
            </w:r>
          </w:p>
        </w:tc>
        <w:tc>
          <w:tcPr>
            <w:tcW w:w="4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70,285</w:t>
            </w:r>
          </w:p>
        </w:tc>
        <w:tc>
          <w:tcPr>
            <w:tcW w:w="34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1,556,404</w:t>
            </w:r>
          </w:p>
        </w:tc>
        <w:tc>
          <w:tcPr>
            <w:tcW w:w="420" w:type="dxa"/>
            <w:vAlign w:val="bottom"/>
            <w:tcBorders>
              <w:bottom w:val="single" w:sz="8" w:color="auto"/>
              <w:right w:val="single" w:sz="8" w:color="auto"/>
            </w:tcBorders>
          </w:tcPr>
          <w:p>
            <w:pPr>
              <w:spacing w:after="0"/>
              <w:rPr>
                <w:sz w:val="22"/>
                <w:szCs w:val="2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approved, on a non-binding advisory basis, the compensation paid to the Company’s named executive officers.</w:t>
      </w:r>
    </w:p>
    <w:p>
      <w:pPr>
        <w:spacing w:after="0" w:line="198" w:lineRule="exact"/>
        <w:rPr>
          <w:sz w:val="20"/>
          <w:szCs w:val="20"/>
          <w:color w:val="auto"/>
        </w:rPr>
      </w:pPr>
    </w:p>
    <w:tbl>
      <w:tblPr>
        <w:tblLayout w:type="fixed"/>
        <w:tblInd w:w="262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8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7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90"/>
        </w:trPr>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8"/>
              </w:rPr>
              <w:t>65,304,895</w:t>
            </w:r>
          </w:p>
        </w:tc>
        <w:tc>
          <w:tcPr>
            <w:tcW w:w="18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7,787,944</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72,665</w:t>
            </w:r>
          </w:p>
        </w:tc>
        <w:tc>
          <w:tcPr>
            <w:tcW w:w="2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1,556,404</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Frequency of Future Say-on-Pay Votes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approved, on a non-binding advisory basis, a one year frequency of future Say-on-Pay votes.</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56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1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Three Years</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86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0"/>
        </w:trPr>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8"/>
              </w:rPr>
              <w:t>70,511,742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w:t>
            </w:r>
          </w:p>
        </w:tc>
        <w:tc>
          <w:tcPr>
            <w:tcW w:w="50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2,493,445</w:t>
            </w:r>
          </w:p>
        </w:tc>
        <w:tc>
          <w:tcPr>
            <w:tcW w:w="52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158,875</w:t>
            </w:r>
          </w:p>
        </w:tc>
        <w:tc>
          <w:tcPr>
            <w:tcW w:w="48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1,556,404</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taking the results of the vote into consideration, the Company’s board of directors resolved to include in the Company’s proxy materials an advisory vote on the compensation of the Company’s named executive officers every year until the next required vote on the frequency of shareholder advisory votes on the compensation of named executive officers.</w:t>
      </w:r>
    </w:p>
    <w:p>
      <w:pPr>
        <w:spacing w:after="0" w:line="98" w:lineRule="exact"/>
        <w:rPr>
          <w:sz w:val="20"/>
          <w:szCs w:val="20"/>
          <w:color w:val="auto"/>
        </w:rPr>
      </w:pPr>
    </w:p>
    <w:p>
      <w:pPr>
        <w:ind w:right="4280"/>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Proposal 4: Approval of Amendment and Restatement of the 2017 Omnibus Incentive Plan </w:t>
      </w:r>
      <w:r>
        <w:rPr>
          <w:rFonts w:ascii="Times New Roman" w:cs="Times New Roman" w:eastAsia="Times New Roman" w:hAnsi="Times New Roman"/>
          <w:sz w:val="17"/>
          <w:szCs w:val="17"/>
          <w:color w:val="auto"/>
        </w:rPr>
        <w:t>Stockholders approved the amendment and restatement of the 2017 Omnibus Incentive Plan.</w:t>
      </w:r>
    </w:p>
    <w:tbl>
      <w:tblPr>
        <w:tblLayout w:type="fixed"/>
        <w:tblInd w:w="0" w:type="dxa"/>
        <w:tblCellMar>
          <w:top w:w="0" w:type="dxa"/>
          <w:left w:w="0" w:type="dxa"/>
          <w:bottom w:w="0" w:type="dxa"/>
          <w:right w:w="0" w:type="dxa"/>
        </w:tblCellMar>
      </w:tblPr>
      <w:tr>
        <w:trPr>
          <w:trHeight w:val="198"/>
        </w:trPr>
        <w:tc>
          <w:tcPr>
            <w:tcW w:w="2900" w:type="dxa"/>
            <w:vAlign w:val="bottom"/>
          </w:tcPr>
          <w:p>
            <w:pPr>
              <w:spacing w:after="0"/>
              <w:rPr>
                <w:sz w:val="17"/>
                <w:szCs w:val="17"/>
                <w:color w:val="auto"/>
              </w:rPr>
            </w:pPr>
          </w:p>
        </w:tc>
        <w:tc>
          <w:tcPr>
            <w:tcW w:w="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Against</w:t>
            </w:r>
          </w:p>
        </w:tc>
        <w:tc>
          <w:tcPr>
            <w:tcW w:w="82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Abstained</w:t>
            </w:r>
          </w:p>
        </w:tc>
        <w:tc>
          <w:tcPr>
            <w:tcW w:w="760" w:type="dxa"/>
            <w:vAlign w:val="bottom"/>
          </w:tcPr>
          <w:p>
            <w:pPr>
              <w:spacing w:after="0"/>
              <w:rPr>
                <w:sz w:val="17"/>
                <w:szCs w:val="17"/>
                <w:color w:val="auto"/>
              </w:rPr>
            </w:pPr>
          </w:p>
        </w:tc>
        <w:tc>
          <w:tcPr>
            <w:tcW w:w="4040" w:type="dxa"/>
            <w:vAlign w:val="bottom"/>
            <w:gridSpan w:val="2"/>
          </w:tcPr>
          <w:p>
            <w:pPr>
              <w:jc w:val="center"/>
              <w:ind w:right="2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90"/>
        </w:trPr>
        <w:tc>
          <w:tcPr>
            <w:tcW w:w="38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71,499,057</w:t>
            </w:r>
          </w:p>
        </w:tc>
        <w:tc>
          <w:tcPr>
            <w:tcW w:w="18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1,594,076</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72,371</w:t>
            </w:r>
          </w:p>
        </w:tc>
        <w:tc>
          <w:tcPr>
            <w:tcW w:w="2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1,556,404</w:t>
            </w:r>
          </w:p>
        </w:tc>
        <w:tc>
          <w:tcPr>
            <w:tcW w:w="2660" w:type="dxa"/>
            <w:vAlign w:val="bottom"/>
          </w:tcPr>
          <w:p>
            <w:pPr>
              <w:spacing w:after="0"/>
              <w:rPr>
                <w:sz w:val="24"/>
                <w:szCs w:val="24"/>
                <w:color w:val="auto"/>
              </w:rPr>
            </w:pPr>
          </w:p>
        </w:tc>
      </w:tr>
      <w:tr>
        <w:trPr>
          <w:trHeight w:val="979"/>
        </w:trPr>
        <w:tc>
          <w:tcPr>
            <w:tcW w:w="2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5: Ratification of the Appointment of the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ratified the appointment of Deloitte &amp; Touche LLP as our independent registered public accounting firm for fiscal 2024.</w:t>
      </w:r>
    </w:p>
    <w:p>
      <w:pPr>
        <w:spacing w:after="0" w:line="185" w:lineRule="exact"/>
        <w:rPr>
          <w:sz w:val="20"/>
          <w:szCs w:val="20"/>
          <w:color w:val="auto"/>
        </w:rPr>
      </w:pPr>
    </w:p>
    <w:tbl>
      <w:tblPr>
        <w:tblLayout w:type="fixed"/>
        <w:tblInd w:w="262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6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8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76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04"/>
        </w:trPr>
        <w:tc>
          <w:tcPr>
            <w:tcW w:w="16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w w:val="98"/>
              </w:rPr>
              <w:t>73,986,995</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713,086</w:t>
            </w:r>
          </w:p>
        </w:tc>
        <w:tc>
          <w:tcPr>
            <w:tcW w:w="82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21,827</w:t>
            </w:r>
          </w:p>
        </w:tc>
        <w:tc>
          <w:tcPr>
            <w:tcW w:w="21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10.</w:t>
            </w:r>
            <w:r>
              <w:rPr>
                <w:rFonts w:ascii="Times New Roman" w:cs="Times New Roman" w:eastAsia="Times New Roman" w:hAnsi="Times New Roman"/>
                <w:sz w:val="18"/>
                <w:szCs w:val="18"/>
                <w:u w:val="single" w:color="auto"/>
                <w:color w:val="3051F2"/>
              </w:rPr>
              <w:t>1</w:t>
            </w:r>
          </w:p>
        </w:tc>
        <w:tc>
          <w:tcPr>
            <w:tcW w:w="68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Amended and Restated 2017 Omnibus Incentive Plan</w:t>
            </w:r>
          </w:p>
        </w:tc>
      </w:tr>
      <w:tr>
        <w:trPr>
          <w:trHeight w:val="277"/>
        </w:trPr>
        <w:tc>
          <w:tcPr>
            <w:tcW w:w="20" w:type="dxa"/>
            <w:vAlign w:val="bottom"/>
          </w:tcPr>
          <w:p>
            <w:pPr>
              <w:spacing w:after="0"/>
              <w:rPr>
                <w:sz w:val="24"/>
                <w:szCs w:val="24"/>
                <w:color w:val="auto"/>
              </w:rPr>
            </w:pPr>
          </w:p>
        </w:tc>
        <w:tc>
          <w:tcPr>
            <w:tcW w:w="3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00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2024</w:t>
            </w: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760" w:type="dxa"/>
            <w:vAlign w:val="bottom"/>
          </w:tcPr>
          <w:p>
            <w:pPr>
              <w:spacing w:after="0"/>
              <w:rPr>
                <w:sz w:val="18"/>
                <w:szCs w:val="18"/>
                <w:color w:val="auto"/>
              </w:rPr>
            </w:pP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760" w:type="dxa"/>
            <w:vAlign w:val="bottom"/>
          </w:tcPr>
          <w:p>
            <w:pPr>
              <w:spacing w:after="0"/>
              <w:rPr>
                <w:sz w:val="20"/>
                <w:szCs w:val="20"/>
                <w:color w:val="auto"/>
              </w:rPr>
            </w:pPr>
          </w:p>
        </w:tc>
        <w:tc>
          <w:tcPr>
            <w:tcW w:w="26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88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NATIONAL VISION HOLDINGS, INC.</w:t>
      </w:r>
    </w:p>
    <w:p>
      <w:pPr>
        <w:spacing w:after="0" w:line="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AMENDED AND RESTATED 2017 OMNIBUS INCENTIVE PLAN</w:t>
      </w:r>
    </w:p>
    <w:p>
      <w:pPr>
        <w:spacing w:after="0" w:line="230"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 and History</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right="180" w:firstLine="656"/>
        <w:spacing w:after="0" w:line="253" w:lineRule="auto"/>
        <w:tabs>
          <w:tab w:leader="none" w:pos="128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purpose of the National Vision Holdings, Inc. 2017 Omnibus Incentive Plan is to provide a 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p>
    <w:p>
      <w:pPr>
        <w:spacing w:after="0" w:line="219" w:lineRule="exact"/>
        <w:rPr>
          <w:rFonts w:ascii="Times New Roman" w:cs="Times New Roman" w:eastAsia="Times New Roman" w:hAnsi="Times New Roman"/>
          <w:sz w:val="20"/>
          <w:szCs w:val="20"/>
          <w:color w:val="auto"/>
        </w:rPr>
      </w:pPr>
    </w:p>
    <w:p>
      <w:pPr>
        <w:ind w:right="60" w:firstLine="656"/>
        <w:spacing w:after="0" w:line="261" w:lineRule="auto"/>
        <w:tabs>
          <w:tab w:leader="none" w:pos="128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was originally adopted by the Board on October 23, 2017, and was approved by the stockholders of the Company on October 23, 2017. The Plan was amended and restated by the Board on April 9, 2024, contingent upon approval of the stockholders of the Company on June 12, 2024.</w:t>
      </w:r>
    </w:p>
    <w:p>
      <w:pPr>
        <w:spacing w:after="0" w:line="200" w:lineRule="exact"/>
        <w:rPr>
          <w:sz w:val="20"/>
          <w:szCs w:val="20"/>
          <w:color w:val="auto"/>
        </w:rPr>
      </w:pPr>
    </w:p>
    <w:p>
      <w:pPr>
        <w:spacing w:after="0" w:line="23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definitions shall be applicable throughout the Plan.</w:t>
      </w:r>
    </w:p>
    <w:p>
      <w:pPr>
        <w:spacing w:after="0" w:line="260" w:lineRule="exact"/>
        <w:rPr>
          <w:sz w:val="20"/>
          <w:szCs w:val="20"/>
          <w:color w:val="auto"/>
        </w:rPr>
      </w:pPr>
    </w:p>
    <w:p>
      <w:pPr>
        <w:ind w:left="1300" w:hanging="644"/>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Absolute Share Limit</w:t>
      </w:r>
      <w:r>
        <w:rPr>
          <w:rFonts w:ascii="Times New Roman" w:cs="Times New Roman" w:eastAsia="Times New Roman" w:hAnsi="Times New Roman"/>
          <w:sz w:val="20"/>
          <w:szCs w:val="20"/>
          <w:color w:val="auto"/>
        </w:rPr>
        <w:t>” has the meaning given to such term in Section 5(b) of the Plan.</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Event</w:t>
      </w:r>
      <w:r>
        <w:rPr>
          <w:rFonts w:ascii="Times New Roman" w:cs="Times New Roman" w:eastAsia="Times New Roman" w:hAnsi="Times New Roman"/>
          <w:sz w:val="20"/>
          <w:szCs w:val="20"/>
          <w:color w:val="auto"/>
        </w:rPr>
        <w:t>” has the meaning given to such term in Section 12(a) of the Plan.</w:t>
      </w:r>
    </w:p>
    <w:p>
      <w:pPr>
        <w:spacing w:after="0" w:line="242" w:lineRule="exact"/>
        <w:rPr>
          <w:rFonts w:ascii="Times New Roman" w:cs="Times New Roman" w:eastAsia="Times New Roman" w:hAnsi="Times New Roman"/>
          <w:sz w:val="20"/>
          <w:szCs w:val="20"/>
          <w:color w:val="auto"/>
        </w:rPr>
      </w:pPr>
    </w:p>
    <w:p>
      <w:pPr>
        <w:ind w:right="60" w:firstLine="656"/>
        <w:spacing w:after="0" w:line="258" w:lineRule="auto"/>
        <w:tabs>
          <w:tab w:leader="none" w:pos="1286"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highlight w:val="white"/>
        </w:rPr>
        <w:t>” means any Person that directly or indirectly controls, is controlled by or is under common control with the</w:t>
      </w:r>
      <w:r>
        <w:rPr>
          <w:rFonts w:ascii="Times New Roman" w:cs="Times New Roman" w:eastAsia="Times New Roman" w:hAnsi="Times New Roman"/>
          <w:sz w:val="20"/>
          <w:szCs w:val="20"/>
          <w:color w:val="auto"/>
        </w:rPr>
        <w:t xml:space="preserv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212" w:lineRule="exact"/>
        <w:rPr>
          <w:rFonts w:ascii="Times New Roman" w:cs="Times New Roman" w:eastAsia="Times New Roman" w:hAnsi="Times New Roman"/>
          <w:sz w:val="20"/>
          <w:szCs w:val="20"/>
          <w:color w:val="auto"/>
        </w:rPr>
      </w:pPr>
    </w:p>
    <w:p>
      <w:pPr>
        <w:ind w:right="320" w:firstLine="656"/>
        <w:spacing w:after="0" w:line="295" w:lineRule="auto"/>
        <w:tabs>
          <w:tab w:leader="none" w:pos="1284"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highlight w:val="white"/>
        </w:rPr>
        <w:t>” means, individually or collectively, any Incentive Stock Option, Nonqualified Stock Option, Stock Appreciation</w:t>
      </w:r>
      <w:r>
        <w:rPr>
          <w:rFonts w:ascii="Times New Roman" w:cs="Times New Roman" w:eastAsia="Times New Roman" w:hAnsi="Times New Roman"/>
          <w:sz w:val="19"/>
          <w:szCs w:val="19"/>
          <w:color w:val="auto"/>
        </w:rPr>
        <w:t xml:space="preserve"> Right, Restricted Stock, Restricted Stock Unit, Other Equity-Based Award and Cash-Based Incentive Award granted under the Plan.</w:t>
      </w:r>
    </w:p>
    <w:p>
      <w:pPr>
        <w:spacing w:after="0" w:line="178"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Award Agreement</w:t>
      </w:r>
      <w:r>
        <w:rPr>
          <w:rFonts w:ascii="Times New Roman" w:cs="Times New Roman" w:eastAsia="Times New Roman" w:hAnsi="Times New Roman"/>
          <w:sz w:val="19"/>
          <w:szCs w:val="19"/>
          <w:color w:val="auto"/>
          <w:highlight w:val="white"/>
        </w:rPr>
        <w:t>” means the document or documents by which each Award (other than a Cash-Based Incentive Award) is</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evidenced.</w:t>
      </w:r>
    </w:p>
    <w:p>
      <w:pPr>
        <w:spacing w:after="0" w:line="23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5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Cash-Based Incentive Award</w:t>
      </w:r>
      <w:r>
        <w:rPr>
          <w:rFonts w:ascii="Times New Roman" w:cs="Times New Roman" w:eastAsia="Times New Roman" w:hAnsi="Times New Roman"/>
          <w:sz w:val="20"/>
          <w:szCs w:val="20"/>
          <w:color w:val="auto"/>
        </w:rPr>
        <w:t>” means an Award denominated in cash that is granted under Section 11 of the Plan.</w:t>
      </w:r>
    </w:p>
    <w:p>
      <w:pPr>
        <w:spacing w:after="0" w:line="242" w:lineRule="exact"/>
        <w:rPr>
          <w:rFonts w:ascii="Times New Roman" w:cs="Times New Roman" w:eastAsia="Times New Roman" w:hAnsi="Times New Roman"/>
          <w:sz w:val="20"/>
          <w:szCs w:val="20"/>
          <w:color w:val="auto"/>
        </w:rPr>
      </w:pPr>
    </w:p>
    <w:p>
      <w:pPr>
        <w:jc w:val="both"/>
        <w:ind w:right="20" w:firstLine="656"/>
        <w:spacing w:after="0" w:line="267" w:lineRule="auto"/>
        <w:tabs>
          <w:tab w:leader="none" w:pos="1284"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highlight w:val="white"/>
        </w:rPr>
        <w:t>” means, as to any Participant, unless the applicable Award Agreement states otherwise, (i) “Cause,” as defined in any</w:t>
      </w:r>
      <w:r>
        <w:rPr>
          <w:rFonts w:ascii="Times New Roman" w:cs="Times New Roman" w:eastAsia="Times New Roman" w:hAnsi="Times New Roman"/>
          <w:sz w:val="19"/>
          <w:szCs w:val="19"/>
          <w:color w:val="auto"/>
        </w:rPr>
        <w:t xml:space="preserve"> employment or consulting agreement between the Participant and the Service Recipient in effect at the time of such Termination; or (ii) in the absence of any such employment or consulting agreement (or the absence of any definition of “Cause” contained therein), the Participant’s</w:t>
      </w:r>
    </w:p>
    <w:p>
      <w:pPr>
        <w:spacing w:after="0" w:line="1" w:lineRule="exact"/>
        <w:rPr>
          <w:rFonts w:ascii="Times New Roman" w:cs="Times New Roman" w:eastAsia="Times New Roman" w:hAnsi="Times New Roman"/>
          <w:sz w:val="19"/>
          <w:szCs w:val="19"/>
          <w:color w:val="auto"/>
        </w:rPr>
      </w:pPr>
    </w:p>
    <w:p>
      <w:pPr>
        <w:jc w:val="both"/>
        <w:ind w:right="80" w:firstLine="8"/>
        <w:spacing w:after="0" w:line="253" w:lineRule="auto"/>
        <w:tabs>
          <w:tab w:leader="none" w:pos="3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26" w:right="339" w:bottom="1440" w:gutter="0" w:footer="0" w:header="0"/>
        </w:sectPr>
      </w:pPr>
    </w:p>
    <w:bookmarkStart w:id="5" w:name="page6"/>
    <w:bookmarkEnd w:id="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reasonably be expected to result in, material harm to the business or reputation of the Company or any other member of the Company Group;</w:t>
      </w:r>
    </w:p>
    <w:p>
      <w:pPr>
        <w:spacing w:after="0" w:line="33" w:lineRule="exact"/>
        <w:rPr>
          <w:sz w:val="20"/>
          <w:szCs w:val="20"/>
          <w:color w:val="auto"/>
        </w:rPr>
      </w:pPr>
    </w:p>
    <w:p>
      <w:pPr>
        <w:ind w:right="80" w:firstLine="8"/>
        <w:spacing w:after="0" w:line="264" w:lineRule="auto"/>
        <w:tabs>
          <w:tab w:leader="none" w:pos="313"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21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w:t>
      </w:r>
    </w:p>
    <w:p>
      <w:pPr>
        <w:spacing w:after="0" w:line="242" w:lineRule="exact"/>
        <w:rPr>
          <w:rFonts w:ascii="Times New Roman" w:cs="Times New Roman" w:eastAsia="Times New Roman" w:hAnsi="Times New Roman"/>
          <w:sz w:val="20"/>
          <w:szCs w:val="20"/>
          <w:color w:val="auto"/>
        </w:rPr>
      </w:pPr>
    </w:p>
    <w:p>
      <w:pPr>
        <w:ind w:firstLine="1304"/>
        <w:spacing w:after="0" w:line="266" w:lineRule="auto"/>
        <w:tabs>
          <w:tab w:leader="none" w:pos="1942" w:val="left"/>
        </w:tabs>
        <w:numPr>
          <w:ilvl w:val="2"/>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for purposes of this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210" w:lineRule="exact"/>
        <w:rPr>
          <w:rFonts w:ascii="Times New Roman" w:cs="Times New Roman" w:eastAsia="Times New Roman" w:hAnsi="Times New Roman"/>
          <w:sz w:val="19"/>
          <w:szCs w:val="19"/>
          <w:color w:val="auto"/>
        </w:rPr>
      </w:pPr>
    </w:p>
    <w:p>
      <w:pPr>
        <w:ind w:right="40" w:firstLine="1304"/>
        <w:spacing w:after="0" w:line="252" w:lineRule="auto"/>
        <w:tabs>
          <w:tab w:leader="none" w:pos="1943"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twelve (12) months, individuals who, at the beginning of such period, constitute the Board (the “</w:t>
      </w:r>
      <w:r>
        <w:rPr>
          <w:rFonts w:ascii="Times New Roman" w:cs="Times New Roman" w:eastAsia="Times New Roman" w:hAnsi="Times New Roman"/>
          <w:sz w:val="20"/>
          <w:szCs w:val="20"/>
          <w:u w:val="single" w:color="auto"/>
          <w:color w:val="auto"/>
        </w:rPr>
        <w:t>Incumbent Directors</w:t>
      </w:r>
      <w:r>
        <w:rPr>
          <w:rFonts w:ascii="Times New Roman" w:cs="Times New Roman" w:eastAsia="Times New Roman" w:hAnsi="Times New Roman"/>
          <w:sz w:val="20"/>
          <w:szCs w:val="20"/>
          <w:color w:val="auto"/>
          <w:highlight w:val="white"/>
        </w:rPr>
        <w:t>”) cease for any reason to constitute at least a majority of the Board;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highlight w:val="white"/>
        </w:rPr>
        <w:t>, that any person becoming a director</w:t>
      </w:r>
      <w:r>
        <w:rPr>
          <w:rFonts w:ascii="Times New Roman" w:cs="Times New Roman" w:eastAsia="Times New Roman" w:hAnsi="Times New Roman"/>
          <w:sz w:val="20"/>
          <w:szCs w:val="20"/>
          <w:color w:val="auto"/>
        </w:rPr>
        <w:t xml:space="preserve">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202" w:lineRule="exact"/>
        <w:rPr>
          <w:rFonts w:ascii="Times New Roman" w:cs="Times New Roman" w:eastAsia="Times New Roman" w:hAnsi="Times New Roman"/>
          <w:sz w:val="20"/>
          <w:szCs w:val="20"/>
          <w:color w:val="auto"/>
        </w:rPr>
      </w:pPr>
    </w:p>
    <w:p>
      <w:pPr>
        <w:ind w:firstLine="1304"/>
        <w:spacing w:after="0" w:line="283" w:lineRule="auto"/>
        <w:tabs>
          <w:tab w:leader="none" w:pos="1944"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transfer or other disposition of all or substantially all of the assets of the Company Group (taken as a whole) to any Person that is not an Affiliate of the Company.</w:t>
      </w:r>
    </w:p>
    <w:p>
      <w:pPr>
        <w:spacing w:after="0" w:line="173" w:lineRule="exact"/>
        <w:rPr>
          <w:sz w:val="20"/>
          <w:szCs w:val="20"/>
          <w:color w:val="auto"/>
        </w:rPr>
      </w:pPr>
    </w:p>
    <w:p>
      <w:pPr>
        <w:ind w:right="200" w:firstLine="656"/>
        <w:spacing w:after="0" w:line="261" w:lineRule="auto"/>
        <w:tabs>
          <w:tab w:leader="none" w:pos="129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highlight w:val="white"/>
        </w:rPr>
        <w:t>” means the Internal Revenue Code of 1986, as amended, and any successor thereto. Reference in the Plan to any</w:t>
      </w:r>
      <w:r>
        <w:rPr>
          <w:rFonts w:ascii="Times New Roman" w:cs="Times New Roman" w:eastAsia="Times New Roman" w:hAnsi="Times New Roman"/>
          <w:sz w:val="20"/>
          <w:szCs w:val="20"/>
          <w:color w:val="auto"/>
        </w:rPr>
        <w:t xml:space="preserve"> section of the Code shall be deemed to include any regulations or other interpretative guidance under such section, and any amendments or successor provisions to such section, regulations or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00"/>
          </w:cols>
          <w:pgMar w:left="320" w:top="1440" w:right="379" w:bottom="1440" w:gutter="0" w:footer="0" w:header="0"/>
        </w:sectPr>
      </w:pPr>
    </w:p>
    <w:bookmarkStart w:id="6" w:name="page7"/>
    <w:bookmarkEnd w:id="6"/>
    <w:p>
      <w:pPr>
        <w:spacing w:after="0" w:line="122" w:lineRule="exact"/>
        <w:rPr>
          <w:sz w:val="20"/>
          <w:szCs w:val="20"/>
          <w:color w:val="auto"/>
        </w:rPr>
      </w:pPr>
    </w:p>
    <w:p>
      <w:pPr>
        <w:ind w:left="-40" w:right="320" w:firstLine="656"/>
        <w:spacing w:after="0" w:line="269" w:lineRule="auto"/>
        <w:tabs>
          <w:tab w:leader="none" w:pos="124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Compensation Committee of the Board or any properly delegated subcommittee thereof or, if no such Compensation Committee or subcommittee thereof exists, the Board.</w:t>
      </w:r>
    </w:p>
    <w:p>
      <w:pPr>
        <w:spacing w:after="0" w:line="199" w:lineRule="exact"/>
        <w:rPr>
          <w:rFonts w:ascii="Times New Roman" w:cs="Times New Roman" w:eastAsia="Times New Roman" w:hAnsi="Times New Roman"/>
          <w:sz w:val="20"/>
          <w:szCs w:val="20"/>
          <w:color w:val="auto"/>
        </w:rPr>
      </w:pPr>
    </w:p>
    <w:p>
      <w:pPr>
        <w:ind w:left="-40" w:firstLine="656"/>
        <w:spacing w:after="0" w:line="269" w:lineRule="auto"/>
        <w:tabs>
          <w:tab w:leader="none" w:pos="125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common stock of the Company, par value $0.01 per share (and any stock or other securities into which such Common Stock may be converted or into which it may be exchanged).</w:t>
      </w:r>
    </w:p>
    <w:p>
      <w:pPr>
        <w:spacing w:after="0" w:line="199"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National Vision Holdings, Inc., a Delaware corporation, and any successor thereto.</w:t>
      </w:r>
    </w:p>
    <w:p>
      <w:pPr>
        <w:spacing w:after="0" w:line="256"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Group</w:t>
      </w:r>
      <w:r>
        <w:rPr>
          <w:rFonts w:ascii="Times New Roman" w:cs="Times New Roman" w:eastAsia="Times New Roman" w:hAnsi="Times New Roman"/>
          <w:sz w:val="20"/>
          <w:szCs w:val="20"/>
          <w:color w:val="auto"/>
        </w:rPr>
        <w:t>” means, collectively, the Company and its Subsidiaries.</w:t>
      </w:r>
    </w:p>
    <w:p>
      <w:pPr>
        <w:spacing w:after="0" w:line="242" w:lineRule="exact"/>
        <w:rPr>
          <w:rFonts w:ascii="Times New Roman" w:cs="Times New Roman" w:eastAsia="Times New Roman" w:hAnsi="Times New Roman"/>
          <w:sz w:val="20"/>
          <w:szCs w:val="20"/>
          <w:color w:val="auto"/>
        </w:rPr>
      </w:pPr>
    </w:p>
    <w:p>
      <w:pPr>
        <w:ind w:left="-40" w:right="240" w:firstLine="656"/>
        <w:spacing w:after="0" w:line="283" w:lineRule="auto"/>
        <w:tabs>
          <w:tab w:leader="none" w:pos="124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highlight w:val="white"/>
        </w:rPr>
        <w:t>” means the date on which the granting of an Award is authorized, or such other date as may be specified in</w:t>
      </w:r>
      <w:r>
        <w:rPr>
          <w:rFonts w:ascii="Times New Roman" w:cs="Times New Roman" w:eastAsia="Times New Roman" w:hAnsi="Times New Roman"/>
          <w:sz w:val="20"/>
          <w:szCs w:val="20"/>
          <w:color w:val="auto"/>
        </w:rPr>
        <w:t xml:space="preserve"> such authorization.</w:t>
      </w:r>
    </w:p>
    <w:p>
      <w:pPr>
        <w:spacing w:after="0" w:line="173" w:lineRule="exact"/>
        <w:rPr>
          <w:rFonts w:ascii="Times New Roman" w:cs="Times New Roman" w:eastAsia="Times New Roman" w:hAnsi="Times New Roman"/>
          <w:sz w:val="20"/>
          <w:szCs w:val="20"/>
          <w:color w:val="auto"/>
        </w:rPr>
      </w:pPr>
    </w:p>
    <w:p>
      <w:pPr>
        <w:ind w:left="-40" w:right="360" w:firstLine="656"/>
        <w:spacing w:after="0" w:line="310" w:lineRule="auto"/>
        <w:tabs>
          <w:tab w:leader="none" w:pos="124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Foreign Subsidiaries</w:t>
      </w:r>
      <w:r>
        <w:rPr>
          <w:rFonts w:ascii="Times New Roman" w:cs="Times New Roman" w:eastAsia="Times New Roman" w:hAnsi="Times New Roman"/>
          <w:sz w:val="19"/>
          <w:szCs w:val="19"/>
          <w:color w:val="auto"/>
          <w:highlight w:val="white"/>
        </w:rPr>
        <w:t>” means all members of the Company Group that are organized under the laws of any</w:t>
      </w:r>
      <w:r>
        <w:rPr>
          <w:rFonts w:ascii="Times New Roman" w:cs="Times New Roman" w:eastAsia="Times New Roman" w:hAnsi="Times New Roman"/>
          <w:sz w:val="19"/>
          <w:szCs w:val="19"/>
          <w:color w:val="auto"/>
        </w:rPr>
        <w:t xml:space="preserve"> jurisdiction or country other than the United States of America that may be designated by the Board or the Committee from time to time.</w:t>
      </w:r>
    </w:p>
    <w:p>
      <w:pPr>
        <w:spacing w:after="0" w:line="164" w:lineRule="exact"/>
        <w:rPr>
          <w:rFonts w:ascii="Times New Roman" w:cs="Times New Roman" w:eastAsia="Times New Roman" w:hAnsi="Times New Roman"/>
          <w:sz w:val="19"/>
          <w:szCs w:val="19"/>
          <w:color w:val="auto"/>
        </w:rPr>
      </w:pPr>
    </w:p>
    <w:p>
      <w:pPr>
        <w:ind w:left="-40" w:right="100" w:firstLine="656"/>
        <w:spacing w:after="0" w:line="251" w:lineRule="auto"/>
        <w:tabs>
          <w:tab w:leader="none" w:pos="124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highlight w:val="white"/>
        </w:rPr>
        <w:t>” means, as to any Participant, unless the applicable Award Agreement states otherwise, (i) “Disability,” as</w:t>
      </w:r>
      <w:r>
        <w:rPr>
          <w:rFonts w:ascii="Times New Roman" w:cs="Times New Roman" w:eastAsia="Times New Roman" w:hAnsi="Times New Roman"/>
          <w:sz w:val="20"/>
          <w:szCs w:val="20"/>
          <w:color w:val="auto"/>
        </w:rPr>
        <w:t xml:space="preserve"> defined in any employment or consulting agreement between the Participant and the Service Recipient in effect at the time of such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208"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October 25, 2017.</w:t>
      </w:r>
    </w:p>
    <w:p>
      <w:pPr>
        <w:spacing w:after="0" w:line="252" w:lineRule="exact"/>
        <w:rPr>
          <w:rFonts w:ascii="Times New Roman" w:cs="Times New Roman" w:eastAsia="Times New Roman" w:hAnsi="Times New Roman"/>
          <w:sz w:val="20"/>
          <w:szCs w:val="20"/>
          <w:color w:val="auto"/>
        </w:rPr>
      </w:pPr>
    </w:p>
    <w:p>
      <w:pPr>
        <w:ind w:left="-40" w:right="40" w:firstLine="656"/>
        <w:spacing w:after="0" w:line="254" w:lineRule="auto"/>
        <w:tabs>
          <w:tab w:leader="none" w:pos="124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Person</w:t>
      </w:r>
      <w:r>
        <w:rPr>
          <w:rFonts w:ascii="Times New Roman" w:cs="Times New Roman" w:eastAsia="Times New Roman" w:hAnsi="Times New Roman"/>
          <w:sz w:val="20"/>
          <w:szCs w:val="20"/>
          <w:color w:val="auto"/>
        </w:rPr>
        <w:t xml:space="preserve">” means any (i) individual employed by any member of the Company Group;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203" w:lineRule="exact"/>
        <w:rPr>
          <w:rFonts w:ascii="Times New Roman" w:cs="Times New Roman" w:eastAsia="Times New Roman" w:hAnsi="Times New Roman"/>
          <w:sz w:val="20"/>
          <w:szCs w:val="20"/>
          <w:color w:val="auto"/>
        </w:rPr>
      </w:pPr>
    </w:p>
    <w:p>
      <w:pPr>
        <w:ind w:left="-40" w:right="100" w:firstLine="656"/>
        <w:spacing w:after="0" w:line="281" w:lineRule="auto"/>
        <w:tabs>
          <w:tab w:leader="none" w:pos="125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160"/>
          </w:cols>
          <w:pgMar w:left="360" w:top="1440" w:right="379" w:bottom="1440" w:gutter="0" w:footer="0" w:header="0"/>
        </w:sectPr>
      </w:pPr>
    </w:p>
    <w:bookmarkStart w:id="7" w:name="page8"/>
    <w:bookmarkEnd w:id="7"/>
    <w:p>
      <w:pPr>
        <w:spacing w:after="0" w:line="122" w:lineRule="exact"/>
        <w:rPr>
          <w:sz w:val="20"/>
          <w:szCs w:val="20"/>
          <w:color w:val="auto"/>
        </w:rPr>
      </w:pPr>
    </w:p>
    <w:p>
      <w:pPr>
        <w:ind w:left="1300" w:hanging="644"/>
        <w:spacing w:after="0"/>
        <w:tabs>
          <w:tab w:leader="none" w:pos="13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has the meaning given to such term in Section 7(b) of the Plan.</w:t>
      </w:r>
    </w:p>
    <w:p>
      <w:pPr>
        <w:spacing w:after="0" w:line="242" w:lineRule="exact"/>
        <w:rPr>
          <w:rFonts w:ascii="Times New Roman" w:cs="Times New Roman" w:eastAsia="Times New Roman" w:hAnsi="Times New Roman"/>
          <w:sz w:val="20"/>
          <w:szCs w:val="20"/>
          <w:color w:val="auto"/>
        </w:rPr>
      </w:pPr>
    </w:p>
    <w:p>
      <w:pPr>
        <w:ind w:firstLine="656"/>
        <w:spacing w:after="0" w:line="265" w:lineRule="auto"/>
        <w:tabs>
          <w:tab w:leader="none" w:pos="1284"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Fair Market Value</w:t>
      </w:r>
      <w:r>
        <w:rPr>
          <w:rFonts w:ascii="Times New Roman" w:cs="Times New Roman" w:eastAsia="Times New Roman" w:hAnsi="Times New Roman"/>
          <w:sz w:val="19"/>
          <w:szCs w:val="19"/>
          <w:color w:val="auto"/>
          <w:highlight w:val="white"/>
        </w:rPr>
        <w:t>” means, on a given date, (i) if the Common Stock is listed on a national securities exchange, the closing</w:t>
      </w:r>
      <w:r>
        <w:rPr>
          <w:rFonts w:ascii="Times New Roman" w:cs="Times New Roman" w:eastAsia="Times New Roman" w:hAnsi="Times New Roman"/>
          <w:sz w:val="19"/>
          <w:szCs w:val="19"/>
          <w:color w:val="auto"/>
        </w:rPr>
        <w:t xml:space="preserve">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w:t>
      </w:r>
    </w:p>
    <w:p>
      <w:pPr>
        <w:spacing w:after="0" w:line="3"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Common Stock is not listed on a national securities exchange or quoted in an inter-dealer quotation system on a last sale basis, the</w:t>
      </w:r>
    </w:p>
    <w:p>
      <w:pPr>
        <w:spacing w:after="0" w:line="18"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20"/>
          <w:szCs w:val="20"/>
          <w:color w:val="auto"/>
        </w:rPr>
        <w:t xml:space="preserve">amount determined by the Committee in good faith to be the fair market value of the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as to any Awards granted on or with a Date of Grant of the date of the pricing of the Company’s initial public offering, “Fair Market Value” shall be equal to the per share price at which the Common Stock is offered to the public in connection with such initial public offering.</w:t>
      </w:r>
    </w:p>
    <w:p>
      <w:pPr>
        <w:spacing w:after="0" w:line="216"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has the meaning given to such term in Section 7(d) of the Plan.</w:t>
      </w:r>
    </w:p>
    <w:p>
      <w:pPr>
        <w:spacing w:after="0" w:line="2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Immediate Family Members</w:t>
      </w:r>
      <w:r>
        <w:rPr>
          <w:rFonts w:ascii="Times New Roman" w:cs="Times New Roman" w:eastAsia="Times New Roman" w:hAnsi="Times New Roman"/>
          <w:sz w:val="20"/>
          <w:szCs w:val="20"/>
          <w:color w:val="auto"/>
          <w:highlight w:val="white"/>
        </w:rPr>
        <w:t>” has the meaning given to such term in Section 14(b) of the Plan.</w:t>
      </w:r>
    </w:p>
    <w:p>
      <w:pPr>
        <w:spacing w:after="0" w:line="256" w:lineRule="exact"/>
        <w:rPr>
          <w:rFonts w:ascii="Times New Roman" w:cs="Times New Roman" w:eastAsia="Times New Roman" w:hAnsi="Times New Roman"/>
          <w:sz w:val="20"/>
          <w:szCs w:val="20"/>
          <w:color w:val="auto"/>
        </w:rPr>
      </w:pPr>
    </w:p>
    <w:p>
      <w:pPr>
        <w:ind w:right="200" w:firstLine="656"/>
        <w:spacing w:after="0" w:line="269" w:lineRule="auto"/>
        <w:tabs>
          <w:tab w:leader="none" w:pos="12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means an Option which is designated by the Committee as an incentive stock option as described in Section 422 of the Code and otherwise meets the requirements set forth in the Plan.</w:t>
      </w:r>
    </w:p>
    <w:p>
      <w:pPr>
        <w:spacing w:after="0" w:line="19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Indemnifiable Person</w:t>
      </w:r>
      <w:r>
        <w:rPr>
          <w:rFonts w:ascii="Times New Roman" w:cs="Times New Roman" w:eastAsia="Times New Roman" w:hAnsi="Times New Roman"/>
          <w:sz w:val="20"/>
          <w:szCs w:val="20"/>
          <w:color w:val="auto"/>
        </w:rPr>
        <w:t>” has the meaning given to such term in Section 4(e) of the Plan,</w:t>
      </w:r>
    </w:p>
    <w:p>
      <w:pPr>
        <w:spacing w:after="0" w:line="25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Nonqualified Stock Option</w:t>
      </w:r>
      <w:r>
        <w:rPr>
          <w:rFonts w:ascii="Times New Roman" w:cs="Times New Roman" w:eastAsia="Times New Roman" w:hAnsi="Times New Roman"/>
          <w:sz w:val="20"/>
          <w:szCs w:val="20"/>
          <w:color w:val="auto"/>
          <w:highlight w:val="white"/>
        </w:rPr>
        <w:t>” means an Option which is not designated by the Committee as an Incentive Stock Option.</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(ab)</w:t>
            </w:r>
          </w:p>
        </w:tc>
        <w:tc>
          <w:tcPr>
            <w:tcW w:w="97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8"/>
              </w:rPr>
              <w:t>“Non-Employee Director</w:t>
            </w:r>
            <w:r>
              <w:rPr>
                <w:rFonts w:ascii="Times New Roman" w:cs="Times New Roman" w:eastAsia="Times New Roman" w:hAnsi="Times New Roman"/>
                <w:sz w:val="20"/>
                <w:szCs w:val="20"/>
                <w:color w:val="auto"/>
                <w:highlight w:val="white"/>
                <w:w w:val="98"/>
              </w:rPr>
              <w:t>” means a member of the Board who is not an employee of any member of the Company Group.</w:t>
            </w:r>
          </w:p>
        </w:tc>
      </w:tr>
      <w:tr>
        <w:trPr>
          <w:trHeight w:val="20"/>
        </w:trPr>
        <w:tc>
          <w:tcPr>
            <w:tcW w:w="4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6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(ac)</w:t>
            </w:r>
          </w:p>
        </w:tc>
        <w:tc>
          <w:tcPr>
            <w:tcW w:w="97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“Option” means an Award granted under Section 7 of the Plan.</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53"/>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c>
          <w:tcPr>
            <w:tcW w:w="97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“Option Period” has the meaning given to such term in Section 7(c) of the Plan.</w:t>
            </w:r>
          </w:p>
        </w:tc>
      </w:tr>
      <w:tr>
        <w:trPr>
          <w:trHeight w:val="20"/>
        </w:trPr>
        <w:tc>
          <w:tcPr>
            <w:tcW w:w="4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46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(ae)</w:t>
            </w:r>
          </w:p>
        </w:tc>
        <w:tc>
          <w:tcPr>
            <w:tcW w:w="978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“Other Equity-Based Award</w:t>
            </w:r>
            <w:r>
              <w:rPr>
                <w:rFonts w:ascii="Times New Roman" w:cs="Times New Roman" w:eastAsia="Times New Roman" w:hAnsi="Times New Roman"/>
                <w:sz w:val="20"/>
                <w:szCs w:val="20"/>
                <w:color w:val="auto"/>
                <w:highlight w:val="white"/>
              </w:rPr>
              <w:t>” means an Award that is not an Option, Stock Appreciation Right, Restricted Stock or</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1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Restricted Stock Unit, that is granted under Section 10 of the Plan and is (i) payable by delivery of Common Stock, and/or (ii) measured by reference to the value of Common Stock.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(af)</w:t>
            </w:r>
          </w:p>
        </w:tc>
        <w:tc>
          <w:tcPr>
            <w:tcW w:w="99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8"/>
              </w:rPr>
              <w:t>“Participant</w:t>
            </w:r>
            <w:r>
              <w:rPr>
                <w:rFonts w:ascii="Times New Roman" w:cs="Times New Roman" w:eastAsia="Times New Roman" w:hAnsi="Times New Roman"/>
                <w:sz w:val="20"/>
                <w:szCs w:val="20"/>
                <w:color w:val="auto"/>
                <w:highlight w:val="white"/>
                <w:w w:val="98"/>
              </w:rPr>
              <w:t>” means an Eligible Person who has been selected by the Committee to participate in the Plan and to receive an</w:t>
            </w:r>
          </w:p>
        </w:tc>
      </w:tr>
      <w:tr>
        <w:trPr>
          <w:trHeight w:val="20"/>
        </w:trPr>
        <w:tc>
          <w:tcPr>
            <w:tcW w:w="1400" w:type="dxa"/>
            <w:vAlign w:val="bottom"/>
            <w:tcBorders>
              <w:right w:val="single" w:sz="8" w:color="auto"/>
            </w:tcBorders>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256"/>
        </w:trPr>
        <w:tc>
          <w:tcPr>
            <w:tcW w:w="110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Award pursuant to the Plan.</w:t>
            </w:r>
          </w:p>
        </w:tc>
      </w:tr>
      <w:tr>
        <w:trPr>
          <w:trHeight w:val="44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(ag)</w:t>
            </w:r>
          </w:p>
        </w:tc>
        <w:tc>
          <w:tcPr>
            <w:tcW w:w="99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“Permitted Transferee” has the meaning given to such term in Section 14(b) of the Plan.</w:t>
            </w: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66"/>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(ah)</w:t>
            </w:r>
          </w:p>
        </w:tc>
        <w:tc>
          <w:tcPr>
            <w:tcW w:w="99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9"/>
              </w:rPr>
              <w:t>“Person” means any individual, entity or group (within the meaning of Section 13(d)(3) or 14(d)(2) of the Exchange Act).</w:t>
            </w: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(ai)</w:t>
            </w:r>
          </w:p>
        </w:tc>
        <w:tc>
          <w:tcPr>
            <w:tcW w:w="98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“Plan” means this National Vision Holdings, Inc. 2017 Omnibus Incentive Plan, as it may be amended and/or restated from</w:t>
            </w: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time to time.</w:t>
            </w: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8180" w:type="dxa"/>
            <w:vAlign w:val="bottom"/>
          </w:tcPr>
          <w:p>
            <w:pPr>
              <w:spacing w:after="0"/>
              <w:rPr>
                <w:sz w:val="22"/>
                <w:szCs w:val="22"/>
                <w:color w:val="auto"/>
              </w:rPr>
            </w:pPr>
          </w:p>
        </w:tc>
      </w:tr>
      <w:tr>
        <w:trPr>
          <w:trHeight w:val="439"/>
        </w:trPr>
        <w:tc>
          <w:tcPr>
            <w:tcW w:w="13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(aj)</w:t>
            </w:r>
          </w:p>
        </w:tc>
        <w:tc>
          <w:tcPr>
            <w:tcW w:w="98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“Qualifying Director” means a person who is, with respect to actions intended to obtain an exemption from Section 16(b) of</w:t>
            </w:r>
          </w:p>
        </w:tc>
      </w:tr>
      <w:tr>
        <w:trPr>
          <w:trHeight w:val="20"/>
        </w:trPr>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bl>
    <w:p>
      <w:pPr>
        <w:spacing w:after="0" w:line="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the Exchange Act pursuant to Rule 16b-3 under the Exchange Act, a “non-employee director” within the meaning of Rule 16b-3 under the Exchange Act.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(ak)</w:t>
            </w: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“Restricted Period</w:t>
            </w:r>
            <w:r>
              <w:rPr>
                <w:rFonts w:ascii="Times New Roman" w:cs="Times New Roman" w:eastAsia="Times New Roman" w:hAnsi="Times New Roman"/>
                <w:sz w:val="20"/>
                <w:szCs w:val="20"/>
                <w:color w:val="auto"/>
                <w:highlight w:val="white"/>
                <w:w w:val="98"/>
              </w:rPr>
              <w:t>” means the period of time determined by the Committee during which an Award is subject to restrictions,</w:t>
            </w:r>
          </w:p>
        </w:tc>
      </w:tr>
      <w:tr>
        <w:trPr>
          <w:trHeight w:val="20"/>
        </w:trPr>
        <w:tc>
          <w:tcPr>
            <w:tcW w:w="138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460" w:type="dxa"/>
            <w:vAlign w:val="bottom"/>
            <w:tcBorders>
              <w:left w:val="single" w:sz="8" w:color="auto"/>
            </w:tcBorders>
          </w:tcPr>
          <w:p>
            <w:pPr>
              <w:spacing w:after="0" w:line="20" w:lineRule="exact"/>
              <w:rPr>
                <w:sz w:val="1"/>
                <w:szCs w:val="1"/>
                <w:color w:val="auto"/>
              </w:rPr>
            </w:pPr>
          </w:p>
        </w:tc>
      </w:tr>
      <w:tr>
        <w:trPr>
          <w:trHeight w:val="256"/>
        </w:trPr>
        <w:tc>
          <w:tcPr>
            <w:tcW w:w="111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including vesting conditions.</w:t>
            </w:r>
          </w:p>
        </w:tc>
      </w:tr>
      <w:tr>
        <w:trPr>
          <w:trHeight w:val="44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(al)</w:t>
            </w: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“Restricted Stock</w:t>
            </w:r>
            <w:r>
              <w:rPr>
                <w:rFonts w:ascii="Times New Roman" w:cs="Times New Roman" w:eastAsia="Times New Roman" w:hAnsi="Times New Roman"/>
                <w:sz w:val="20"/>
                <w:szCs w:val="20"/>
                <w:color w:val="auto"/>
                <w:highlight w:val="white"/>
                <w:w w:val="99"/>
              </w:rPr>
              <w:t>” means Common Stock, subject to certain specified restrictions (which may include, without limitation, a</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20"/>
          <w:szCs w:val="20"/>
          <w:color w:val="auto"/>
        </w:rPr>
        <w:t>requirement that the Participant remain continuously employed or provide continuous services for a specified period of time), granted under Section 9 of the Plan.</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(am) “</w:t>
      </w: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highlight w:val="white"/>
        </w:rPr>
        <w:t>” means an unfunded and unsecured promise to deliver shares of Common Stock, cash, other</w:t>
      </w:r>
      <w:r>
        <w:rPr>
          <w:rFonts w:ascii="Times New Roman" w:cs="Times New Roman" w:eastAsia="Times New Roman" w:hAnsi="Times New Roman"/>
          <w:sz w:val="20"/>
          <w:szCs w:val="20"/>
          <w:color w:val="auto"/>
        </w:rPr>
        <w:t xml:space="preserve"> securities or other property, subject to certain restrictions (which may include, without limitation, a requirement that the Participant remain continuously employed or provide continuous services for a specified period of time), granted under Section 9 of the Plan.</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(an)</w:t>
            </w:r>
          </w:p>
        </w:tc>
        <w:tc>
          <w:tcPr>
            <w:tcW w:w="96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“SAR Period” has the meaning given to such term in Section 8(c) of the Plan.</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46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(ao)</w:t>
            </w:r>
          </w:p>
        </w:tc>
        <w:tc>
          <w:tcPr>
            <w:tcW w:w="96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9"/>
              </w:rPr>
              <w:t>“Securities Act” means the Securities Act of 1933, as amended, and any successor thereto. Reference in the Plan to any</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bl>
    <w:p>
      <w:pPr>
        <w:spacing w:after="0" w:line="1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20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(ap) “</w:t>
      </w:r>
      <w:r>
        <w:rPr>
          <w:rFonts w:ascii="Times New Roman" w:cs="Times New Roman" w:eastAsia="Times New Roman" w:hAnsi="Times New Roman"/>
          <w:sz w:val="20"/>
          <w:szCs w:val="20"/>
          <w:u w:val="single" w:color="auto"/>
          <w:color w:val="auto"/>
        </w:rPr>
        <w:t>Service Recipient</w:t>
      </w:r>
      <w:r>
        <w:rPr>
          <w:rFonts w:ascii="Times New Roman" w:cs="Times New Roman" w:eastAsia="Times New Roman" w:hAnsi="Times New Roman"/>
          <w:sz w:val="20"/>
          <w:szCs w:val="20"/>
          <w:color w:val="auto"/>
        </w:rPr>
        <w:t>” 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(aq)</w:t>
            </w:r>
          </w:p>
        </w:tc>
        <w:tc>
          <w:tcPr>
            <w:tcW w:w="744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8"/>
              </w:rPr>
              <w:t>“Stock Appreciation Right” or “SAR” means an Award granted under Section 8 of the Plan.</w:t>
            </w:r>
          </w:p>
        </w:tc>
      </w:tr>
      <w:tr>
        <w:trPr>
          <w:trHeight w:val="20"/>
        </w:trPr>
        <w:tc>
          <w:tcPr>
            <w:tcW w:w="4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53"/>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(ar)</w:t>
            </w:r>
          </w:p>
        </w:tc>
        <w:tc>
          <w:tcPr>
            <w:tcW w:w="744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“Strike Price</w:t>
            </w:r>
            <w:r>
              <w:rPr>
                <w:rFonts w:ascii="Times New Roman" w:cs="Times New Roman" w:eastAsia="Times New Roman" w:hAnsi="Times New Roman"/>
                <w:sz w:val="20"/>
                <w:szCs w:val="20"/>
                <w:color w:val="auto"/>
                <w:highlight w:val="white"/>
              </w:rPr>
              <w:t>” has the meaning given to such term in Section 8(b) of the Plan.</w:t>
            </w:r>
          </w:p>
        </w:tc>
      </w:tr>
      <w:tr>
        <w:trPr>
          <w:trHeight w:val="20"/>
        </w:trPr>
        <w:tc>
          <w:tcPr>
            <w:tcW w:w="4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340" w:type="dxa"/>
            <w:vAlign w:val="bottom"/>
            <w:tcBorders>
              <w:left w:val="single" w:sz="8" w:color="auto"/>
            </w:tcBorders>
            <w:gridSpan w:val="4"/>
          </w:tcPr>
          <w:p>
            <w:pPr>
              <w:spacing w:after="0" w:line="20" w:lineRule="exact"/>
              <w:rPr>
                <w:sz w:val="1"/>
                <w:szCs w:val="1"/>
                <w:color w:val="auto"/>
              </w:rPr>
            </w:pPr>
          </w:p>
        </w:tc>
      </w:tr>
      <w:tr>
        <w:trPr>
          <w:trHeight w:val="466"/>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(as)</w:t>
            </w:r>
          </w:p>
        </w:tc>
        <w:tc>
          <w:tcPr>
            <w:tcW w:w="744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“Subsidiary</w:t>
            </w:r>
            <w:r>
              <w:rPr>
                <w:rFonts w:ascii="Times New Roman" w:cs="Times New Roman" w:eastAsia="Times New Roman" w:hAnsi="Times New Roman"/>
                <w:sz w:val="20"/>
                <w:szCs w:val="20"/>
                <w:color w:val="auto"/>
                <w:highlight w:val="white"/>
              </w:rPr>
              <w:t>” means, with respect to any specified Person:</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60" w:firstLine="1304"/>
        <w:spacing w:after="0" w:line="254" w:lineRule="auto"/>
        <w:tabs>
          <w:tab w:leader="none" w:pos="194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ind w:firstLine="1304"/>
        <w:spacing w:after="0" w:line="253" w:lineRule="auto"/>
        <w:tabs>
          <w:tab w:leader="none" w:pos="194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00"/>
          </w:cols>
          <w:pgMar w:left="320" w:top="1440" w:right="379" w:bottom="1440" w:gutter="0" w:footer="0" w:header="0"/>
        </w:sectPr>
      </w:pPr>
    </w:p>
    <w:bookmarkStart w:id="9" w:name="page10"/>
    <w:bookmarkEnd w:id="9"/>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(at)</w:t>
            </w:r>
          </w:p>
        </w:tc>
        <w:tc>
          <w:tcPr>
            <w:tcW w:w="93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“Substitute Award” has the meaning given to such term in Section 5(e) of the Plan.</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53"/>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(au)</w:t>
            </w:r>
          </w:p>
        </w:tc>
        <w:tc>
          <w:tcPr>
            <w:tcW w:w="93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“Sub-Plans” means any sub-plan to the Plan that has been adopted by the Board or the Committee for the purpose of</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shall apply in the aggregate to the Plan and any Sub-Plan adopted hereunder.</w:t>
      </w:r>
    </w:p>
    <w:p>
      <w:pPr>
        <w:spacing w:after="0" w:line="199"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(av)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means the termination of a Participant’s employment or service, as applicable, with the Service Recipient for any reason (including death).</w:t>
      </w:r>
    </w:p>
    <w:p>
      <w:pPr>
        <w:spacing w:after="0" w:line="169" w:lineRule="exact"/>
        <w:rPr>
          <w:sz w:val="20"/>
          <w:szCs w:val="20"/>
          <w:color w:val="auto"/>
        </w:rPr>
      </w:pPr>
    </w:p>
    <w:p>
      <w:pPr>
        <w:ind w:right="60" w:firstLine="656"/>
        <w:spacing w:after="0" w:line="238" w:lineRule="auto"/>
        <w:tabs>
          <w:tab w:leader="none" w:pos="1296"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 Duration</w:t>
      </w:r>
      <w:r>
        <w:rPr>
          <w:rFonts w:ascii="Times New Roman" w:cs="Times New Roman" w:eastAsia="Times New Roman" w:hAnsi="Times New Roman"/>
          <w:sz w:val="20"/>
          <w:szCs w:val="20"/>
          <w:color w:val="auto"/>
        </w:rPr>
        <w:t>. The Plan shall be effective as of the Effective Date. The expiration date of the Plan, on and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date no Awards may be granted hereunder, shall be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of the Effective Date;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such expiration shall not affect Awards then outstanding, and the terms and conditions of the Plan shall continue to apply to such Awards.</w:t>
      </w:r>
    </w:p>
    <w:p>
      <w:pPr>
        <w:ind w:left="1300" w:hanging="644"/>
        <w:spacing w:after="0"/>
        <w:tabs>
          <w:tab w:leader="none" w:pos="130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w:t>
      </w:r>
    </w:p>
    <w:p>
      <w:pPr>
        <w:spacing w:after="0" w:line="234" w:lineRule="exact"/>
        <w:rPr>
          <w:sz w:val="20"/>
          <w:szCs w:val="20"/>
          <w:color w:val="auto"/>
        </w:rPr>
      </w:pPr>
    </w:p>
    <w:p>
      <w:pPr>
        <w:ind w:right="380" w:firstLine="656"/>
        <w:spacing w:after="0" w:line="253" w:lineRule="auto"/>
        <w:tabs>
          <w:tab w:leader="none" w:pos="1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205" w:lineRule="exact"/>
        <w:rPr>
          <w:rFonts w:ascii="Times New Roman" w:cs="Times New Roman" w:eastAsia="Times New Roman" w:hAnsi="Times New Roman"/>
          <w:sz w:val="20"/>
          <w:szCs w:val="20"/>
          <w:color w:val="auto"/>
        </w:rPr>
      </w:pPr>
    </w:p>
    <w:p>
      <w:pPr>
        <w:ind w:right="20" w:firstLine="656"/>
        <w:spacing w:after="0" w:line="264" w:lineRule="auto"/>
        <w:tabs>
          <w:tab w:leader="none" w:pos="1284"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Committee Authority</w:t>
      </w:r>
      <w:r>
        <w:rPr>
          <w:rFonts w:ascii="Times New Roman" w:cs="Times New Roman" w:eastAsia="Times New Roman" w:hAnsi="Times New Roman"/>
          <w:sz w:val="19"/>
          <w:szCs w:val="19"/>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adopt Sub-Plans; and (x) make any other determination and take any other action that the Committee deems necessary or desirable for the administration of the Plan.</w:t>
      </w:r>
    </w:p>
    <w:p>
      <w:pPr>
        <w:spacing w:after="0" w:line="210" w:lineRule="exact"/>
        <w:rPr>
          <w:rFonts w:ascii="Times New Roman" w:cs="Times New Roman" w:eastAsia="Times New Roman" w:hAnsi="Times New Roman"/>
          <w:sz w:val="19"/>
          <w:szCs w:val="19"/>
          <w:color w:val="auto"/>
        </w:rPr>
      </w:pPr>
    </w:p>
    <w:p>
      <w:pPr>
        <w:ind w:right="640" w:firstLine="656"/>
        <w:spacing w:after="0" w:line="283" w:lineRule="auto"/>
        <w:tabs>
          <w:tab w:leader="none" w:pos="1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w:t>
      </w:r>
      <w:r>
        <w:rPr>
          <w:rFonts w:ascii="Times New Roman" w:cs="Times New Roman" w:eastAsia="Times New Roman" w:hAnsi="Times New Roman"/>
          <w:sz w:val="20"/>
          <w:szCs w:val="20"/>
          <w:color w:val="auto"/>
        </w:rPr>
        <w:t>. Except to the extent prohibited by applicable law or the applicable rules and regulations of any securities exchange or inter-dealer quotation system on which the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spacing w:after="0" w:line="220" w:lineRule="exact"/>
        <w:rPr>
          <w:sz w:val="20"/>
          <w:szCs w:val="20"/>
          <w:color w:val="auto"/>
        </w:rPr>
      </w:pPr>
    </w:p>
    <w:p>
      <w:pPr>
        <w:ind w:right="60" w:firstLine="656"/>
        <w:spacing w:after="0" w:line="258" w:lineRule="auto"/>
        <w:tabs>
          <w:tab w:leader="none" w:pos="128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Finality of Decisions</w:t>
      </w:r>
      <w:r>
        <w:rPr>
          <w:rFonts w:ascii="Times New Roman" w:cs="Times New Roman" w:eastAsia="Times New Roman" w:hAnsi="Times New Roman"/>
          <w:sz w:val="20"/>
          <w:szCs w:val="20"/>
          <w:color w:val="auto"/>
          <w:highlight w:val="white"/>
        </w:rPr>
        <w:t>. Unless otherwise expressly provided in the Plan, all designations, determinations, interpretations, and</w:t>
      </w:r>
      <w:r>
        <w:rPr>
          <w:rFonts w:ascii="Times New Roman" w:cs="Times New Roman" w:eastAsia="Times New Roman" w:hAnsi="Times New Roman"/>
          <w:sz w:val="20"/>
          <w:szCs w:val="20"/>
          <w:color w:val="auto"/>
        </w:rPr>
        <w:t xml:space="preserve">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199" w:lineRule="exact"/>
        <w:rPr>
          <w:rFonts w:ascii="Times New Roman" w:cs="Times New Roman" w:eastAsia="Times New Roman" w:hAnsi="Times New Roman"/>
          <w:sz w:val="20"/>
          <w:szCs w:val="20"/>
          <w:color w:val="auto"/>
        </w:rPr>
      </w:pPr>
    </w:p>
    <w:p>
      <w:pPr>
        <w:ind w:firstLine="656"/>
        <w:spacing w:after="0" w:line="263" w:lineRule="auto"/>
        <w:tabs>
          <w:tab w:leader="none" w:pos="1286"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No member of the Board, the Committee or any employee or agent of any member of the Company Group (each such Person, an “</w:t>
      </w:r>
      <w:r>
        <w:rPr>
          <w:rFonts w:ascii="Times New Roman" w:cs="Times New Roman" w:eastAsia="Times New Roman" w:hAnsi="Times New Roman"/>
          <w:sz w:val="19"/>
          <w:szCs w:val="19"/>
          <w:u w:val="single" w:color="auto"/>
          <w:color w:val="auto"/>
        </w:rPr>
        <w:t>Indemnifiable Person</w:t>
      </w:r>
      <w:r>
        <w:rPr>
          <w:rFonts w:ascii="Times New Roman" w:cs="Times New Roman" w:eastAsia="Times New Roman" w:hAnsi="Times New Roman"/>
          <w:sz w:val="19"/>
          <w:szCs w:val="19"/>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200" w:lineRule="exact"/>
        <w:rPr>
          <w:rFonts w:ascii="Times New Roman" w:cs="Times New Roman" w:eastAsia="Times New Roman" w:hAnsi="Times New Roman"/>
          <w:sz w:val="19"/>
          <w:szCs w:val="19"/>
          <w:color w:val="auto"/>
        </w:rPr>
      </w:pPr>
    </w:p>
    <w:p>
      <w:pPr>
        <w:spacing w:after="0" w:line="249" w:lineRule="exact"/>
        <w:rPr>
          <w:rFonts w:ascii="Times New Roman" w:cs="Times New Roman" w:eastAsia="Times New Roman" w:hAnsi="Times New Roman"/>
          <w:sz w:val="19"/>
          <w:szCs w:val="19"/>
          <w:color w:val="auto"/>
        </w:rPr>
      </w:pPr>
    </w:p>
    <w:p>
      <w:pPr>
        <w:ind w:right="300" w:firstLine="656"/>
        <w:spacing w:after="0" w:line="269" w:lineRule="auto"/>
        <w:tabs>
          <w:tab w:leader="none" w:pos="129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Authority</w:t>
      </w:r>
      <w:r>
        <w:rPr>
          <w:rFonts w:ascii="Times New Roman" w:cs="Times New Roman" w:eastAsia="Times New Roman" w:hAnsi="Times New Roman"/>
          <w:sz w:val="20"/>
          <w:szCs w:val="20"/>
          <w:color w:val="auto"/>
          <w:highlight w:val="white"/>
        </w:rPr>
        <w:t>. Notwithstanding anything to the contrary contained in the Plan, the Board may, in its sole discretion, at</w:t>
      </w:r>
      <w:r>
        <w:rPr>
          <w:rFonts w:ascii="Times New Roman" w:cs="Times New Roman" w:eastAsia="Times New Roman" w:hAnsi="Times New Roman"/>
          <w:sz w:val="20"/>
          <w:szCs w:val="20"/>
          <w:color w:val="auto"/>
        </w:rPr>
        <w:t xml:space="preserve"> any time and from time to time, grant Awards and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00"/>
          </w:cols>
          <w:pgMar w:left="320" w:top="1440" w:right="379" w:bottom="1440" w:gutter="0" w:footer="0" w:header="0"/>
        </w:sectPr>
      </w:pPr>
    </w:p>
    <w:bookmarkStart w:id="11" w:name="page12"/>
    <w:bookmarkEnd w:id="11"/>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with respect to any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spacing w:after="0" w:line="191"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Grant of Awards; Shares Subject to the Plan; Limitations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Grants</w:t>
      </w:r>
      <w:r>
        <w:rPr>
          <w:rFonts w:ascii="Times New Roman" w:cs="Times New Roman" w:eastAsia="Times New Roman" w:hAnsi="Times New Roman"/>
          <w:sz w:val="20"/>
          <w:szCs w:val="20"/>
          <w:color w:val="auto"/>
          <w:highlight w:val="white"/>
        </w:rPr>
        <w:t>. The Committee may, from time to time, grant Awards to one or more Eligible Persons.</w:t>
      </w:r>
    </w:p>
    <w:p>
      <w:pPr>
        <w:spacing w:after="0" w:line="256" w:lineRule="exact"/>
        <w:rPr>
          <w:rFonts w:ascii="Times New Roman" w:cs="Times New Roman" w:eastAsia="Times New Roman" w:hAnsi="Times New Roman"/>
          <w:sz w:val="20"/>
          <w:szCs w:val="20"/>
          <w:color w:val="auto"/>
        </w:rPr>
      </w:pPr>
    </w:p>
    <w:p>
      <w:pPr>
        <w:ind w:right="40" w:firstLine="656"/>
        <w:spacing w:after="0" w:line="266" w:lineRule="auto"/>
        <w:tabs>
          <w:tab w:leader="none" w:pos="1284"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 Reserve and Limits</w:t>
      </w:r>
      <w:r>
        <w:rPr>
          <w:rFonts w:ascii="Times New Roman" w:cs="Times New Roman" w:eastAsia="Times New Roman" w:hAnsi="Times New Roman"/>
          <w:sz w:val="19"/>
          <w:szCs w:val="19"/>
          <w:color w:val="auto"/>
          <w:highlight w:val="white"/>
        </w:rPr>
        <w:t>. Awards granted under the Plan shall be subject to the following limitations: (i) subject to Section</w:t>
      </w:r>
      <w:r>
        <w:rPr>
          <w:rFonts w:ascii="Times New Roman" w:cs="Times New Roman" w:eastAsia="Times New Roman" w:hAnsi="Times New Roman"/>
          <w:sz w:val="19"/>
          <w:szCs w:val="19"/>
          <w:color w:val="auto"/>
        </w:rPr>
        <w:t xml:space="preserve"> 12 of the Plan, no more than 9,600,000 shares of Common Stock (the “</w:t>
      </w:r>
      <w:r>
        <w:rPr>
          <w:rFonts w:ascii="Times New Roman" w:cs="Times New Roman" w:eastAsia="Times New Roman" w:hAnsi="Times New Roman"/>
          <w:sz w:val="19"/>
          <w:szCs w:val="19"/>
          <w:u w:val="single" w:color="auto"/>
          <w:color w:val="auto"/>
        </w:rPr>
        <w:t>Absolute Share Limit</w:t>
      </w:r>
      <w:r>
        <w:rPr>
          <w:rFonts w:ascii="Times New Roman" w:cs="Times New Roman" w:eastAsia="Times New Roman" w:hAnsi="Times New Roman"/>
          <w:sz w:val="19"/>
          <w:szCs w:val="19"/>
          <w:color w:val="auto"/>
        </w:rPr>
        <w:t>”) shall be available for Awards under the Plan, which represents the initial 4.0 million shares authorized under the Plan and 5.6 additional shares requested under the amended and restated Plan as approved by the Board on April 9, 2024; (ii) subject to Section 12 of the Plan, no more than the number of shares of Common Stock equal to the Absolute Share Limit may be issued in the aggregate pursuant to the exercise of Incentive Stock Options granted under the Plan; and (iii) the maximum number of shares of Common Stock subject to Awards granted during a single fiscal year to any Non-Employee Director, taken together with any cash fees paid to such Non-Employee Director during the fiscal year, shall not exceed $500,000 in total value (calculating the value of any such Awards based on the grant date fair value of such Awards for financial reporting purposes).</w:t>
      </w:r>
    </w:p>
    <w:p>
      <w:pPr>
        <w:spacing w:after="0" w:line="195" w:lineRule="exact"/>
        <w:rPr>
          <w:rFonts w:ascii="Times New Roman" w:cs="Times New Roman" w:eastAsia="Times New Roman" w:hAnsi="Times New Roman"/>
          <w:sz w:val="19"/>
          <w:szCs w:val="19"/>
          <w:color w:val="auto"/>
        </w:rPr>
      </w:pPr>
    </w:p>
    <w:p>
      <w:pPr>
        <w:ind w:right="20" w:firstLine="656"/>
        <w:spacing w:after="0" w:line="252"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Counting</w:t>
      </w:r>
      <w:r>
        <w:rPr>
          <w:rFonts w:ascii="Times New Roman" w:cs="Times New Roman" w:eastAsia="Times New Roman" w:hAnsi="Times New Roman"/>
          <w:sz w:val="20"/>
          <w:szCs w:val="20"/>
          <w:color w:val="auto"/>
        </w:rPr>
        <w:t xml:space="preserve">. Other than with respect to Substitute Awards, to the extent that an Award expires or is canceled, forfeited, or terminated without issuance to the Participant of the full number of shares of Common Stock to which the Award related, the unissued shares will again be available for grant under the Plan. Shares of Common Stock shall be deemed to have been issued in settlement of Awards if the Fair Market Value equivalent of such shares is paid in cash in connection with such settlement;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shares shall be deemed to have been issued in settlement of a SAR or Restricted Stock Unit that provides for settlement only in cash and settles only in cash or in respect of any Cash-Based Incentive Award. In no event shall (i) shares tendered or withheld on exercise of Options or other Award for the payment of the exercise or purchase price or withholding taxes, (ii) shares not issued upon the settlement of a SAR that by the terms of the Award Agreement would settle in shares of Common Stock (or could settle in shares of Common Stock), or (iii) shares purchased on the open market with cash proceeds from the exercise of Options, again become available for other Awards under the Plan.</w:t>
      </w:r>
    </w:p>
    <w:p>
      <w:pPr>
        <w:spacing w:after="0" w:line="204" w:lineRule="exact"/>
        <w:rPr>
          <w:rFonts w:ascii="Times New Roman" w:cs="Times New Roman" w:eastAsia="Times New Roman" w:hAnsi="Times New Roman"/>
          <w:sz w:val="20"/>
          <w:szCs w:val="20"/>
          <w:color w:val="auto"/>
        </w:rPr>
      </w:pPr>
    </w:p>
    <w:p>
      <w:pPr>
        <w:ind w:firstLine="656"/>
        <w:spacing w:after="0" w:line="268" w:lineRule="auto"/>
        <w:tabs>
          <w:tab w:leader="none" w:pos="1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Source of Shares</w:t>
      </w:r>
      <w:r>
        <w:rPr>
          <w:rFonts w:ascii="Times New Roman" w:cs="Times New Roman" w:eastAsia="Times New Roman" w:hAnsi="Times New Roman"/>
          <w:sz w:val="20"/>
          <w:szCs w:val="20"/>
          <w:color w:val="auto"/>
          <w:highlight w:val="white"/>
        </w:rPr>
        <w:t>. Shares of Common Stock issued by the Company in settlement of Awards may be authorized and unissued</w:t>
      </w:r>
      <w:r>
        <w:rPr>
          <w:rFonts w:ascii="Times New Roman" w:cs="Times New Roman" w:eastAsia="Times New Roman" w:hAnsi="Times New Roman"/>
          <w:sz w:val="20"/>
          <w:szCs w:val="20"/>
          <w:color w:val="auto"/>
        </w:rPr>
        <w:t xml:space="preserve"> shares, shares held in the treasury of the Company, shares purchased on the open market or by private purchase or a combination of the foregoing.</w:t>
      </w:r>
    </w:p>
    <w:p>
      <w:pPr>
        <w:spacing w:after="0" w:line="188" w:lineRule="exact"/>
        <w:rPr>
          <w:rFonts w:ascii="Times New Roman" w:cs="Times New Roman" w:eastAsia="Times New Roman" w:hAnsi="Times New Roman"/>
          <w:sz w:val="20"/>
          <w:szCs w:val="20"/>
          <w:color w:val="auto"/>
        </w:rPr>
      </w:pPr>
    </w:p>
    <w:p>
      <w:pPr>
        <w:ind w:right="60" w:firstLine="656"/>
        <w:spacing w:after="0" w:line="251"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highlight w:val="white"/>
        </w:rPr>
        <w:t>”). Substitute Awards shall not be counted against the Absolute Share Limit;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highlight w:val="white"/>
        </w:rPr>
        <w:t>, that</w:t>
      </w:r>
      <w:r>
        <w:rPr>
          <w:rFonts w:ascii="Times New Roman" w:cs="Times New Roman" w:eastAsia="Times New Roman" w:hAnsi="Times New Roman"/>
          <w:sz w:val="20"/>
          <w:szCs w:val="20"/>
          <w:color w:val="auto"/>
        </w:rPr>
        <w:t xml:space="preserve">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used for Awards under the Plan and shall not reduce the number of shares of Common Stock available for issuance under the Plan.</w:t>
      </w:r>
    </w:p>
    <w:p>
      <w:pPr>
        <w:spacing w:after="0" w:line="239" w:lineRule="exact"/>
        <w:rPr>
          <w:sz w:val="20"/>
          <w:szCs w:val="20"/>
          <w:color w:val="auto"/>
        </w:rPr>
      </w:pPr>
    </w:p>
    <w:p>
      <w:pPr>
        <w:ind w:left="1000" w:hanging="344"/>
        <w:spacing w:after="0"/>
        <w:tabs>
          <w:tab w:leader="none" w:pos="10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Participation in the Plan shall be limited to Eligible Persons.</w:t>
      </w:r>
    </w:p>
    <w:p>
      <w:pPr>
        <w:spacing w:after="0" w:line="256" w:lineRule="exact"/>
        <w:rPr>
          <w:rFonts w:ascii="Times New Roman" w:cs="Times New Roman" w:eastAsia="Times New Roman" w:hAnsi="Times New Roman"/>
          <w:sz w:val="20"/>
          <w:szCs w:val="20"/>
          <w:b w:val="1"/>
          <w:bCs w:val="1"/>
          <w:color w:val="auto"/>
        </w:rPr>
      </w:pPr>
    </w:p>
    <w:p>
      <w:pPr>
        <w:ind w:left="1000" w:hanging="344"/>
        <w:spacing w:after="0"/>
        <w:tabs>
          <w:tab w:leader="none" w:pos="10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firstLine="656"/>
        <w:spacing w:after="0" w:line="250" w:lineRule="auto"/>
        <w:tabs>
          <w:tab w:leader="none" w:pos="128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22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highlight w:val="white"/>
        </w:rPr>
        <w:t>. Except as otherwise provided by the Committee in the case of Substitute Awards, the exercise price</w:t>
      </w:r>
    </w:p>
    <w:p>
      <w:pPr>
        <w:spacing w:after="0" w:line="22"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xml:space="preserve">”) per share of Common Stock for each Option shall not be less than 100% of the Fair Market Value of such share (determined as of the Date of Grant);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the case of an Incentive Stock Option granted to an employee who, at the time of the grant of such Option, owns stock representing more than 10% of the voting power of all classes of stock of any member of the Company Group, the Exercise Price per share shall be no less than 110% of the Fair Market Value per share on the Date of Grant.</w:t>
      </w:r>
    </w:p>
    <w:p>
      <w:pPr>
        <w:spacing w:after="0" w:line="217"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Expiration</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right="60" w:firstLine="1304"/>
        <w:spacing w:after="0" w:line="283" w:lineRule="auto"/>
        <w:tabs>
          <w:tab w:leader="none" w:pos="194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Options shall vest and become exercisable in such manner and on such date or dates or upon such event or events as determined by the Committee, subject to Section 14(d) of the Plan.</w:t>
      </w:r>
    </w:p>
    <w:p>
      <w:pPr>
        <w:spacing w:after="0" w:line="186" w:lineRule="exact"/>
        <w:rPr>
          <w:rFonts w:ascii="Times New Roman" w:cs="Times New Roman" w:eastAsia="Times New Roman" w:hAnsi="Times New Roman"/>
          <w:sz w:val="20"/>
          <w:szCs w:val="20"/>
          <w:color w:val="auto"/>
        </w:rPr>
      </w:pPr>
    </w:p>
    <w:p>
      <w:pPr>
        <w:ind w:right="20" w:firstLine="1304"/>
        <w:spacing w:after="0" w:line="241" w:lineRule="auto"/>
        <w:tabs>
          <w:tab w:leader="none" w:pos="194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Options shall expire upon a date determined by the Committee, not to exceed ten (10) years from the Date of Grant (the “</w:t>
      </w:r>
      <w:r>
        <w:rPr>
          <w:rFonts w:ascii="Times New Roman" w:cs="Times New Roman" w:eastAsia="Times New Roman" w:hAnsi="Times New Roman"/>
          <w:sz w:val="20"/>
          <w:szCs w:val="20"/>
          <w:u w:val="single" w:color="auto"/>
          <w:color w:val="auto"/>
        </w:rPr>
        <w:t>Option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the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10% of the voting power of all classes of stock of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00"/>
          </w:cols>
          <w:pgMar w:left="320" w:top="1440" w:right="379" w:bottom="1440" w:gutter="0" w:footer="0" w:header="0"/>
        </w:sectPr>
      </w:pPr>
    </w:p>
    <w:bookmarkStart w:id="13" w:name="page14"/>
    <w:bookmarkEnd w:id="13"/>
    <w:p>
      <w:pPr>
        <w:spacing w:after="0" w:line="122" w:lineRule="exact"/>
        <w:rPr>
          <w:sz w:val="20"/>
          <w:szCs w:val="20"/>
          <w:color w:val="auto"/>
        </w:rPr>
      </w:pPr>
    </w:p>
    <w:p>
      <w:pPr>
        <w:ind w:left="-40" w:right="40" w:firstLine="656"/>
        <w:spacing w:after="0" w:line="249" w:lineRule="auto"/>
        <w:tabs>
          <w:tab w:leader="none" w:pos="12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Exercise and Form of Payment</w:t>
      </w:r>
      <w:r>
        <w:rPr>
          <w:rFonts w:ascii="Times New Roman" w:cs="Times New Roman" w:eastAsia="Times New Roman" w:hAnsi="Times New Roman"/>
          <w:sz w:val="20"/>
          <w:szCs w:val="20"/>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Any fractional shares of Common Stock shall be settled in cash.</w:t>
      </w:r>
    </w:p>
    <w:p>
      <w:pPr>
        <w:spacing w:after="0" w:line="214" w:lineRule="exact"/>
        <w:rPr>
          <w:rFonts w:ascii="Times New Roman" w:cs="Times New Roman" w:eastAsia="Times New Roman" w:hAnsi="Times New Roman"/>
          <w:sz w:val="20"/>
          <w:szCs w:val="20"/>
          <w:color w:val="auto"/>
        </w:rPr>
      </w:pPr>
    </w:p>
    <w:p>
      <w:pPr>
        <w:ind w:left="-40" w:firstLine="656"/>
        <w:spacing w:after="0" w:line="253" w:lineRule="auto"/>
        <w:tabs>
          <w:tab w:leader="none" w:pos="124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upon Disqualifying Disposition of an Incentive Stock Option</w:t>
      </w:r>
      <w:r>
        <w:rPr>
          <w:rFonts w:ascii="Times New Roman" w:cs="Times New Roman" w:eastAsia="Times New Roman" w:hAnsi="Times New Roman"/>
          <w:sz w:val="20"/>
          <w:szCs w:val="20"/>
          <w:color w:val="auto"/>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spacing w:after="0" w:line="207" w:lineRule="exact"/>
        <w:rPr>
          <w:rFonts w:ascii="Times New Roman" w:cs="Times New Roman" w:eastAsia="Times New Roman" w:hAnsi="Times New Roman"/>
          <w:sz w:val="20"/>
          <w:szCs w:val="20"/>
          <w:color w:val="auto"/>
        </w:rPr>
      </w:pPr>
    </w:p>
    <w:p>
      <w:pPr>
        <w:ind w:left="-40" w:right="180" w:firstLine="656"/>
        <w:spacing w:after="0" w:line="276" w:lineRule="auto"/>
        <w:tabs>
          <w:tab w:leader="none" w:pos="125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Laws, etc</w:t>
      </w:r>
      <w:r>
        <w:rPr>
          <w:rFonts w:ascii="Times New Roman" w:cs="Times New Roman" w:eastAsia="Times New Roman" w:hAnsi="Times New Roman"/>
          <w:sz w:val="19"/>
          <w:szCs w:val="19"/>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79"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Stock Appreciation Rights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left="-40" w:right="440" w:firstLine="656"/>
        <w:spacing w:after="0" w:line="261" w:lineRule="auto"/>
        <w:tabs>
          <w:tab w:leader="none" w:pos="124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160"/>
          </w:cols>
          <w:pgMar w:left="360" w:top="1440" w:right="379" w:bottom="1440" w:gutter="0" w:footer="0" w:header="0"/>
        </w:sectPr>
      </w:pPr>
    </w:p>
    <w:bookmarkStart w:id="14" w:name="page15"/>
    <w:bookmarkEnd w:id="14"/>
    <w:p>
      <w:pPr>
        <w:spacing w:after="0" w:line="12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Option granted under the Plan may include tandem SARs. The Committee also may award SARs to Eligible Persons independent of any Option.</w:t>
      </w:r>
    </w:p>
    <w:p>
      <w:pPr>
        <w:spacing w:after="0" w:line="200" w:lineRule="exact"/>
        <w:rPr>
          <w:sz w:val="20"/>
          <w:szCs w:val="20"/>
          <w:color w:val="auto"/>
        </w:rPr>
      </w:pPr>
    </w:p>
    <w:p>
      <w:pPr>
        <w:ind w:right="220" w:firstLine="656"/>
        <w:spacing w:after="0" w:line="258" w:lineRule="auto"/>
        <w:tabs>
          <w:tab w:leader="none" w:pos="12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Strike Price</w:t>
      </w:r>
      <w:r>
        <w:rPr>
          <w:rFonts w:ascii="Times New Roman" w:cs="Times New Roman" w:eastAsia="Times New Roman" w:hAnsi="Times New Roman"/>
          <w:sz w:val="20"/>
          <w:szCs w:val="20"/>
          <w:color w:val="auto"/>
        </w:rPr>
        <w:t>. Except as otherwise provided by the Committee in the case of Substitute Awards, the strike price (“</w:t>
      </w:r>
      <w:r>
        <w:rPr>
          <w:rFonts w:ascii="Times New Roman" w:cs="Times New Roman" w:eastAsia="Times New Roman" w:hAnsi="Times New Roman"/>
          <w:sz w:val="20"/>
          <w:szCs w:val="20"/>
          <w:u w:val="single" w:color="auto"/>
          <w:color w:val="auto"/>
        </w:rPr>
        <w:t>Strike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Price</w:t>
      </w:r>
      <w:r>
        <w:rPr>
          <w:rFonts w:ascii="Times New Roman" w:cs="Times New Roman" w:eastAsia="Times New Roman" w:hAnsi="Times New Roman"/>
          <w:sz w:val="20"/>
          <w:szCs w:val="20"/>
          <w:color w:val="auto"/>
          <w:highlight w:val="white"/>
        </w:rPr>
        <w:t>”) per share of Common Stock for each SAR shall not be less than 100% of the Fair Market Value of such share (determined as of the</w:t>
      </w:r>
      <w:r>
        <w:rPr>
          <w:rFonts w:ascii="Times New Roman" w:cs="Times New Roman" w:eastAsia="Times New Roman" w:hAnsi="Times New Roman"/>
          <w:sz w:val="20"/>
          <w:szCs w:val="20"/>
          <w:color w:val="auto"/>
        </w:rPr>
        <w:t xml:space="preserve"> Date of Grant). Notwithstanding the foregoing, a SAR granted in tandem with (or in substitution for) an Option previously granted shall have a Strike Price equal to the Exercise Price of the corresponding Option.</w:t>
      </w:r>
    </w:p>
    <w:p>
      <w:pPr>
        <w:spacing w:after="0" w:line="19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Expiration</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right="100" w:firstLine="1304"/>
        <w:spacing w:after="0" w:line="253" w:lineRule="auto"/>
        <w:tabs>
          <w:tab w:leader="none" w:pos="194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 or events as determined by the Committee;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any such vesting dates or events, the Committee may, in its sole discretion, accelerate the vesting of any SAR at any time and for any reason, subject to Section 14(d) of the Plan.</w:t>
      </w:r>
    </w:p>
    <w:p>
      <w:pPr>
        <w:spacing w:after="0" w:line="218" w:lineRule="exact"/>
        <w:rPr>
          <w:rFonts w:ascii="Times New Roman" w:cs="Times New Roman" w:eastAsia="Times New Roman" w:hAnsi="Times New Roman"/>
          <w:sz w:val="20"/>
          <w:szCs w:val="20"/>
          <w:color w:val="auto"/>
        </w:rPr>
      </w:pPr>
    </w:p>
    <w:p>
      <w:pPr>
        <w:jc w:val="both"/>
        <w:ind w:right="200" w:firstLine="1304"/>
        <w:spacing w:after="0" w:line="258" w:lineRule="auto"/>
        <w:tabs>
          <w:tab w:leader="none" w:pos="194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SARs shall expire upon a date determined by the Committee, not to exceed ten (10) years from the Date of Grant (the “</w:t>
      </w:r>
      <w:r>
        <w:rPr>
          <w:rFonts w:ascii="Times New Roman" w:cs="Times New Roman" w:eastAsia="Times New Roman" w:hAnsi="Times New Roman"/>
          <w:sz w:val="20"/>
          <w:szCs w:val="20"/>
          <w:u w:val="single" w:color="auto"/>
          <w:color w:val="auto"/>
        </w:rPr>
        <w:t>SAR Period</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highlight w:val="white"/>
        </w:rPr>
        <w:t>provided</w:t>
      </w:r>
      <w:r>
        <w:rPr>
          <w:rFonts w:ascii="Times New Roman" w:cs="Times New Roman" w:eastAsia="Times New Roman" w:hAnsi="Times New Roman"/>
          <w:sz w:val="20"/>
          <w:szCs w:val="20"/>
          <w:color w:val="auto"/>
          <w:highlight w:val="white"/>
        </w:rPr>
        <w:t>, that if the SAR Period would expire at a time when trading in the shares of Common Stock is prohibited by</w:t>
      </w:r>
      <w:r>
        <w:rPr>
          <w:rFonts w:ascii="Times New Roman" w:cs="Times New Roman" w:eastAsia="Times New Roman" w:hAnsi="Times New Roman"/>
          <w:sz w:val="20"/>
          <w:szCs w:val="20"/>
          <w:color w:val="auto"/>
        </w:rPr>
        <w:t xml:space="preserve"> the Company’s insider trading policy (or Company-imposed “blackout period”), then the SAR Period shall be automatically extended until the 30th day following the expiration of such prohibition.</w:t>
      </w:r>
    </w:p>
    <w:p>
      <w:pPr>
        <w:spacing w:after="0" w:line="199" w:lineRule="exact"/>
        <w:rPr>
          <w:rFonts w:ascii="Times New Roman" w:cs="Times New Roman" w:eastAsia="Times New Roman" w:hAnsi="Times New Roman"/>
          <w:sz w:val="20"/>
          <w:szCs w:val="20"/>
          <w:color w:val="auto"/>
        </w:rPr>
      </w:pPr>
    </w:p>
    <w:p>
      <w:pPr>
        <w:ind w:right="200" w:firstLine="656"/>
        <w:spacing w:after="0" w:line="261" w:lineRule="auto"/>
        <w:tabs>
          <w:tab w:leader="none" w:pos="12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SARs which have become exercisable may be exercised by delivery of written or electronic notice of exercise (or telephonic instructions to the extent provided by the Committee) to the Company in accordance with the terms of the Award, specifying the number of SARs to be exercised and the date on which such SARs were awarded.</w:t>
      </w:r>
    </w:p>
    <w:p>
      <w:pPr>
        <w:spacing w:after="0" w:line="208" w:lineRule="exact"/>
        <w:rPr>
          <w:rFonts w:ascii="Times New Roman" w:cs="Times New Roman" w:eastAsia="Times New Roman" w:hAnsi="Times New Roman"/>
          <w:sz w:val="20"/>
          <w:szCs w:val="20"/>
          <w:color w:val="auto"/>
        </w:rPr>
      </w:pPr>
    </w:p>
    <w:p>
      <w:pPr>
        <w:ind w:right="260" w:firstLine="656"/>
        <w:spacing w:after="0" w:line="270" w:lineRule="auto"/>
        <w:tabs>
          <w:tab w:leader="none" w:pos="128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spacing w:after="0" w:line="198"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Restricted Stock and Restricted Stock Units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ind w:right="740" w:firstLine="656"/>
        <w:spacing w:after="0" w:line="261" w:lineRule="auto"/>
        <w:tabs>
          <w:tab w:leader="none" w:pos="106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highlight w:val="white"/>
        </w:rPr>
        <w:t>. Each grant of Restricted Stock and Restricted Stock Units shall be evidenced by an Award Agreement. Each</w:t>
      </w:r>
      <w:r>
        <w:rPr>
          <w:rFonts w:ascii="Times New Roman" w:cs="Times New Roman" w:eastAsia="Times New Roman" w:hAnsi="Times New Roman"/>
          <w:sz w:val="20"/>
          <w:szCs w:val="20"/>
          <w:color w:val="auto"/>
        </w:rPr>
        <w:t xml:space="preserve"> Restricted Stock and Restricted Stock Unit so granted shall be subject to the conditions set forth in this Section 9, and to such other conditions not inconsistent with the Plan as may be reflected in the applicable Award Agreement.</w:t>
      </w:r>
    </w:p>
    <w:p>
      <w:pPr>
        <w:spacing w:after="0" w:line="194" w:lineRule="exact"/>
        <w:rPr>
          <w:rFonts w:ascii="Times New Roman" w:cs="Times New Roman" w:eastAsia="Times New Roman" w:hAnsi="Times New Roman"/>
          <w:sz w:val="20"/>
          <w:szCs w:val="20"/>
          <w:color w:val="auto"/>
        </w:rPr>
      </w:pPr>
    </w:p>
    <w:p>
      <w:pPr>
        <w:ind w:firstLine="656"/>
        <w:spacing w:after="0" w:line="258" w:lineRule="auto"/>
        <w:tabs>
          <w:tab w:leader="none" w:pos="107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Certificates and Book-Entry; Escrow or Similar Arrangement</w:t>
      </w:r>
      <w:r>
        <w:rPr>
          <w:rFonts w:ascii="Times New Roman" w:cs="Times New Roman" w:eastAsia="Times New Roman" w:hAnsi="Times New Roman"/>
          <w:sz w:val="20"/>
          <w:szCs w:val="20"/>
          <w:color w:val="auto"/>
          <w:highlight w:val="white"/>
        </w:rPr>
        <w:t>. Upon the grant of Restricted Stock, the Committee shall</w:t>
      </w:r>
      <w:r>
        <w:rPr>
          <w:rFonts w:ascii="Times New Roman" w:cs="Times New Roman" w:eastAsia="Times New Roman" w:hAnsi="Times New Roman"/>
          <w:sz w:val="20"/>
          <w:szCs w:val="20"/>
          <w:color w:val="auto"/>
        </w:rPr>
        <w:t xml:space="preserve">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00"/>
          </w:cols>
          <w:pgMar w:left="320" w:top="1440" w:right="379" w:bottom="1440" w:gutter="0" w:footer="0" w:header="0"/>
        </w:sectPr>
      </w:pPr>
    </w:p>
    <w:bookmarkStart w:id="15" w:name="page16"/>
    <w:bookmarkEnd w:id="15"/>
    <w:p>
      <w:pPr>
        <w:spacing w:after="0" w:line="12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207" w:lineRule="exact"/>
        <w:rPr>
          <w:sz w:val="20"/>
          <w:szCs w:val="20"/>
          <w:color w:val="auto"/>
        </w:rPr>
      </w:pPr>
    </w:p>
    <w:p>
      <w:pPr>
        <w:ind w:right="600" w:firstLine="656"/>
        <w:spacing w:after="0" w:line="295" w:lineRule="auto"/>
        <w:tabs>
          <w:tab w:leader="none" w:pos="1065"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w:t>
      </w:r>
      <w:r>
        <w:rPr>
          <w:rFonts w:ascii="Times New Roman" w:cs="Times New Roman" w:eastAsia="Times New Roman" w:hAnsi="Times New Roman"/>
          <w:sz w:val="19"/>
          <w:szCs w:val="19"/>
          <w:color w:val="auto"/>
        </w:rPr>
        <w:t>. Restricted Stock and Restricted Stock Units shall vest, and any applicable Restricted Period shall lapse, in such manner and on such date or dates or upon such event or events as determined by the Committee, subject to Section 14(d) of the Plan.</w:t>
      </w:r>
    </w:p>
    <w:p>
      <w:pPr>
        <w:spacing w:after="0" w:line="178"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Restricted Stock and Settlement of Restricted Stock Units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firstLine="1304"/>
        <w:spacing w:after="0" w:line="252" w:lineRule="auto"/>
        <w:tabs>
          <w:tab w:leader="none" w:pos="194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in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spacing w:after="0" w:line="216" w:lineRule="exact"/>
        <w:rPr>
          <w:rFonts w:ascii="Times New Roman" w:cs="Times New Roman" w:eastAsia="Times New Roman" w:hAnsi="Times New Roman"/>
          <w:sz w:val="20"/>
          <w:szCs w:val="20"/>
          <w:color w:val="auto"/>
        </w:rPr>
      </w:pPr>
    </w:p>
    <w:p>
      <w:pPr>
        <w:ind w:right="40" w:firstLine="1304"/>
        <w:spacing w:after="0" w:line="264" w:lineRule="auto"/>
        <w:tabs>
          <w:tab w:leader="none" w:pos="1943"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213" w:lineRule="exact"/>
        <w:rPr>
          <w:rFonts w:ascii="Times New Roman" w:cs="Times New Roman" w:eastAsia="Times New Roman" w:hAnsi="Times New Roman"/>
          <w:sz w:val="19"/>
          <w:szCs w:val="19"/>
          <w:color w:val="auto"/>
        </w:rPr>
      </w:pPr>
    </w:p>
    <w:p>
      <w:pPr>
        <w:ind w:right="280" w:firstLine="656"/>
        <w:spacing w:after="0" w:line="283" w:lineRule="auto"/>
        <w:tabs>
          <w:tab w:leader="none" w:pos="106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 on Restricted Stock</w:t>
      </w:r>
      <w:r>
        <w:rPr>
          <w:rFonts w:ascii="Times New Roman" w:cs="Times New Roman" w:eastAsia="Times New Roman" w:hAnsi="Times New Roman"/>
          <w:sz w:val="20"/>
          <w:szCs w:val="20"/>
          <w:color w:val="auto"/>
          <w:highlight w:val="white"/>
        </w:rPr>
        <w:t>. Each certificate, if any, or book entry representing Restricted Stock awarded under the Plan, if</w:t>
      </w:r>
      <w:r>
        <w:rPr>
          <w:rFonts w:ascii="Times New Roman" w:cs="Times New Roman" w:eastAsia="Times New Roman" w:hAnsi="Times New Roman"/>
          <w:sz w:val="20"/>
          <w:szCs w:val="20"/>
          <w:color w:val="auto"/>
        </w:rPr>
        <w:t xml:space="preserve"> any, shall bear a legend or book entry notation substantially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2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form of the following, in addition to any other information the Company deems appropriate, until the lapse of all restrictions with respect to such shares of Common Stock:</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TRANSFER OF THIS CERTIFICATE AND THE SHARES REPRESENTED HEREBY IS RESTRICTED PURSUANT TO THE TERMS OF THE NATIONAL VISION HOLDINGS, INC. 2017 OMNIBUS INCENTIVE PLAN AND A RESTRICTED STOCK AWARD AGREEMENT BETWEEN NATIONAL VISION HOLDINGS, INC. AND PARTICIPANT. A COPY OF SUCH PLAN AND AWARD AGREEMENT IS ON FILE AT THE PRINCIPAL EXECUTIVE OFFICES OF NATIONAL VISION HOLDINGS, INC.</w:t>
      </w:r>
    </w:p>
    <w:p>
      <w:pPr>
        <w:spacing w:after="0" w:line="195" w:lineRule="exact"/>
        <w:rPr>
          <w:sz w:val="20"/>
          <w:szCs w:val="20"/>
          <w:color w:val="auto"/>
        </w:rPr>
      </w:pPr>
    </w:p>
    <w:p>
      <w:pPr>
        <w:ind w:right="20" w:firstLine="656"/>
        <w:spacing w:after="0" w:line="258" w:lineRule="auto"/>
        <w:tabs>
          <w:tab w:leader="none" w:pos="1093"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Equity-Based Awards</w:t>
      </w:r>
      <w:r>
        <w:rPr>
          <w:rFonts w:ascii="Times New Roman" w:cs="Times New Roman" w:eastAsia="Times New Roman" w:hAnsi="Times New Roman"/>
          <w:sz w:val="20"/>
          <w:szCs w:val="20"/>
          <w:color w:val="auto"/>
        </w:rPr>
        <w:t>. The Committee may grant Other Equity-Based Awards under the Plan to Eligible Persons,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alone or in tandem with other Awards, in such amounts and dependent on such conditions as the Committee shall from time to time in its sole discretion determine, subject to Section 14(d) of the Plan. Each Other Equity-Based Award granted under the Plan shall be evidenced by an Award Agreement and shall be subject to such conditions not inconsistent with the Plan as may be reflected in the applicable Award Agreement.</w:t>
      </w:r>
    </w:p>
    <w:p>
      <w:pPr>
        <w:spacing w:after="0" w:line="194" w:lineRule="exact"/>
        <w:rPr>
          <w:rFonts w:ascii="Times New Roman" w:cs="Times New Roman" w:eastAsia="Times New Roman" w:hAnsi="Times New Roman"/>
          <w:sz w:val="20"/>
          <w:szCs w:val="20"/>
          <w:b w:val="1"/>
          <w:bCs w:val="1"/>
          <w:color w:val="auto"/>
        </w:rPr>
      </w:pPr>
    </w:p>
    <w:p>
      <w:pPr>
        <w:ind w:right="300" w:firstLine="656"/>
        <w:spacing w:after="0" w:line="263" w:lineRule="auto"/>
        <w:tabs>
          <w:tab w:leader="none" w:pos="1082"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Cash-Based Incentive Awards. </w:t>
      </w:r>
      <w:r>
        <w:rPr>
          <w:rFonts w:ascii="Times New Roman" w:cs="Times New Roman" w:eastAsia="Times New Roman" w:hAnsi="Times New Roman"/>
          <w:sz w:val="20"/>
          <w:szCs w:val="20"/>
          <w:color w:val="auto"/>
        </w:rPr>
        <w:t>The Committee may grant Cash-Based Incentive Awards under the Plan to any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Each Cash-Based Incentive Award granted under the Plan shall be evidenced in such form as the Committee may determine from time to time.</w:t>
      </w:r>
    </w:p>
    <w:p>
      <w:pPr>
        <w:spacing w:after="0" w:line="202" w:lineRule="exact"/>
        <w:rPr>
          <w:rFonts w:ascii="Times New Roman" w:cs="Times New Roman" w:eastAsia="Times New Roman" w:hAnsi="Times New Roman"/>
          <w:sz w:val="20"/>
          <w:szCs w:val="20"/>
          <w:b w:val="1"/>
          <w:bCs w:val="1"/>
          <w:color w:val="auto"/>
        </w:rPr>
      </w:pPr>
    </w:p>
    <w:p>
      <w:pPr>
        <w:ind w:right="480" w:firstLine="656"/>
        <w:spacing w:after="0" w:line="287" w:lineRule="auto"/>
        <w:tabs>
          <w:tab w:leader="none" w:pos="1093"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Capital Structure and Similar Events</w:t>
      </w:r>
      <w:r>
        <w:rPr>
          <w:rFonts w:ascii="Times New Roman" w:cs="Times New Roman" w:eastAsia="Times New Roman" w:hAnsi="Times New Roman"/>
          <w:sz w:val="20"/>
          <w:szCs w:val="20"/>
          <w:color w:val="auto"/>
        </w:rPr>
        <w:t>. Notwithstanding any other provision in this Plan to the contrary,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provisions shall apply to all Awards granted hereunder (other than Cash-Based Incentive Awards):</w:t>
      </w:r>
    </w:p>
    <w:p>
      <w:pPr>
        <w:spacing w:after="0" w:line="169" w:lineRule="exact"/>
        <w:rPr>
          <w:sz w:val="20"/>
          <w:szCs w:val="20"/>
          <w:color w:val="auto"/>
        </w:rPr>
      </w:pPr>
    </w:p>
    <w:p>
      <w:pPr>
        <w:ind w:right="20" w:firstLine="656"/>
        <w:spacing w:after="0" w:line="250" w:lineRule="auto"/>
        <w:tabs>
          <w:tab w:leader="none" w:pos="128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Times New Roman" w:cs="Times New Roman" w:eastAsia="Times New Roman" w:hAnsi="Times New Roman"/>
          <w:sz w:val="20"/>
          <w:szCs w:val="20"/>
          <w:u w:val="single" w:color="auto"/>
          <w:color w:val="auto"/>
        </w:rPr>
        <w:t>Adjustment Event</w:t>
      </w:r>
      <w:r>
        <w:rPr>
          <w:rFonts w:ascii="Times New Roman" w:cs="Times New Roman" w:eastAsia="Times New Roman" w:hAnsi="Times New Roman"/>
          <w:sz w:val="20"/>
          <w:szCs w:val="20"/>
          <w:color w:val="auto"/>
        </w:rPr>
        <w:t xml:space="preserve">”), the Committee shall, in respect of any such Adjustment Event, make such proportionate substitution or adjustment, if any, as it deems equitable, to any or all of (A) the Absolute Share Limit, or any other limit applicable under the Plan with respect to the number of Awards which may be granted hereunder; (B) the number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of shares of Common Stock or other securities of the Company (or number and kind of other securities or other property) subject to outstanding Awards or to which outstanding Awards relate; (II) the Exercise Price or Strike Price with respect to any Award; or (III) any applicable performance measures;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22" w:lineRule="exact"/>
        <w:rPr>
          <w:sz w:val="20"/>
          <w:szCs w:val="20"/>
          <w:color w:val="auto"/>
        </w:rPr>
      </w:pPr>
    </w:p>
    <w:p>
      <w:pPr>
        <w:ind w:right="200" w:firstLine="656"/>
        <w:spacing w:after="0" w:line="269" w:lineRule="auto"/>
        <w:tabs>
          <w:tab w:leader="none" w:pos="107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highlight w:val="white"/>
        </w:rPr>
        <w:t>. Without limiting the foregoing, in connection with any Change in Control, the Committee may, in its sole</w:t>
      </w:r>
      <w:r>
        <w:rPr>
          <w:rFonts w:ascii="Times New Roman" w:cs="Times New Roman" w:eastAsia="Times New Roman" w:hAnsi="Times New Roman"/>
          <w:sz w:val="20"/>
          <w:szCs w:val="20"/>
          <w:color w:val="auto"/>
        </w:rPr>
        <w:t xml:space="preserve"> discretion, provide for any one or more of the following:</w:t>
      </w:r>
    </w:p>
    <w:p>
      <w:pPr>
        <w:spacing w:after="0" w:line="19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681"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substitution or assumption of Awards, or to the extent that the surviving entity (or Affiliate thereof) of such Change in Control does not substitute or assume the Awards, full acceleration of vesting of, exercisability of, or lapse of restrictions on, as applicable, any Awards;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performance-vested Awards, any such acceleration of vesting, exercisability, or lapse of restrictions shall be based on actual performance through the date of such Change in Control; and</w:t>
      </w:r>
    </w:p>
    <w:p>
      <w:pPr>
        <w:spacing w:after="0" w:line="199" w:lineRule="exact"/>
        <w:rPr>
          <w:rFonts w:ascii="Times New Roman" w:cs="Times New Roman" w:eastAsia="Times New Roman" w:hAnsi="Times New Roman"/>
          <w:sz w:val="20"/>
          <w:szCs w:val="20"/>
          <w:color w:val="auto"/>
        </w:rPr>
      </w:pPr>
    </w:p>
    <w:p>
      <w:pPr>
        <w:ind w:right="200" w:firstLine="1304"/>
        <w:spacing w:after="0" w:line="266" w:lineRule="auto"/>
        <w:tabs>
          <w:tab w:leader="none" w:pos="1736"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Common Stock subject thereto may be canceled and terminated without any payment or consideration therefor).</w:t>
      </w:r>
    </w:p>
    <w:p>
      <w:pPr>
        <w:spacing w:after="0" w:line="21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9"/>
          <w:szCs w:val="19"/>
          <w:color w:val="auto"/>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spacing w:after="0" w:line="20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w:t>
      </w:r>
    </w:p>
    <w:p>
      <w:pPr>
        <w:spacing w:after="0" w:line="199" w:lineRule="exact"/>
        <w:rPr>
          <w:sz w:val="20"/>
          <w:szCs w:val="20"/>
          <w:color w:val="auto"/>
        </w:rPr>
      </w:pPr>
    </w:p>
    <w:p>
      <w:pPr>
        <w:ind w:right="20" w:firstLine="656"/>
        <w:spacing w:after="0" w:line="257" w:lineRule="auto"/>
        <w:tabs>
          <w:tab w:leader="none" w:pos="106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Requirements</w:t>
      </w:r>
      <w:r>
        <w:rPr>
          <w:rFonts w:ascii="Times New Roman" w:cs="Times New Roman" w:eastAsia="Times New Roman" w:hAnsi="Times New Roman"/>
          <w:sz w:val="20"/>
          <w:szCs w:val="20"/>
          <w:color w:val="auto"/>
          <w:highlight w:val="white"/>
        </w:rPr>
        <w:t>. Prior to any payment or adjustment contemplated under this Section 12, the Committee may require a</w:t>
      </w:r>
      <w:r>
        <w:rPr>
          <w:rFonts w:ascii="Times New Roman" w:cs="Times New Roman" w:eastAsia="Times New Roman" w:hAnsi="Times New Roman"/>
          <w:sz w:val="20"/>
          <w:szCs w:val="20"/>
          <w:color w:val="auto"/>
        </w:rPr>
        <w:t xml:space="preserve">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99" w:lineRule="exact"/>
        <w:rPr>
          <w:rFonts w:ascii="Times New Roman" w:cs="Times New Roman" w:eastAsia="Times New Roman" w:hAnsi="Times New Roman"/>
          <w:sz w:val="20"/>
          <w:szCs w:val="20"/>
          <w:color w:val="auto"/>
        </w:rPr>
      </w:pPr>
    </w:p>
    <w:p>
      <w:pPr>
        <w:ind w:right="300" w:firstLine="656"/>
        <w:spacing w:after="0" w:line="283"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highlight w:val="white"/>
        </w:rPr>
        <w:t>. Any adjustment provided under this Section 12 may provide for the elimination of any fractional share</w:t>
      </w:r>
      <w:r>
        <w:rPr>
          <w:rFonts w:ascii="Times New Roman" w:cs="Times New Roman" w:eastAsia="Times New Roman" w:hAnsi="Times New Roman"/>
          <w:sz w:val="20"/>
          <w:szCs w:val="20"/>
          <w:color w:val="auto"/>
        </w:rPr>
        <w:t xml:space="preserve"> that might otherwise become subject to an Award.</w:t>
      </w:r>
    </w:p>
    <w:p>
      <w:pPr>
        <w:spacing w:after="0" w:line="173" w:lineRule="exact"/>
        <w:rPr>
          <w:rFonts w:ascii="Times New Roman" w:cs="Times New Roman" w:eastAsia="Times New Roman" w:hAnsi="Times New Roman"/>
          <w:sz w:val="20"/>
          <w:szCs w:val="20"/>
          <w:color w:val="auto"/>
        </w:rPr>
      </w:pPr>
    </w:p>
    <w:p>
      <w:pPr>
        <w:ind w:right="480" w:firstLine="656"/>
        <w:spacing w:after="0" w:line="283"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Any adjustment, substitution, determination of value or other action taken by the Committee under this Section 12 shall be conclusive and binding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61" w:lineRule="exact"/>
        <w:rPr>
          <w:sz w:val="20"/>
          <w:szCs w:val="20"/>
          <w:color w:val="auto"/>
        </w:rPr>
      </w:pPr>
    </w:p>
    <w:p>
      <w:pPr>
        <w:ind w:left="62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Amendments and Termination</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ind w:left="-40" w:firstLine="656"/>
        <w:spacing w:after="0" w:line="252" w:lineRule="auto"/>
        <w:tabs>
          <w:tab w:leader="none" w:pos="12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 of the Plan</w:t>
      </w:r>
      <w:r>
        <w:rPr>
          <w:rFonts w:ascii="Times New Roman" w:cs="Times New Roman" w:eastAsia="Times New Roman" w:hAnsi="Times New Roman"/>
          <w:sz w:val="20"/>
          <w:szCs w:val="20"/>
          <w:color w:val="auto"/>
        </w:rPr>
        <w:t xml:space="preserve">. The Board may amend, alter, suspend, discontinue, or terminate the Plan or any portion thereof at 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 5 or 12 of the Plan); or (iii) it would materially modify the requirements for participation in the Plan;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13(c) of the Plan without stockholder approval.</w:t>
      </w:r>
    </w:p>
    <w:p>
      <w:pPr>
        <w:spacing w:after="0" w:line="204" w:lineRule="exact"/>
        <w:rPr>
          <w:rFonts w:ascii="Times New Roman" w:cs="Times New Roman" w:eastAsia="Times New Roman" w:hAnsi="Times New Roman"/>
          <w:sz w:val="20"/>
          <w:szCs w:val="20"/>
          <w:color w:val="auto"/>
        </w:rPr>
      </w:pPr>
    </w:p>
    <w:p>
      <w:pPr>
        <w:ind w:left="-40" w:right="180" w:firstLine="656"/>
        <w:spacing w:after="0" w:line="253" w:lineRule="auto"/>
        <w:tabs>
          <w:tab w:leader="none" w:pos="124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Award Agreements</w:t>
      </w:r>
      <w:r>
        <w:rPr>
          <w:rFonts w:ascii="Times New Roman" w:cs="Times New Roman" w:eastAsia="Times New Roman" w:hAnsi="Times New Roman"/>
          <w:sz w:val="20"/>
          <w:szCs w:val="20"/>
          <w:color w:val="auto"/>
          <w:highlight w:val="white"/>
        </w:rPr>
        <w:t>. The Committee may, to the extent consistent with the terms of the Plan and any</w:t>
      </w:r>
      <w:r>
        <w:rPr>
          <w:rFonts w:ascii="Times New Roman" w:cs="Times New Roman" w:eastAsia="Times New Roman" w:hAnsi="Times New Roman"/>
          <w:sz w:val="20"/>
          <w:szCs w:val="20"/>
          <w:color w:val="auto"/>
        </w:rPr>
        <w:t xml:space="preserve">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219" w:lineRule="exact"/>
        <w:rPr>
          <w:rFonts w:ascii="Times New Roman" w:cs="Times New Roman" w:eastAsia="Times New Roman" w:hAnsi="Times New Roman"/>
          <w:sz w:val="20"/>
          <w:szCs w:val="20"/>
          <w:color w:val="auto"/>
        </w:rPr>
      </w:pPr>
    </w:p>
    <w:p>
      <w:pPr>
        <w:ind w:left="-40" w:right="80" w:firstLine="656"/>
        <w:spacing w:after="0" w:line="269" w:lineRule="auto"/>
        <w:tabs>
          <w:tab w:leader="none" w:pos="124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Repricing</w:t>
      </w:r>
      <w:r>
        <w:rPr>
          <w:rFonts w:ascii="Times New Roman" w:cs="Times New Roman" w:eastAsia="Times New Roman" w:hAnsi="Times New Roman"/>
          <w:sz w:val="19"/>
          <w:szCs w:val="19"/>
          <w:color w:val="auto"/>
        </w:rPr>
        <w:t>. Notwithstanding anything in the Plan to the contrary,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187" w:lineRule="exact"/>
        <w:rPr>
          <w:sz w:val="20"/>
          <w:szCs w:val="20"/>
          <w:color w:val="auto"/>
        </w:rPr>
      </w:pPr>
    </w:p>
    <w:p>
      <w:pPr>
        <w:ind w:left="62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14.</w:t>
        <w:tab/>
        <w:t>General</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40" w:right="60" w:firstLine="656"/>
        <w:spacing w:after="0" w:line="251" w:lineRule="auto"/>
        <w:tabs>
          <w:tab w:leader="none" w:pos="124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highlight w:val="white"/>
        </w:rPr>
        <w:t>. Each Award (other than a Cash-Based Incentive Award) under the Plan shall be evidenced by an Award</w:t>
      </w:r>
      <w:r>
        <w:rPr>
          <w:rFonts w:ascii="Times New Roman" w:cs="Times New Roman" w:eastAsia="Times New Roman" w:hAnsi="Times New Roman"/>
          <w:sz w:val="20"/>
          <w:szCs w:val="20"/>
          <w:color w:val="auto"/>
        </w:rPr>
        <w:t xml:space="preserve">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219" w:lineRule="exact"/>
        <w:rPr>
          <w:rFonts w:ascii="Times New Roman" w:cs="Times New Roman" w:eastAsia="Times New Roman" w:hAnsi="Times New Roman"/>
          <w:sz w:val="20"/>
          <w:szCs w:val="20"/>
          <w:color w:val="auto"/>
        </w:rPr>
      </w:pPr>
    </w:p>
    <w:p>
      <w:pPr>
        <w:ind w:left="1260" w:hanging="644"/>
        <w:spacing w:after="0"/>
        <w:tabs>
          <w:tab w:leader="none" w:pos="12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15</w:t>
      </w:r>
    </w:p>
    <w:p>
      <w:pPr>
        <w:sectPr>
          <w:pgSz w:w="11900" w:h="16838" w:orient="portrait"/>
          <w:cols w:equalWidth="0" w:num="1">
            <w:col w:w="11180"/>
          </w:cols>
          <w:pgMar w:left="360" w:top="1440" w:right="359" w:bottom="1440" w:gutter="0" w:footer="0" w:header="0"/>
        </w:sectPr>
      </w:pPr>
    </w:p>
    <w:bookmarkStart w:id="19" w:name="page20"/>
    <w:bookmarkEnd w:id="19"/>
    <w:p>
      <w:pPr>
        <w:spacing w:after="0" w:line="365" w:lineRule="exact"/>
        <w:rPr>
          <w:sz w:val="20"/>
          <w:szCs w:val="20"/>
          <w:color w:val="auto"/>
        </w:rPr>
      </w:pPr>
    </w:p>
    <w:p>
      <w:pPr>
        <w:ind w:right="120" w:firstLine="1304"/>
        <w:spacing w:after="0" w:line="251" w:lineRule="auto"/>
        <w:tabs>
          <w:tab w:leader="none" w:pos="194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designation of a beneficiary shall not constitute an assignment, alienation, pledge, attachment, sale, transfer or encumbrance.</w:t>
      </w:r>
    </w:p>
    <w:p>
      <w:pPr>
        <w:spacing w:after="0" w:line="219" w:lineRule="exact"/>
        <w:rPr>
          <w:rFonts w:ascii="Times New Roman" w:cs="Times New Roman" w:eastAsia="Times New Roman" w:hAnsi="Times New Roman"/>
          <w:sz w:val="20"/>
          <w:szCs w:val="20"/>
          <w:color w:val="auto"/>
        </w:rPr>
      </w:pPr>
    </w:p>
    <w:p>
      <w:pPr>
        <w:ind w:right="20" w:firstLine="1304"/>
        <w:spacing w:after="0" w:line="265" w:lineRule="auto"/>
        <w:tabs>
          <w:tab w:leader="none" w:pos="1943"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Times New Roman" w:cs="Times New Roman" w:eastAsia="Times New Roman" w:hAnsi="Times New Roman"/>
          <w:sz w:val="19"/>
          <w:szCs w:val="19"/>
          <w:u w:val="single" w:color="auto"/>
          <w:color w:val="auto"/>
        </w:rPr>
        <w:t>Immediate Family Members</w:t>
      </w:r>
      <w:r>
        <w:rPr>
          <w:rFonts w:ascii="Times New Roman" w:cs="Times New Roman" w:eastAsia="Times New Roman" w:hAnsi="Times New Roman"/>
          <w:sz w:val="19"/>
          <w:szCs w:val="19"/>
          <w:color w:val="auto"/>
          <w:highlight w:val="white"/>
        </w:rPr>
        <w:t>”); (B) a trust solely for the benefit of the Participant</w:t>
      </w:r>
      <w:r>
        <w:rPr>
          <w:rFonts w:ascii="Times New Roman" w:cs="Times New Roman" w:eastAsia="Times New Roman" w:hAnsi="Times New Roman"/>
          <w:sz w:val="19"/>
          <w:szCs w:val="19"/>
          <w:color w:val="auto"/>
        </w:rPr>
        <w:t xml:space="preserve">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Times New Roman" w:cs="Times New Roman" w:eastAsia="Times New Roman" w:hAnsi="Times New Roman"/>
          <w:sz w:val="19"/>
          <w:szCs w:val="19"/>
          <w:u w:val="single" w:color="auto"/>
          <w:color w:val="auto"/>
        </w:rPr>
        <w:t>Permitted Transferee</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highlight w:val="white"/>
        </w:rPr>
        <w:t>provided</w:t>
      </w:r>
      <w:r>
        <w:rPr>
          <w:rFonts w:ascii="Times New Roman" w:cs="Times New Roman" w:eastAsia="Times New Roman" w:hAnsi="Times New Roman"/>
          <w:sz w:val="19"/>
          <w:szCs w:val="19"/>
          <w:color w:val="auto"/>
          <w:highlight w:val="white"/>
        </w:rPr>
        <w:t>, that the Participant gives the Committee advance written notice describing the terms and conditions of the</w:t>
      </w:r>
      <w:r>
        <w:rPr>
          <w:rFonts w:ascii="Times New Roman" w:cs="Times New Roman" w:eastAsia="Times New Roman" w:hAnsi="Times New Roman"/>
          <w:sz w:val="19"/>
          <w:szCs w:val="19"/>
          <w:color w:val="auto"/>
        </w:rPr>
        <w:t xml:space="preserve"> proposed transfer and the Committee notifies the Participant in writing that such a transfer would comply with the requirements of the Plan.</w:t>
      </w:r>
    </w:p>
    <w:p>
      <w:pPr>
        <w:spacing w:after="0" w:line="206" w:lineRule="exact"/>
        <w:rPr>
          <w:rFonts w:ascii="Times New Roman" w:cs="Times New Roman" w:eastAsia="Times New Roman" w:hAnsi="Times New Roman"/>
          <w:sz w:val="19"/>
          <w:szCs w:val="19"/>
          <w:color w:val="auto"/>
        </w:rPr>
      </w:pPr>
    </w:p>
    <w:p>
      <w:pPr>
        <w:ind w:right="20" w:firstLine="1304"/>
        <w:spacing w:after="0" w:line="267" w:lineRule="auto"/>
        <w:tabs>
          <w:tab w:leader="none" w:pos="194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w:t>
      </w:r>
    </w:p>
    <w:p>
      <w:pPr>
        <w:spacing w:after="0" w:line="1" w:lineRule="exact"/>
        <w:rPr>
          <w:rFonts w:ascii="Times New Roman" w:cs="Times New Roman" w:eastAsia="Times New Roman" w:hAnsi="Times New Roman"/>
          <w:sz w:val="19"/>
          <w:szCs w:val="19"/>
          <w:color w:val="auto"/>
        </w:rPr>
      </w:pPr>
    </w:p>
    <w:p>
      <w:pPr>
        <w:ind w:right="2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208" w:lineRule="exact"/>
        <w:rPr>
          <w:rFonts w:ascii="Times New Roman" w:cs="Times New Roman" w:eastAsia="Times New Roman" w:hAnsi="Times New Roman"/>
          <w:sz w:val="19"/>
          <w:szCs w:val="19"/>
          <w:color w:val="auto"/>
        </w:rPr>
      </w:pPr>
    </w:p>
    <w:p>
      <w:pPr>
        <w:ind w:firstLine="656"/>
        <w:spacing w:after="0" w:line="253" w:lineRule="auto"/>
        <w:tabs>
          <w:tab w:leader="none" w:pos="128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 and Dividend Equivalents</w:t>
      </w:r>
      <w:r>
        <w:rPr>
          <w:rFonts w:ascii="Times New Roman" w:cs="Times New Roman" w:eastAsia="Times New Roman" w:hAnsi="Times New Roman"/>
          <w:sz w:val="20"/>
          <w:szCs w:val="20"/>
          <w:color w:val="auto"/>
          <w:highlight w:val="white"/>
        </w:rPr>
        <w:t>. The Committee may, in its sole discretion, provide a Participant as part of an Award</w:t>
      </w:r>
      <w:r>
        <w:rPr>
          <w:rFonts w:ascii="Times New Roman" w:cs="Times New Roman" w:eastAsia="Times New Roman" w:hAnsi="Times New Roman"/>
          <w:sz w:val="20"/>
          <w:szCs w:val="20"/>
          <w:color w:val="auto"/>
        </w:rPr>
        <w:t xml:space="preserve">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Without limiting the foregoing, any dividend or dividend equivalent that remains subject to vesting conditions at the time of payment of such dividend or dividend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16</w:t>
      </w:r>
    </w:p>
    <w:p>
      <w:pPr>
        <w:sectPr>
          <w:pgSz w:w="11900" w:h="16838" w:orient="portrait"/>
          <w:cols w:equalWidth="0" w:num="1">
            <w:col w:w="11220"/>
          </w:cols>
          <w:pgMar w:left="320" w:top="1440" w:right="359" w:bottom="1440" w:gutter="0" w:footer="0" w:header="0"/>
        </w:sectPr>
      </w:pPr>
    </w:p>
    <w:bookmarkStart w:id="20" w:name="page21"/>
    <w:bookmarkEnd w:id="20"/>
    <w:p>
      <w:pPr>
        <w:spacing w:after="0" w:line="12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shall remain subject to the same vesting conditions as the Award to which the dividend or dividend equivalent relates and shall not be paid or distributed until such vesting conditions are satisfied.</w:t>
      </w:r>
    </w:p>
    <w:p>
      <w:pPr>
        <w:spacing w:after="0" w:line="200" w:lineRule="exact"/>
        <w:rPr>
          <w:sz w:val="20"/>
          <w:szCs w:val="20"/>
          <w:color w:val="auto"/>
        </w:rPr>
      </w:pPr>
    </w:p>
    <w:p>
      <w:pPr>
        <w:ind w:firstLine="656"/>
        <w:spacing w:after="0" w:line="252" w:lineRule="auto"/>
        <w:tabs>
          <w:tab w:leader="none" w:pos="1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Vesting Requirement</w:t>
      </w:r>
      <w:r>
        <w:rPr>
          <w:rFonts w:ascii="Times New Roman" w:cs="Times New Roman" w:eastAsia="Times New Roman" w:hAnsi="Times New Roman"/>
          <w:sz w:val="20"/>
          <w:szCs w:val="20"/>
          <w:color w:val="auto"/>
        </w:rPr>
        <w:t>. Notwithstanding any other provision of the Plan to the contrary, no portion of any equity-based Award granted under the Plan shall vest earlier than the first anniversary of the date the Award is granted; provided, that the following Awards shall not be subject to the foregoing minimum vesting requirement: any (i) substitute Awards granted pursuant to Section 5(e), (ii) Shares delivered in lieu of fully-vested cash Awards,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Section 5(b) (subject to adjustment under Section 12(a)); and, provided, further, that the foregoing restriction does not apply to accelerated exercisability or vesting of any Award in cases of death, Disability or a Change in Control.</w:t>
      </w:r>
    </w:p>
    <w:p>
      <w:pPr>
        <w:spacing w:after="0" w:line="20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highlight w:val="white"/>
        </w:rPr>
        <w:t>.</w:t>
      </w:r>
    </w:p>
    <w:p>
      <w:pPr>
        <w:spacing w:after="0" w:line="256" w:lineRule="exact"/>
        <w:rPr>
          <w:rFonts w:ascii="Times New Roman" w:cs="Times New Roman" w:eastAsia="Times New Roman" w:hAnsi="Times New Roman"/>
          <w:sz w:val="20"/>
          <w:szCs w:val="20"/>
          <w:color w:val="auto"/>
        </w:rPr>
      </w:pPr>
    </w:p>
    <w:p>
      <w:pPr>
        <w:ind w:right="80" w:firstLine="1304"/>
        <w:spacing w:after="0" w:line="276" w:lineRule="auto"/>
        <w:tabs>
          <w:tab w:leader="none" w:pos="1942"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183" w:lineRule="exact"/>
        <w:rPr>
          <w:rFonts w:ascii="Times New Roman" w:cs="Times New Roman" w:eastAsia="Times New Roman" w:hAnsi="Times New Roman"/>
          <w:sz w:val="19"/>
          <w:szCs w:val="19"/>
          <w:color w:val="auto"/>
        </w:rPr>
      </w:pPr>
    </w:p>
    <w:p>
      <w:pPr>
        <w:ind w:right="40" w:firstLine="1304"/>
        <w:spacing w:after="0" w:line="266" w:lineRule="auto"/>
        <w:tabs>
          <w:tab w:leader="none" w:pos="1943"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spacing w:after="0" w:line="210" w:lineRule="exact"/>
        <w:rPr>
          <w:rFonts w:ascii="Times New Roman" w:cs="Times New Roman" w:eastAsia="Times New Roman" w:hAnsi="Times New Roman"/>
          <w:sz w:val="19"/>
          <w:szCs w:val="19"/>
          <w:color w:val="auto"/>
        </w:rPr>
      </w:pPr>
    </w:p>
    <w:p>
      <w:pPr>
        <w:ind w:firstLine="1304"/>
        <w:spacing w:after="0" w:line="251" w:lineRule="auto"/>
        <w:tabs>
          <w:tab w:leader="none" w:pos="194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subject to its having considered the applicable accounting impact of any such determination,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22" w:lineRule="exact"/>
        <w:rPr>
          <w:sz w:val="20"/>
          <w:szCs w:val="20"/>
          <w:color w:val="auto"/>
        </w:rPr>
      </w:pPr>
    </w:p>
    <w:p>
      <w:pPr>
        <w:ind w:left="-40" w:right="220" w:firstLine="656"/>
        <w:spacing w:after="0" w:line="253" w:lineRule="auto"/>
        <w:tabs>
          <w:tab w:leader="none" w:pos="125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highlight w:val="white"/>
        </w:rPr>
        <w:t>. By participating in the Plan or accepting any rights granted under it, each Participant consents to the</w:t>
      </w:r>
      <w:r>
        <w:rPr>
          <w:rFonts w:ascii="Times New Roman" w:cs="Times New Roman" w:eastAsia="Times New Roman" w:hAnsi="Times New Roman"/>
          <w:sz w:val="20"/>
          <w:szCs w:val="20"/>
          <w:color w:val="auto"/>
        </w:rPr>
        <w:t xml:space="preserv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205" w:lineRule="exact"/>
        <w:rPr>
          <w:rFonts w:ascii="Times New Roman" w:cs="Times New Roman" w:eastAsia="Times New Roman" w:hAnsi="Times New Roman"/>
          <w:sz w:val="20"/>
          <w:szCs w:val="20"/>
          <w:color w:val="auto"/>
        </w:rPr>
      </w:pPr>
    </w:p>
    <w:p>
      <w:pPr>
        <w:ind w:left="-40" w:right="40" w:firstLine="656"/>
        <w:spacing w:after="0" w:line="250" w:lineRule="auto"/>
        <w:tabs>
          <w:tab w:leader="none" w:pos="12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Claim to Awards; No Rights to Continued Employment; Waiver</w:t>
      </w:r>
      <w:r>
        <w:rPr>
          <w:rFonts w:ascii="Times New Roman" w:cs="Times New Roman" w:eastAsia="Times New Roman" w:hAnsi="Times New Roman"/>
          <w:sz w:val="20"/>
          <w:szCs w:val="20"/>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223" w:lineRule="exact"/>
        <w:rPr>
          <w:rFonts w:ascii="Times New Roman" w:cs="Times New Roman" w:eastAsia="Times New Roman" w:hAnsi="Times New Roman"/>
          <w:sz w:val="20"/>
          <w:szCs w:val="20"/>
          <w:color w:val="auto"/>
        </w:rPr>
      </w:pPr>
    </w:p>
    <w:p>
      <w:pPr>
        <w:ind w:left="-40" w:firstLine="656"/>
        <w:spacing w:after="0" w:line="254" w:lineRule="auto"/>
        <w:tabs>
          <w:tab w:leader="none" w:pos="12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Participants</w:t>
      </w:r>
      <w:r>
        <w:rPr>
          <w:rFonts w:ascii="Times New Roman" w:cs="Times New Roman" w:eastAsia="Times New Roman" w:hAnsi="Times New Roman"/>
          <w:sz w:val="20"/>
          <w:szCs w:val="20"/>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pacing w:after="0" w:line="214" w:lineRule="exact"/>
        <w:rPr>
          <w:rFonts w:ascii="Times New Roman" w:cs="Times New Roman" w:eastAsia="Times New Roman" w:hAnsi="Times New Roman"/>
          <w:sz w:val="20"/>
          <w:szCs w:val="20"/>
          <w:color w:val="auto"/>
        </w:rPr>
      </w:pPr>
    </w:p>
    <w:p>
      <w:pPr>
        <w:ind w:left="-40" w:right="60" w:firstLine="656"/>
        <w:spacing w:after="0" w:line="251" w:lineRule="auto"/>
        <w:tabs>
          <w:tab w:leader="none" w:pos="125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and Change of Beneficiary</w:t>
      </w:r>
      <w:r>
        <w:rPr>
          <w:rFonts w:ascii="Times New Roman" w:cs="Times New Roman" w:eastAsia="Times New Roman" w:hAnsi="Times New Roman"/>
          <w:sz w:val="20"/>
          <w:szCs w:val="20"/>
          <w:color w:val="auto"/>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222" w:lineRule="exact"/>
        <w:rPr>
          <w:rFonts w:ascii="Times New Roman" w:cs="Times New Roman" w:eastAsia="Times New Roman" w:hAnsi="Times New Roman"/>
          <w:sz w:val="20"/>
          <w:szCs w:val="20"/>
          <w:color w:val="auto"/>
        </w:rPr>
      </w:pPr>
    </w:p>
    <w:p>
      <w:pPr>
        <w:ind w:left="-40" w:right="160" w:firstLine="656"/>
        <w:spacing w:after="0" w:line="254" w:lineRule="auto"/>
        <w:tabs>
          <w:tab w:leader="none" w:pos="125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highlight w:val="white"/>
        </w:rPr>
        <w:t>. Except as otherwise provided in an Award Agreement, unless determined otherwise by the Committee at any</w:t>
      </w:r>
      <w:r>
        <w:rPr>
          <w:rFonts w:ascii="Times New Roman" w:cs="Times New Roman" w:eastAsia="Times New Roman" w:hAnsi="Times New Roman"/>
          <w:sz w:val="20"/>
          <w:szCs w:val="20"/>
          <w:color w:val="auto"/>
        </w:rPr>
        <w:t xml:space="preserve"> point following such event: (i) neither a temporary absence from employment or service due to illness, vacation or leave of absence (including, without limitation, a call to active duty for military service through a Reserve or National Guard unit) nor a transfer from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18</w:t>
      </w:r>
    </w:p>
    <w:p>
      <w:pPr>
        <w:sectPr>
          <w:pgSz w:w="11900" w:h="16838" w:orient="portrait"/>
          <w:cols w:equalWidth="0" w:num="1">
            <w:col w:w="11160"/>
          </w:cols>
          <w:pgMar w:left="360" w:top="1440" w:right="379" w:bottom="1440" w:gutter="0" w:footer="0" w:header="0"/>
        </w:sectPr>
      </w:pPr>
    </w:p>
    <w:bookmarkStart w:id="22" w:name="page23"/>
    <w:bookmarkEnd w:id="22"/>
    <w:p>
      <w:pPr>
        <w:spacing w:after="0" w:line="12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or service with one Service Recipient to employment or service with another Service Recipient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220" w:lineRule="exact"/>
        <w:rPr>
          <w:sz w:val="20"/>
          <w:szCs w:val="20"/>
          <w:color w:val="auto"/>
        </w:rPr>
      </w:pPr>
    </w:p>
    <w:p>
      <w:pPr>
        <w:ind w:firstLine="656"/>
        <w:spacing w:after="0" w:line="261" w:lineRule="auto"/>
        <w:tabs>
          <w:tab w:leader="none" w:pos="12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a Stockholder</w:t>
      </w:r>
      <w:r>
        <w:rPr>
          <w:rFonts w:ascii="Times New Roman" w:cs="Times New Roman" w:eastAsia="Times New Roman" w:hAnsi="Times New Roman"/>
          <w:sz w:val="20"/>
          <w:szCs w:val="20"/>
          <w:color w:val="auto"/>
          <w:highlight w:val="white"/>
        </w:rPr>
        <w:t>. Except as otherwise specifically provided in the Plan or any Award Agreement, no Person shall</w:t>
      </w:r>
      <w:r>
        <w:rPr>
          <w:rFonts w:ascii="Times New Roman" w:cs="Times New Roman" w:eastAsia="Times New Roman" w:hAnsi="Times New Roman"/>
          <w:sz w:val="20"/>
          <w:szCs w:val="20"/>
          <w:color w:val="auto"/>
        </w:rPr>
        <w:t xml:space="preserve"> be entitled to the privileges of ownership in respect of shares of Common Stock which are subject to Awards hereunder until such shares have been issued or delivered to such Person.</w:t>
      </w:r>
    </w:p>
    <w:p>
      <w:pPr>
        <w:spacing w:after="0" w:line="20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 and Other Regulations</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right="60" w:firstLine="1304"/>
        <w:spacing w:after="0" w:line="249" w:lineRule="auto"/>
        <w:tabs>
          <w:tab w:leader="none" w:pos="1942"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at any time,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222" w:lineRule="exact"/>
        <w:rPr>
          <w:rFonts w:ascii="Times New Roman" w:cs="Times New Roman" w:eastAsia="Times New Roman" w:hAnsi="Times New Roman"/>
          <w:sz w:val="20"/>
          <w:szCs w:val="20"/>
          <w:color w:val="auto"/>
        </w:rPr>
      </w:pPr>
    </w:p>
    <w:p>
      <w:pPr>
        <w:ind w:right="120" w:firstLine="1304"/>
        <w:spacing w:after="0" w:line="281" w:lineRule="auto"/>
        <w:tabs>
          <w:tab w:leader="none" w:pos="1943"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spacing w:after="0" w:line="207" w:lineRule="exact"/>
        <w:rPr>
          <w:sz w:val="20"/>
          <w:szCs w:val="20"/>
          <w:color w:val="auto"/>
        </w:rPr>
      </w:pPr>
    </w:p>
    <w:p>
      <w:pPr>
        <w:ind w:right="20" w:firstLine="656"/>
        <w:spacing w:after="0" w:line="253" w:lineRule="auto"/>
        <w:tabs>
          <w:tab w:leader="none" w:pos="128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Section 83(b) Elections Without Consent of Company</w:t>
      </w:r>
      <w:r>
        <w:rPr>
          <w:rFonts w:ascii="Times New Roman" w:cs="Times New Roman" w:eastAsia="Times New Roman" w:hAnsi="Times New Roman"/>
          <w:sz w:val="20"/>
          <w:szCs w:val="20"/>
          <w:color w:val="auto"/>
        </w:rPr>
        <w:t>. No election under Section 83(b) of the Code or under a similar provision of law may be made unless expressly permitted by the terms of the applicable Award Agreement or by action of the Company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spacing w:after="0" w:line="205" w:lineRule="exact"/>
        <w:rPr>
          <w:rFonts w:ascii="Times New Roman" w:cs="Times New Roman" w:eastAsia="Times New Roman" w:hAnsi="Times New Roman"/>
          <w:sz w:val="20"/>
          <w:szCs w:val="20"/>
          <w:color w:val="auto"/>
        </w:rPr>
      </w:pPr>
    </w:p>
    <w:p>
      <w:pPr>
        <w:ind w:right="120" w:firstLine="656"/>
        <w:spacing w:after="0" w:line="253" w:lineRule="auto"/>
        <w:tabs>
          <w:tab w:leader="none" w:pos="1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to Persons Other Than Participants</w:t>
      </w:r>
      <w:r>
        <w:rPr>
          <w:rFonts w:ascii="Times New Roman" w:cs="Times New Roman" w:eastAsia="Times New Roman" w:hAnsi="Times New Roman"/>
          <w:sz w:val="20"/>
          <w:szCs w:val="20"/>
          <w:color w:val="auto"/>
          <w:highlight w:val="white"/>
        </w:rPr>
        <w:t>. If the Committee shall find that any Person to whom any amount is payable</w:t>
      </w:r>
      <w:r>
        <w:rPr>
          <w:rFonts w:ascii="Times New Roman" w:cs="Times New Roman" w:eastAsia="Times New Roman" w:hAnsi="Times New Roman"/>
          <w:sz w:val="20"/>
          <w:szCs w:val="20"/>
          <w:color w:val="auto"/>
        </w:rPr>
        <w:t xml:space="preserv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219" w:lineRule="exact"/>
        <w:rPr>
          <w:rFonts w:ascii="Times New Roman" w:cs="Times New Roman" w:eastAsia="Times New Roman" w:hAnsi="Times New Roman"/>
          <w:sz w:val="20"/>
          <w:szCs w:val="20"/>
          <w:color w:val="auto"/>
        </w:rPr>
      </w:pPr>
    </w:p>
    <w:p>
      <w:pPr>
        <w:ind w:right="80" w:firstLine="656"/>
        <w:spacing w:after="0" w:line="258" w:lineRule="auto"/>
        <w:tabs>
          <w:tab w:leader="none" w:pos="1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of the Plan</w:t>
      </w:r>
      <w:r>
        <w:rPr>
          <w:rFonts w:ascii="Times New Roman" w:cs="Times New Roman" w:eastAsia="Times New Roman" w:hAnsi="Times New Roman"/>
          <w:sz w:val="20"/>
          <w:szCs w:val="20"/>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99" w:lineRule="exact"/>
        <w:rPr>
          <w:rFonts w:ascii="Times New Roman" w:cs="Times New Roman" w:eastAsia="Times New Roman" w:hAnsi="Times New Roman"/>
          <w:sz w:val="20"/>
          <w:szCs w:val="20"/>
          <w:color w:val="auto"/>
        </w:rPr>
      </w:pPr>
    </w:p>
    <w:p>
      <w:pPr>
        <w:ind w:firstLine="656"/>
        <w:spacing w:after="0" w:line="253" w:lineRule="auto"/>
        <w:tabs>
          <w:tab w:leader="none" w:pos="1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Trust or Fund Created</w:t>
      </w:r>
      <w:r>
        <w:rPr>
          <w:rFonts w:ascii="Times New Roman" w:cs="Times New Roman" w:eastAsia="Times New Roman" w:hAnsi="Times New Roman"/>
          <w:sz w:val="20"/>
          <w:szCs w:val="20"/>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by performance of services, they shall have the same rights as other service providers under general law.</w:t>
      </w:r>
    </w:p>
    <w:p>
      <w:pPr>
        <w:spacing w:after="0" w:line="243" w:lineRule="exact"/>
        <w:rPr>
          <w:sz w:val="20"/>
          <w:szCs w:val="20"/>
          <w:color w:val="auto"/>
        </w:rPr>
      </w:pPr>
    </w:p>
    <w:p>
      <w:pPr>
        <w:ind w:firstLine="656"/>
        <w:spacing w:after="0" w:line="258" w:lineRule="auto"/>
        <w:tabs>
          <w:tab w:leader="none" w:pos="12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on Reports</w:t>
      </w:r>
      <w:r>
        <w:rPr>
          <w:rFonts w:ascii="Times New Roman" w:cs="Times New Roman" w:eastAsia="Times New Roman" w:hAnsi="Times New Roman"/>
          <w:sz w:val="20"/>
          <w:szCs w:val="20"/>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212" w:lineRule="exact"/>
        <w:rPr>
          <w:rFonts w:ascii="Times New Roman" w:cs="Times New Roman" w:eastAsia="Times New Roman" w:hAnsi="Times New Roman"/>
          <w:sz w:val="20"/>
          <w:szCs w:val="20"/>
          <w:color w:val="auto"/>
        </w:rPr>
      </w:pPr>
    </w:p>
    <w:p>
      <w:pPr>
        <w:jc w:val="both"/>
        <w:ind w:right="280" w:firstLine="656"/>
        <w:spacing w:after="0" w:line="261" w:lineRule="auto"/>
        <w:tabs>
          <w:tab w:leader="none" w:pos="129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highlight w:val="white"/>
        </w:rPr>
        <w:t>. No payment under the Plan shall be taken into account in determining any benefits under</w:t>
      </w:r>
      <w:r>
        <w:rPr>
          <w:rFonts w:ascii="Times New Roman" w:cs="Times New Roman" w:eastAsia="Times New Roman" w:hAnsi="Times New Roman"/>
          <w:sz w:val="20"/>
          <w:szCs w:val="20"/>
          <w:color w:val="auto"/>
        </w:rPr>
        <w:t xml:space="preserve"> any pension, retirement, profit sharing, group insurance or other benefit plan of the Company except as otherwise specifically provided in such other plan or as required by applicable law.</w:t>
      </w:r>
    </w:p>
    <w:p>
      <w:pPr>
        <w:spacing w:after="0" w:line="194" w:lineRule="exact"/>
        <w:rPr>
          <w:rFonts w:ascii="Times New Roman" w:cs="Times New Roman" w:eastAsia="Times New Roman" w:hAnsi="Times New Roman"/>
          <w:sz w:val="20"/>
          <w:szCs w:val="20"/>
          <w:color w:val="auto"/>
        </w:rPr>
      </w:pPr>
    </w:p>
    <w:p>
      <w:pPr>
        <w:ind w:right="60" w:firstLine="656"/>
        <w:spacing w:after="0" w:line="257" w:lineRule="auto"/>
        <w:tabs>
          <w:tab w:leader="none" w:pos="128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99" w:lineRule="exact"/>
        <w:rPr>
          <w:rFonts w:ascii="Times New Roman" w:cs="Times New Roman" w:eastAsia="Times New Roman" w:hAnsi="Times New Roman"/>
          <w:sz w:val="20"/>
          <w:szCs w:val="20"/>
          <w:color w:val="auto"/>
        </w:rPr>
      </w:pPr>
    </w:p>
    <w:p>
      <w:pPr>
        <w:ind w:right="120" w:firstLine="656"/>
        <w:spacing w:after="0" w:line="253" w:lineRule="auto"/>
        <w:tabs>
          <w:tab w:leader="none" w:pos="129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219" w:lineRule="exact"/>
        <w:rPr>
          <w:rFonts w:ascii="Times New Roman" w:cs="Times New Roman" w:eastAsia="Times New Roman" w:hAnsi="Times New Roman"/>
          <w:sz w:val="20"/>
          <w:szCs w:val="20"/>
          <w:color w:val="auto"/>
        </w:rPr>
      </w:pPr>
    </w:p>
    <w:p>
      <w:pPr>
        <w:ind w:right="320" w:firstLine="656"/>
        <w:spacing w:after="0" w:line="261" w:lineRule="auto"/>
        <w:tabs>
          <w:tab w:leader="none" w:pos="12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Binding on Successors</w:t>
      </w:r>
      <w:r>
        <w:rPr>
          <w:rFonts w:ascii="Times New Roman" w:cs="Times New Roman" w:eastAsia="Times New Roman" w:hAnsi="Times New Roman"/>
          <w:sz w:val="20"/>
          <w:szCs w:val="20"/>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20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highlight w:val="white"/>
        </w:rPr>
        <w:t>.</w:t>
      </w:r>
    </w:p>
    <w:p>
      <w:pPr>
        <w:spacing w:after="0" w:line="242" w:lineRule="exact"/>
        <w:rPr>
          <w:rFonts w:ascii="Times New Roman" w:cs="Times New Roman" w:eastAsia="Times New Roman" w:hAnsi="Times New Roman"/>
          <w:sz w:val="20"/>
          <w:szCs w:val="20"/>
          <w:color w:val="auto"/>
        </w:rPr>
      </w:pPr>
    </w:p>
    <w:p>
      <w:pPr>
        <w:ind w:right="40" w:firstLine="1304"/>
        <w:spacing w:after="0" w:line="252" w:lineRule="auto"/>
        <w:tabs>
          <w:tab w:leader="none" w:pos="194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21</w:t>
      </w:r>
    </w:p>
    <w:p>
      <w:pPr>
        <w:sectPr>
          <w:pgSz w:w="11900" w:h="16838" w:orient="portrait"/>
          <w:cols w:equalWidth="0" w:num="1">
            <w:col w:w="11180"/>
          </w:cols>
          <w:pgMar w:left="320" w:top="1440" w:right="399" w:bottom="1440" w:gutter="0" w:footer="0" w:header="0"/>
        </w:sectPr>
      </w:pPr>
    </w:p>
    <w:bookmarkStart w:id="25" w:name="page26"/>
    <w:bookmarkEnd w:id="25"/>
    <w:p>
      <w:pPr>
        <w:spacing w:after="0" w:line="12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Section 409A of the Code, each of the payments that may be made in respect of any Award granted under the Plan is designated as a separate payment.</w:t>
      </w:r>
    </w:p>
    <w:p>
      <w:pPr>
        <w:spacing w:after="0" w:line="200" w:lineRule="exact"/>
        <w:rPr>
          <w:sz w:val="20"/>
          <w:szCs w:val="20"/>
          <w:color w:val="auto"/>
        </w:rPr>
      </w:pPr>
    </w:p>
    <w:p>
      <w:pPr>
        <w:ind w:right="20" w:firstLine="1304"/>
        <w:spacing w:after="0" w:line="253" w:lineRule="auto"/>
        <w:tabs>
          <w:tab w:leader="none" w:pos="194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spacing w:after="0" w:line="205" w:lineRule="exact"/>
        <w:rPr>
          <w:rFonts w:ascii="Times New Roman" w:cs="Times New Roman" w:eastAsia="Times New Roman" w:hAnsi="Times New Roman"/>
          <w:sz w:val="20"/>
          <w:szCs w:val="20"/>
          <w:color w:val="auto"/>
        </w:rPr>
      </w:pPr>
    </w:p>
    <w:p>
      <w:pPr>
        <w:ind w:right="40" w:firstLine="1304"/>
        <w:spacing w:after="0" w:line="253" w:lineRule="auto"/>
        <w:tabs>
          <w:tab w:leader="none" w:pos="194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219" w:lineRule="exact"/>
        <w:rPr>
          <w:rFonts w:ascii="Times New Roman" w:cs="Times New Roman" w:eastAsia="Times New Roman" w:hAnsi="Times New Roman"/>
          <w:sz w:val="20"/>
          <w:szCs w:val="20"/>
          <w:color w:val="auto"/>
        </w:rPr>
      </w:pPr>
    </w:p>
    <w:p>
      <w:pPr>
        <w:ind w:right="60" w:firstLine="656"/>
        <w:spacing w:after="0" w:line="253" w:lineRule="auto"/>
        <w:tabs>
          <w:tab w:leader="none" w:pos="128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Clawback/Repayment</w:t>
      </w:r>
      <w:r>
        <w:rPr>
          <w:rFonts w:ascii="Times New Roman" w:cs="Times New Roman" w:eastAsia="Times New Roman" w:hAnsi="Times New Roman"/>
          <w:sz w:val="20"/>
          <w:szCs w:val="20"/>
          <w:color w:val="auto"/>
        </w:rPr>
        <w:t>. All Awards shall be subject to reduction, cancellation, forfeiture or recoupment to the extent necessary to comply with (i) any clawback, forfeiture or other similar policy adopted by the Board or the Committee and as in effect from time to time; and (ii) 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219" w:lineRule="exact"/>
        <w:rPr>
          <w:rFonts w:ascii="Times New Roman" w:cs="Times New Roman" w:eastAsia="Times New Roman" w:hAnsi="Times New Roman"/>
          <w:sz w:val="20"/>
          <w:szCs w:val="20"/>
          <w:color w:val="auto"/>
        </w:rPr>
      </w:pPr>
    </w:p>
    <w:p>
      <w:pPr>
        <w:ind w:right="20" w:firstLine="656"/>
        <w:spacing w:after="0" w:line="266" w:lineRule="auto"/>
        <w:tabs>
          <w:tab w:leader="none" w:pos="128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of Offset</w:t>
      </w:r>
      <w:r>
        <w:rPr>
          <w:rFonts w:ascii="Times New Roman" w:cs="Times New Roman" w:eastAsia="Times New Roman" w:hAnsi="Times New Roman"/>
          <w:sz w:val="19"/>
          <w:szCs w:val="19"/>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95" w:lineRule="exact"/>
        <w:rPr>
          <w:rFonts w:ascii="Times New Roman" w:cs="Times New Roman" w:eastAsia="Times New Roman" w:hAnsi="Times New Roman"/>
          <w:sz w:val="19"/>
          <w:szCs w:val="19"/>
          <w:color w:val="auto"/>
        </w:rPr>
      </w:pPr>
    </w:p>
    <w:p>
      <w:pPr>
        <w:ind w:firstLine="656"/>
        <w:spacing w:after="0" w:line="261" w:lineRule="auto"/>
        <w:tabs>
          <w:tab w:leader="none" w:pos="1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 Titles and Headings</w:t>
      </w:r>
      <w:r>
        <w:rPr>
          <w:rFonts w:ascii="Times New Roman" w:cs="Times New Roman" w:eastAsia="Times New Roman" w:hAnsi="Times New Roman"/>
          <w:sz w:val="20"/>
          <w:szCs w:val="20"/>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Letter"/>
      <w:start w:val="4"/>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upperLetter"/>
      <w:start w:val="1"/>
    </w:lvl>
    <w:lvl w:ilvl="1">
      <w:lvlJc w:val="left"/>
      <w:lvlText w:val="(%2)"/>
      <w:numFmt w:val="lowerLetter"/>
      <w:start w:val="1"/>
    </w:lvl>
  </w:abstractNum>
  <w:abstractNum w:abstractNumId="6">
    <w:nsid w:val="8EDBDAB"/>
    <w:multiLevelType w:val="hybridMultilevel"/>
    <w:lvl w:ilvl="0">
      <w:lvlJc w:val="left"/>
      <w:lvlText w:val="(%1)"/>
      <w:numFmt w:val="upperLetter"/>
      <w:start w:val="1"/>
    </w:lvl>
    <w:lvl w:ilvl="1">
      <w:lvlJc w:val="left"/>
      <w:lvlText w:val="%2"/>
      <w:numFmt w:val="lowerLetter"/>
      <w:start w:val="1"/>
    </w:lvl>
  </w:abstractNum>
  <w:abstractNum w:abstractNumId="7">
    <w:nsid w:val="79838CB2"/>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8">
    <w:nsid w:val="4353D0CD"/>
    <w:multiLevelType w:val="hybridMultilevel"/>
    <w:lvl w:ilvl="0">
      <w:lvlJc w:val="left"/>
      <w:lvlText w:val="(%1)"/>
      <w:numFmt w:val="lowerLetter"/>
      <w:start w:val="10"/>
    </w:lvl>
  </w:abstractNum>
  <w:abstractNum w:abstractNumId="9">
    <w:nsid w:val="B03E0C6"/>
    <w:multiLevelType w:val="hybridMultilevel"/>
    <w:lvl w:ilvl="0">
      <w:lvlJc w:val="left"/>
      <w:lvlText w:val="(%1)"/>
      <w:numFmt w:val="lowerLetter"/>
      <w:start w:val="11"/>
    </w:lvl>
  </w:abstractNum>
  <w:abstractNum w:abstractNumId="10">
    <w:nsid w:val="189A769B"/>
    <w:multiLevelType w:val="hybridMultilevel"/>
    <w:lvl w:ilvl="0">
      <w:lvlJc w:val="left"/>
      <w:lvlText w:val="%1"/>
      <w:numFmt w:val="lowerLetter"/>
      <w:start w:val="1"/>
    </w:lvl>
    <w:lvl w:ilvl="1">
      <w:lvlJc w:val="left"/>
      <w:lvlText w:val="(%2)"/>
      <w:numFmt w:val="lowerLetter"/>
      <w:start w:val="21"/>
    </w:lvl>
  </w:abstractNum>
  <w:abstractNum w:abstractNumId="11">
    <w:nsid w:val="54E49EB4"/>
    <w:multiLevelType w:val="hybridMultilevel"/>
    <w:lvl w:ilvl="0">
      <w:lvlJc w:val="left"/>
      <w:lvlText w:val="(%1)"/>
      <w:numFmt w:val="lowerLetter"/>
      <w:start w:val="61"/>
    </w:lvl>
    <w:lvl w:ilvl="1">
      <w:lvlJc w:val="left"/>
      <w:lvlText w:val="%2"/>
      <w:numFmt w:val="lowerLetter"/>
      <w:start w:val="1"/>
    </w:lvl>
  </w:abstractNum>
  <w:abstractNum w:abstractNumId="12">
    <w:nsid w:val="71F32454"/>
    <w:multiLevelType w:val="hybridMultilevel"/>
    <w:lvl w:ilvl="0">
      <w:lvlJc w:val="left"/>
      <w:lvlText w:val="(%1)"/>
      <w:numFmt w:val="lowerLetter"/>
      <w:start w:val="23"/>
    </w:lvl>
  </w:abstractNum>
  <w:abstractNum w:abstractNumId="13">
    <w:nsid w:val="2CA88611"/>
    <w:multiLevelType w:val="hybridMultilevel"/>
    <w:lvl w:ilvl="0">
      <w:lvlJc w:val="left"/>
      <w:lvlText w:val="(%1)"/>
      <w:numFmt w:val="lowerLetter"/>
      <w:start w:val="27"/>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decimal"/>
      <w:start w:val="3"/>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4"/>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decimal"/>
      <w:start w:val="6"/>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3"/>
    </w:lvl>
    <w:lvl w:ilvl="1">
      <w:lvlJc w:val="left"/>
      <w:lvlText w:val="(%2)"/>
      <w:numFmt w:val="lowerRoman"/>
      <w:start w:val="1"/>
    </w:lvl>
  </w:abstractNum>
  <w:abstractNum w:abstractNumId="22">
    <w:nsid w:val="22221A70"/>
    <w:multiLevelType w:val="hybridMultilevel"/>
    <w:lvl w:ilvl="0">
      <w:lvlJc w:val="left"/>
      <w:lvlText w:val="(%1)"/>
      <w:numFmt w:val="lowerLetter"/>
      <w:start w:val="4"/>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2"/>
    </w:lvl>
    <w:lvl w:ilvl="1">
      <w:lvlJc w:val="left"/>
      <w:lvlText w:val="(%2)"/>
      <w:numFmt w:val="lowerRoman"/>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3"/>
    </w:lvl>
    <w:lvl w:ilvl="1">
      <w:lvlJc w:val="left"/>
      <w:lvlText w:val="(%2)"/>
      <w:numFmt w:val="lowerRoman"/>
      <w:start w:val="1"/>
    </w:lvl>
  </w:abstractNum>
  <w:abstractNum w:abstractNumId="27">
    <w:nsid w:val="5577F8E1"/>
    <w:multiLevelType w:val="hybridMultilevel"/>
    <w:lvl w:ilvl="0">
      <w:lvlJc w:val="left"/>
      <w:lvlText w:val="%1."/>
      <w:numFmt w:val="decimal"/>
      <w:start w:val="10"/>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2"/>
    </w:lvl>
    <w:lvl w:ilvl="1">
      <w:lvlJc w:val="left"/>
      <w:lvlText w:val="(%2)"/>
      <w:numFmt w:val="lowerRoman"/>
      <w:start w:val="1"/>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lvl w:ilvl="1">
      <w:lvlJc w:val="left"/>
      <w:lvlText w:val="(%2)"/>
      <w:numFmt w:val="lowerRoman"/>
      <w:start w:val="1"/>
    </w:lvl>
  </w:abstractNum>
  <w:abstractNum w:abstractNumId="34">
    <w:nsid w:val="2463B9EA"/>
    <w:multiLevelType w:val="hybridMultilevel"/>
    <w:lvl w:ilvl="0">
      <w:lvlJc w:val="left"/>
      <w:lvlText w:val="(%1)"/>
      <w:numFmt w:val="lowerLetter"/>
      <w:start w:val="3"/>
    </w:lvl>
    <w:lvl w:ilvl="1">
      <w:lvlJc w:val="left"/>
      <w:lvlText w:val="%2"/>
      <w:numFmt w:val="lowerRoman"/>
      <w:start w:val="1"/>
    </w:lvl>
  </w:abstractNum>
  <w:abstractNum w:abstractNumId="35">
    <w:nsid w:val="5E884ADC"/>
    <w:multiLevelType w:val="hybridMultilevel"/>
    <w:lvl w:ilvl="0">
      <w:lvlJc w:val="left"/>
      <w:lvlText w:val="(%1)"/>
      <w:numFmt w:val="lowerLetter"/>
      <w:start w:val="4"/>
    </w:lvl>
    <w:lvl w:ilvl="1">
      <w:lvlJc w:val="left"/>
      <w:lvlText w:val="(%2)"/>
      <w:numFmt w:val="lowerRoman"/>
      <w:start w:val="1"/>
    </w:lvl>
  </w:abstractNum>
  <w:abstractNum w:abstractNumId="36">
    <w:nsid w:val="51EAD36B"/>
    <w:multiLevelType w:val="hybridMultilevel"/>
    <w:lvl w:ilvl="0">
      <w:lvlJc w:val="left"/>
      <w:lvlText w:val="(%1)"/>
      <w:numFmt w:val="lowerLetter"/>
      <w:start w:val="6"/>
    </w:lvl>
  </w:abstractNum>
  <w:abstractNum w:abstractNumId="37">
    <w:nsid w:val="2D517796"/>
    <w:multiLevelType w:val="hybridMultilevel"/>
    <w:lvl w:ilvl="0">
      <w:lvlJc w:val="left"/>
      <w:lvlText w:val="(%1)"/>
      <w:numFmt w:val="lowerLetter"/>
      <w:start w:val="11"/>
    </w:lvl>
    <w:lvl w:ilvl="1">
      <w:lvlJc w:val="left"/>
      <w:lvlText w:val="(%2)"/>
      <w:numFmt w:val="lowerRoman"/>
      <w:start w:val="1"/>
    </w:lvl>
  </w:abstractNum>
  <w:abstractNum w:abstractNumId="38">
    <w:nsid w:val="580BD78F"/>
    <w:multiLevelType w:val="hybridMultilevel"/>
    <w:lvl w:ilvl="0">
      <w:lvlJc w:val="left"/>
      <w:lvlText w:val="(%1)"/>
      <w:numFmt w:val="lowerLetter"/>
      <w:start w:val="13"/>
    </w:lvl>
  </w:abstractNum>
  <w:abstractNum w:abstractNumId="39">
    <w:nsid w:val="153EA438"/>
    <w:multiLevelType w:val="hybridMultilevel"/>
    <w:lvl w:ilvl="0">
      <w:lvlJc w:val="left"/>
      <w:lvlText w:val="(%1)"/>
      <w:numFmt w:val="lowerLetter"/>
      <w:start w:val="17"/>
    </w:lvl>
    <w:lvl w:ilvl="1">
      <w:lvlJc w:val="left"/>
      <w:lvlText w:val="(%2)"/>
      <w:numFmt w:val="lowerLetter"/>
      <w:start w:val="9"/>
    </w:lvl>
  </w:abstractNum>
  <w:abstractNum w:abstractNumId="40">
    <w:nsid w:val="3855585C"/>
    <w:multiLevelType w:val="hybridMultilevel"/>
    <w:lvl w:ilvl="0">
      <w:lvlJc w:val="left"/>
      <w:lvlText w:val="%1"/>
      <w:numFmt w:val="lowerLetter"/>
      <w:start w:val="1"/>
    </w:lvl>
    <w:lvl w:ilvl="1">
      <w:lvlJc w:val="left"/>
      <w:lvlText w:val="(%2)"/>
      <w:numFmt w:val="lowerRoman"/>
      <w:start w:val="2"/>
    </w:lvl>
  </w:abstractNum>
  <w:abstractNum w:abstractNumId="41">
    <w:nsid w:val="70A64E2A"/>
    <w:multiLevelType w:val="hybridMultilevel"/>
    <w:lvl w:ilvl="0">
      <w:lvlJc w:val="left"/>
      <w:lvlText w:val="(%1)"/>
      <w:numFmt w:val="lowerLetter"/>
      <w:start w:val="2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2024-06-13T15:44:05Z</dcterms:created>
  <dcterms:modified xsi:type="dcterms:W3CDTF">2024-06-13T15:44:05Z</dcterms:modified>
</cp:coreProperties>
</file>