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31"/>
          <w:szCs w:val="31"/>
          <w:b w:val="1"/>
          <w:bCs w:val="1"/>
          <w:color w:val="auto"/>
        </w:rPr>
        <w:drawing>
          <wp:anchor simplePos="0" relativeHeight="251657728" behindDoc="1" locked="0" layoutInCell="0" allowOverlap="1">
            <wp:simplePos x="0" y="0"/>
            <wp:positionH relativeFrom="page">
              <wp:posOffset>157480</wp:posOffset>
            </wp:positionH>
            <wp:positionV relativeFrom="page">
              <wp:posOffset>629285</wp:posOffset>
            </wp:positionV>
            <wp:extent cx="712660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26605"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534670</wp:posOffset>
            </wp:positionV>
            <wp:extent cx="7126605"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26605" cy="17145"/>
                    </a:xfrm>
                    <a:prstGeom prst="rect">
                      <a:avLst/>
                    </a:prstGeom>
                    <a:noFill/>
                  </pic:spPr>
                </pic:pic>
              </a:graphicData>
            </a:graphic>
          </wp:anchor>
        </w:drawing>
        <w:t>UNITED STATES</w:t>
      </w:r>
    </w:p>
    <w:p>
      <w:pPr>
        <w:spacing w:after="0" w:line="17" w:lineRule="exact"/>
        <w:rPr>
          <w:sz w:val="24"/>
          <w:szCs w:val="24"/>
          <w:color w:val="auto"/>
        </w:rPr>
      </w:pPr>
    </w:p>
    <w:p>
      <w:pPr>
        <w:jc w:val="center"/>
        <w:ind w:right="-39"/>
        <w:spacing w:after="0"/>
        <w:rPr>
          <w:sz w:val="20"/>
          <w:szCs w:val="20"/>
          <w:color w:val="auto"/>
        </w:rPr>
      </w:pPr>
      <w:r>
        <w:rPr>
          <w:rFonts w:ascii="Arial" w:cs="Arial" w:eastAsia="Arial" w:hAnsi="Arial"/>
          <w:sz w:val="31"/>
          <w:szCs w:val="31"/>
          <w:b w:val="1"/>
          <w:bCs w:val="1"/>
          <w:color w:val="auto"/>
        </w:rPr>
        <w:t>SECURITIES AND EXCHANGE COMMISSION</w:t>
      </w:r>
    </w:p>
    <w:p>
      <w:pPr>
        <w:jc w:val="center"/>
        <w:ind w:right="-39"/>
        <w:spacing w:after="0"/>
        <w:rPr>
          <w:sz w:val="20"/>
          <w:szCs w:val="20"/>
          <w:color w:val="auto"/>
        </w:rPr>
      </w:pPr>
      <w:r>
        <w:rPr>
          <w:rFonts w:ascii="Arial" w:cs="Arial" w:eastAsia="Arial" w:hAnsi="Arial"/>
          <w:sz w:val="16"/>
          <w:szCs w:val="16"/>
          <w:b w:val="1"/>
          <w:bCs w:val="1"/>
          <w:color w:val="auto"/>
        </w:rPr>
        <w:t>Washington, D.C. 20549</w:t>
      </w:r>
    </w:p>
    <w:p>
      <w:pPr>
        <w:spacing w:after="0" w:line="217" w:lineRule="exact"/>
        <w:rPr>
          <w:sz w:val="24"/>
          <w:szCs w:val="24"/>
          <w:color w:val="auto"/>
        </w:rPr>
      </w:pPr>
    </w:p>
    <w:p>
      <w:pPr>
        <w:ind w:left="3800"/>
        <w:spacing w:after="0"/>
        <w:rPr>
          <w:sz w:val="20"/>
          <w:szCs w:val="20"/>
          <w:color w:val="auto"/>
        </w:rPr>
      </w:pPr>
      <w:r>
        <w:rPr>
          <w:rFonts w:ascii="Arial" w:cs="Arial" w:eastAsia="Arial" w:hAnsi="Arial"/>
          <w:sz w:val="11"/>
          <w:szCs w:val="11"/>
          <w:b w:val="1"/>
          <w:bCs w:val="1"/>
          <w:color w:val="auto"/>
        </w:rPr>
        <w:t>_______________________________________________________________________</w:t>
      </w:r>
    </w:p>
    <w:p>
      <w:pPr>
        <w:spacing w:after="0" w:line="53" w:lineRule="exact"/>
        <w:rPr>
          <w:sz w:val="24"/>
          <w:szCs w:val="24"/>
          <w:color w:val="auto"/>
        </w:rPr>
      </w:pPr>
    </w:p>
    <w:p>
      <w:pPr>
        <w:jc w:val="center"/>
        <w:ind w:right="-39"/>
        <w:spacing w:after="0"/>
        <w:rPr>
          <w:sz w:val="20"/>
          <w:szCs w:val="20"/>
          <w:color w:val="auto"/>
        </w:rPr>
      </w:pPr>
      <w:r>
        <w:rPr>
          <w:rFonts w:ascii="Arial" w:cs="Arial" w:eastAsia="Arial" w:hAnsi="Arial"/>
          <w:sz w:val="31"/>
          <w:szCs w:val="31"/>
          <w:b w:val="1"/>
          <w:bCs w:val="1"/>
          <w:color w:val="auto"/>
        </w:rPr>
        <w:t>FORM 8-K</w:t>
      </w:r>
    </w:p>
    <w:p>
      <w:pPr>
        <w:spacing w:after="0" w:line="99" w:lineRule="exact"/>
        <w:rPr>
          <w:sz w:val="24"/>
          <w:szCs w:val="24"/>
          <w:color w:val="auto"/>
        </w:rPr>
      </w:pPr>
    </w:p>
    <w:p>
      <w:pPr>
        <w:ind w:left="3800"/>
        <w:spacing w:after="0"/>
        <w:rPr>
          <w:sz w:val="20"/>
          <w:szCs w:val="20"/>
          <w:color w:val="auto"/>
        </w:rPr>
      </w:pPr>
      <w:r>
        <w:rPr>
          <w:rFonts w:ascii="Arial" w:cs="Arial" w:eastAsia="Arial" w:hAnsi="Arial"/>
          <w:sz w:val="11"/>
          <w:szCs w:val="11"/>
          <w:b w:val="1"/>
          <w:bCs w:val="1"/>
          <w:color w:val="auto"/>
        </w:rPr>
        <w:t>_______________________________________________________________________</w:t>
      </w:r>
    </w:p>
    <w:p>
      <w:pPr>
        <w:spacing w:after="0" w:line="283" w:lineRule="exact"/>
        <w:rPr>
          <w:sz w:val="24"/>
          <w:szCs w:val="24"/>
          <w:color w:val="auto"/>
        </w:rPr>
      </w:pPr>
    </w:p>
    <w:p>
      <w:pPr>
        <w:jc w:val="center"/>
        <w:ind w:right="-39"/>
        <w:spacing w:after="0"/>
        <w:rPr>
          <w:sz w:val="20"/>
          <w:szCs w:val="20"/>
          <w:color w:val="auto"/>
        </w:rPr>
      </w:pPr>
      <w:r>
        <w:rPr>
          <w:rFonts w:ascii="Arial" w:cs="Arial" w:eastAsia="Arial" w:hAnsi="Arial"/>
          <w:sz w:val="20"/>
          <w:szCs w:val="20"/>
          <w:b w:val="1"/>
          <w:bCs w:val="1"/>
          <w:color w:val="auto"/>
        </w:rPr>
        <w:t>CURRENT REPORT</w:t>
      </w:r>
    </w:p>
    <w:p>
      <w:pPr>
        <w:spacing w:after="0" w:line="63" w:lineRule="exact"/>
        <w:rPr>
          <w:sz w:val="24"/>
          <w:szCs w:val="24"/>
          <w:color w:val="auto"/>
        </w:rPr>
      </w:pPr>
    </w:p>
    <w:p>
      <w:pPr>
        <w:jc w:val="center"/>
        <w:ind w:right="-39"/>
        <w:spacing w:after="0"/>
        <w:rPr>
          <w:sz w:val="20"/>
          <w:szCs w:val="20"/>
          <w:color w:val="auto"/>
        </w:rPr>
      </w:pPr>
      <w:r>
        <w:rPr>
          <w:rFonts w:ascii="Arial" w:cs="Arial" w:eastAsia="Arial" w:hAnsi="Arial"/>
          <w:sz w:val="16"/>
          <w:szCs w:val="16"/>
          <w:b w:val="1"/>
          <w:bCs w:val="1"/>
          <w:color w:val="auto"/>
        </w:rPr>
        <w:t>Pursuant to Section 13 or 15(d) of the securities Exchange Act of 1934</w:t>
      </w:r>
    </w:p>
    <w:p>
      <w:pPr>
        <w:spacing w:after="0" w:line="73" w:lineRule="exact"/>
        <w:rPr>
          <w:sz w:val="24"/>
          <w:szCs w:val="24"/>
          <w:color w:val="auto"/>
        </w:rPr>
      </w:pPr>
    </w:p>
    <w:p>
      <w:pPr>
        <w:jc w:val="center"/>
        <w:ind w:right="-39"/>
        <w:spacing w:after="0"/>
        <w:rPr>
          <w:sz w:val="20"/>
          <w:szCs w:val="20"/>
          <w:color w:val="auto"/>
        </w:rPr>
      </w:pPr>
      <w:r>
        <w:rPr>
          <w:rFonts w:ascii="Arial" w:cs="Arial" w:eastAsia="Arial" w:hAnsi="Arial"/>
          <w:sz w:val="16"/>
          <w:szCs w:val="16"/>
          <w:b w:val="1"/>
          <w:bCs w:val="1"/>
          <w:color w:val="auto"/>
        </w:rPr>
        <w:t>Date of Report (Date Earliest Event report):</w:t>
      </w:r>
    </w:p>
    <w:p>
      <w:pPr>
        <w:spacing w:after="0" w:line="73" w:lineRule="exact"/>
        <w:rPr>
          <w:sz w:val="24"/>
          <w:szCs w:val="24"/>
          <w:color w:val="auto"/>
        </w:rPr>
      </w:pPr>
    </w:p>
    <w:p>
      <w:pPr>
        <w:jc w:val="center"/>
        <w:ind w:right="-39"/>
        <w:spacing w:after="0"/>
        <w:rPr>
          <w:sz w:val="20"/>
          <w:szCs w:val="20"/>
          <w:color w:val="auto"/>
        </w:rPr>
      </w:pPr>
      <w:r>
        <w:rPr>
          <w:rFonts w:ascii="Arial" w:cs="Arial" w:eastAsia="Arial" w:hAnsi="Arial"/>
          <w:sz w:val="16"/>
          <w:szCs w:val="16"/>
          <w:b w:val="1"/>
          <w:bCs w:val="1"/>
          <w:color w:val="auto"/>
        </w:rPr>
        <w:t>February 27, 2019</w:t>
      </w:r>
    </w:p>
    <w:p>
      <w:pPr>
        <w:spacing w:after="0" w:line="86" w:lineRule="exact"/>
        <w:rPr>
          <w:sz w:val="24"/>
          <w:szCs w:val="24"/>
          <w:color w:val="auto"/>
        </w:rPr>
      </w:pPr>
    </w:p>
    <w:p>
      <w:pPr>
        <w:ind w:left="3800"/>
        <w:spacing w:after="0"/>
        <w:rPr>
          <w:sz w:val="20"/>
          <w:szCs w:val="20"/>
          <w:color w:val="auto"/>
        </w:rPr>
      </w:pPr>
      <w:r>
        <w:rPr>
          <w:rFonts w:ascii="Arial" w:cs="Arial" w:eastAsia="Arial" w:hAnsi="Arial"/>
          <w:sz w:val="11"/>
          <w:szCs w:val="11"/>
          <w:b w:val="1"/>
          <w:bCs w:val="1"/>
          <w:color w:val="auto"/>
        </w:rPr>
        <w:t>_______________________________________________________________________</w:t>
      </w:r>
    </w:p>
    <w:p>
      <w:pPr>
        <w:spacing w:after="0" w:line="58" w:lineRule="exact"/>
        <w:rPr>
          <w:sz w:val="24"/>
          <w:szCs w:val="24"/>
          <w:color w:val="auto"/>
        </w:rPr>
      </w:pPr>
    </w:p>
    <w:p>
      <w:pPr>
        <w:jc w:val="center"/>
        <w:ind w:right="-39"/>
        <w:spacing w:after="0"/>
        <w:rPr>
          <w:sz w:val="20"/>
          <w:szCs w:val="20"/>
          <w:color w:val="auto"/>
        </w:rPr>
      </w:pPr>
      <w:r>
        <w:rPr>
          <w:rFonts w:ascii="Arial" w:cs="Arial" w:eastAsia="Arial" w:hAnsi="Arial"/>
          <w:sz w:val="29"/>
          <w:szCs w:val="29"/>
          <w:b w:val="1"/>
          <w:bCs w:val="1"/>
          <w:color w:val="auto"/>
        </w:rPr>
        <w:t>National Vision Holdings, Inc.</w:t>
      </w:r>
    </w:p>
    <w:p>
      <w:pPr>
        <w:spacing w:after="0" w:line="24"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(Exact name of registrant as specified in its charter)</w:t>
      </w:r>
    </w:p>
    <w:p>
      <w:pPr>
        <w:spacing w:after="0" w:line="169" w:lineRule="exact"/>
        <w:rPr>
          <w:sz w:val="24"/>
          <w:szCs w:val="24"/>
          <w:color w:val="auto"/>
        </w:rPr>
      </w:pPr>
    </w:p>
    <w:p>
      <w:pPr>
        <w:ind w:left="3800"/>
        <w:spacing w:after="0"/>
        <w:rPr>
          <w:sz w:val="20"/>
          <w:szCs w:val="20"/>
          <w:color w:val="auto"/>
        </w:rPr>
      </w:pPr>
      <w:r>
        <w:rPr>
          <w:rFonts w:ascii="Arial" w:cs="Arial" w:eastAsia="Arial" w:hAnsi="Arial"/>
          <w:sz w:val="11"/>
          <w:szCs w:val="11"/>
          <w:b w:val="1"/>
          <w:bCs w:val="1"/>
          <w:color w:val="auto"/>
        </w:rPr>
        <w:t>_______________________________________________________________________</w:t>
      </w:r>
    </w:p>
    <w:p>
      <w:pPr>
        <w:sectPr>
          <w:pgSz w:w="11900" w:h="16838" w:orient="portrait"/>
          <w:cols w:equalWidth="0" w:num="1">
            <w:col w:w="11380"/>
          </w:cols>
          <w:pgMar w:left="240" w:top="1075" w:right="279" w:bottom="1440" w:gutter="0" w:footer="0" w:header="0"/>
        </w:sectPr>
      </w:pPr>
    </w:p>
    <w:p>
      <w:pPr>
        <w:spacing w:after="0" w:line="157" w:lineRule="exact"/>
        <w:rPr>
          <w:sz w:val="24"/>
          <w:szCs w:val="24"/>
          <w:color w:val="auto"/>
        </w:rPr>
      </w:pPr>
    </w:p>
    <w:p>
      <w:pPr>
        <w:jc w:val="center"/>
        <w:ind w:right="2060"/>
        <w:spacing w:after="0"/>
        <w:rPr>
          <w:sz w:val="20"/>
          <w:szCs w:val="20"/>
          <w:color w:val="auto"/>
        </w:rPr>
      </w:pPr>
      <w:r>
        <w:rPr>
          <w:rFonts w:ascii="Arial" w:cs="Arial" w:eastAsia="Arial" w:hAnsi="Arial"/>
          <w:sz w:val="16"/>
          <w:szCs w:val="16"/>
          <w:b w:val="1"/>
          <w:bCs w:val="1"/>
          <w:color w:val="auto"/>
        </w:rPr>
        <w:t>Delaware</w:t>
      </w:r>
    </w:p>
    <w:p>
      <w:pPr>
        <w:spacing w:after="0" w:line="26" w:lineRule="exact"/>
        <w:rPr>
          <w:sz w:val="24"/>
          <w:szCs w:val="24"/>
          <w:color w:val="auto"/>
        </w:rPr>
      </w:pPr>
    </w:p>
    <w:p>
      <w:pPr>
        <w:ind w:left="1320"/>
        <w:spacing w:after="0"/>
        <w:rPr>
          <w:sz w:val="20"/>
          <w:szCs w:val="20"/>
          <w:color w:val="auto"/>
        </w:rPr>
      </w:pPr>
      <w:r>
        <w:rPr>
          <w:rFonts w:ascii="Arial" w:cs="Arial" w:eastAsia="Arial" w:hAnsi="Arial"/>
          <w:sz w:val="16"/>
          <w:szCs w:val="16"/>
          <w:color w:val="auto"/>
        </w:rPr>
        <w:t>(State or other jurisdiction of</w:t>
      </w:r>
    </w:p>
    <w:p>
      <w:pPr>
        <w:spacing w:after="0" w:line="19" w:lineRule="exact"/>
        <w:rPr>
          <w:sz w:val="24"/>
          <w:szCs w:val="24"/>
          <w:color w:val="auto"/>
        </w:rPr>
      </w:pPr>
    </w:p>
    <w:p>
      <w:pPr>
        <w:ind w:left="1280"/>
        <w:spacing w:after="0"/>
        <w:rPr>
          <w:sz w:val="20"/>
          <w:szCs w:val="20"/>
          <w:color w:val="auto"/>
        </w:rPr>
      </w:pPr>
      <w:r>
        <w:rPr>
          <w:rFonts w:ascii="Arial" w:cs="Arial" w:eastAsia="Arial" w:hAnsi="Arial"/>
          <w:sz w:val="16"/>
          <w:szCs w:val="16"/>
          <w:color w:val="auto"/>
        </w:rPr>
        <w:t>incorporation or organization)</w:t>
      </w:r>
    </w:p>
    <w:p>
      <w:pPr>
        <w:spacing w:after="0" w:line="321" w:lineRule="exact"/>
        <w:rPr>
          <w:sz w:val="24"/>
          <w:szCs w:val="24"/>
          <w:color w:val="auto"/>
        </w:rPr>
      </w:pPr>
    </w:p>
    <w:p>
      <w:pPr>
        <w:jc w:val="center"/>
        <w:ind w:right="2060"/>
        <w:spacing w:after="0"/>
        <w:rPr>
          <w:sz w:val="20"/>
          <w:szCs w:val="20"/>
          <w:color w:val="auto"/>
        </w:rPr>
      </w:pPr>
      <w:r>
        <w:rPr>
          <w:rFonts w:ascii="Arial" w:cs="Arial" w:eastAsia="Arial" w:hAnsi="Arial"/>
          <w:sz w:val="16"/>
          <w:szCs w:val="16"/>
          <w:b w:val="1"/>
          <w:bCs w:val="1"/>
          <w:color w:val="auto"/>
        </w:rPr>
        <w:t>2435 Commerce Ave,</w:t>
      </w:r>
    </w:p>
    <w:p>
      <w:pPr>
        <w:spacing w:after="0" w:line="26" w:lineRule="exact"/>
        <w:rPr>
          <w:sz w:val="24"/>
          <w:szCs w:val="24"/>
          <w:color w:val="auto"/>
        </w:rPr>
      </w:pPr>
    </w:p>
    <w:p>
      <w:pPr>
        <w:jc w:val="center"/>
        <w:ind w:right="2060"/>
        <w:spacing w:after="0"/>
        <w:rPr>
          <w:sz w:val="20"/>
          <w:szCs w:val="20"/>
          <w:color w:val="auto"/>
        </w:rPr>
      </w:pPr>
      <w:r>
        <w:rPr>
          <w:rFonts w:ascii="Arial" w:cs="Arial" w:eastAsia="Arial" w:hAnsi="Arial"/>
          <w:sz w:val="16"/>
          <w:szCs w:val="16"/>
          <w:b w:val="1"/>
          <w:bCs w:val="1"/>
          <w:color w:val="auto"/>
        </w:rPr>
        <w:t>Building 2200</w:t>
      </w:r>
    </w:p>
    <w:p>
      <w:pPr>
        <w:spacing w:after="0" w:line="19" w:lineRule="exact"/>
        <w:rPr>
          <w:sz w:val="24"/>
          <w:szCs w:val="24"/>
          <w:color w:val="auto"/>
        </w:rPr>
      </w:pPr>
    </w:p>
    <w:p>
      <w:pPr>
        <w:jc w:val="center"/>
        <w:ind w:right="2060"/>
        <w:spacing w:after="0"/>
        <w:rPr>
          <w:sz w:val="20"/>
          <w:szCs w:val="20"/>
          <w:color w:val="auto"/>
        </w:rPr>
      </w:pPr>
      <w:r>
        <w:rPr>
          <w:rFonts w:ascii="Arial" w:cs="Arial" w:eastAsia="Arial" w:hAnsi="Arial"/>
          <w:sz w:val="16"/>
          <w:szCs w:val="16"/>
          <w:b w:val="1"/>
          <w:bCs w:val="1"/>
          <w:color w:val="auto"/>
        </w:rPr>
        <w:t>Duluth, Georgia</w:t>
      </w:r>
    </w:p>
    <w:p>
      <w:pPr>
        <w:spacing w:after="0" w:line="19" w:lineRule="exact"/>
        <w:rPr>
          <w:sz w:val="24"/>
          <w:szCs w:val="24"/>
          <w:color w:val="auto"/>
        </w:rPr>
      </w:pPr>
    </w:p>
    <w:p>
      <w:pPr>
        <w:jc w:val="center"/>
        <w:ind w:right="2060"/>
        <w:spacing w:after="0"/>
        <w:rPr>
          <w:sz w:val="20"/>
          <w:szCs w:val="20"/>
          <w:color w:val="auto"/>
        </w:rPr>
      </w:pPr>
      <w:r>
        <w:rPr>
          <w:rFonts w:ascii="Arial" w:cs="Arial" w:eastAsia="Arial" w:hAnsi="Arial"/>
          <w:sz w:val="16"/>
          <w:szCs w:val="16"/>
          <w:color w:val="auto"/>
        </w:rPr>
        <w:t>(Address of principal executive offices)</w:t>
      </w:r>
    </w:p>
    <w:p>
      <w:pPr>
        <w:spacing w:after="0" w:line="240" w:lineRule="exact"/>
        <w:rPr>
          <w:sz w:val="24"/>
          <w:szCs w:val="24"/>
          <w:color w:val="auto"/>
        </w:rPr>
      </w:pPr>
    </w:p>
    <w:p>
      <w:pPr>
        <w:jc w:val="center"/>
        <w:ind w:right="2060"/>
        <w:spacing w:after="0" w:line="184" w:lineRule="exact"/>
        <w:rPr>
          <w:sz w:val="20"/>
          <w:szCs w:val="20"/>
          <w:color w:val="auto"/>
        </w:rPr>
      </w:pPr>
      <w:r>
        <w:rPr>
          <w:rFonts w:ascii="Arial" w:cs="Arial" w:eastAsia="Arial" w:hAnsi="Arial"/>
          <w:sz w:val="16"/>
          <w:szCs w:val="16"/>
          <w:b w:val="1"/>
          <w:bCs w:val="1"/>
          <w:color w:val="auto"/>
        </w:rPr>
        <w:t>(770) 822</w:t>
      </w:r>
      <w:r>
        <w:rPr>
          <w:rFonts w:ascii="MS PGothic" w:cs="MS PGothic" w:eastAsia="MS PGothic" w:hAnsi="MS PGothic"/>
          <w:sz w:val="16"/>
          <w:szCs w:val="16"/>
          <w:b w:val="1"/>
          <w:bCs w:val="1"/>
          <w:color w:val="auto"/>
        </w:rPr>
        <w:t>‑</w:t>
      </w:r>
      <w:r>
        <w:rPr>
          <w:rFonts w:ascii="Arial" w:cs="Arial" w:eastAsia="Arial" w:hAnsi="Arial"/>
          <w:sz w:val="16"/>
          <w:szCs w:val="16"/>
          <w:b w:val="1"/>
          <w:bCs w:val="1"/>
          <w:color w:val="auto"/>
        </w:rPr>
        <w:t>3600</w:t>
      </w:r>
    </w:p>
    <w:p>
      <w:pPr>
        <w:spacing w:after="0" w:line="26" w:lineRule="exact"/>
        <w:rPr>
          <w:sz w:val="24"/>
          <w:szCs w:val="24"/>
          <w:color w:val="auto"/>
        </w:rPr>
      </w:pPr>
    </w:p>
    <w:p>
      <w:pPr>
        <w:jc w:val="center"/>
        <w:ind w:right="2060"/>
        <w:spacing w:after="0"/>
        <w:rPr>
          <w:sz w:val="20"/>
          <w:szCs w:val="20"/>
          <w:color w:val="auto"/>
        </w:rPr>
      </w:pPr>
      <w:r>
        <w:rPr>
          <w:rFonts w:ascii="Arial" w:cs="Arial" w:eastAsia="Arial" w:hAnsi="Arial"/>
          <w:sz w:val="14"/>
          <w:szCs w:val="14"/>
          <w:color w:val="auto"/>
        </w:rPr>
        <w:t>(Registrant’s telephone number, including area code)</w:t>
      </w:r>
    </w:p>
    <w:p>
      <w:pPr>
        <w:spacing w:after="0" w:line="20" w:lineRule="exact"/>
        <w:rPr>
          <w:sz w:val="24"/>
          <w:szCs w:val="24"/>
          <w:color w:val="auto"/>
        </w:rPr>
      </w:pPr>
      <w:r>
        <w:rPr>
          <w:sz w:val="24"/>
          <w:szCs w:val="24"/>
          <w:color w:val="auto"/>
        </w:rPr>
        <w:br w:type="column"/>
      </w:r>
    </w:p>
    <w:p>
      <w:pPr>
        <w:spacing w:after="0" w:line="137" w:lineRule="exact"/>
        <w:rPr>
          <w:sz w:val="24"/>
          <w:szCs w:val="24"/>
          <w:color w:val="auto"/>
        </w:rPr>
      </w:pPr>
    </w:p>
    <w:p>
      <w:pPr>
        <w:jc w:val="center"/>
        <w:ind w:right="600"/>
        <w:spacing w:after="0" w:line="184" w:lineRule="exact"/>
        <w:rPr>
          <w:sz w:val="20"/>
          <w:szCs w:val="20"/>
          <w:color w:val="auto"/>
        </w:rPr>
      </w:pPr>
      <w:r>
        <w:rPr>
          <w:rFonts w:ascii="Arial" w:cs="Arial" w:eastAsia="Arial" w:hAnsi="Arial"/>
          <w:sz w:val="16"/>
          <w:szCs w:val="16"/>
          <w:b w:val="1"/>
          <w:bCs w:val="1"/>
          <w:color w:val="auto"/>
        </w:rPr>
        <w:t>46</w:t>
      </w:r>
      <w:r>
        <w:rPr>
          <w:rFonts w:ascii="MS PGothic" w:cs="MS PGothic" w:eastAsia="MS PGothic" w:hAnsi="MS PGothic"/>
          <w:sz w:val="16"/>
          <w:szCs w:val="16"/>
          <w:b w:val="1"/>
          <w:bCs w:val="1"/>
          <w:color w:val="auto"/>
        </w:rPr>
        <w:t>‑</w:t>
      </w:r>
      <w:r>
        <w:rPr>
          <w:rFonts w:ascii="Arial" w:cs="Arial" w:eastAsia="Arial" w:hAnsi="Arial"/>
          <w:sz w:val="16"/>
          <w:szCs w:val="16"/>
          <w:b w:val="1"/>
          <w:bCs w:val="1"/>
          <w:color w:val="auto"/>
        </w:rPr>
        <w:t>4841717</w:t>
      </w:r>
    </w:p>
    <w:p>
      <w:pPr>
        <w:spacing w:after="0" w:line="26" w:lineRule="exact"/>
        <w:rPr>
          <w:sz w:val="24"/>
          <w:szCs w:val="24"/>
          <w:color w:val="auto"/>
        </w:rPr>
      </w:pPr>
    </w:p>
    <w:p>
      <w:pPr>
        <w:jc w:val="center"/>
        <w:ind w:right="600"/>
        <w:spacing w:after="0"/>
        <w:rPr>
          <w:sz w:val="20"/>
          <w:szCs w:val="20"/>
          <w:color w:val="auto"/>
        </w:rPr>
      </w:pPr>
      <w:r>
        <w:rPr>
          <w:rFonts w:ascii="Arial" w:cs="Arial" w:eastAsia="Arial" w:hAnsi="Arial"/>
          <w:sz w:val="16"/>
          <w:szCs w:val="16"/>
          <w:color w:val="auto"/>
        </w:rPr>
        <w:t>(I.R.S. Employer</w:t>
      </w:r>
    </w:p>
    <w:p>
      <w:pPr>
        <w:spacing w:after="0" w:line="19" w:lineRule="exact"/>
        <w:rPr>
          <w:sz w:val="24"/>
          <w:szCs w:val="24"/>
          <w:color w:val="auto"/>
        </w:rPr>
      </w:pPr>
    </w:p>
    <w:p>
      <w:pPr>
        <w:jc w:val="center"/>
        <w:ind w:right="600"/>
        <w:spacing w:after="0"/>
        <w:rPr>
          <w:sz w:val="20"/>
          <w:szCs w:val="20"/>
          <w:color w:val="auto"/>
        </w:rPr>
      </w:pPr>
      <w:r>
        <w:rPr>
          <w:rFonts w:ascii="Arial" w:cs="Arial" w:eastAsia="Arial" w:hAnsi="Arial"/>
          <w:sz w:val="16"/>
          <w:szCs w:val="16"/>
          <w:color w:val="auto"/>
        </w:rPr>
        <w:t>Identification No.)</w:t>
      </w:r>
    </w:p>
    <w:p>
      <w:pPr>
        <w:spacing w:after="0" w:line="200" w:lineRule="exact"/>
        <w:rPr>
          <w:sz w:val="24"/>
          <w:szCs w:val="24"/>
          <w:color w:val="auto"/>
        </w:rPr>
      </w:pPr>
    </w:p>
    <w:p>
      <w:pPr>
        <w:spacing w:after="0" w:line="216" w:lineRule="exact"/>
        <w:rPr>
          <w:sz w:val="24"/>
          <w:szCs w:val="24"/>
          <w:color w:val="auto"/>
        </w:rPr>
      </w:pPr>
    </w:p>
    <w:p>
      <w:pPr>
        <w:jc w:val="center"/>
        <w:ind w:right="600"/>
        <w:spacing w:after="0"/>
        <w:rPr>
          <w:sz w:val="20"/>
          <w:szCs w:val="20"/>
          <w:color w:val="auto"/>
        </w:rPr>
      </w:pPr>
      <w:r>
        <w:rPr>
          <w:rFonts w:ascii="Arial" w:cs="Arial" w:eastAsia="Arial" w:hAnsi="Arial"/>
          <w:sz w:val="16"/>
          <w:szCs w:val="16"/>
          <w:b w:val="1"/>
          <w:bCs w:val="1"/>
          <w:color w:val="auto"/>
        </w:rPr>
        <w:t>30096</w:t>
      </w:r>
    </w:p>
    <w:p>
      <w:pPr>
        <w:spacing w:after="0" w:line="26" w:lineRule="exact"/>
        <w:rPr>
          <w:sz w:val="24"/>
          <w:szCs w:val="24"/>
          <w:color w:val="auto"/>
        </w:rPr>
      </w:pPr>
    </w:p>
    <w:p>
      <w:pPr>
        <w:jc w:val="center"/>
        <w:ind w:right="600"/>
        <w:spacing w:after="0"/>
        <w:rPr>
          <w:sz w:val="20"/>
          <w:szCs w:val="20"/>
          <w:color w:val="auto"/>
        </w:rPr>
      </w:pPr>
      <w:r>
        <w:rPr>
          <w:rFonts w:ascii="Arial" w:cs="Arial" w:eastAsia="Arial" w:hAnsi="Arial"/>
          <w:sz w:val="16"/>
          <w:szCs w:val="16"/>
          <w:color w:val="auto"/>
        </w:rPr>
        <w:t>(Zip Code)</w:t>
      </w:r>
    </w:p>
    <w:p>
      <w:pPr>
        <w:spacing w:after="0" w:line="200" w:lineRule="exact"/>
        <w:rPr>
          <w:sz w:val="24"/>
          <w:szCs w:val="24"/>
          <w:color w:val="auto"/>
        </w:rPr>
      </w:pPr>
    </w:p>
    <w:p>
      <w:pPr>
        <w:spacing w:after="0" w:line="216" w:lineRule="exact"/>
        <w:rPr>
          <w:sz w:val="24"/>
          <w:szCs w:val="24"/>
          <w:color w:val="auto"/>
        </w:rPr>
      </w:pPr>
    </w:p>
    <w:p>
      <w:pPr>
        <w:jc w:val="center"/>
        <w:ind w:right="600"/>
        <w:spacing w:after="0"/>
        <w:rPr>
          <w:sz w:val="20"/>
          <w:szCs w:val="20"/>
          <w:color w:val="auto"/>
        </w:rPr>
      </w:pPr>
      <w:r>
        <w:rPr>
          <w:rFonts w:ascii="Arial" w:cs="Arial" w:eastAsia="Arial" w:hAnsi="Arial"/>
          <w:sz w:val="16"/>
          <w:szCs w:val="16"/>
          <w:b w:val="1"/>
          <w:bCs w:val="1"/>
          <w:color w:val="auto"/>
        </w:rPr>
        <w:t>Not Applicable</w:t>
      </w:r>
    </w:p>
    <w:p>
      <w:pPr>
        <w:spacing w:after="0" w:line="26" w:lineRule="exact"/>
        <w:rPr>
          <w:sz w:val="24"/>
          <w:szCs w:val="24"/>
          <w:color w:val="auto"/>
        </w:rPr>
      </w:pPr>
    </w:p>
    <w:p>
      <w:pPr>
        <w:jc w:val="center"/>
        <w:ind w:right="600"/>
        <w:spacing w:after="0"/>
        <w:rPr>
          <w:sz w:val="20"/>
          <w:szCs w:val="20"/>
          <w:color w:val="auto"/>
        </w:rPr>
      </w:pPr>
      <w:r>
        <w:rPr>
          <w:rFonts w:ascii="Arial" w:cs="Arial" w:eastAsia="Arial" w:hAnsi="Arial"/>
          <w:sz w:val="14"/>
          <w:szCs w:val="14"/>
          <w:color w:val="auto"/>
        </w:rPr>
        <w:t>(Former name, former address and former fiscal year,</w:t>
      </w:r>
    </w:p>
    <w:p>
      <w:pPr>
        <w:spacing w:after="0" w:line="42" w:lineRule="exact"/>
        <w:rPr>
          <w:sz w:val="24"/>
          <w:szCs w:val="24"/>
          <w:color w:val="auto"/>
        </w:rPr>
      </w:pPr>
    </w:p>
    <w:p>
      <w:pPr>
        <w:jc w:val="center"/>
        <w:ind w:right="600"/>
        <w:spacing w:after="0"/>
        <w:rPr>
          <w:sz w:val="20"/>
          <w:szCs w:val="20"/>
          <w:color w:val="auto"/>
        </w:rPr>
      </w:pPr>
      <w:r>
        <w:rPr>
          <w:rFonts w:ascii="Arial" w:cs="Arial" w:eastAsia="Arial" w:hAnsi="Arial"/>
          <w:sz w:val="16"/>
          <w:szCs w:val="16"/>
          <w:color w:val="auto"/>
        </w:rPr>
        <w:t>if changed since last report)</w:t>
      </w:r>
    </w:p>
    <w:p>
      <w:pPr>
        <w:spacing w:after="0" w:line="119" w:lineRule="exact"/>
        <w:rPr>
          <w:sz w:val="24"/>
          <w:szCs w:val="24"/>
          <w:color w:val="auto"/>
        </w:rPr>
      </w:pPr>
    </w:p>
    <w:p>
      <w:pPr>
        <w:sectPr>
          <w:pgSz w:w="11900" w:h="16838" w:orient="portrait"/>
          <w:cols w:equalWidth="0" w:num="2">
            <w:col w:w="6580" w:space="720"/>
            <w:col w:w="4080"/>
          </w:cols>
          <w:pgMar w:left="240" w:top="1075" w:right="279" w:bottom="1440" w:gutter="0" w:footer="0" w:header="0"/>
          <w:type w:val="continuous"/>
        </w:sectPr>
      </w:pPr>
    </w:p>
    <w:p>
      <w:pPr>
        <w:ind w:left="3800"/>
        <w:spacing w:after="0"/>
        <w:rPr>
          <w:sz w:val="20"/>
          <w:szCs w:val="20"/>
          <w:color w:val="auto"/>
        </w:rPr>
      </w:pPr>
      <w:r>
        <w:rPr>
          <w:rFonts w:ascii="Arial" w:cs="Arial" w:eastAsia="Arial" w:hAnsi="Arial"/>
          <w:sz w:val="11"/>
          <w:szCs w:val="11"/>
          <w:b w:val="1"/>
          <w:bCs w:val="1"/>
          <w:color w:val="auto"/>
        </w:rPr>
        <w:t>_______________________________________________________________________</w:t>
      </w:r>
    </w:p>
    <w:p>
      <w:pPr>
        <w:spacing w:after="0" w:line="278" w:lineRule="exact"/>
        <w:rPr>
          <w:sz w:val="24"/>
          <w:szCs w:val="24"/>
          <w:color w:val="auto"/>
        </w:rPr>
      </w:pPr>
    </w:p>
    <w:p>
      <w:pPr>
        <w:ind w:right="4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89"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6"/>
          <w:szCs w:val="16"/>
          <w:color w:val="auto"/>
        </w:rPr>
      </w:pPr>
      <w:r>
        <w:rPr>
          <w:rFonts w:ascii="Arial" w:cs="Arial" w:eastAsia="Arial" w:hAnsi="Arial"/>
          <w:sz w:val="18"/>
          <w:szCs w:val="18"/>
          <w:color w:val="auto"/>
        </w:rPr>
        <w:t>Written communications pursuant to Rule 425 under the Securities Act (17 CFR 230.42</w:t>
      </w:r>
    </w:p>
    <w:p>
      <w:pPr>
        <w:spacing w:after="0" w:line="117" w:lineRule="exact"/>
        <w:rPr>
          <w:rFonts w:ascii="MS PGothic" w:cs="MS PGothic" w:eastAsia="MS PGothic" w:hAnsi="MS PGothic"/>
          <w:sz w:val="16"/>
          <w:szCs w:val="16"/>
          <w:color w:val="auto"/>
        </w:rPr>
      </w:pPr>
    </w:p>
    <w:p>
      <w:pPr>
        <w:ind w:left="340" w:hanging="332"/>
        <w:spacing w:after="0"/>
        <w:tabs>
          <w:tab w:leader="none" w:pos="340" w:val="left"/>
        </w:tabs>
        <w:numPr>
          <w:ilvl w:val="0"/>
          <w:numId w:val="1"/>
        </w:numPr>
        <w:rPr>
          <w:rFonts w:ascii="MS PGothic" w:cs="MS PGothic" w:eastAsia="MS PGothic" w:hAnsi="MS PGothic"/>
          <w:sz w:val="16"/>
          <w:szCs w:val="16"/>
          <w:color w:val="auto"/>
        </w:rPr>
      </w:pPr>
      <w:r>
        <w:rPr>
          <w:rFonts w:ascii="Arial" w:cs="Arial" w:eastAsia="Arial" w:hAnsi="Arial"/>
          <w:sz w:val="18"/>
          <w:szCs w:val="18"/>
          <w:color w:val="auto"/>
        </w:rPr>
        <w:t>Soliciting material pursuant to Rule 14a-12 under the Exchange Act (17 CFR 240.14a-12)</w:t>
      </w:r>
    </w:p>
    <w:p>
      <w:pPr>
        <w:spacing w:after="0" w:line="117" w:lineRule="exact"/>
        <w:rPr>
          <w:rFonts w:ascii="MS PGothic" w:cs="MS PGothic" w:eastAsia="MS PGothic" w:hAnsi="MS PGothic"/>
          <w:sz w:val="16"/>
          <w:szCs w:val="16"/>
          <w:color w:val="auto"/>
        </w:rPr>
      </w:pPr>
    </w:p>
    <w:p>
      <w:pPr>
        <w:ind w:left="340" w:hanging="332"/>
        <w:spacing w:after="0"/>
        <w:tabs>
          <w:tab w:leader="none" w:pos="340" w:val="left"/>
        </w:tabs>
        <w:numPr>
          <w:ilvl w:val="0"/>
          <w:numId w:val="1"/>
        </w:numPr>
        <w:rPr>
          <w:rFonts w:ascii="MS PGothic" w:cs="MS PGothic" w:eastAsia="MS PGothic" w:hAnsi="MS PGothic"/>
          <w:sz w:val="16"/>
          <w:szCs w:val="16"/>
          <w:color w:val="auto"/>
        </w:rPr>
      </w:pPr>
      <w:r>
        <w:rPr>
          <w:rFonts w:ascii="Arial" w:cs="Arial" w:eastAsia="Arial" w:hAnsi="Arial"/>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6"/>
          <w:szCs w:val="16"/>
          <w:color w:val="auto"/>
        </w:rPr>
      </w:pPr>
    </w:p>
    <w:p>
      <w:pPr>
        <w:ind w:left="340" w:hanging="332"/>
        <w:spacing w:after="0"/>
        <w:tabs>
          <w:tab w:leader="none" w:pos="340" w:val="left"/>
        </w:tabs>
        <w:numPr>
          <w:ilvl w:val="0"/>
          <w:numId w:val="1"/>
        </w:numPr>
        <w:rPr>
          <w:rFonts w:ascii="MS PGothic" w:cs="MS PGothic" w:eastAsia="MS PGothic" w:hAnsi="MS PGothic"/>
          <w:sz w:val="16"/>
          <w:szCs w:val="16"/>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349250</wp:posOffset>
            </wp:positionV>
            <wp:extent cx="712660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26605"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263525</wp:posOffset>
            </wp:positionV>
            <wp:extent cx="712660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2660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9"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58" w:lineRule="exact"/>
        <w:rPr>
          <w:sz w:val="24"/>
          <w:szCs w:val="24"/>
          <w:color w:val="auto"/>
        </w:rPr>
      </w:pPr>
    </w:p>
    <w:p>
      <w:pPr>
        <w:ind w:left="660"/>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6"/>
          <w:szCs w:val="16"/>
          <w:color w:val="auto"/>
        </w:rPr>
        <w:t>☐</w:t>
      </w:r>
    </w:p>
    <w:p>
      <w:pPr>
        <w:spacing w:after="0" w:line="237" w:lineRule="exact"/>
        <w:rPr>
          <w:sz w:val="24"/>
          <w:szCs w:val="24"/>
          <w:color w:val="auto"/>
        </w:rPr>
      </w:pPr>
    </w:p>
    <w:p>
      <w:pPr>
        <w:ind w:firstLine="648"/>
        <w:spacing w:after="0" w:line="229"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ectPr>
          <w:pgSz w:w="11900" w:h="16838" w:orient="portrait"/>
          <w:cols w:equalWidth="0" w:num="1">
            <w:col w:w="11380"/>
          </w:cols>
          <w:pgMar w:left="240" w:top="1075" w:right="27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February 27, 2019, National Vision Holdings, Inc. (“National Vision”) issued a press release announcing it's financial results for the quarter and full fiscal year ended December 29, 2018. A copy of the release is furnished herewith as Exhibit 99.1 and incorporated by reference herein.</w:t>
      </w:r>
    </w:p>
    <w:p>
      <w:pPr>
        <w:spacing w:after="0" w:line="170"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 information in this Current Report on Form 8-K, including exhibits, is being furnished to the Securities and Exchange Commission (the “SEC”) pursuant to Item 2.02 of Form 8-K and shall not be deemed to be “filed” for purposes of Section 18 of the Securities Exchange Act of 1934, as amended (the “Exchange Act”), or otherwise subject to the liabilities of that section, nor shall it be deemed incorporated by reference into any of National Vision’s filings with the SEC under the Securities Act of 1933, as amended, or the Exchange Act, except as shall be expressly set forth by specific reference in such a filing.</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121" w:lineRule="exact"/>
        <w:rPr>
          <w:sz w:val="20"/>
          <w:szCs w:val="20"/>
          <w:color w:val="auto"/>
        </w:rPr>
      </w:pPr>
    </w:p>
    <w:p>
      <w:pPr>
        <w:ind w:left="400" w:hanging="392"/>
        <w:spacing w:after="0"/>
        <w:tabs>
          <w:tab w:leader="none" w:pos="400"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Exhibits.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the Exhibit Index immediately preceding the signature page hereto, which is incorporated herein by reference.</w:t>
      </w:r>
    </w:p>
    <w:p>
      <w:pPr>
        <w:sectPr>
          <w:pgSz w:w="11900" w:h="16838" w:orient="portrait"/>
          <w:cols w:equalWidth="0" w:num="1">
            <w:col w:w="11420"/>
          </w:cols>
          <w:pgMar w:left="240" w:top="580" w:right="2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3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240" w:type="dxa"/>
            <w:vAlign w:val="bottom"/>
          </w:tcPr>
          <w:p>
            <w:pPr>
              <w:ind w:left="2660"/>
              <w:spacing w:after="0"/>
              <w:rPr>
                <w:sz w:val="20"/>
                <w:szCs w:val="20"/>
                <w:color w:val="auto"/>
              </w:rPr>
            </w:pPr>
            <w:r>
              <w:rPr>
                <w:rFonts w:ascii="Arial" w:cs="Arial" w:eastAsia="Arial" w:hAnsi="Arial"/>
                <w:sz w:val="18"/>
                <w:szCs w:val="18"/>
                <w:b w:val="1"/>
                <w:bCs w:val="1"/>
                <w:color w:val="auto"/>
              </w:rPr>
              <w:t>EXHIBIT INDEX</w:t>
            </w:r>
          </w:p>
        </w:tc>
      </w:tr>
      <w:tr>
        <w:trPr>
          <w:trHeight w:val="338"/>
        </w:trPr>
        <w:tc>
          <w:tcPr>
            <w:tcW w:w="840" w:type="dxa"/>
            <w:vAlign w:val="bottom"/>
            <w:gridSpan w:val="2"/>
          </w:tcPr>
          <w:p>
            <w:pPr>
              <w:spacing w:after="0"/>
              <w:rPr>
                <w:sz w:val="20"/>
                <w:szCs w:val="20"/>
                <w:color w:val="auto"/>
              </w:rPr>
            </w:pPr>
            <w:r>
              <w:rPr>
                <w:rFonts w:ascii="Arial" w:cs="Arial" w:eastAsia="Arial" w:hAnsi="Arial"/>
                <w:sz w:val="18"/>
                <w:szCs w:val="18"/>
                <w:color w:val="auto"/>
                <w:w w:val="94"/>
              </w:rPr>
              <w:t>Exhibit No.</w:t>
            </w: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080" w:type="dxa"/>
            <w:vAlign w:val="bottom"/>
            <w:gridSpan w:val="2"/>
          </w:tcPr>
          <w:p>
            <w:pPr>
              <w:spacing w:after="0"/>
              <w:rPr>
                <w:sz w:val="20"/>
                <w:szCs w:val="20"/>
                <w:color w:val="auto"/>
              </w:rPr>
            </w:pPr>
            <w:r>
              <w:rPr>
                <w:rFonts w:ascii="Arial" w:cs="Arial" w:eastAsia="Arial" w:hAnsi="Arial"/>
                <w:sz w:val="18"/>
                <w:szCs w:val="18"/>
                <w:color w:val="auto"/>
              </w:rPr>
              <w:t>Description</w:t>
            </w:r>
          </w:p>
        </w:tc>
      </w:tr>
      <w:tr>
        <w:trPr>
          <w:trHeight w:val="20"/>
        </w:trPr>
        <w:tc>
          <w:tcPr>
            <w:tcW w:w="3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r>
      <w:tr>
        <w:trPr>
          <w:trHeight w:val="250"/>
        </w:trPr>
        <w:tc>
          <w:tcPr>
            <w:tcW w:w="320" w:type="dxa"/>
            <w:vAlign w:val="bottom"/>
            <w:tcBorders>
              <w:bottom w:val="single" w:sz="8" w:color="0000FF"/>
            </w:tcBorders>
          </w:tcPr>
          <w:p>
            <w:pPr>
              <w:spacing w:after="0"/>
              <w:rPr>
                <w:rFonts w:ascii="Arial" w:cs="Arial" w:eastAsia="Arial" w:hAnsi="Arial"/>
                <w:sz w:val="18"/>
                <w:szCs w:val="18"/>
                <w:color w:val="0000FF"/>
                <w:w w:val="85"/>
              </w:rPr>
            </w:pPr>
            <w:hyperlink w:anchor="page5">
              <w:r>
                <w:rPr>
                  <w:rFonts w:ascii="Arial" w:cs="Arial" w:eastAsia="Arial" w:hAnsi="Arial"/>
                  <w:sz w:val="18"/>
                  <w:szCs w:val="18"/>
                  <w:color w:val="0000FF"/>
                  <w:w w:val="85"/>
                </w:rPr>
                <w:t>99.</w:t>
              </w:r>
              <w:r>
                <w:rPr>
                  <w:rFonts w:ascii="Arial" w:cs="Arial" w:eastAsia="Arial" w:hAnsi="Arial"/>
                  <w:sz w:val="18"/>
                  <w:szCs w:val="18"/>
                  <w:u w:val="single" w:color="auto"/>
                  <w:color w:val="0000FF"/>
                  <w:w w:val="85"/>
                </w:rPr>
                <w:t>1</w:t>
              </w:r>
            </w:hyperlink>
          </w:p>
        </w:tc>
        <w:tc>
          <w:tcPr>
            <w:tcW w:w="5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5080" w:type="dxa"/>
            <w:vAlign w:val="bottom"/>
            <w:gridSpan w:val="2"/>
          </w:tcPr>
          <w:p>
            <w:pPr>
              <w:spacing w:after="0"/>
              <w:rPr>
                <w:sz w:val="20"/>
                <w:szCs w:val="20"/>
                <w:color w:val="auto"/>
              </w:rPr>
            </w:pPr>
            <w:r>
              <w:rPr>
                <w:rFonts w:ascii="Arial" w:cs="Arial" w:eastAsia="Arial" w:hAnsi="Arial"/>
                <w:sz w:val="18"/>
                <w:szCs w:val="18"/>
                <w:color w:val="auto"/>
                <w:w w:val="89"/>
              </w:rPr>
              <w:t>National Vision Holdings, Inc. Press Release dated February 27, 2019.</w:t>
            </w:r>
          </w:p>
        </w:tc>
      </w:tr>
    </w:tbl>
    <w:p>
      <w:pPr>
        <w:sectPr>
          <w:pgSz w:w="11900" w:h="16838" w:orient="portrait"/>
          <w:cols w:equalWidth="0" w:num="1">
            <w:col w:w="10179"/>
          </w:cols>
          <w:pgMar w:left="280" w:top="580" w:right="1440"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by the undersigned hereunto duly authorized.</w:t>
      </w:r>
    </w:p>
    <w:p>
      <w:pPr>
        <w:spacing w:after="0" w:line="200" w:lineRule="exact"/>
        <w:rPr>
          <w:sz w:val="20"/>
          <w:szCs w:val="20"/>
          <w:color w:val="auto"/>
        </w:rPr>
      </w:pPr>
    </w:p>
    <w:p>
      <w:pPr>
        <w:spacing w:after="0" w:line="241"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378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4900" w:type="dxa"/>
            <w:vAlign w:val="bottom"/>
          </w:tcPr>
          <w:p>
            <w:pPr>
              <w:ind w:left="20"/>
              <w:spacing w:after="0"/>
              <w:rPr>
                <w:sz w:val="20"/>
                <w:szCs w:val="20"/>
                <w:color w:val="auto"/>
              </w:rPr>
            </w:pPr>
            <w:r>
              <w:rPr>
                <w:rFonts w:ascii="Arial" w:cs="Arial" w:eastAsia="Arial" w:hAnsi="Arial"/>
                <w:sz w:val="18"/>
                <w:szCs w:val="18"/>
                <w:color w:val="auto"/>
              </w:rPr>
              <w:t>National Vision Holdings, Inc.</w:t>
            </w:r>
          </w:p>
        </w:tc>
      </w:tr>
      <w:tr>
        <w:trPr>
          <w:trHeight w:val="594"/>
        </w:trPr>
        <w:tc>
          <w:tcPr>
            <w:tcW w:w="3780" w:type="dxa"/>
            <w:vAlign w:val="bottom"/>
          </w:tcPr>
          <w:p>
            <w:pPr>
              <w:spacing w:after="0"/>
              <w:rPr>
                <w:sz w:val="20"/>
                <w:szCs w:val="20"/>
                <w:color w:val="auto"/>
              </w:rPr>
            </w:pPr>
            <w:r>
              <w:rPr>
                <w:rFonts w:ascii="Arial" w:cs="Arial" w:eastAsia="Arial" w:hAnsi="Arial"/>
                <w:sz w:val="18"/>
                <w:szCs w:val="18"/>
                <w:color w:val="auto"/>
              </w:rPr>
              <w:t>Date: February 27, 2019</w:t>
            </w:r>
          </w:p>
        </w:tc>
        <w:tc>
          <w:tcPr>
            <w:tcW w:w="2700" w:type="dxa"/>
            <w:vAlign w:val="bottom"/>
          </w:tcPr>
          <w:p>
            <w:pPr>
              <w:ind w:left="2040"/>
              <w:spacing w:after="0"/>
              <w:rPr>
                <w:sz w:val="20"/>
                <w:szCs w:val="20"/>
                <w:color w:val="auto"/>
              </w:rPr>
            </w:pPr>
            <w:r>
              <w:rPr>
                <w:rFonts w:ascii="Arial" w:cs="Arial" w:eastAsia="Arial" w:hAnsi="Arial"/>
                <w:sz w:val="18"/>
                <w:szCs w:val="18"/>
                <w:color w:val="auto"/>
              </w:rPr>
              <w:t>By:</w:t>
            </w:r>
          </w:p>
        </w:tc>
        <w:tc>
          <w:tcPr>
            <w:tcW w:w="4900" w:type="dxa"/>
            <w:vAlign w:val="bottom"/>
          </w:tcPr>
          <w:p>
            <w:pPr>
              <w:ind w:left="20"/>
              <w:spacing w:after="0"/>
              <w:rPr>
                <w:sz w:val="20"/>
                <w:szCs w:val="20"/>
                <w:color w:val="auto"/>
              </w:rPr>
            </w:pPr>
            <w:r>
              <w:rPr>
                <w:rFonts w:ascii="Arial" w:cs="Arial" w:eastAsia="Arial" w:hAnsi="Arial"/>
                <w:sz w:val="18"/>
                <w:szCs w:val="18"/>
                <w:color w:val="auto"/>
              </w:rPr>
              <w:t>/s/ Jared Brandman</w:t>
            </w:r>
          </w:p>
        </w:tc>
      </w:tr>
      <w:tr>
        <w:trPr>
          <w:trHeight w:val="27"/>
        </w:trPr>
        <w:tc>
          <w:tcPr>
            <w:tcW w:w="3780" w:type="dxa"/>
            <w:vAlign w:val="bottom"/>
          </w:tcPr>
          <w:p>
            <w:pPr>
              <w:spacing w:after="0"/>
              <w:rPr>
                <w:sz w:val="2"/>
                <w:szCs w:val="2"/>
                <w:color w:val="auto"/>
              </w:rPr>
            </w:pPr>
          </w:p>
        </w:tc>
        <w:tc>
          <w:tcPr>
            <w:tcW w:w="2700" w:type="dxa"/>
            <w:vAlign w:val="bottom"/>
          </w:tcPr>
          <w:p>
            <w:pPr>
              <w:spacing w:after="0"/>
              <w:rPr>
                <w:sz w:val="2"/>
                <w:szCs w:val="2"/>
                <w:color w:val="auto"/>
              </w:rPr>
            </w:pPr>
          </w:p>
        </w:tc>
        <w:tc>
          <w:tcPr>
            <w:tcW w:w="4900" w:type="dxa"/>
            <w:vAlign w:val="bottom"/>
            <w:tcBorders>
              <w:bottom w:val="single" w:sz="8" w:color="auto"/>
            </w:tcBorders>
          </w:tcPr>
          <w:p>
            <w:pPr>
              <w:spacing w:after="0"/>
              <w:rPr>
                <w:sz w:val="2"/>
                <w:szCs w:val="2"/>
                <w:color w:val="auto"/>
              </w:rPr>
            </w:pPr>
          </w:p>
        </w:tc>
      </w:tr>
      <w:tr>
        <w:trPr>
          <w:trHeight w:val="237"/>
        </w:trPr>
        <w:tc>
          <w:tcPr>
            <w:tcW w:w="3780" w:type="dxa"/>
            <w:vAlign w:val="bottom"/>
          </w:tcPr>
          <w:p>
            <w:pPr>
              <w:spacing w:after="0"/>
              <w:rPr>
                <w:sz w:val="20"/>
                <w:szCs w:val="20"/>
                <w:color w:val="auto"/>
              </w:rPr>
            </w:pPr>
          </w:p>
        </w:tc>
        <w:tc>
          <w:tcPr>
            <w:tcW w:w="2700" w:type="dxa"/>
            <w:vAlign w:val="bottom"/>
          </w:tcPr>
          <w:p>
            <w:pPr>
              <w:ind w:left="2040"/>
              <w:spacing w:after="0"/>
              <w:rPr>
                <w:sz w:val="20"/>
                <w:szCs w:val="20"/>
                <w:color w:val="auto"/>
              </w:rPr>
            </w:pPr>
            <w:r>
              <w:rPr>
                <w:rFonts w:ascii="Arial" w:cs="Arial" w:eastAsia="Arial" w:hAnsi="Arial"/>
                <w:sz w:val="18"/>
                <w:szCs w:val="18"/>
                <w:color w:val="auto"/>
              </w:rPr>
              <w:t>Name:</w:t>
            </w:r>
          </w:p>
        </w:tc>
        <w:tc>
          <w:tcPr>
            <w:tcW w:w="4900" w:type="dxa"/>
            <w:vAlign w:val="bottom"/>
          </w:tcPr>
          <w:p>
            <w:pPr>
              <w:ind w:left="20"/>
              <w:spacing w:after="0"/>
              <w:rPr>
                <w:sz w:val="20"/>
                <w:szCs w:val="20"/>
                <w:color w:val="auto"/>
              </w:rPr>
            </w:pPr>
            <w:r>
              <w:rPr>
                <w:rFonts w:ascii="Arial" w:cs="Arial" w:eastAsia="Arial" w:hAnsi="Arial"/>
                <w:sz w:val="18"/>
                <w:szCs w:val="18"/>
                <w:color w:val="auto"/>
              </w:rPr>
              <w:t>Jared Brandman</w:t>
            </w:r>
          </w:p>
        </w:tc>
      </w:tr>
      <w:tr>
        <w:trPr>
          <w:trHeight w:val="270"/>
        </w:trPr>
        <w:tc>
          <w:tcPr>
            <w:tcW w:w="3780" w:type="dxa"/>
            <w:vAlign w:val="bottom"/>
          </w:tcPr>
          <w:p>
            <w:pPr>
              <w:spacing w:after="0"/>
              <w:rPr>
                <w:sz w:val="23"/>
                <w:szCs w:val="23"/>
                <w:color w:val="auto"/>
              </w:rPr>
            </w:pPr>
          </w:p>
        </w:tc>
        <w:tc>
          <w:tcPr>
            <w:tcW w:w="2700" w:type="dxa"/>
            <w:vAlign w:val="bottom"/>
          </w:tcPr>
          <w:p>
            <w:pPr>
              <w:ind w:left="2040"/>
              <w:spacing w:after="0"/>
              <w:rPr>
                <w:sz w:val="20"/>
                <w:szCs w:val="20"/>
                <w:color w:val="auto"/>
              </w:rPr>
            </w:pPr>
            <w:r>
              <w:rPr>
                <w:rFonts w:ascii="Arial" w:cs="Arial" w:eastAsia="Arial" w:hAnsi="Arial"/>
                <w:sz w:val="18"/>
                <w:szCs w:val="18"/>
                <w:color w:val="auto"/>
              </w:rPr>
              <w:t>Title:</w:t>
            </w:r>
          </w:p>
        </w:tc>
        <w:tc>
          <w:tcPr>
            <w:tcW w:w="4900" w:type="dxa"/>
            <w:vAlign w:val="bottom"/>
          </w:tcPr>
          <w:p>
            <w:pPr>
              <w:ind w:left="20"/>
              <w:spacing w:after="0"/>
              <w:rPr>
                <w:sz w:val="20"/>
                <w:szCs w:val="20"/>
                <w:color w:val="auto"/>
              </w:rPr>
            </w:pPr>
            <w:r>
              <w:rPr>
                <w:rFonts w:ascii="Arial" w:cs="Arial" w:eastAsia="Arial" w:hAnsi="Arial"/>
                <w:sz w:val="18"/>
                <w:szCs w:val="18"/>
                <w:color w:val="auto"/>
              </w:rPr>
              <w:t>Senior Vice President, General Counsel and Secretary</w:t>
            </w:r>
          </w:p>
        </w:tc>
      </w:tr>
    </w:tbl>
    <w:p>
      <w:pPr>
        <w:sectPr>
          <w:pgSz w:w="11900" w:h="16838" w:orient="portrait"/>
          <w:cols w:equalWidth="0" w:num="1">
            <w:col w:w="11420"/>
          </w:cols>
          <w:pgMar w:left="240" w:top="580" w:right="239" w:bottom="1440" w:gutter="0" w:footer="0" w:header="0"/>
        </w:sectPr>
      </w:pPr>
    </w:p>
    <w:bookmarkStart w:id="4" w:name="page5"/>
    <w:bookmarkEnd w:id="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380365</wp:posOffset>
            </wp:positionV>
            <wp:extent cx="969010" cy="7543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clrChange>
                        <a:clrFrom>
                          <a:srgbClr val="FFFFFF"/>
                        </a:clrFrom>
                        <a:clrTo>
                          <a:srgbClr val="FFFFFF">
                            <a:alpha val="0"/>
                          </a:srgbClr>
                        </a:clrTo>
                      </a:clrChange>
                      <a:extLst>
                        <a:ext uri="{28A0092B-C50C-407E-A947-70E740481C1C}"/>
                      </a:extLst>
                    </a:blip>
                    <a:srcRect/>
                    <a:stretch>
                      <a:fillRect/>
                    </a:stretch>
                  </pic:blipFill>
                  <pic:spPr bwMode="auto">
                    <a:xfrm>
                      <a:off x="0" y="0"/>
                      <a:ext cx="969010" cy="754380"/>
                    </a:xfrm>
                    <a:prstGeom prst="rect">
                      <a:avLst/>
                    </a:prstGeom>
                    <a:noFill/>
                  </pic:spPr>
                </pic:pic>
              </a:graphicData>
            </a:graphic>
          </wp:anchor>
        </w:drawing>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National Vision Holdings, Inc. Reports Fourth Quarter and Fiscal 2018 Financial Results</w:t>
      </w:r>
    </w:p>
    <w:p>
      <w:pPr>
        <w:spacing w:after="0" w:line="311"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 xml:space="preserve">Duluth, Ga. </w:t>
      </w:r>
      <w:r>
        <w:rPr>
          <w:rFonts w:ascii="Arial" w:cs="Arial" w:eastAsia="Arial" w:hAnsi="Arial"/>
          <w:sz w:val="18"/>
          <w:szCs w:val="18"/>
          <w:color w:val="auto"/>
        </w:rPr>
        <w:t>--</w:t>
      </w:r>
      <w:r>
        <w:rPr>
          <w:rFonts w:ascii="Arial" w:cs="Arial" w:eastAsia="Arial" w:hAnsi="Arial"/>
          <w:sz w:val="18"/>
          <w:szCs w:val="18"/>
          <w:b w:val="1"/>
          <w:bCs w:val="1"/>
          <w:color w:val="auto"/>
        </w:rPr>
        <w:t xml:space="preserve"> February 27, 2019 </w:t>
      </w:r>
      <w:r>
        <w:rPr>
          <w:rFonts w:ascii="Arial" w:cs="Arial" w:eastAsia="Arial" w:hAnsi="Arial"/>
          <w:sz w:val="18"/>
          <w:szCs w:val="18"/>
          <w:color w:val="auto"/>
        </w:rPr>
        <w:t>-- National Vision Holdings, Inc. (NASDAQ: EYE) (“National Vision” or the “Company”) today reported its financial</w:t>
      </w:r>
      <w:r>
        <w:rPr>
          <w:rFonts w:ascii="Arial" w:cs="Arial" w:eastAsia="Arial" w:hAnsi="Arial"/>
          <w:sz w:val="18"/>
          <w:szCs w:val="18"/>
          <w:b w:val="1"/>
          <w:bCs w:val="1"/>
          <w:color w:val="auto"/>
        </w:rPr>
        <w:t xml:space="preserve"> </w:t>
      </w:r>
      <w:r>
        <w:rPr>
          <w:rFonts w:ascii="Arial" w:cs="Arial" w:eastAsia="Arial" w:hAnsi="Arial"/>
          <w:sz w:val="18"/>
          <w:szCs w:val="18"/>
          <w:color w:val="auto"/>
        </w:rPr>
        <w:t>results for the fourth quarter and fiscal year ended December 29, 2018 and is providing its outlook for fiscal 2019.</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Fourth Quarter Summary:</w:t>
      </w:r>
    </w:p>
    <w:p>
      <w:pPr>
        <w:spacing w:after="0" w:line="27" w:lineRule="exact"/>
        <w:rPr>
          <w:sz w:val="20"/>
          <w:szCs w:val="20"/>
          <w:color w:val="auto"/>
        </w:rPr>
      </w:pPr>
    </w:p>
    <w:p>
      <w:pPr>
        <w:ind w:left="340" w:hanging="332"/>
        <w:spacing w:after="0"/>
        <w:tabs>
          <w:tab w:leader="none" w:pos="34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Net revenue increased 10.6% to $355.9 million</w:t>
      </w:r>
    </w:p>
    <w:p>
      <w:pPr>
        <w:spacing w:after="0" w:line="9" w:lineRule="exact"/>
        <w:rPr>
          <w:rFonts w:ascii="Arial" w:cs="Arial" w:eastAsia="Arial" w:hAnsi="Arial"/>
          <w:sz w:val="18"/>
          <w:szCs w:val="18"/>
          <w:i w:val="1"/>
          <w:iCs w:val="1"/>
          <w:color w:val="auto"/>
        </w:rPr>
      </w:pPr>
    </w:p>
    <w:p>
      <w:pPr>
        <w:ind w:left="340" w:hanging="332"/>
        <w:spacing w:after="0"/>
        <w:tabs>
          <w:tab w:leader="none" w:pos="34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68th consecutive quarter of positive comparable store sales growth</w:t>
      </w:r>
    </w:p>
    <w:p>
      <w:pPr>
        <w:spacing w:after="0" w:line="9" w:lineRule="exact"/>
        <w:rPr>
          <w:rFonts w:ascii="Arial" w:cs="Arial" w:eastAsia="Arial" w:hAnsi="Arial"/>
          <w:sz w:val="18"/>
          <w:szCs w:val="18"/>
          <w:i w:val="1"/>
          <w:iCs w:val="1"/>
          <w:color w:val="auto"/>
        </w:rPr>
      </w:pPr>
    </w:p>
    <w:p>
      <w:pPr>
        <w:ind w:left="340" w:hanging="332"/>
        <w:spacing w:after="0"/>
        <w:tabs>
          <w:tab w:leader="none" w:pos="34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Comparable store sales growth was 4.3%; adjusted comparable store sales growth was 2.9%</w:t>
      </w:r>
    </w:p>
    <w:p>
      <w:pPr>
        <w:spacing w:after="0" w:line="9" w:lineRule="exact"/>
        <w:rPr>
          <w:rFonts w:ascii="Arial" w:cs="Arial" w:eastAsia="Arial" w:hAnsi="Arial"/>
          <w:sz w:val="18"/>
          <w:szCs w:val="18"/>
          <w:i w:val="1"/>
          <w:iCs w:val="1"/>
          <w:color w:val="auto"/>
        </w:rPr>
      </w:pPr>
    </w:p>
    <w:p>
      <w:pPr>
        <w:ind w:left="340" w:hanging="332"/>
        <w:spacing w:after="0"/>
        <w:tabs>
          <w:tab w:leader="none" w:pos="34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Net loss of $18.4 million; Adjusted net income increased to $1.0 million</w:t>
      </w:r>
    </w:p>
    <w:p>
      <w:pPr>
        <w:spacing w:after="0" w:line="9" w:lineRule="exact"/>
        <w:rPr>
          <w:rFonts w:ascii="Arial" w:cs="Arial" w:eastAsia="Arial" w:hAnsi="Arial"/>
          <w:sz w:val="18"/>
          <w:szCs w:val="18"/>
          <w:i w:val="1"/>
          <w:iCs w:val="1"/>
          <w:color w:val="auto"/>
        </w:rPr>
      </w:pPr>
    </w:p>
    <w:p>
      <w:pPr>
        <w:ind w:left="340" w:hanging="332"/>
        <w:spacing w:after="0"/>
        <w:tabs>
          <w:tab w:leader="none" w:pos="34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Adjusted EBITDA increased 16.3% to $28.7 million</w:t>
      </w:r>
    </w:p>
    <w:p>
      <w:pPr>
        <w:spacing w:after="0" w:line="9" w:lineRule="exact"/>
        <w:rPr>
          <w:rFonts w:ascii="Arial" w:cs="Arial" w:eastAsia="Arial" w:hAnsi="Arial"/>
          <w:sz w:val="18"/>
          <w:szCs w:val="18"/>
          <w:i w:val="1"/>
          <w:iCs w:val="1"/>
          <w:color w:val="auto"/>
        </w:rPr>
      </w:pPr>
    </w:p>
    <w:p>
      <w:pPr>
        <w:ind w:left="340" w:hanging="332"/>
        <w:spacing w:after="0"/>
        <w:tabs>
          <w:tab w:leader="none" w:pos="34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Diluted loss per share of $0.24; Adjusted diluted EPS of $0.01</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Fiscal 2018 Summary:</w:t>
      </w:r>
    </w:p>
    <w:p>
      <w:pPr>
        <w:spacing w:after="0" w:line="27" w:lineRule="exact"/>
        <w:rPr>
          <w:sz w:val="20"/>
          <w:szCs w:val="20"/>
          <w:color w:val="auto"/>
        </w:rPr>
      </w:pPr>
    </w:p>
    <w:p>
      <w:pPr>
        <w:ind w:left="340" w:hanging="332"/>
        <w:spacing w:after="0"/>
        <w:tabs>
          <w:tab w:leader="none" w:pos="34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Net revenue increased 11.7% to $1.54 billion</w:t>
      </w:r>
    </w:p>
    <w:p>
      <w:pPr>
        <w:spacing w:after="0" w:line="9" w:lineRule="exact"/>
        <w:rPr>
          <w:rFonts w:ascii="Arial" w:cs="Arial" w:eastAsia="Arial" w:hAnsi="Arial"/>
          <w:sz w:val="18"/>
          <w:szCs w:val="18"/>
          <w:i w:val="1"/>
          <w:iCs w:val="1"/>
          <w:color w:val="auto"/>
        </w:rPr>
      </w:pPr>
    </w:p>
    <w:p>
      <w:pPr>
        <w:ind w:left="340" w:hanging="332"/>
        <w:spacing w:after="0"/>
        <w:tabs>
          <w:tab w:leader="none" w:pos="34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Comparable store sales growth was 6.7%; adjusted comparable store sales growth was 5.7%</w:t>
      </w:r>
    </w:p>
    <w:p>
      <w:pPr>
        <w:spacing w:after="0" w:line="9" w:lineRule="exact"/>
        <w:rPr>
          <w:rFonts w:ascii="Arial" w:cs="Arial" w:eastAsia="Arial" w:hAnsi="Arial"/>
          <w:sz w:val="18"/>
          <w:szCs w:val="18"/>
          <w:i w:val="1"/>
          <w:iCs w:val="1"/>
          <w:color w:val="auto"/>
        </w:rPr>
      </w:pPr>
    </w:p>
    <w:p>
      <w:pPr>
        <w:ind w:left="340" w:hanging="332"/>
        <w:spacing w:after="0"/>
        <w:tabs>
          <w:tab w:leader="none" w:pos="34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Net income of </w:t>
      </w:r>
      <w:r>
        <w:rPr>
          <w:rFonts w:ascii="Arial" w:cs="Arial" w:eastAsia="Arial" w:hAnsi="Arial"/>
          <w:sz w:val="18"/>
          <w:szCs w:val="18"/>
          <w:color w:val="auto"/>
        </w:rPr>
        <w:t>$23.7 million</w:t>
      </w:r>
      <w:r>
        <w:rPr>
          <w:rFonts w:ascii="Arial" w:cs="Arial" w:eastAsia="Arial" w:hAnsi="Arial"/>
          <w:sz w:val="18"/>
          <w:szCs w:val="18"/>
          <w:i w:val="1"/>
          <w:iCs w:val="1"/>
          <w:color w:val="auto"/>
        </w:rPr>
        <w:t xml:space="preserve">; Adjusted net income increased 63.5% to </w:t>
      </w:r>
      <w:r>
        <w:rPr>
          <w:rFonts w:ascii="Arial" w:cs="Arial" w:eastAsia="Arial" w:hAnsi="Arial"/>
          <w:sz w:val="18"/>
          <w:szCs w:val="18"/>
          <w:color w:val="auto"/>
        </w:rPr>
        <w:t>$51.9 million</w:t>
      </w:r>
    </w:p>
    <w:p>
      <w:pPr>
        <w:spacing w:after="0" w:line="9" w:lineRule="exact"/>
        <w:rPr>
          <w:rFonts w:ascii="Arial" w:cs="Arial" w:eastAsia="Arial" w:hAnsi="Arial"/>
          <w:sz w:val="18"/>
          <w:szCs w:val="18"/>
          <w:i w:val="1"/>
          <w:iCs w:val="1"/>
          <w:color w:val="auto"/>
        </w:rPr>
      </w:pPr>
    </w:p>
    <w:p>
      <w:pPr>
        <w:ind w:left="340" w:hanging="332"/>
        <w:spacing w:after="0"/>
        <w:tabs>
          <w:tab w:leader="none" w:pos="34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Adjusted EBITDA increased 10.1% to $174.4 million</w:t>
      </w:r>
    </w:p>
    <w:p>
      <w:pPr>
        <w:spacing w:after="0" w:line="9" w:lineRule="exact"/>
        <w:rPr>
          <w:rFonts w:ascii="Arial" w:cs="Arial" w:eastAsia="Arial" w:hAnsi="Arial"/>
          <w:sz w:val="18"/>
          <w:szCs w:val="18"/>
          <w:i w:val="1"/>
          <w:iCs w:val="1"/>
          <w:color w:val="auto"/>
        </w:rPr>
      </w:pPr>
    </w:p>
    <w:p>
      <w:pPr>
        <w:ind w:left="340" w:hanging="332"/>
        <w:spacing w:after="0"/>
        <w:tabs>
          <w:tab w:leader="none" w:pos="34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Diluted EPS of $0.30; Adjusted diluted EPS of $0.66</w:t>
      </w:r>
    </w:p>
    <w:p>
      <w:pPr>
        <w:spacing w:after="0" w:line="7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Reade Fahs, chief executive officer, stated, “We are pleased with our fourth quarter and full year results, which demonstrate the consistency of our differentiated business model and a strong value message that continues to resonate with customers. The team delivered double-digit growth in net revenue and adjusted EBITDA in 2018, as well as our 68th consecutive quarter of positive comparable store sales growth. We opened 16 stores this quarter and continue to gain share in the attractive optical retail market. Last month, our new state-of-the-art lens manufacturing lab opened in Texas and adds essential capacity to support our growth. At National Vision, our optometrists and associates continue to work hard every day to make quality eye exams and eyewear more affordable to our patients and customers throughout the United States.”</w:t>
      </w:r>
    </w:p>
    <w:p>
      <w:pPr>
        <w:spacing w:after="0" w:line="43"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i w:val="1"/>
          <w:iCs w:val="1"/>
          <w:color w:val="auto"/>
        </w:rPr>
        <w:t>Adjusted comparable store sales growth, adjusted diluted EPS, adjusted EBITDA, adjusted EBITDA margin, adjusted net income and EBITDA are not measures recognized under generally accepted accounting principles (</w:t>
      </w:r>
      <w:r>
        <w:rPr>
          <w:rFonts w:ascii="Arial" w:cs="Arial" w:eastAsia="Arial" w:hAnsi="Arial"/>
          <w:sz w:val="18"/>
          <w:szCs w:val="18"/>
          <w:color w:val="auto"/>
        </w:rPr>
        <w:t>“</w:t>
      </w:r>
      <w:r>
        <w:rPr>
          <w:rFonts w:ascii="Arial" w:cs="Arial" w:eastAsia="Arial" w:hAnsi="Arial"/>
          <w:sz w:val="18"/>
          <w:szCs w:val="18"/>
          <w:i w:val="1"/>
          <w:iCs w:val="1"/>
          <w:color w:val="auto"/>
        </w:rPr>
        <w:t>GAAP</w:t>
      </w:r>
      <w:r>
        <w:rPr>
          <w:rFonts w:ascii="Arial" w:cs="Arial" w:eastAsia="Arial" w:hAnsi="Arial"/>
          <w:sz w:val="18"/>
          <w:szCs w:val="18"/>
          <w:color w:val="auto"/>
        </w:rPr>
        <w:t>”</w:t>
      </w:r>
      <w:r>
        <w:rPr>
          <w:rFonts w:ascii="Arial" w:cs="Arial" w:eastAsia="Arial" w:hAnsi="Arial"/>
          <w:sz w:val="18"/>
          <w:szCs w:val="18"/>
          <w:i w:val="1"/>
          <w:iCs w:val="1"/>
          <w:color w:val="auto"/>
        </w:rPr>
        <w:t xml:space="preserve">). Please see </w:t>
      </w:r>
      <w:r>
        <w:rPr>
          <w:rFonts w:ascii="Arial" w:cs="Arial" w:eastAsia="Arial" w:hAnsi="Arial"/>
          <w:sz w:val="18"/>
          <w:szCs w:val="18"/>
          <w:color w:val="auto"/>
        </w:rPr>
        <w:t>“</w:t>
      </w:r>
      <w:r>
        <w:rPr>
          <w:rFonts w:ascii="Arial" w:cs="Arial" w:eastAsia="Arial" w:hAnsi="Arial"/>
          <w:sz w:val="18"/>
          <w:szCs w:val="18"/>
          <w:i w:val="1"/>
          <w:iCs w:val="1"/>
          <w:color w:val="auto"/>
        </w:rPr>
        <w:t>Non-GAAP Financial Measures</w:t>
      </w:r>
      <w:r>
        <w:rPr>
          <w:rFonts w:ascii="Arial" w:cs="Arial" w:eastAsia="Arial" w:hAnsi="Arial"/>
          <w:sz w:val="18"/>
          <w:szCs w:val="18"/>
          <w:color w:val="auto"/>
        </w:rPr>
        <w:t>”</w:t>
      </w:r>
      <w:r>
        <w:rPr>
          <w:rFonts w:ascii="Arial" w:cs="Arial" w:eastAsia="Arial" w:hAnsi="Arial"/>
          <w:sz w:val="18"/>
          <w:szCs w:val="18"/>
          <w:i w:val="1"/>
          <w:iCs w:val="1"/>
          <w:color w:val="auto"/>
        </w:rPr>
        <w:t xml:space="preserve"> and </w:t>
      </w:r>
      <w:r>
        <w:rPr>
          <w:rFonts w:ascii="Arial" w:cs="Arial" w:eastAsia="Arial" w:hAnsi="Arial"/>
          <w:sz w:val="18"/>
          <w:szCs w:val="18"/>
          <w:color w:val="auto"/>
        </w:rPr>
        <w:t>“</w:t>
      </w:r>
      <w:r>
        <w:rPr>
          <w:rFonts w:ascii="Arial" w:cs="Arial" w:eastAsia="Arial" w:hAnsi="Arial"/>
          <w:sz w:val="18"/>
          <w:szCs w:val="18"/>
          <w:i w:val="1"/>
          <w:iCs w:val="1"/>
          <w:color w:val="auto"/>
        </w:rPr>
        <w:t>Reconciliation of GAAP to Non-GAAP Financial Measures</w:t>
      </w:r>
      <w:r>
        <w:rPr>
          <w:rFonts w:ascii="Arial" w:cs="Arial" w:eastAsia="Arial" w:hAnsi="Arial"/>
          <w:sz w:val="18"/>
          <w:szCs w:val="18"/>
          <w:color w:val="auto"/>
        </w:rPr>
        <w:t>”</w:t>
      </w:r>
      <w:r>
        <w:rPr>
          <w:rFonts w:ascii="Arial" w:cs="Arial" w:eastAsia="Arial" w:hAnsi="Arial"/>
          <w:sz w:val="18"/>
          <w:szCs w:val="18"/>
          <w:i w:val="1"/>
          <w:iCs w:val="1"/>
          <w:color w:val="auto"/>
        </w:rPr>
        <w:t xml:space="preserve"> below for more information.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Fourth Quarter 2018 Highlights</w:t>
      </w:r>
    </w:p>
    <w:p>
      <w:pPr>
        <w:spacing w:after="0" w:line="27" w:lineRule="exact"/>
        <w:rPr>
          <w:sz w:val="20"/>
          <w:szCs w:val="20"/>
          <w:color w:val="auto"/>
        </w:rPr>
      </w:pPr>
    </w:p>
    <w:p>
      <w:pPr>
        <w:jc w:val="both"/>
        <w:ind w:left="340" w:hanging="332"/>
        <w:spacing w:after="0" w:line="250" w:lineRule="auto"/>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Net revenue increased 10.6% to $355.9 million from $321.8 million for the fourth quarter of 2017. The Company’s expanded contact lens distribution relationship with Walmart added over $9 million to net revenues or approximately 290 basis points to net revenue growth. Net revenue growth benefited approximately 70 basis points due to the timing of unearned revenue.</w:t>
      </w:r>
    </w:p>
    <w:p>
      <w:pPr>
        <w:spacing w:after="0" w:line="1" w:lineRule="exact"/>
        <w:rPr>
          <w:rFonts w:ascii="Arial" w:cs="Arial" w:eastAsia="Arial" w:hAnsi="Arial"/>
          <w:sz w:val="18"/>
          <w:szCs w:val="18"/>
          <w:color w:val="auto"/>
        </w:rPr>
      </w:pPr>
    </w:p>
    <w:p>
      <w:pPr>
        <w:jc w:val="both"/>
        <w:ind w:left="340" w:hanging="332"/>
        <w:spacing w:after="0" w:line="250" w:lineRule="auto"/>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Comparable store sales growth of 4.3% and adjusted comparable store sales growth of 2.9% were driven by increases in average ticket. Customer transactions also increased, but were negatively impacted by one less selling day in the final week of the year and five stores closed for most of the quarter due to severe weather.</w:t>
      </w:r>
    </w:p>
    <w:p>
      <w:pPr>
        <w:spacing w:after="0" w:line="1" w:lineRule="exact"/>
        <w:rPr>
          <w:rFonts w:ascii="Arial" w:cs="Arial" w:eastAsia="Arial" w:hAnsi="Arial"/>
          <w:sz w:val="18"/>
          <w:szCs w:val="18"/>
          <w:color w:val="auto"/>
        </w:rPr>
      </w:pPr>
    </w:p>
    <w:p>
      <w:pPr>
        <w:ind w:left="340" w:hanging="332"/>
        <w:spacing w:after="0"/>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Company opened 16 new stores, closed one store and ended the quarter with 1,082 stores.</w:t>
      </w:r>
    </w:p>
    <w:p>
      <w:pPr>
        <w:spacing w:after="0" w:line="9" w:lineRule="exact"/>
        <w:rPr>
          <w:rFonts w:ascii="Arial" w:cs="Arial" w:eastAsia="Arial" w:hAnsi="Arial"/>
          <w:sz w:val="18"/>
          <w:szCs w:val="18"/>
          <w:color w:val="auto"/>
        </w:rPr>
      </w:pPr>
    </w:p>
    <w:p>
      <w:pPr>
        <w:jc w:val="both"/>
        <w:ind w:left="340" w:hanging="332"/>
        <w:spacing w:after="0" w:line="265" w:lineRule="auto"/>
        <w:tabs>
          <w:tab w:leader="none" w:pos="340" w:val="left"/>
        </w:tabs>
        <w:numPr>
          <w:ilvl w:val="0"/>
          <w:numId w:val="5"/>
        </w:numPr>
        <w:rPr>
          <w:rFonts w:ascii="Arial" w:cs="Arial" w:eastAsia="Arial" w:hAnsi="Arial"/>
          <w:sz w:val="17"/>
          <w:szCs w:val="17"/>
          <w:color w:val="auto"/>
        </w:rPr>
      </w:pPr>
      <w:r>
        <w:rPr>
          <w:rFonts w:ascii="Arial" w:cs="Arial" w:eastAsia="Arial" w:hAnsi="Arial"/>
          <w:sz w:val="17"/>
          <w:szCs w:val="17"/>
          <w:color w:val="auto"/>
        </w:rPr>
        <w:t>Costs applicable to revenue increased 13.8% to $173.5 million from $152.4 million for the fourth quarter of 2017. As a percentage of net revenue, costs applicable to revenue increased 130 basis points to 48.7% from 47.4% for the fourth quarter of 2017. This increase, as a percentage of net revenue, was driven by the impact of the Company’s expanded contact lens distribution relationship with Walmart. In addition, higher optometrist costs were partially offset by a higher mix of eye exam sales as a result of the Company’s growing managed care business.</w:t>
      </w:r>
    </w:p>
    <w:p>
      <w:pPr>
        <w:jc w:val="both"/>
        <w:ind w:left="340" w:hanging="332"/>
        <w:spacing w:after="0" w:line="250" w:lineRule="auto"/>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Selling, general and administrative expenses (“SG&amp;A”) increased 8.8% to $166.1 million from $152.8 million for the fourth quarter of 2017. As a percentage of net revenue, SG&amp;A decreased 80 basis points to 46.7% from 47.5% for the fourth quarter of 2017. This decrease, as a percentage of net revenue, was driven by the impact of the Company’s expanded contact lens distribution relationship with Walmart. In addition, higher stock compensation expense and long-term incentive plan expense in the fourth quarter of 2018 were partially offset by the monitoring agreement termination fee paid in connection with the completion of the Company’s initial public offering (“IPO”) in the fourth quarter of 2017 as well as lower write-offs of managed care receivables.</w:t>
      </w:r>
    </w:p>
    <w:p>
      <w:pPr>
        <w:spacing w:after="0" w:line="2" w:lineRule="exact"/>
        <w:rPr>
          <w:rFonts w:ascii="Arial" w:cs="Arial" w:eastAsia="Arial" w:hAnsi="Arial"/>
          <w:sz w:val="18"/>
          <w:szCs w:val="18"/>
          <w:color w:val="auto"/>
        </w:rPr>
      </w:pPr>
    </w:p>
    <w:p>
      <w:pPr>
        <w:ind w:left="340" w:hanging="332"/>
        <w:spacing w:after="0" w:line="261" w:lineRule="auto"/>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Depreciation and amortization expense increased 15.4% to $19.6 million from $17.0 million for the fourth quarter of 2017, primarily driven by new store openings, as well as investments in optical laboratories, distribution centers and information</w:t>
      </w:r>
    </w:p>
    <w:p>
      <w:pPr>
        <w:sectPr>
          <w:pgSz w:w="11900" w:h="16838" w:orient="portrait"/>
          <w:cols w:equalWidth="0" w:num="1">
            <w:col w:w="11420"/>
          </w:cols>
          <w:pgMar w:left="240" w:top="1440" w:right="239" w:bottom="1440" w:gutter="0" w:footer="0" w:header="0"/>
        </w:sectPr>
      </w:pPr>
    </w:p>
    <w:bookmarkStart w:id="5" w:name="page6"/>
    <w:bookmarkEnd w:id="5"/>
    <w:p>
      <w:pPr>
        <w:ind w:left="340"/>
        <w:spacing w:after="0"/>
        <w:rPr>
          <w:sz w:val="20"/>
          <w:szCs w:val="20"/>
          <w:color w:val="auto"/>
        </w:rPr>
      </w:pPr>
      <w:r>
        <w:rPr>
          <w:rFonts w:ascii="Arial" w:cs="Arial" w:eastAsia="Arial" w:hAnsi="Arial"/>
          <w:sz w:val="18"/>
          <w:szCs w:val="18"/>
          <w:color w:val="auto"/>
        </w:rPr>
        <w:t>technology infrastructure, including omni-channel platform related investments.</w:t>
      </w:r>
    </w:p>
    <w:p>
      <w:pPr>
        <w:spacing w:after="0" w:line="23" w:lineRule="exact"/>
        <w:rPr>
          <w:sz w:val="20"/>
          <w:szCs w:val="20"/>
          <w:color w:val="auto"/>
        </w:rPr>
      </w:pPr>
    </w:p>
    <w:p>
      <w:pPr>
        <w:jc w:val="both"/>
        <w:ind w:left="340" w:hanging="332"/>
        <w:spacing w:after="0" w:line="255" w:lineRule="auto"/>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Interest expense decreased $5.4 million compared to the fourth quarter of 2017, primarily driven by a $3.4 million decrease in deferred debt cost amortization and a $1.5 million decrease from lower debt balances, both of which resulted from the payoff of the $125.0 million in second lien term loans and $235.0 million in outstanding amount of first lien term loans during the fourth quarter of 2017.</w:t>
      </w:r>
    </w:p>
    <w:p>
      <w:pPr>
        <w:spacing w:after="0" w:line="1" w:lineRule="exact"/>
        <w:rPr>
          <w:rFonts w:ascii="Arial" w:cs="Arial" w:eastAsia="Arial" w:hAnsi="Arial"/>
          <w:sz w:val="18"/>
          <w:szCs w:val="18"/>
          <w:color w:val="auto"/>
        </w:rPr>
      </w:pPr>
    </w:p>
    <w:p>
      <w:pPr>
        <w:jc w:val="both"/>
        <w:ind w:left="340" w:hanging="332"/>
        <w:spacing w:after="0" w:line="265" w:lineRule="auto"/>
        <w:tabs>
          <w:tab w:leader="none" w:pos="340" w:val="left"/>
        </w:tabs>
        <w:numPr>
          <w:ilvl w:val="0"/>
          <w:numId w:val="6"/>
        </w:numPr>
        <w:rPr>
          <w:rFonts w:ascii="Arial" w:cs="Arial" w:eastAsia="Arial" w:hAnsi="Arial"/>
          <w:sz w:val="17"/>
          <w:szCs w:val="17"/>
          <w:color w:val="auto"/>
        </w:rPr>
      </w:pPr>
      <w:r>
        <w:rPr>
          <w:rFonts w:ascii="Arial" w:cs="Arial" w:eastAsia="Arial" w:hAnsi="Arial"/>
          <w:sz w:val="17"/>
          <w:szCs w:val="17"/>
          <w:color w:val="auto"/>
        </w:rPr>
        <w:t>Income tax benefit of $10.3 million compared to income tax benefit of $47.3 million for the fourth quarter of 2017, due to a $7.5 million income tax benefit resulting primarily from stock option exercises in the fourth quarter of 2018 and a one-time tax benefit of $42.1 million from the remeasurement of deferred tax assets and liabilities as a result of the Tax Cuts and Jobs Act (“Tax Legislation”) in the fourth quarter of 2017.</w:t>
      </w:r>
    </w:p>
    <w:p>
      <w:pPr>
        <w:ind w:left="340" w:hanging="332"/>
        <w:spacing w:after="0" w:line="265" w:lineRule="auto"/>
        <w:tabs>
          <w:tab w:leader="none" w:pos="340" w:val="left"/>
        </w:tabs>
        <w:numPr>
          <w:ilvl w:val="0"/>
          <w:numId w:val="6"/>
        </w:numPr>
        <w:rPr>
          <w:rFonts w:ascii="Arial" w:cs="Arial" w:eastAsia="Arial" w:hAnsi="Arial"/>
          <w:sz w:val="17"/>
          <w:szCs w:val="17"/>
          <w:i w:val="1"/>
          <w:iCs w:val="1"/>
          <w:color w:val="auto"/>
        </w:rPr>
      </w:pPr>
      <w:r>
        <w:rPr>
          <w:rFonts w:ascii="Arial" w:cs="Arial" w:eastAsia="Arial" w:hAnsi="Arial"/>
          <w:sz w:val="17"/>
          <w:szCs w:val="17"/>
          <w:color w:val="auto"/>
        </w:rPr>
        <w:t>Net loss was $18.4 million compared to net income of $27.3 million for the fourth quarter of 2017. Net margin was (5.2)% compared to 8.5% for the fourth quarter of 2017. Diluted loss per share was $0.24 per share compared to diluted EPS of $0.37 for the fourth quarter of 2017.</w:t>
      </w:r>
    </w:p>
    <w:p>
      <w:pPr>
        <w:ind w:left="340" w:right="20" w:hanging="332"/>
        <w:spacing w:after="0" w:line="250" w:lineRule="auto"/>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Adjusted net income of $1.0 million compared to adjusted net loss of $3.3 million for the fourth quarter of 2017. Adjusted diluted EPS of $0.01 compared to adjusted diluted loss of $0.05 per share for the fourth quarter of 2017.</w:t>
      </w:r>
    </w:p>
    <w:p>
      <w:pPr>
        <w:jc w:val="both"/>
        <w:ind w:left="340" w:hanging="332"/>
        <w:spacing w:after="0" w:line="255" w:lineRule="auto"/>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Adjusted EBITDA increased 16.3% to $28.7 million compared to $24.7 million for the fourth quarter of 2017. Adjusted EBITDA growth benefited 660 basis points from the $1.6 million net change in margin on unearned revenue. Adjusted EBITDA margin increased 40 basis points to 8.1% from 7.7% for the fourth quarter of 2017.</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Fiscal 2018 Highlights</w:t>
      </w:r>
    </w:p>
    <w:p>
      <w:pPr>
        <w:spacing w:after="0" w:line="27" w:lineRule="exact"/>
        <w:rPr>
          <w:sz w:val="20"/>
          <w:szCs w:val="20"/>
          <w:color w:val="auto"/>
        </w:rPr>
      </w:pPr>
    </w:p>
    <w:p>
      <w:pPr>
        <w:ind w:left="340" w:hanging="332"/>
        <w:spacing w:after="0"/>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color w:val="auto"/>
        </w:rPr>
        <w:t>Net revenue increased 11.7% to $1.5 billion from $1.4 billion for 2017.</w:t>
      </w:r>
    </w:p>
    <w:p>
      <w:pPr>
        <w:spacing w:after="0" w:line="9" w:lineRule="exact"/>
        <w:rPr>
          <w:rFonts w:ascii="Arial" w:cs="Arial" w:eastAsia="Arial" w:hAnsi="Arial"/>
          <w:sz w:val="18"/>
          <w:szCs w:val="18"/>
          <w:color w:val="auto"/>
        </w:rPr>
      </w:pPr>
    </w:p>
    <w:p>
      <w:pPr>
        <w:ind w:left="340" w:right="20" w:hanging="332"/>
        <w:spacing w:after="0" w:line="250" w:lineRule="auto"/>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Comparable store sales growth of 6.7% and adjusted comparable store sales growth of 5.7% were driven by an increase in customer transactions and, to a lesser extent, average ticket.</w:t>
      </w:r>
    </w:p>
    <w:p>
      <w:pPr>
        <w:ind w:left="340" w:hanging="332"/>
        <w:spacing w:after="0" w:line="250" w:lineRule="auto"/>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Company opened 74 stores, closed five stores and ended the period with 1,082 stores. Overall, store count grew 6.8% from December 31, 2017 to December 29, 2018.</w:t>
      </w:r>
    </w:p>
    <w:p>
      <w:pPr>
        <w:jc w:val="both"/>
        <w:ind w:left="340" w:hanging="332"/>
        <w:spacing w:after="0" w:line="250" w:lineRule="auto"/>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color w:val="auto"/>
        </w:rPr>
        <w:t>As a result of changes in California law, in the third quarter of 2017, the Legacy segment began providing eye examination services that previously had been provided by FirstSight, increasing Legacy comparable store sales growth by 115 basis points. Also, in the fourth quarter of 2017, FirstSight ceased the sale of vision care products in Walmart locations that are not operated by the Company, reducing its net revenue and associated costs by approximately $5.4 million for fiscal year 2018, with an immaterial impact on income from operations.</w:t>
      </w:r>
    </w:p>
    <w:p>
      <w:pPr>
        <w:spacing w:after="0" w:line="1" w:lineRule="exact"/>
        <w:rPr>
          <w:rFonts w:ascii="Arial" w:cs="Arial" w:eastAsia="Arial" w:hAnsi="Arial"/>
          <w:sz w:val="18"/>
          <w:szCs w:val="18"/>
          <w:color w:val="auto"/>
        </w:rPr>
      </w:pPr>
    </w:p>
    <w:p>
      <w:pPr>
        <w:jc w:val="both"/>
        <w:ind w:left="340" w:hanging="332"/>
        <w:spacing w:after="0" w:line="281" w:lineRule="auto"/>
        <w:tabs>
          <w:tab w:leader="none" w:pos="340" w:val="left"/>
        </w:tabs>
        <w:numPr>
          <w:ilvl w:val="0"/>
          <w:numId w:val="7"/>
        </w:numPr>
        <w:rPr>
          <w:rFonts w:ascii="Arial" w:cs="Arial" w:eastAsia="Arial" w:hAnsi="Arial"/>
          <w:sz w:val="16"/>
          <w:szCs w:val="16"/>
          <w:color w:val="auto"/>
        </w:rPr>
      </w:pPr>
      <w:r>
        <w:rPr>
          <w:rFonts w:ascii="Arial" w:cs="Arial" w:eastAsia="Arial" w:hAnsi="Arial"/>
          <w:sz w:val="16"/>
          <w:szCs w:val="16"/>
          <w:color w:val="auto"/>
        </w:rPr>
        <w:t>Costs applicable to revenue increased 12.0% to $713.6 million from $637.0 million for fiscal year 2017. As a percentage of net revenue, costs applicable to revenue increased 10 basis points to 46.4% from 46.3% for 2017. This increase, as a percentage of net revenue, was primarily driven by higher optometrist costs and the impact of the Company’s expanded contact lens distribution relationship with Walmart, partially offset by a higher mix of exam sales as a result of the Company’s growing managed care business, higher vendor rebates and a $2.3 million inventory write-off in 2017.</w:t>
      </w:r>
    </w:p>
    <w:p>
      <w:pPr>
        <w:spacing w:after="0" w:line="2" w:lineRule="exact"/>
        <w:rPr>
          <w:rFonts w:ascii="Arial" w:cs="Arial" w:eastAsia="Arial" w:hAnsi="Arial"/>
          <w:sz w:val="16"/>
          <w:szCs w:val="16"/>
          <w:color w:val="auto"/>
        </w:rPr>
      </w:pPr>
    </w:p>
    <w:p>
      <w:pPr>
        <w:jc w:val="both"/>
        <w:ind w:left="340" w:hanging="332"/>
        <w:spacing w:after="0" w:line="250" w:lineRule="auto"/>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color w:val="auto"/>
        </w:rPr>
        <w:t>SG&amp;A increased 14.6% to $687.5 million from $600.0 million for 2017. As a percentage of net revenue, SG&amp;A increased 110 basis points to 44.7% from 43.6% for 2017. This increase as a percentage of net revenue was primarily driven by stock compensation expense, long-term incentive plan expense, investment in advertising, and incremental corporate expenses as a result of becoming a public company, partially offset by the monitoring agreement termination fee paid in connection with the completion of the Company’s IPO in 2017.</w:t>
      </w:r>
    </w:p>
    <w:p>
      <w:pPr>
        <w:spacing w:after="0" w:line="1" w:lineRule="exact"/>
        <w:rPr>
          <w:rFonts w:ascii="Arial" w:cs="Arial" w:eastAsia="Arial" w:hAnsi="Arial"/>
          <w:sz w:val="18"/>
          <w:szCs w:val="18"/>
          <w:color w:val="auto"/>
        </w:rPr>
      </w:pPr>
    </w:p>
    <w:p>
      <w:pPr>
        <w:ind w:left="340" w:hanging="332"/>
        <w:spacing w:after="0" w:line="281" w:lineRule="auto"/>
        <w:tabs>
          <w:tab w:leader="none" w:pos="340" w:val="left"/>
        </w:tabs>
        <w:numPr>
          <w:ilvl w:val="0"/>
          <w:numId w:val="7"/>
        </w:numPr>
        <w:rPr>
          <w:rFonts w:ascii="Arial" w:cs="Arial" w:eastAsia="Arial" w:hAnsi="Arial"/>
          <w:sz w:val="16"/>
          <w:szCs w:val="16"/>
          <w:color w:val="auto"/>
        </w:rPr>
      </w:pPr>
      <w:r>
        <w:rPr>
          <w:rFonts w:ascii="Arial" w:cs="Arial" w:eastAsia="Arial" w:hAnsi="Arial"/>
          <w:sz w:val="16"/>
          <w:szCs w:val="16"/>
          <w:color w:val="auto"/>
        </w:rPr>
        <w:t>Depreciation and amortization expense increased 20.0% to $74.3 million from $62.0 million for 2017, primarily driven by new store openings, as well as investments in optical laboratories, distribution centers and information technology infrastructure, including omni-channel platform related investments.</w:t>
      </w:r>
    </w:p>
    <w:p>
      <w:pPr>
        <w:spacing w:after="0" w:line="1" w:lineRule="exact"/>
        <w:rPr>
          <w:rFonts w:ascii="Arial" w:cs="Arial" w:eastAsia="Arial" w:hAnsi="Arial"/>
          <w:sz w:val="16"/>
          <w:szCs w:val="16"/>
          <w:color w:val="auto"/>
        </w:rPr>
      </w:pPr>
    </w:p>
    <w:p>
      <w:pPr>
        <w:jc w:val="both"/>
        <w:ind w:left="340" w:hanging="332"/>
        <w:spacing w:after="0" w:line="250" w:lineRule="auto"/>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Interest expense, net, decreased $18.3 million compared to 2017, driven by a $14.9 million decrease resulting from the payoff of the $125.0 million in second lien term loans and $235.0 million in outstanding amount of first lien term loans during the fourth quarter of fiscal year 2017 and a $5.2 million decrease in deferred debt cost amortization related to the IPO debt paydown, partially offset by a $2.2 million increase related to interest payments to counterparties associated with the Company's derivative cash flow hedges.</w:t>
      </w:r>
    </w:p>
    <w:p>
      <w:pPr>
        <w:spacing w:after="0" w:line="1" w:lineRule="exact"/>
        <w:rPr>
          <w:rFonts w:ascii="Arial" w:cs="Arial" w:eastAsia="Arial" w:hAnsi="Arial"/>
          <w:sz w:val="18"/>
          <w:szCs w:val="18"/>
          <w:color w:val="auto"/>
        </w:rPr>
      </w:pPr>
    </w:p>
    <w:p>
      <w:pPr>
        <w:jc w:val="both"/>
        <w:ind w:left="340" w:hanging="332"/>
        <w:spacing w:after="0" w:line="250" w:lineRule="auto"/>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Income tax benefit of $18.8 million compared to income tax benefit of $38.9 million for 2017, due to a $25.5 million income tax benefit resulting primarily from stock option exercises in 2018 and the one-time tax benefit of $42.1 million from the remeasurement of deferred tax assets and liabilities as a result of the Tax Legislation in 2017.</w:t>
      </w:r>
    </w:p>
    <w:p>
      <w:pPr>
        <w:spacing w:after="0" w:line="1" w:lineRule="exact"/>
        <w:rPr>
          <w:rFonts w:ascii="Arial" w:cs="Arial" w:eastAsia="Arial" w:hAnsi="Arial"/>
          <w:sz w:val="18"/>
          <w:szCs w:val="18"/>
          <w:color w:val="auto"/>
        </w:rPr>
      </w:pPr>
    </w:p>
    <w:p>
      <w:pPr>
        <w:ind w:left="340" w:hanging="332"/>
        <w:spacing w:after="0" w:line="250" w:lineRule="auto"/>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color w:val="auto"/>
        </w:rPr>
        <w:t>Net income was $23.7 million compared to $43.1 million for 2017. Net margin decreased 160 basis points to 1.5% from 3.1% for 2017. Diluted EPS was $0.30 compared to $0.70 for 2017.</w:t>
      </w:r>
    </w:p>
    <w:p>
      <w:pPr>
        <w:ind w:left="340" w:hanging="332"/>
        <w:spacing w:after="0" w:line="250" w:lineRule="auto"/>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color w:val="auto"/>
        </w:rPr>
        <w:t>Adjusted net income increased 63.5% to $51.9 million compared to $31.8 million for 2017. Adjusted diluted EPS increased 29.4% to $0.66 per diluted share compared to $0.51 per diluted share for 2017.</w:t>
      </w:r>
    </w:p>
    <w:p>
      <w:pPr>
        <w:jc w:val="both"/>
        <w:ind w:left="340" w:hanging="332"/>
        <w:spacing w:after="0" w:line="254" w:lineRule="auto"/>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color w:val="auto"/>
        </w:rPr>
        <w:t>Adjusted EBITDA increased 10.1% to $174.4 million compared to $158.4 million for 2017. Adjusted EBITDA growth benefited 120 basis points from the $1.9 million net change in margin on unearned revenue. Adjusted EBITDA margin decreased 20 basis points to 11.3% from 11.5% for 2017. The 2018 adjusted EBITDA margin reflected the impact of the Company’s expanded contact lens distribution relationship with Walmart and public company expenses, partially offset by the benefit from the net change in margin on unearned revenue.</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Balance Sheet and Cash Flow Highlights as of December 29, 2018</w:t>
      </w:r>
    </w:p>
    <w:p>
      <w:pPr>
        <w:spacing w:after="0" w:line="27" w:lineRule="exact"/>
        <w:rPr>
          <w:sz w:val="20"/>
          <w:szCs w:val="20"/>
          <w:color w:val="auto"/>
        </w:rPr>
      </w:pPr>
    </w:p>
    <w:p>
      <w:pPr>
        <w:ind w:left="340" w:hanging="332"/>
        <w:spacing w:after="0" w:line="261" w:lineRule="auto"/>
        <w:tabs>
          <w:tab w:leader="none" w:pos="3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Company’s cash balance was $17.1 million as of December 29, 2018. The Company had no borrowings under its $100.0 million first lien revolving credit facility, exclusive of letters of credit of $5.5 million.</w:t>
      </w:r>
    </w:p>
    <w:p>
      <w:pPr>
        <w:sectPr>
          <w:pgSz w:w="11900" w:h="16838" w:orient="portrait"/>
          <w:cols w:equalWidth="0" w:num="1">
            <w:col w:w="11420"/>
          </w:cols>
          <w:pgMar w:left="240" w:top="611" w:right="239" w:bottom="1440" w:gutter="0" w:footer="0" w:header="0"/>
        </w:sectPr>
      </w:pPr>
    </w:p>
    <w:bookmarkStart w:id="6" w:name="page7"/>
    <w:bookmarkEnd w:id="6"/>
    <w:p>
      <w:pPr>
        <w:ind w:left="340" w:hanging="332"/>
        <w:spacing w:after="0"/>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Total debt was $578.1 million as of December 29, 2018, consisting of outstanding first lien term loans and capital lease obligations.</w:t>
      </w:r>
    </w:p>
    <w:p>
      <w:pPr>
        <w:spacing w:after="0" w:line="23" w:lineRule="exact"/>
        <w:rPr>
          <w:rFonts w:ascii="Arial" w:cs="Arial" w:eastAsia="Arial" w:hAnsi="Arial"/>
          <w:sz w:val="18"/>
          <w:szCs w:val="18"/>
          <w:color w:val="auto"/>
        </w:rPr>
      </w:pPr>
    </w:p>
    <w:p>
      <w:pPr>
        <w:ind w:left="340" w:hanging="332"/>
        <w:spacing w:after="0"/>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Cash flows from operating activities for 2018 were $106.6 million compared to $90.3 million for 2017.</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Capital expenditures for 2018 totaled $104.5 million compared to $93.2 million for 2017.</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Fiscal 2019 Outlook</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The Company is providing the following outlook for the fiscal year ending December 28, 2019:</w:t>
      </w:r>
    </w:p>
    <w:p>
      <w:pPr>
        <w:spacing w:after="0" w:line="261" w:lineRule="exact"/>
        <w:rPr>
          <w:sz w:val="20"/>
          <w:szCs w:val="20"/>
          <w:color w:val="auto"/>
        </w:rPr>
      </w:pPr>
    </w:p>
    <w:p>
      <w:pPr>
        <w:ind w:left="7780"/>
        <w:spacing w:after="0"/>
        <w:rPr>
          <w:sz w:val="20"/>
          <w:szCs w:val="20"/>
          <w:color w:val="auto"/>
        </w:rPr>
      </w:pPr>
      <w:r>
        <w:rPr>
          <w:rFonts w:ascii="Arial" w:cs="Arial" w:eastAsia="Arial" w:hAnsi="Arial"/>
          <w:sz w:val="18"/>
          <w:szCs w:val="18"/>
          <w:b w:val="1"/>
          <w:bCs w:val="1"/>
          <w:color w:val="auto"/>
        </w:rPr>
        <w:t>Fiscal 2019 Outlook</w:t>
      </w:r>
    </w:p>
    <w:p>
      <w:pPr>
        <w:spacing w:after="0" w:line="34" w:lineRule="exact"/>
        <w:rPr>
          <w:sz w:val="20"/>
          <w:szCs w:val="20"/>
          <w:color w:val="auto"/>
        </w:rPr>
      </w:pPr>
    </w:p>
    <w:tbl>
      <w:tblPr>
        <w:tblLayout w:type="fixed"/>
        <w:tblInd w:w="1040" w:type="dxa"/>
        <w:tblCellMar>
          <w:top w:w="0" w:type="dxa"/>
          <w:left w:w="0" w:type="dxa"/>
          <w:bottom w:w="0" w:type="dxa"/>
          <w:right w:w="0" w:type="dxa"/>
        </w:tblCellMar>
      </w:tblPr>
      <w:tr>
        <w:trPr>
          <w:trHeight w:val="264"/>
        </w:trPr>
        <w:tc>
          <w:tcPr>
            <w:tcW w:w="5000" w:type="dxa"/>
            <w:vAlign w:val="bottom"/>
            <w:tcBorders>
              <w:top w:val="single" w:sz="8" w:color="CCEEFF"/>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New Stores</w:t>
            </w:r>
          </w:p>
        </w:tc>
        <w:tc>
          <w:tcPr>
            <w:tcW w:w="5020" w:type="dxa"/>
            <w:vAlign w:val="bottom"/>
            <w:tcBorders>
              <w:top w:val="single" w:sz="8" w:color="auto"/>
              <w:bottom w:val="single" w:sz="8" w:color="CCEEFF"/>
            </w:tcBorders>
            <w:gridSpan w:val="2"/>
            <w:shd w:val="clear" w:color="auto" w:fill="CCEEFF"/>
          </w:tcPr>
          <w:p>
            <w:pPr>
              <w:jc w:val="center"/>
              <w:spacing w:after="0"/>
              <w:rPr>
                <w:sz w:val="20"/>
                <w:szCs w:val="20"/>
                <w:color w:val="auto"/>
              </w:rPr>
            </w:pPr>
            <w:r>
              <w:rPr>
                <w:rFonts w:ascii="Arial" w:cs="Arial" w:eastAsia="Arial" w:hAnsi="Arial"/>
                <w:sz w:val="18"/>
                <w:szCs w:val="18"/>
                <w:color w:val="auto"/>
                <w:w w:val="90"/>
              </w:rPr>
              <w:t>~75 New Stores</w:t>
            </w:r>
          </w:p>
        </w:tc>
      </w:tr>
      <w:tr>
        <w:trPr>
          <w:trHeight w:val="243"/>
        </w:trPr>
        <w:tc>
          <w:tcPr>
            <w:tcW w:w="5000" w:type="dxa"/>
            <w:vAlign w:val="bottom"/>
          </w:tcPr>
          <w:p>
            <w:pPr>
              <w:jc w:val="center"/>
              <w:spacing w:after="0"/>
              <w:rPr>
                <w:sz w:val="20"/>
                <w:szCs w:val="20"/>
                <w:color w:val="auto"/>
              </w:rPr>
            </w:pPr>
            <w:r>
              <w:rPr>
                <w:rFonts w:ascii="Arial" w:cs="Arial" w:eastAsia="Arial" w:hAnsi="Arial"/>
                <w:sz w:val="18"/>
                <w:szCs w:val="18"/>
                <w:color w:val="auto"/>
                <w:w w:val="90"/>
              </w:rPr>
              <w:t>Adjusted Comparable Store Sales Growth</w:t>
            </w:r>
          </w:p>
        </w:tc>
        <w:tc>
          <w:tcPr>
            <w:tcW w:w="2160" w:type="dxa"/>
            <w:vAlign w:val="bottom"/>
          </w:tcPr>
          <w:p>
            <w:pPr>
              <w:spacing w:after="0"/>
              <w:rPr>
                <w:sz w:val="21"/>
                <w:szCs w:val="21"/>
                <w:color w:val="auto"/>
              </w:rPr>
            </w:pPr>
          </w:p>
        </w:tc>
        <w:tc>
          <w:tcPr>
            <w:tcW w:w="2860" w:type="dxa"/>
            <w:vAlign w:val="bottom"/>
          </w:tcPr>
          <w:p>
            <w:pPr>
              <w:jc w:val="right"/>
              <w:ind w:right="2190"/>
              <w:spacing w:after="0"/>
              <w:rPr>
                <w:sz w:val="20"/>
                <w:szCs w:val="20"/>
                <w:color w:val="auto"/>
              </w:rPr>
            </w:pPr>
            <w:r>
              <w:rPr>
                <w:rFonts w:ascii="Arial" w:cs="Arial" w:eastAsia="Arial" w:hAnsi="Arial"/>
                <w:sz w:val="18"/>
                <w:szCs w:val="18"/>
                <w:color w:val="auto"/>
              </w:rPr>
              <w:t>3 - 5%</w:t>
            </w:r>
          </w:p>
        </w:tc>
      </w:tr>
      <w:tr>
        <w:trPr>
          <w:trHeight w:val="27"/>
        </w:trPr>
        <w:tc>
          <w:tcPr>
            <w:tcW w:w="5000" w:type="dxa"/>
            <w:vAlign w:val="bottom"/>
          </w:tcPr>
          <w:p>
            <w:pPr>
              <w:spacing w:after="0"/>
              <w:rPr>
                <w:sz w:val="2"/>
                <w:szCs w:val="2"/>
                <w:color w:val="auto"/>
              </w:rPr>
            </w:pPr>
          </w:p>
        </w:tc>
        <w:tc>
          <w:tcPr>
            <w:tcW w:w="5020" w:type="dxa"/>
            <w:vAlign w:val="bottom"/>
            <w:gridSpan w:val="2"/>
          </w:tcPr>
          <w:p>
            <w:pPr>
              <w:spacing w:after="0"/>
              <w:rPr>
                <w:sz w:val="2"/>
                <w:szCs w:val="2"/>
                <w:color w:val="auto"/>
              </w:rPr>
            </w:pPr>
          </w:p>
        </w:tc>
      </w:tr>
      <w:tr>
        <w:trPr>
          <w:trHeight w:val="270"/>
        </w:trPr>
        <w:tc>
          <w:tcPr>
            <w:tcW w:w="5000" w:type="dxa"/>
            <w:vAlign w:val="bottom"/>
            <w:shd w:val="clear" w:color="auto" w:fill="CCEEFF"/>
          </w:tcPr>
          <w:p>
            <w:pPr>
              <w:jc w:val="center"/>
              <w:spacing w:after="0" w:line="270" w:lineRule="exact"/>
              <w:rPr>
                <w:sz w:val="20"/>
                <w:szCs w:val="20"/>
                <w:color w:val="auto"/>
              </w:rPr>
            </w:pPr>
            <w:r>
              <w:rPr>
                <w:rFonts w:ascii="Arial" w:cs="Arial" w:eastAsia="Arial" w:hAnsi="Arial"/>
                <w:sz w:val="18"/>
                <w:szCs w:val="18"/>
                <w:color w:val="auto"/>
                <w:w w:val="87"/>
              </w:rPr>
              <w:t xml:space="preserve">Net Revenue </w:t>
            </w:r>
            <w:r>
              <w:rPr>
                <w:rFonts w:ascii="Arial" w:cs="Arial" w:eastAsia="Arial" w:hAnsi="Arial"/>
                <w:sz w:val="25"/>
                <w:szCs w:val="25"/>
                <w:color w:val="auto"/>
                <w:w w:val="87"/>
                <w:vertAlign w:val="superscript"/>
              </w:rPr>
              <w:t>(1)</w:t>
            </w:r>
          </w:p>
        </w:tc>
        <w:tc>
          <w:tcPr>
            <w:tcW w:w="502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3"/>
              </w:rPr>
              <w:t>$1.675 - $1.705 billion</w:t>
            </w:r>
          </w:p>
        </w:tc>
      </w:tr>
      <w:tr>
        <w:trPr>
          <w:trHeight w:val="243"/>
        </w:trPr>
        <w:tc>
          <w:tcPr>
            <w:tcW w:w="5000" w:type="dxa"/>
            <w:vAlign w:val="bottom"/>
          </w:tcPr>
          <w:p>
            <w:pPr>
              <w:jc w:val="center"/>
              <w:spacing w:after="0"/>
              <w:rPr>
                <w:sz w:val="20"/>
                <w:szCs w:val="20"/>
                <w:color w:val="auto"/>
              </w:rPr>
            </w:pPr>
            <w:r>
              <w:rPr>
                <w:rFonts w:ascii="Arial" w:cs="Arial" w:eastAsia="Arial" w:hAnsi="Arial"/>
                <w:sz w:val="18"/>
                <w:szCs w:val="18"/>
                <w:color w:val="auto"/>
                <w:w w:val="97"/>
              </w:rPr>
              <w:t>Adjusted EBITDA</w:t>
            </w:r>
          </w:p>
        </w:tc>
        <w:tc>
          <w:tcPr>
            <w:tcW w:w="2160" w:type="dxa"/>
            <w:vAlign w:val="bottom"/>
          </w:tcPr>
          <w:p>
            <w:pPr>
              <w:jc w:val="right"/>
              <w:spacing w:after="0"/>
              <w:rPr>
                <w:sz w:val="20"/>
                <w:szCs w:val="20"/>
                <w:color w:val="auto"/>
              </w:rPr>
            </w:pPr>
            <w:r>
              <w:rPr>
                <w:rFonts w:ascii="Arial" w:cs="Arial" w:eastAsia="Arial" w:hAnsi="Arial"/>
                <w:sz w:val="18"/>
                <w:szCs w:val="18"/>
                <w:color w:val="auto"/>
              </w:rPr>
              <w:t>$186</w:t>
            </w:r>
          </w:p>
        </w:tc>
        <w:tc>
          <w:tcPr>
            <w:tcW w:w="2860" w:type="dxa"/>
            <w:vAlign w:val="bottom"/>
          </w:tcPr>
          <w:p>
            <w:pPr>
              <w:ind w:left="40"/>
              <w:spacing w:after="0"/>
              <w:rPr>
                <w:sz w:val="20"/>
                <w:szCs w:val="20"/>
                <w:color w:val="auto"/>
              </w:rPr>
            </w:pPr>
            <w:r>
              <w:rPr>
                <w:rFonts w:ascii="Arial" w:cs="Arial" w:eastAsia="Arial" w:hAnsi="Arial"/>
                <w:sz w:val="18"/>
                <w:szCs w:val="18"/>
                <w:color w:val="auto"/>
              </w:rPr>
              <w:t>- $191 million</w:t>
            </w:r>
          </w:p>
        </w:tc>
      </w:tr>
      <w:tr>
        <w:trPr>
          <w:trHeight w:val="27"/>
        </w:trPr>
        <w:tc>
          <w:tcPr>
            <w:tcW w:w="5000" w:type="dxa"/>
            <w:vAlign w:val="bottom"/>
          </w:tcPr>
          <w:p>
            <w:pPr>
              <w:spacing w:after="0"/>
              <w:rPr>
                <w:sz w:val="2"/>
                <w:szCs w:val="2"/>
                <w:color w:val="auto"/>
              </w:rPr>
            </w:pPr>
          </w:p>
        </w:tc>
        <w:tc>
          <w:tcPr>
            <w:tcW w:w="2160" w:type="dxa"/>
            <w:vAlign w:val="bottom"/>
          </w:tcPr>
          <w:p>
            <w:pPr>
              <w:spacing w:after="0"/>
              <w:rPr>
                <w:sz w:val="2"/>
                <w:szCs w:val="2"/>
                <w:color w:val="auto"/>
              </w:rPr>
            </w:pPr>
          </w:p>
        </w:tc>
        <w:tc>
          <w:tcPr>
            <w:tcW w:w="2860" w:type="dxa"/>
            <w:vAlign w:val="bottom"/>
          </w:tcPr>
          <w:p>
            <w:pPr>
              <w:spacing w:after="0"/>
              <w:rPr>
                <w:sz w:val="2"/>
                <w:szCs w:val="2"/>
                <w:color w:val="auto"/>
              </w:rPr>
            </w:pPr>
          </w:p>
        </w:tc>
      </w:tr>
      <w:tr>
        <w:trPr>
          <w:trHeight w:val="250"/>
        </w:trPr>
        <w:tc>
          <w:tcPr>
            <w:tcW w:w="50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Adjusted Net Income</w:t>
            </w:r>
          </w:p>
        </w:tc>
        <w:tc>
          <w:tcPr>
            <w:tcW w:w="2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$53.5</w:t>
            </w:r>
          </w:p>
        </w:tc>
        <w:tc>
          <w:tcPr>
            <w:tcW w:w="2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 $56.5 million</w:t>
            </w:r>
          </w:p>
        </w:tc>
      </w:tr>
      <w:tr>
        <w:trPr>
          <w:trHeight w:val="243"/>
        </w:trPr>
        <w:tc>
          <w:tcPr>
            <w:tcW w:w="5000" w:type="dxa"/>
            <w:vAlign w:val="bottom"/>
          </w:tcPr>
          <w:p>
            <w:pPr>
              <w:jc w:val="center"/>
              <w:spacing w:after="0"/>
              <w:rPr>
                <w:sz w:val="20"/>
                <w:szCs w:val="20"/>
                <w:color w:val="auto"/>
              </w:rPr>
            </w:pPr>
            <w:r>
              <w:rPr>
                <w:rFonts w:ascii="Arial" w:cs="Arial" w:eastAsia="Arial" w:hAnsi="Arial"/>
                <w:sz w:val="18"/>
                <w:szCs w:val="18"/>
                <w:color w:val="auto"/>
                <w:w w:val="92"/>
              </w:rPr>
              <w:t>Depreciation and Amortization</w:t>
            </w:r>
          </w:p>
        </w:tc>
        <w:tc>
          <w:tcPr>
            <w:tcW w:w="2160" w:type="dxa"/>
            <w:vAlign w:val="bottom"/>
          </w:tcPr>
          <w:p>
            <w:pPr>
              <w:jc w:val="right"/>
              <w:spacing w:after="0"/>
              <w:rPr>
                <w:sz w:val="20"/>
                <w:szCs w:val="20"/>
                <w:color w:val="auto"/>
              </w:rPr>
            </w:pPr>
            <w:r>
              <w:rPr>
                <w:rFonts w:ascii="Arial" w:cs="Arial" w:eastAsia="Arial" w:hAnsi="Arial"/>
                <w:sz w:val="18"/>
                <w:szCs w:val="18"/>
                <w:color w:val="auto"/>
              </w:rPr>
              <w:t>$88</w:t>
            </w:r>
          </w:p>
        </w:tc>
        <w:tc>
          <w:tcPr>
            <w:tcW w:w="2860" w:type="dxa"/>
            <w:vAlign w:val="bottom"/>
          </w:tcPr>
          <w:p>
            <w:pPr>
              <w:ind w:left="40"/>
              <w:spacing w:after="0"/>
              <w:rPr>
                <w:sz w:val="20"/>
                <w:szCs w:val="20"/>
                <w:color w:val="auto"/>
              </w:rPr>
            </w:pPr>
            <w:r>
              <w:rPr>
                <w:rFonts w:ascii="Arial" w:cs="Arial" w:eastAsia="Arial" w:hAnsi="Arial"/>
                <w:sz w:val="18"/>
                <w:szCs w:val="18"/>
                <w:color w:val="auto"/>
              </w:rPr>
              <w:t>- $90 million</w:t>
            </w:r>
          </w:p>
        </w:tc>
      </w:tr>
      <w:tr>
        <w:trPr>
          <w:trHeight w:val="27"/>
        </w:trPr>
        <w:tc>
          <w:tcPr>
            <w:tcW w:w="5000" w:type="dxa"/>
            <w:vAlign w:val="bottom"/>
          </w:tcPr>
          <w:p>
            <w:pPr>
              <w:spacing w:after="0"/>
              <w:rPr>
                <w:sz w:val="2"/>
                <w:szCs w:val="2"/>
                <w:color w:val="auto"/>
              </w:rPr>
            </w:pPr>
          </w:p>
        </w:tc>
        <w:tc>
          <w:tcPr>
            <w:tcW w:w="2160" w:type="dxa"/>
            <w:vAlign w:val="bottom"/>
          </w:tcPr>
          <w:p>
            <w:pPr>
              <w:spacing w:after="0"/>
              <w:rPr>
                <w:sz w:val="2"/>
                <w:szCs w:val="2"/>
                <w:color w:val="auto"/>
              </w:rPr>
            </w:pPr>
          </w:p>
        </w:tc>
        <w:tc>
          <w:tcPr>
            <w:tcW w:w="2860" w:type="dxa"/>
            <w:vAlign w:val="bottom"/>
          </w:tcPr>
          <w:p>
            <w:pPr>
              <w:spacing w:after="0"/>
              <w:rPr>
                <w:sz w:val="2"/>
                <w:szCs w:val="2"/>
                <w:color w:val="auto"/>
              </w:rPr>
            </w:pPr>
          </w:p>
        </w:tc>
      </w:tr>
      <w:tr>
        <w:trPr>
          <w:trHeight w:val="250"/>
        </w:trPr>
        <w:tc>
          <w:tcPr>
            <w:tcW w:w="50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Interest</w:t>
            </w:r>
          </w:p>
        </w:tc>
        <w:tc>
          <w:tcPr>
            <w:tcW w:w="2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2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 $37 million</w:t>
            </w:r>
          </w:p>
        </w:tc>
      </w:tr>
      <w:tr>
        <w:trPr>
          <w:trHeight w:val="270"/>
        </w:trPr>
        <w:tc>
          <w:tcPr>
            <w:tcW w:w="5000" w:type="dxa"/>
            <w:vAlign w:val="bottom"/>
          </w:tcPr>
          <w:p>
            <w:pPr>
              <w:jc w:val="center"/>
              <w:spacing w:after="0" w:line="270" w:lineRule="exact"/>
              <w:rPr>
                <w:sz w:val="20"/>
                <w:szCs w:val="20"/>
                <w:color w:val="auto"/>
              </w:rPr>
            </w:pPr>
            <w:r>
              <w:rPr>
                <w:rFonts w:ascii="Arial" w:cs="Arial" w:eastAsia="Arial" w:hAnsi="Arial"/>
                <w:sz w:val="18"/>
                <w:szCs w:val="18"/>
                <w:color w:val="auto"/>
                <w:w w:val="85"/>
              </w:rPr>
              <w:t xml:space="preserve">Tax Rate </w:t>
            </w:r>
            <w:r>
              <w:rPr>
                <w:rFonts w:ascii="Arial" w:cs="Arial" w:eastAsia="Arial" w:hAnsi="Arial"/>
                <w:sz w:val="25"/>
                <w:szCs w:val="25"/>
                <w:color w:val="auto"/>
                <w:w w:val="85"/>
                <w:vertAlign w:val="superscript"/>
              </w:rPr>
              <w:t>(2)</w:t>
            </w:r>
          </w:p>
        </w:tc>
        <w:tc>
          <w:tcPr>
            <w:tcW w:w="2160" w:type="dxa"/>
            <w:vAlign w:val="bottom"/>
          </w:tcPr>
          <w:p>
            <w:pPr>
              <w:spacing w:after="0"/>
              <w:rPr>
                <w:sz w:val="23"/>
                <w:szCs w:val="23"/>
                <w:color w:val="auto"/>
              </w:rPr>
            </w:pPr>
          </w:p>
        </w:tc>
        <w:tc>
          <w:tcPr>
            <w:tcW w:w="2860" w:type="dxa"/>
            <w:vAlign w:val="bottom"/>
          </w:tcPr>
          <w:p>
            <w:pPr>
              <w:jc w:val="right"/>
              <w:ind w:right="2150"/>
              <w:spacing w:after="0"/>
              <w:rPr>
                <w:sz w:val="20"/>
                <w:szCs w:val="20"/>
                <w:color w:val="auto"/>
              </w:rPr>
            </w:pPr>
            <w:r>
              <w:rPr>
                <w:rFonts w:ascii="Arial" w:cs="Arial" w:eastAsia="Arial" w:hAnsi="Arial"/>
                <w:sz w:val="18"/>
                <w:szCs w:val="18"/>
                <w:color w:val="auto"/>
                <w:w w:val="97"/>
              </w:rPr>
              <w:t>~26.0%</w:t>
            </w:r>
          </w:p>
        </w:tc>
      </w:tr>
      <w:tr>
        <w:trPr>
          <w:trHeight w:val="243"/>
        </w:trPr>
        <w:tc>
          <w:tcPr>
            <w:tcW w:w="50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Capital Expenditures</w:t>
            </w:r>
          </w:p>
        </w:tc>
        <w:tc>
          <w:tcPr>
            <w:tcW w:w="2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860" w:type="dxa"/>
            <w:vAlign w:val="bottom"/>
            <w:shd w:val="clear" w:color="auto" w:fill="CCEEFF"/>
          </w:tcPr>
          <w:p>
            <w:pPr>
              <w:ind w:left="40"/>
              <w:spacing w:after="0"/>
              <w:rPr>
                <w:sz w:val="20"/>
                <w:szCs w:val="20"/>
                <w:color w:val="auto"/>
              </w:rPr>
            </w:pPr>
            <w:r>
              <w:rPr>
                <w:rFonts w:ascii="Arial" w:cs="Arial" w:eastAsia="Arial" w:hAnsi="Arial"/>
                <w:sz w:val="18"/>
                <w:szCs w:val="18"/>
                <w:color w:val="auto"/>
              </w:rPr>
              <w:t>- $105 million</w:t>
            </w:r>
          </w:p>
        </w:tc>
      </w:tr>
      <w:tr>
        <w:trPr>
          <w:trHeight w:val="27"/>
        </w:trPr>
        <w:tc>
          <w:tcPr>
            <w:tcW w:w="5000" w:type="dxa"/>
            <w:vAlign w:val="bottom"/>
            <w:shd w:val="clear" w:color="auto" w:fill="CCEEFF"/>
          </w:tcPr>
          <w:p>
            <w:pPr>
              <w:spacing w:after="0"/>
              <w:rPr>
                <w:sz w:val="2"/>
                <w:szCs w:val="2"/>
                <w:color w:val="auto"/>
              </w:rPr>
            </w:pPr>
          </w:p>
        </w:tc>
        <w:tc>
          <w:tcPr>
            <w:tcW w:w="2160" w:type="dxa"/>
            <w:vAlign w:val="bottom"/>
            <w:shd w:val="clear" w:color="auto" w:fill="CCEEFF"/>
          </w:tcPr>
          <w:p>
            <w:pPr>
              <w:spacing w:after="0"/>
              <w:rPr>
                <w:sz w:val="2"/>
                <w:szCs w:val="2"/>
                <w:color w:val="auto"/>
              </w:rPr>
            </w:pPr>
          </w:p>
        </w:tc>
        <w:tc>
          <w:tcPr>
            <w:tcW w:w="2860" w:type="dxa"/>
            <w:vAlign w:val="bottom"/>
            <w:shd w:val="clear" w:color="auto" w:fill="CCEEFF"/>
          </w:tcPr>
          <w:p>
            <w:pPr>
              <w:spacing w:after="0"/>
              <w:rPr>
                <w:sz w:val="2"/>
                <w:szCs w:val="2"/>
                <w:color w:val="auto"/>
              </w:rPr>
            </w:pPr>
          </w:p>
        </w:tc>
      </w:tr>
    </w:tbl>
    <w:p>
      <w:pPr>
        <w:spacing w:after="0" w:line="8" w:lineRule="exact"/>
        <w:rPr>
          <w:sz w:val="20"/>
          <w:szCs w:val="20"/>
          <w:color w:val="auto"/>
        </w:rPr>
      </w:pPr>
    </w:p>
    <w:p>
      <w:pPr>
        <w:ind w:left="1260" w:hanging="205"/>
        <w:spacing w:after="0"/>
        <w:tabs>
          <w:tab w:leader="none" w:pos="1260" w:val="left"/>
        </w:tabs>
        <w:numPr>
          <w:ilvl w:val="0"/>
          <w:numId w:val="10"/>
        </w:numPr>
        <w:rPr>
          <w:rFonts w:ascii="Arial" w:cs="Arial" w:eastAsia="Arial" w:hAnsi="Arial"/>
          <w:sz w:val="14"/>
          <w:szCs w:val="14"/>
          <w:i w:val="1"/>
          <w:iCs w:val="1"/>
          <w:color w:val="auto"/>
        </w:rPr>
      </w:pPr>
      <w:r>
        <w:rPr>
          <w:rFonts w:ascii="Arial" w:cs="Arial" w:eastAsia="Arial" w:hAnsi="Arial"/>
          <w:sz w:val="14"/>
          <w:szCs w:val="14"/>
          <w:i w:val="1"/>
          <w:iCs w:val="1"/>
          <w:color w:val="auto"/>
        </w:rPr>
        <w:t>Includes an estimated $20 - 25 million in incremental net revenue from the expanded contact lens distribution relationship with Walmart</w:t>
      </w:r>
    </w:p>
    <w:p>
      <w:pPr>
        <w:ind w:left="1260" w:hanging="205"/>
        <w:spacing w:after="0"/>
        <w:tabs>
          <w:tab w:leader="none" w:pos="1260" w:val="left"/>
        </w:tabs>
        <w:numPr>
          <w:ilvl w:val="0"/>
          <w:numId w:val="10"/>
        </w:numPr>
        <w:rPr>
          <w:rFonts w:ascii="Arial" w:cs="Arial" w:eastAsia="Arial" w:hAnsi="Arial"/>
          <w:sz w:val="14"/>
          <w:szCs w:val="14"/>
          <w:i w:val="1"/>
          <w:iCs w:val="1"/>
          <w:color w:val="auto"/>
        </w:rPr>
      </w:pPr>
      <w:r>
        <w:rPr>
          <w:rFonts w:ascii="Arial" w:cs="Arial" w:eastAsia="Arial" w:hAnsi="Arial"/>
          <w:sz w:val="14"/>
          <w:szCs w:val="14"/>
          <w:i w:val="1"/>
          <w:iCs w:val="1"/>
          <w:color w:val="auto"/>
        </w:rPr>
        <w:t>Excluding the impact of stock option exercises</w:t>
      </w:r>
    </w:p>
    <w:p>
      <w:pPr>
        <w:spacing w:after="0" w:line="33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The fiscal 2019 outlook information provided above includes Adjusted EBITDA and Adjusted Net Income guidance, which are non-GAAP financial measures management uses in measuring performance. The Company is not able to reconcile these forward-looking non-GAAP measures to GAAP without unreasonable efforts because it is not possible to predict with a reasonable degree of certainty the actual impact of certain items and unanticipated events, including taxes and non-recurring items, which would be included in GAAP results. The impact of such items and unanticipated events could be potentially significant.</w:t>
      </w:r>
    </w:p>
    <w:p>
      <w:pPr>
        <w:spacing w:after="0" w:line="18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i w:val="1"/>
          <w:iCs w:val="1"/>
          <w:color w:val="auto"/>
        </w:rPr>
        <w:t>The fiscal 2019 outlook is forward-looking, subject to significant business, economic, regulatory and competitive uncertainties and contingencies, many of which are beyond the control of the Company and its management, and based upon assumptions with respect to future decisions, which are subject to change. Actual results may vary and those variations may be material. As such, the Company’s results may not fall within the ranges contained in its fiscal 2019 outlook. The Company uses these forward looking metrics internally to assess and benchmark its results and strategic plans.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Conference Call Details</w:t>
      </w:r>
    </w:p>
    <w:p>
      <w:pPr>
        <w:spacing w:after="0" w:line="2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A conference call to discuss the fourth quarter 2018 financial results is scheduled for today, February 27, 2019, at 10:00 a.m. Eastern Time. The U.S. toll free dial-in for the conference call is 866-754-6931 and the international dial-in is 636-812-6625. The conference passcode is 9896419. A live audio webcast of the conference call will be available on the “Investor” section of the Company’s website </w:t>
      </w:r>
      <w:r>
        <w:rPr>
          <w:rFonts w:ascii="Arial" w:cs="Arial" w:eastAsia="Arial" w:hAnsi="Arial"/>
          <w:sz w:val="18"/>
          <w:szCs w:val="18"/>
          <w:u w:val="single" w:color="auto"/>
          <w:color w:val="006EBF"/>
        </w:rPr>
        <w:t>www.nationalvision.com/investors</w:t>
      </w:r>
      <w:r>
        <w:rPr>
          <w:rFonts w:ascii="Arial" w:cs="Arial" w:eastAsia="Arial" w:hAnsi="Arial"/>
          <w:sz w:val="18"/>
          <w:szCs w:val="18"/>
          <w:color w:val="auto"/>
        </w:rPr>
        <w:t>, where presentation materials will be posted prior to the conference call.</w:t>
      </w:r>
    </w:p>
    <w:p>
      <w:pPr>
        <w:spacing w:after="0" w:line="19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 telephone replay will be available shortly after the broadcast through Wednesday, March 6, 2019, by dialing 855-859-2056 from the U.S. or 404-537-3406 from international locations, and entering conference passcode 9896419. A replay of the audio webcast will also be archived on the “Investors” section of the Company’s website.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Revision of Prior Period Financial Statements</w:t>
      </w:r>
    </w:p>
    <w:p>
      <w:pPr>
        <w:spacing w:after="0" w:line="27"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In conjunction with the fiscal 2018 year-end financial reporting process, the Company identified errors in its previously issued consolidated financial statements related to lease accounting, specifically the accounting for tenant improvement allowances, straight-line rent and leasehold improvements. In accordance with ASC 250 (SEC Staff Accounting Bulletin 99, Assessing Materiality), the Company concluded that the correction of the errors was not material to any of its previously issued annual or interim financial statements. The Company has revised prior period amounts contained in this release to correct the effect of these immaterial errors for the corresponding periods. The revisions to the three months and fiscal year ended December 30, 2017 resulted in a reduction to net income of $1.4 million and $2.7 million, respectively, a reduction to Adjusted EBITDA of $0.3 million and $1.3 million, respectively, and a reduction to Adjusted Net Income of $0.4 million and $1.3 million, respectively. Please refer to the tables in this press release and the Company’s Annual Report on Form 10-K which will be filed on February 27, 2019 for further information relating to these revisions to prior periods.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National Vision Holdings, Inc.</w:t>
      </w:r>
    </w:p>
    <w:p>
      <w:pPr>
        <w:spacing w:after="0" w:line="2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National Vision Holdings, Inc. is one of the largest optical retail companies in the United States with over 1,000 retail stores in 44 states plus the District of Columbia and Puerto Rico. With a mission of helping people by making quality eye care and eyewear more affordable and accessible, the Company operates five retail brands: America’s Best Contacts &amp; Eyeglasses, Eyeglass World,</w:t>
      </w:r>
    </w:p>
    <w:p>
      <w:pPr>
        <w:sectPr>
          <w:pgSz w:w="11900" w:h="16838" w:orient="portrait"/>
          <w:cols w:equalWidth="0" w:num="1">
            <w:col w:w="11420"/>
          </w:cols>
          <w:pgMar w:left="240" w:top="584" w:right="239" w:bottom="1440" w:gutter="0" w:footer="0" w:header="0"/>
        </w:sectPr>
      </w:pPr>
    </w:p>
    <w:bookmarkStart w:id="7" w:name="page8"/>
    <w:bookmarkEnd w:id="7"/>
    <w:p>
      <w:pPr>
        <w:jc w:val="both"/>
        <w:ind w:right="20"/>
        <w:spacing w:after="0" w:line="277" w:lineRule="auto"/>
        <w:rPr>
          <w:sz w:val="20"/>
          <w:szCs w:val="20"/>
          <w:color w:val="auto"/>
        </w:rPr>
      </w:pPr>
      <w:r>
        <w:rPr>
          <w:rFonts w:ascii="Arial" w:cs="Arial" w:eastAsia="Arial" w:hAnsi="Arial"/>
          <w:sz w:val="18"/>
          <w:szCs w:val="18"/>
          <w:color w:val="auto"/>
        </w:rPr>
        <w:t>Vision Centers inside select Walmart stores, and Vista Opticals inside Fred Meyer stores and on select military bases, and several e-commerce websites, offering a variety of products and services for customers’ eye care needs.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7" w:lineRule="exact"/>
        <w:rPr>
          <w:sz w:val="20"/>
          <w:szCs w:val="20"/>
          <w:color w:val="auto"/>
        </w:rPr>
      </w:pPr>
    </w:p>
    <w:p>
      <w:pPr>
        <w:jc w:val="both"/>
        <w:spacing w:after="0" w:line="283" w:lineRule="auto"/>
        <w:rPr>
          <w:sz w:val="20"/>
          <w:szCs w:val="20"/>
          <w:color w:val="auto"/>
        </w:rPr>
      </w:pPr>
      <w:r>
        <w:rPr>
          <w:rFonts w:ascii="Arial" w:cs="Arial" w:eastAsia="Arial" w:hAnsi="Arial"/>
          <w:sz w:val="16"/>
          <w:szCs w:val="16"/>
          <w:color w:val="auto"/>
        </w:rPr>
        <w:t>This press release contains forward-looking statements within the meaning of Section 27A of the Securities Act of 1933, as amended (the “Securities Act”) and Section 21E of the Securities Exchange Act of 1934. These statements include, but are not limited to, statements contained under “Fiscal 2019 Outlook” as well as other statements related to our expectations regarding the performance of our industry, growth strategy, goals and expectations concerning our market position, future operations, margins, profitability, capital expenditures, liquidity and capital resources and other financial and operating information. You can identify these forward-looking statements by the use of words such as “outlook,” “guidance,” “believes,” “expects,” “potential,” “continues,” “may,” “will,” “should,” “could,” “seeks,” “projects,” “predicts,” “intends,” “plans,” “estimates,” “anticipates” or the negative version of these words or other comparable words. Such forward-looking statements are subject to various risks and uncertainties, including our ability to open and operate new stores in a timely and cost-effective manner and to successfully enter new markets; our ability to recruit and retain vision care professionals for our stores; our relationships with managed vision care companies, vision insurance providers and other third-party payors; our operating relationships with our host and legacy partners; state, local and federal vision care and healthcare laws and regulations; our ability to maintain sufficient levels of cash flow from our operations to grow; the risk of loss or disruption in our distribution centers and optical laboratories; risks associated with vendors and suppliers from whom our products are sourced; macroeconomic factors and other factors impacting consumer spending beyond the Company’s control; competition in the optical retail industry; risks associated with information technology systems and the security of personal information and payment card data collected by us and our vendors; our growth strategy’s impact on our existing resources and performance of our existing stores; our ability to retain senior management and attract new personnel; our ability to manage costs; the success of our marketing, advertising and promotional efforts; risks associated with leasing substantial amounts of space; technological advances that may reduce demand for our products; product liability, product recall or personal injury issues; risks associated with managed vision care laws and regulations; our increasing reliance on third-party coverage and reimbursement; issues regarding inventory management; risks related to our e-commerce business; seasonal fluctuations in our business; we may incur losses arising from our investments in technological innovators in the optical retail industry; legal regulatory risks, including adverse judgments or settlements from legal proceedings; our ability to protect our intellectual property; the impact our leverage has on our ability to raise additional capital to fund our operations; risks related to our debt agreements, including restrictions that may limit our flexibility in operating our business; and risks related to our common stock, including our ability to comply with requirements to design and implement and maintain effective internal controls. Additional information about these and other factors that could cause National Vision’s results to differ materially from those described in the forward-looking statements can be found in filings by National Vision with the Securities and Exchange Commission (“SEC”), including our Annual Report on Form 10-K and subsequent Quarterly Reports on Form 10-Q, which are accessible on the SEC’s website at www.sec.gov. Accordingly, there are or will be important factors that could cause actual outcomes or results to differ materially from those indicated in these statements. These factors should not be construed as exhaustive and should be read in conjunction with the other cautionary statements that are included in this release and in our filings with the SEC. We undertake no obligation to publicly update or review any forward-looking statement, whether as a result of new information, future developments or otherwise, except as required by law.</w:t>
      </w: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27"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To supplement the Company’s financial information presented in accordance with GAAP and aid understanding of the Company’s business performance, the Company uses certain non-GAAP financial measures, namely “EBITDA,” “Adjusted EBITDA,” “Adjusted EBITDA Margin,” “Adjusted Net Income” and “Adjusted Diluted EPS.” We believe EBITDA, Adjusted EBITDA, Adjusted EBITDA Margin, Adjusted Net Income and Adjusted Diluted EPS assist investors and analysts in comparing our operating performance across reporting periods on a consistent basis by excluding items that we do not believe are indicative of our core operating performance. Management believes these non-GAAP financial measures are useful to investors in highlighting trends in our operating performance, while other measures can differ significantly depending on long-term strategic decisions regarding capital structure, the tax jurisdictions in which we operate and capital investments. Management uses these non-GAAP financial measures to supplement GAAP measures of performance in the evaluation of the effectiveness of our business strategies, to make budgeting decisions, to establish discretionary annual incentive compensation and to compare our performance against that of other peer companies using similar measures. Management supplements GAAP results with non-GAAP financial measures to provide a more complete understanding of the factors and trends affecting the business than GAAP results alone.</w:t>
      </w:r>
    </w:p>
    <w:p>
      <w:pPr>
        <w:spacing w:after="0" w:line="170"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To supplement the Company’s comparable store sales growth presented in accordance with GAAP, the Company provides “Adjusted Comparable Store Sales Growth,” which is a non-GAAP financial measure we believe is useful because it provides timely and accurate information relating to the two core metrics of retail sales: number of transactions and value of transactions. Management uses Adjusted Comparable Store Sales Growth as the basis for key operating decisions, such as allocation of advertising to particular markets and implementation of special marketing programs. Accordingly, we believe that Adjusted Comparable Store Sales Growth provides timely and accurate information relating to the operational health and overall performance of each brand. We also believe that, for the same reasons, investors find our calculation of Adjusted Comparable Store Sales Growth to be meaningful.</w:t>
      </w:r>
    </w:p>
    <w:p>
      <w:pPr>
        <w:sectPr>
          <w:pgSz w:w="11900" w:h="16838" w:orient="portrait"/>
          <w:cols w:equalWidth="0" w:num="1">
            <w:col w:w="11420"/>
          </w:cols>
          <w:pgMar w:left="240" w:top="584" w:right="2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i w:val="1"/>
          <w:iCs w:val="1"/>
          <w:color w:val="auto"/>
        </w:rPr>
        <w:t xml:space="preserve">EBITDA: </w:t>
      </w:r>
      <w:r>
        <w:rPr>
          <w:rFonts w:ascii="Arial" w:cs="Arial" w:eastAsia="Arial" w:hAnsi="Arial"/>
          <w:sz w:val="18"/>
          <w:szCs w:val="18"/>
          <w:color w:val="auto"/>
        </w:rPr>
        <w:t>We define EBITDA as net income, plus interest expense, income tax provision (benefit), and depreciation and amortization.</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 xml:space="preserve">Adjusted EBITDA: </w:t>
      </w:r>
      <w:r>
        <w:rPr>
          <w:rFonts w:ascii="Arial" w:cs="Arial" w:eastAsia="Arial" w:hAnsi="Arial"/>
          <w:sz w:val="18"/>
          <w:szCs w:val="18"/>
          <w:color w:val="auto"/>
        </w:rPr>
        <w:t>We define Adjusted EBITDA as EBITDA, further adjusted to exclude stock compensation expense, costs associated with debt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refinancing, asset impairment, non-cash inventory write-offs, management fees, new store pre-opening expenses, non-cash rent, litigation settlement, secondary offering expenses, long-term incentive plan expenses, and other expenses.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Adjusted EBITDA Margin: </w:t>
      </w:r>
      <w:r>
        <w:rPr>
          <w:rFonts w:ascii="Arial" w:cs="Arial" w:eastAsia="Arial" w:hAnsi="Arial"/>
          <w:sz w:val="18"/>
          <w:szCs w:val="18"/>
          <w:color w:val="auto"/>
        </w:rPr>
        <w:t>We define Adjusted EBITDA Margin as Adjusted EBITDA divided by net revenue.</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 xml:space="preserve">Adjusted Net Income: </w:t>
      </w:r>
      <w:r>
        <w:rPr>
          <w:rFonts w:ascii="Arial" w:cs="Arial" w:eastAsia="Arial" w:hAnsi="Arial"/>
          <w:sz w:val="18"/>
          <w:szCs w:val="18"/>
          <w:color w:val="auto"/>
        </w:rPr>
        <w:t>We define Adjusted Net Income as net income, plus stock compensation expense, costs associated with debt refinancing, asset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impairment, non-cash inventory write-offs, management fees, new store pre-opening expenses, non-cash rent, litigation settlement, secondary offering expenses, long-term incentive plan expenses, other expenses, amortization of acquisition intangibles and deferred financing costs, tax benefit of stock option exercises, tax legislation adjustment, less the tax effect of these adjustments.</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 xml:space="preserve">Adjusted Diluted EPS: </w:t>
      </w:r>
      <w:r>
        <w:rPr>
          <w:rFonts w:ascii="Arial" w:cs="Arial" w:eastAsia="Arial" w:hAnsi="Arial"/>
          <w:sz w:val="17"/>
          <w:szCs w:val="17"/>
          <w:color w:val="auto"/>
        </w:rPr>
        <w:t>We define Adjusted Diluted EPS as Adjusted Net Income divided by diluted weighted average common shares outstanding.</w:t>
      </w:r>
    </w:p>
    <w:p>
      <w:pPr>
        <w:spacing w:after="0" w:line="23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b w:val="1"/>
          <w:bCs w:val="1"/>
          <w:i w:val="1"/>
          <w:iCs w:val="1"/>
          <w:color w:val="auto"/>
        </w:rPr>
        <w:t xml:space="preserve">Adjusted Comparable Store Sales Growth: </w:t>
      </w:r>
      <w:r>
        <w:rPr>
          <w:rFonts w:ascii="Arial" w:cs="Arial" w:eastAsia="Arial" w:hAnsi="Arial"/>
          <w:sz w:val="17"/>
          <w:szCs w:val="17"/>
          <w:color w:val="auto"/>
        </w:rPr>
        <w:t>We measure Adjusted Comparable Store Sales Growth as the increase or decrease in sales recorded by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comparable store base in any reporting period, compared to sales recorded by the comparable store base in the prior reporting period, which we calculate as follows: (i) sales are recorded on a cash basis (i.e. when the order is placed and paid for, compared to when the order is delivered), utilizing cash basis point of sale information from stores; (ii) stores are added to the calculation in their 13th full month; (iii) closed stores are removed from the calculation for time periods that are not comparable; (iv) sales from partial months of operation are ignored when stores do not open or close on the first day of the month; and (v) when applicable, we adjust for the effect of the 53rd week. Quarterly, year-to-date and annual adjusted comparable store sales are aggregated using only sales from all whole months of operation included in both the current reporting period and the prior reporting period. When a partial month is excluded from the calculation, the corresponding month in the subsequent period is also excluded from the calculation.</w:t>
      </w:r>
    </w:p>
    <w:p>
      <w:pPr>
        <w:spacing w:after="0" w:line="179"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EBITDA, Adjusted EBITDA, Adjusted EBITDA Margin, Adjusted Net Income, Adjusted Diluted EPS and Adjusted Comparable Store Sales Growth are not recognized terms under GAAP and should not be considered as an alternative to net income (loss) or the ratio of net income (loss) to net revenue as a measure of financial performance, cash flows provided by operating activities as a measure of liquidity, comparable store sales growth as a measure of operating performance, or any other performance measure derived in accordance with GAAP. Additionally, these measures are not intended to be a measure of free cash flow available for management’s discretionary use as they do not consider certain cash requirements such as interest payments, tax payments and debt service requirements. The presentations of these measures have limitations as analytical tools and should not be considered in isolation, or as a substitute for analysis of our results as reported under GAAP. Because not all companies use identical calculations, the presentations of these measures may not be comparable to other similarly titled measures of other companies and can differ significantly from company to company.</w:t>
      </w:r>
    </w:p>
    <w:p>
      <w:pPr>
        <w:spacing w:after="0" w:line="16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Please see “Reconciliation of GAAP to Non-GAAP Financial Measures” below for reconciliations of non-GAAP financial measures used in this release to their most directly comparable GAAP financial measures.</w:t>
      </w:r>
    </w:p>
    <w:p>
      <w:pPr>
        <w:sectPr>
          <w:pgSz w:w="11900" w:h="16838" w:orient="portrait"/>
          <w:cols w:equalWidth="0" w:num="1">
            <w:col w:w="11420"/>
          </w:cols>
          <w:pgMar w:left="240" w:top="584" w:right="2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National Vision Holdings,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December 29, 2018 and December 30, 2017</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 Except Par Value</w:t>
      </w: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20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ASSETS</w:t>
            </w:r>
          </w:p>
        </w:tc>
        <w:tc>
          <w:tcPr>
            <w:tcW w:w="220" w:type="dxa"/>
            <w:vAlign w:val="bottom"/>
          </w:tcPr>
          <w:p>
            <w:pPr>
              <w:spacing w:after="0"/>
              <w:rPr>
                <w:sz w:val="18"/>
                <w:szCs w:val="18"/>
                <w:color w:val="auto"/>
              </w:rPr>
            </w:pPr>
          </w:p>
        </w:tc>
        <w:tc>
          <w:tcPr>
            <w:tcW w:w="1940" w:type="dxa"/>
            <w:vAlign w:val="bottom"/>
            <w:gridSpan w:val="2"/>
          </w:tcPr>
          <w:p>
            <w:pPr>
              <w:jc w:val="center"/>
              <w:ind w:right="300"/>
              <w:spacing w:after="0"/>
              <w:rPr>
                <w:sz w:val="20"/>
                <w:szCs w:val="20"/>
                <w:color w:val="auto"/>
              </w:rPr>
            </w:pPr>
            <w:r>
              <w:rPr>
                <w:rFonts w:ascii="Arial" w:cs="Arial" w:eastAsia="Arial" w:hAnsi="Arial"/>
                <w:sz w:val="18"/>
                <w:szCs w:val="18"/>
                <w:color w:val="auto"/>
                <w:w w:val="97"/>
              </w:rPr>
              <w:t>As of</w:t>
            </w:r>
          </w:p>
        </w:tc>
        <w:tc>
          <w:tcPr>
            <w:tcW w:w="220" w:type="dxa"/>
            <w:vAlign w:val="bottom"/>
          </w:tcPr>
          <w:p>
            <w:pPr>
              <w:spacing w:after="0"/>
              <w:rPr>
                <w:sz w:val="18"/>
                <w:szCs w:val="18"/>
                <w:color w:val="auto"/>
              </w:rPr>
            </w:pPr>
          </w:p>
        </w:tc>
        <w:tc>
          <w:tcPr>
            <w:tcW w:w="1840" w:type="dxa"/>
            <w:vAlign w:val="bottom"/>
          </w:tcPr>
          <w:p>
            <w:pPr>
              <w:jc w:val="right"/>
              <w:ind w:right="730"/>
              <w:spacing w:after="0"/>
              <w:rPr>
                <w:sz w:val="20"/>
                <w:szCs w:val="20"/>
                <w:color w:val="auto"/>
              </w:rPr>
            </w:pPr>
            <w:r>
              <w:rPr>
                <w:rFonts w:ascii="Arial" w:cs="Arial" w:eastAsia="Arial" w:hAnsi="Arial"/>
                <w:sz w:val="18"/>
                <w:szCs w:val="18"/>
                <w:color w:val="auto"/>
              </w:rPr>
              <w:t>As of</w:t>
            </w:r>
          </w:p>
        </w:tc>
        <w:tc>
          <w:tcPr>
            <w:tcW w:w="0" w:type="dxa"/>
            <w:vAlign w:val="bottom"/>
          </w:tcPr>
          <w:p>
            <w:pPr>
              <w:spacing w:after="0"/>
              <w:rPr>
                <w:sz w:val="1"/>
                <w:szCs w:val="1"/>
                <w:color w:val="auto"/>
              </w:rPr>
            </w:pPr>
          </w:p>
        </w:tc>
      </w:tr>
      <w:tr>
        <w:trPr>
          <w:trHeight w:val="122"/>
        </w:trPr>
        <w:tc>
          <w:tcPr>
            <w:tcW w:w="7200" w:type="dxa"/>
            <w:vAlign w:val="bottom"/>
            <w:vMerge w:val="continue"/>
          </w:tcPr>
          <w:p>
            <w:pPr>
              <w:spacing w:after="0"/>
              <w:rPr>
                <w:sz w:val="10"/>
                <w:szCs w:val="10"/>
                <w:color w:val="auto"/>
              </w:rPr>
            </w:pPr>
          </w:p>
        </w:tc>
        <w:tc>
          <w:tcPr>
            <w:tcW w:w="220" w:type="dxa"/>
            <w:vAlign w:val="bottom"/>
          </w:tcPr>
          <w:p>
            <w:pPr>
              <w:spacing w:after="0"/>
              <w:rPr>
                <w:sz w:val="10"/>
                <w:szCs w:val="10"/>
                <w:color w:val="auto"/>
              </w:rPr>
            </w:pPr>
          </w:p>
        </w:tc>
        <w:tc>
          <w:tcPr>
            <w:tcW w:w="1940" w:type="dxa"/>
            <w:vAlign w:val="bottom"/>
            <w:gridSpan w:val="2"/>
            <w:vMerge w:val="restart"/>
          </w:tcPr>
          <w:p>
            <w:pPr>
              <w:jc w:val="center"/>
              <w:ind w:right="320"/>
              <w:spacing w:after="0"/>
              <w:rPr>
                <w:sz w:val="20"/>
                <w:szCs w:val="20"/>
                <w:color w:val="auto"/>
              </w:rPr>
            </w:pPr>
            <w:r>
              <w:rPr>
                <w:rFonts w:ascii="Arial" w:cs="Arial" w:eastAsia="Arial" w:hAnsi="Arial"/>
                <w:sz w:val="18"/>
                <w:szCs w:val="18"/>
                <w:color w:val="auto"/>
                <w:w w:val="89"/>
              </w:rPr>
              <w:t>December 29, 2018</w:t>
            </w:r>
          </w:p>
        </w:tc>
        <w:tc>
          <w:tcPr>
            <w:tcW w:w="220" w:type="dxa"/>
            <w:vAlign w:val="bottom"/>
          </w:tcPr>
          <w:p>
            <w:pPr>
              <w:spacing w:after="0"/>
              <w:rPr>
                <w:sz w:val="10"/>
                <w:szCs w:val="10"/>
                <w:color w:val="auto"/>
              </w:rPr>
            </w:pPr>
          </w:p>
        </w:tc>
        <w:tc>
          <w:tcPr>
            <w:tcW w:w="1840" w:type="dxa"/>
            <w:vAlign w:val="bottom"/>
            <w:vMerge w:val="restart"/>
          </w:tcPr>
          <w:p>
            <w:pPr>
              <w:jc w:val="right"/>
              <w:ind w:right="230"/>
              <w:spacing w:after="0"/>
              <w:rPr>
                <w:sz w:val="20"/>
                <w:szCs w:val="20"/>
                <w:color w:val="auto"/>
              </w:rPr>
            </w:pPr>
            <w:r>
              <w:rPr>
                <w:rFonts w:ascii="Arial" w:cs="Arial" w:eastAsia="Arial" w:hAnsi="Arial"/>
                <w:sz w:val="18"/>
                <w:szCs w:val="18"/>
                <w:color w:val="auto"/>
                <w:w w:val="94"/>
              </w:rPr>
              <w:t>December 30, 2017</w:t>
            </w:r>
          </w:p>
        </w:tc>
        <w:tc>
          <w:tcPr>
            <w:tcW w:w="0" w:type="dxa"/>
            <w:vAlign w:val="bottom"/>
          </w:tcPr>
          <w:p>
            <w:pPr>
              <w:spacing w:after="0"/>
              <w:rPr>
                <w:sz w:val="1"/>
                <w:szCs w:val="1"/>
                <w:color w:val="auto"/>
              </w:rPr>
            </w:pPr>
          </w:p>
        </w:tc>
      </w:tr>
      <w:tr>
        <w:trPr>
          <w:trHeight w:val="108"/>
        </w:trPr>
        <w:tc>
          <w:tcPr>
            <w:tcW w:w="7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940" w:type="dxa"/>
            <w:vAlign w:val="bottom"/>
            <w:gridSpan w:val="2"/>
            <w:vMerge w:val="continue"/>
          </w:tcPr>
          <w:p>
            <w:pPr>
              <w:spacing w:after="0"/>
              <w:rPr>
                <w:sz w:val="9"/>
                <w:szCs w:val="9"/>
                <w:color w:val="auto"/>
              </w:rPr>
            </w:pPr>
          </w:p>
        </w:tc>
        <w:tc>
          <w:tcPr>
            <w:tcW w:w="220" w:type="dxa"/>
            <w:vAlign w:val="bottom"/>
          </w:tcPr>
          <w:p>
            <w:pPr>
              <w:spacing w:after="0"/>
              <w:rPr>
                <w:sz w:val="9"/>
                <w:szCs w:val="9"/>
                <w:color w:val="auto"/>
              </w:rPr>
            </w:pPr>
          </w:p>
        </w:tc>
        <w:tc>
          <w:tcPr>
            <w:tcW w:w="18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7"/>
        </w:trPr>
        <w:tc>
          <w:tcPr>
            <w:tcW w:w="72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Current assets:</w:t>
            </w:r>
          </w:p>
        </w:tc>
        <w:tc>
          <w:tcPr>
            <w:tcW w:w="22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200" w:type="dxa"/>
            <w:vAlign w:val="bottom"/>
          </w:tcPr>
          <w:p>
            <w:pPr>
              <w:ind w:left="280"/>
              <w:spacing w:after="0"/>
              <w:rPr>
                <w:sz w:val="20"/>
                <w:szCs w:val="20"/>
                <w:color w:val="auto"/>
              </w:rPr>
            </w:pPr>
            <w:r>
              <w:rPr>
                <w:rFonts w:ascii="Arial" w:cs="Arial" w:eastAsia="Arial" w:hAnsi="Arial"/>
                <w:sz w:val="18"/>
                <w:szCs w:val="18"/>
                <w:color w:val="auto"/>
              </w:rPr>
              <w:t>Cash and cash equivalents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17,132</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4,208</w:t>
            </w:r>
          </w:p>
        </w:tc>
        <w:tc>
          <w:tcPr>
            <w:tcW w:w="0" w:type="dxa"/>
            <w:vAlign w:val="bottom"/>
          </w:tcPr>
          <w:p>
            <w:pPr>
              <w:spacing w:after="0"/>
              <w:rPr>
                <w:sz w:val="1"/>
                <w:szCs w:val="1"/>
                <w:color w:val="auto"/>
              </w:rPr>
            </w:pPr>
          </w:p>
        </w:tc>
      </w:tr>
      <w:tr>
        <w:trPr>
          <w:trHeight w:val="27"/>
        </w:trPr>
        <w:tc>
          <w:tcPr>
            <w:tcW w:w="7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Accounts receivable, net</w:t>
            </w:r>
          </w:p>
        </w:tc>
        <w:tc>
          <w:tcPr>
            <w:tcW w:w="22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50,735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43,193</w:t>
            </w:r>
          </w:p>
        </w:tc>
        <w:tc>
          <w:tcPr>
            <w:tcW w:w="0" w:type="dxa"/>
            <w:vAlign w:val="bottom"/>
          </w:tcPr>
          <w:p>
            <w:pPr>
              <w:spacing w:after="0"/>
              <w:rPr>
                <w:sz w:val="1"/>
                <w:szCs w:val="1"/>
                <w:color w:val="auto"/>
              </w:rPr>
            </w:pPr>
          </w:p>
        </w:tc>
      </w:tr>
      <w:tr>
        <w:trPr>
          <w:trHeight w:val="243"/>
        </w:trPr>
        <w:tc>
          <w:tcPr>
            <w:tcW w:w="7200" w:type="dxa"/>
            <w:vAlign w:val="bottom"/>
          </w:tcPr>
          <w:p>
            <w:pPr>
              <w:ind w:left="280"/>
              <w:spacing w:after="0"/>
              <w:rPr>
                <w:sz w:val="20"/>
                <w:szCs w:val="20"/>
                <w:color w:val="auto"/>
              </w:rPr>
            </w:pPr>
            <w:r>
              <w:rPr>
                <w:rFonts w:ascii="Arial" w:cs="Arial" w:eastAsia="Arial" w:hAnsi="Arial"/>
                <w:sz w:val="18"/>
                <w:szCs w:val="18"/>
                <w:color w:val="auto"/>
              </w:rPr>
              <w:t>Inventories</w:t>
            </w:r>
          </w:p>
        </w:tc>
        <w:tc>
          <w:tcPr>
            <w:tcW w:w="220" w:type="dxa"/>
            <w:vAlign w:val="bottom"/>
          </w:tcPr>
          <w:p>
            <w:pPr>
              <w:spacing w:after="0"/>
              <w:rPr>
                <w:sz w:val="21"/>
                <w:szCs w:val="21"/>
                <w:color w:val="auto"/>
              </w:rPr>
            </w:pP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116,022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91,151</w:t>
            </w:r>
          </w:p>
        </w:tc>
        <w:tc>
          <w:tcPr>
            <w:tcW w:w="0" w:type="dxa"/>
            <w:vAlign w:val="bottom"/>
          </w:tcPr>
          <w:p>
            <w:pPr>
              <w:spacing w:after="0"/>
              <w:rPr>
                <w:sz w:val="1"/>
                <w:szCs w:val="1"/>
                <w:color w:val="auto"/>
              </w:rPr>
            </w:pPr>
          </w:p>
        </w:tc>
      </w:tr>
      <w:tr>
        <w:trPr>
          <w:trHeight w:val="27"/>
        </w:trPr>
        <w:tc>
          <w:tcPr>
            <w:tcW w:w="7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2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Prepaid expenses and other current assets</w:t>
            </w:r>
          </w:p>
        </w:tc>
        <w:tc>
          <w:tcPr>
            <w:tcW w:w="220" w:type="dxa"/>
            <w:vAlign w:val="bottom"/>
            <w:tcBorders>
              <w:bottom w:val="single" w:sz="8" w:color="CCEEFF"/>
            </w:tcBorders>
            <w:shd w:val="clear" w:color="auto" w:fill="CCEEFF"/>
          </w:tcPr>
          <w:p>
            <w:pPr>
              <w:spacing w:after="0"/>
              <w:rPr>
                <w:sz w:val="23"/>
                <w:szCs w:val="23"/>
                <w:color w:val="auto"/>
              </w:rPr>
            </w:pP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30,815</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23,925</w:t>
            </w:r>
          </w:p>
        </w:tc>
        <w:tc>
          <w:tcPr>
            <w:tcW w:w="0" w:type="dxa"/>
            <w:vAlign w:val="bottom"/>
          </w:tcPr>
          <w:p>
            <w:pPr>
              <w:spacing w:after="0"/>
              <w:rPr>
                <w:sz w:val="1"/>
                <w:szCs w:val="1"/>
                <w:color w:val="auto"/>
              </w:rPr>
            </w:pPr>
          </w:p>
        </w:tc>
      </w:tr>
      <w:tr>
        <w:trPr>
          <w:trHeight w:val="237"/>
        </w:trPr>
        <w:tc>
          <w:tcPr>
            <w:tcW w:w="7200" w:type="dxa"/>
            <w:vAlign w:val="bottom"/>
          </w:tcPr>
          <w:p>
            <w:pPr>
              <w:ind w:left="500"/>
              <w:spacing w:after="0"/>
              <w:rPr>
                <w:sz w:val="20"/>
                <w:szCs w:val="20"/>
                <w:color w:val="auto"/>
              </w:rPr>
            </w:pPr>
            <w:r>
              <w:rPr>
                <w:rFonts w:ascii="Arial" w:cs="Arial" w:eastAsia="Arial" w:hAnsi="Arial"/>
                <w:sz w:val="18"/>
                <w:szCs w:val="18"/>
                <w:color w:val="auto"/>
              </w:rPr>
              <w:t>Total current assets</w:t>
            </w:r>
          </w:p>
        </w:tc>
        <w:tc>
          <w:tcPr>
            <w:tcW w:w="220" w:type="dxa"/>
            <w:vAlign w:val="bottom"/>
            <w:tcBorders>
              <w:top w:val="single" w:sz="8" w:color="auto"/>
            </w:tcBorders>
          </w:tcPr>
          <w:p>
            <w:pPr>
              <w:spacing w:after="0"/>
              <w:rPr>
                <w:sz w:val="20"/>
                <w:szCs w:val="20"/>
                <w:color w:val="auto"/>
              </w:rPr>
            </w:pPr>
          </w:p>
        </w:tc>
        <w:tc>
          <w:tcPr>
            <w:tcW w:w="18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214,704</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8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162,477</w:t>
            </w:r>
          </w:p>
        </w:tc>
        <w:tc>
          <w:tcPr>
            <w:tcW w:w="0" w:type="dxa"/>
            <w:vAlign w:val="bottom"/>
          </w:tcPr>
          <w:p>
            <w:pPr>
              <w:spacing w:after="0"/>
              <w:rPr>
                <w:sz w:val="1"/>
                <w:szCs w:val="1"/>
                <w:color w:val="auto"/>
              </w:rPr>
            </w:pPr>
          </w:p>
        </w:tc>
      </w:tr>
      <w:tr>
        <w:trPr>
          <w:trHeight w:val="27"/>
        </w:trPr>
        <w:tc>
          <w:tcPr>
            <w:tcW w:w="7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2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8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8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7200" w:type="dxa"/>
            <w:vAlign w:val="bottom"/>
          </w:tcPr>
          <w:p>
            <w:pPr>
              <w:ind w:left="40"/>
              <w:spacing w:after="0"/>
              <w:rPr>
                <w:sz w:val="20"/>
                <w:szCs w:val="20"/>
                <w:color w:val="auto"/>
              </w:rPr>
            </w:pPr>
            <w:r>
              <w:rPr>
                <w:rFonts w:ascii="Arial" w:cs="Arial" w:eastAsia="Arial" w:hAnsi="Arial"/>
                <w:sz w:val="18"/>
                <w:szCs w:val="18"/>
                <w:b w:val="1"/>
                <w:bCs w:val="1"/>
                <w:color w:val="auto"/>
              </w:rPr>
              <w:t>Property and equipment, net</w:t>
            </w:r>
          </w:p>
        </w:tc>
        <w:tc>
          <w:tcPr>
            <w:tcW w:w="220" w:type="dxa"/>
            <w:vAlign w:val="bottom"/>
          </w:tcPr>
          <w:p>
            <w:pPr>
              <w:spacing w:after="0"/>
              <w:rPr>
                <w:sz w:val="21"/>
                <w:szCs w:val="21"/>
                <w:color w:val="auto"/>
              </w:rPr>
            </w:pP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355,117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302,280</w:t>
            </w:r>
          </w:p>
        </w:tc>
        <w:tc>
          <w:tcPr>
            <w:tcW w:w="0" w:type="dxa"/>
            <w:vAlign w:val="bottom"/>
          </w:tcPr>
          <w:p>
            <w:pPr>
              <w:spacing w:after="0"/>
              <w:rPr>
                <w:sz w:val="1"/>
                <w:szCs w:val="1"/>
                <w:color w:val="auto"/>
              </w:rPr>
            </w:pPr>
          </w:p>
        </w:tc>
      </w:tr>
      <w:tr>
        <w:trPr>
          <w:trHeight w:val="27"/>
        </w:trPr>
        <w:tc>
          <w:tcPr>
            <w:tcW w:w="7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Other assets:</w:t>
            </w:r>
          </w:p>
        </w:tc>
        <w:tc>
          <w:tcPr>
            <w:tcW w:w="22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200" w:type="dxa"/>
            <w:vAlign w:val="bottom"/>
          </w:tcPr>
          <w:p>
            <w:pPr>
              <w:ind w:left="280"/>
              <w:spacing w:after="0"/>
              <w:rPr>
                <w:sz w:val="20"/>
                <w:szCs w:val="20"/>
                <w:color w:val="auto"/>
              </w:rPr>
            </w:pPr>
            <w:r>
              <w:rPr>
                <w:rFonts w:ascii="Arial" w:cs="Arial" w:eastAsia="Arial" w:hAnsi="Arial"/>
                <w:sz w:val="18"/>
                <w:szCs w:val="18"/>
                <w:color w:val="auto"/>
              </w:rPr>
              <w:t>Goodwill</w:t>
            </w:r>
          </w:p>
        </w:tc>
        <w:tc>
          <w:tcPr>
            <w:tcW w:w="220" w:type="dxa"/>
            <w:vAlign w:val="bottom"/>
          </w:tcPr>
          <w:p>
            <w:pPr>
              <w:spacing w:after="0"/>
              <w:rPr>
                <w:sz w:val="21"/>
                <w:szCs w:val="21"/>
                <w:color w:val="auto"/>
              </w:rPr>
            </w:pP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777,613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792,744</w:t>
            </w:r>
          </w:p>
        </w:tc>
        <w:tc>
          <w:tcPr>
            <w:tcW w:w="0" w:type="dxa"/>
            <w:vAlign w:val="bottom"/>
          </w:tcPr>
          <w:p>
            <w:pPr>
              <w:spacing w:after="0"/>
              <w:rPr>
                <w:sz w:val="1"/>
                <w:szCs w:val="1"/>
                <w:color w:val="auto"/>
              </w:rPr>
            </w:pPr>
          </w:p>
        </w:tc>
      </w:tr>
      <w:tr>
        <w:trPr>
          <w:trHeight w:val="27"/>
        </w:trPr>
        <w:tc>
          <w:tcPr>
            <w:tcW w:w="7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Trademarks and trade names</w:t>
            </w:r>
          </w:p>
        </w:tc>
        <w:tc>
          <w:tcPr>
            <w:tcW w:w="22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240,547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240,547</w:t>
            </w:r>
          </w:p>
        </w:tc>
        <w:tc>
          <w:tcPr>
            <w:tcW w:w="0" w:type="dxa"/>
            <w:vAlign w:val="bottom"/>
          </w:tcPr>
          <w:p>
            <w:pPr>
              <w:spacing w:after="0"/>
              <w:rPr>
                <w:sz w:val="1"/>
                <w:szCs w:val="1"/>
                <w:color w:val="auto"/>
              </w:rPr>
            </w:pPr>
          </w:p>
        </w:tc>
      </w:tr>
      <w:tr>
        <w:trPr>
          <w:trHeight w:val="243"/>
        </w:trPr>
        <w:tc>
          <w:tcPr>
            <w:tcW w:w="7200" w:type="dxa"/>
            <w:vAlign w:val="bottom"/>
          </w:tcPr>
          <w:p>
            <w:pPr>
              <w:ind w:left="280"/>
              <w:spacing w:after="0"/>
              <w:rPr>
                <w:sz w:val="20"/>
                <w:szCs w:val="20"/>
                <w:color w:val="auto"/>
              </w:rPr>
            </w:pPr>
            <w:r>
              <w:rPr>
                <w:rFonts w:ascii="Arial" w:cs="Arial" w:eastAsia="Arial" w:hAnsi="Arial"/>
                <w:sz w:val="18"/>
                <w:szCs w:val="18"/>
                <w:color w:val="auto"/>
              </w:rPr>
              <w:t>Other intangible assets, net</w:t>
            </w:r>
          </w:p>
        </w:tc>
        <w:tc>
          <w:tcPr>
            <w:tcW w:w="220" w:type="dxa"/>
            <w:vAlign w:val="bottom"/>
          </w:tcPr>
          <w:p>
            <w:pPr>
              <w:spacing w:after="0"/>
              <w:rPr>
                <w:sz w:val="21"/>
                <w:szCs w:val="21"/>
                <w:color w:val="auto"/>
              </w:rPr>
            </w:pP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64,532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72,903</w:t>
            </w:r>
          </w:p>
        </w:tc>
        <w:tc>
          <w:tcPr>
            <w:tcW w:w="0" w:type="dxa"/>
            <w:vAlign w:val="bottom"/>
          </w:tcPr>
          <w:p>
            <w:pPr>
              <w:spacing w:after="0"/>
              <w:rPr>
                <w:sz w:val="1"/>
                <w:szCs w:val="1"/>
                <w:color w:val="auto"/>
              </w:rPr>
            </w:pPr>
          </w:p>
        </w:tc>
      </w:tr>
      <w:tr>
        <w:trPr>
          <w:trHeight w:val="27"/>
        </w:trPr>
        <w:tc>
          <w:tcPr>
            <w:tcW w:w="7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2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 assets</w:t>
            </w:r>
          </w:p>
        </w:tc>
        <w:tc>
          <w:tcPr>
            <w:tcW w:w="220" w:type="dxa"/>
            <w:vAlign w:val="bottom"/>
            <w:tcBorders>
              <w:bottom w:val="single" w:sz="8" w:color="CCEEFF"/>
            </w:tcBorders>
            <w:shd w:val="clear" w:color="auto" w:fill="CCEEFF"/>
          </w:tcPr>
          <w:p>
            <w:pPr>
              <w:spacing w:after="0"/>
              <w:rPr>
                <w:sz w:val="23"/>
                <w:szCs w:val="23"/>
                <w:color w:val="auto"/>
              </w:rPr>
            </w:pP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8,876</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10,988</w:t>
            </w:r>
          </w:p>
        </w:tc>
        <w:tc>
          <w:tcPr>
            <w:tcW w:w="0" w:type="dxa"/>
            <w:vAlign w:val="bottom"/>
          </w:tcPr>
          <w:p>
            <w:pPr>
              <w:spacing w:after="0"/>
              <w:rPr>
                <w:sz w:val="1"/>
                <w:szCs w:val="1"/>
                <w:color w:val="auto"/>
              </w:rPr>
            </w:pPr>
          </w:p>
        </w:tc>
      </w:tr>
      <w:tr>
        <w:trPr>
          <w:trHeight w:val="237"/>
        </w:trPr>
        <w:tc>
          <w:tcPr>
            <w:tcW w:w="7200" w:type="dxa"/>
            <w:vAlign w:val="bottom"/>
          </w:tcPr>
          <w:p>
            <w:pPr>
              <w:ind w:left="40"/>
              <w:spacing w:after="0"/>
              <w:rPr>
                <w:sz w:val="20"/>
                <w:szCs w:val="20"/>
                <w:color w:val="auto"/>
              </w:rPr>
            </w:pPr>
            <w:r>
              <w:rPr>
                <w:rFonts w:ascii="Arial" w:cs="Arial" w:eastAsia="Arial" w:hAnsi="Arial"/>
                <w:sz w:val="18"/>
                <w:szCs w:val="18"/>
                <w:b w:val="1"/>
                <w:bCs w:val="1"/>
                <w:color w:val="auto"/>
              </w:rPr>
              <w:t>Total non-current assets</w:t>
            </w:r>
          </w:p>
        </w:tc>
        <w:tc>
          <w:tcPr>
            <w:tcW w:w="220" w:type="dxa"/>
            <w:vAlign w:val="bottom"/>
            <w:tcBorders>
              <w:top w:val="single" w:sz="8" w:color="auto"/>
            </w:tcBorders>
          </w:tcPr>
          <w:p>
            <w:pPr>
              <w:spacing w:after="0"/>
              <w:rPr>
                <w:sz w:val="20"/>
                <w:szCs w:val="20"/>
                <w:color w:val="auto"/>
              </w:rPr>
            </w:pPr>
          </w:p>
        </w:tc>
        <w:tc>
          <w:tcPr>
            <w:tcW w:w="18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1,446,685</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8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1,419,462</w:t>
            </w:r>
          </w:p>
        </w:tc>
        <w:tc>
          <w:tcPr>
            <w:tcW w:w="0" w:type="dxa"/>
            <w:vAlign w:val="bottom"/>
          </w:tcPr>
          <w:p>
            <w:pPr>
              <w:spacing w:after="0"/>
              <w:rPr>
                <w:sz w:val="1"/>
                <w:szCs w:val="1"/>
                <w:color w:val="auto"/>
              </w:rPr>
            </w:pPr>
          </w:p>
        </w:tc>
      </w:tr>
      <w:tr>
        <w:trPr>
          <w:trHeight w:val="27"/>
        </w:trPr>
        <w:tc>
          <w:tcPr>
            <w:tcW w:w="72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assets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1,661,389</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1,581,939</w:t>
            </w:r>
          </w:p>
        </w:tc>
        <w:tc>
          <w:tcPr>
            <w:tcW w:w="0" w:type="dxa"/>
            <w:vAlign w:val="bottom"/>
          </w:tcPr>
          <w:p>
            <w:pPr>
              <w:spacing w:after="0"/>
              <w:rPr>
                <w:sz w:val="1"/>
                <w:szCs w:val="1"/>
                <w:color w:val="auto"/>
              </w:rPr>
            </w:pPr>
          </w:p>
        </w:tc>
      </w:tr>
      <w:tr>
        <w:trPr>
          <w:trHeight w:val="20"/>
        </w:trPr>
        <w:tc>
          <w:tcPr>
            <w:tcW w:w="720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b w:val="1"/>
                <w:bCs w:val="1"/>
                <w:color w:val="auto"/>
              </w:rPr>
              <w:t>LIABILITIES AND STOCKHOLDERS’ EQUITY</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1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20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1"/>
        </w:trPr>
        <w:tc>
          <w:tcPr>
            <w:tcW w:w="72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8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8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Current liabilities:</w:t>
            </w:r>
          </w:p>
        </w:tc>
        <w:tc>
          <w:tcPr>
            <w:tcW w:w="22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200" w:type="dxa"/>
            <w:vAlign w:val="bottom"/>
          </w:tcPr>
          <w:p>
            <w:pPr>
              <w:ind w:left="280"/>
              <w:spacing w:after="0"/>
              <w:rPr>
                <w:sz w:val="20"/>
                <w:szCs w:val="20"/>
                <w:color w:val="auto"/>
              </w:rPr>
            </w:pPr>
            <w:r>
              <w:rPr>
                <w:rFonts w:ascii="Arial" w:cs="Arial" w:eastAsia="Arial" w:hAnsi="Arial"/>
                <w:sz w:val="18"/>
                <w:szCs w:val="18"/>
                <w:color w:val="auto"/>
              </w:rPr>
              <w:t>Accounts payable</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43,642</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35,708</w:t>
            </w:r>
          </w:p>
        </w:tc>
        <w:tc>
          <w:tcPr>
            <w:tcW w:w="0" w:type="dxa"/>
            <w:vAlign w:val="bottom"/>
          </w:tcPr>
          <w:p>
            <w:pPr>
              <w:spacing w:after="0"/>
              <w:rPr>
                <w:sz w:val="1"/>
                <w:szCs w:val="1"/>
                <w:color w:val="auto"/>
              </w:rPr>
            </w:pPr>
          </w:p>
        </w:tc>
      </w:tr>
      <w:tr>
        <w:trPr>
          <w:trHeight w:val="27"/>
        </w:trPr>
        <w:tc>
          <w:tcPr>
            <w:tcW w:w="7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 payables and accrued expenses</w:t>
            </w:r>
          </w:p>
        </w:tc>
        <w:tc>
          <w:tcPr>
            <w:tcW w:w="22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81,004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77,611</w:t>
            </w:r>
          </w:p>
        </w:tc>
        <w:tc>
          <w:tcPr>
            <w:tcW w:w="0" w:type="dxa"/>
            <w:vAlign w:val="bottom"/>
          </w:tcPr>
          <w:p>
            <w:pPr>
              <w:spacing w:after="0"/>
              <w:rPr>
                <w:sz w:val="1"/>
                <w:szCs w:val="1"/>
                <w:color w:val="auto"/>
              </w:rPr>
            </w:pPr>
          </w:p>
        </w:tc>
      </w:tr>
      <w:tr>
        <w:trPr>
          <w:trHeight w:val="243"/>
        </w:trPr>
        <w:tc>
          <w:tcPr>
            <w:tcW w:w="7200" w:type="dxa"/>
            <w:vAlign w:val="bottom"/>
          </w:tcPr>
          <w:p>
            <w:pPr>
              <w:ind w:left="280"/>
              <w:spacing w:after="0"/>
              <w:rPr>
                <w:sz w:val="20"/>
                <w:szCs w:val="20"/>
                <w:color w:val="auto"/>
              </w:rPr>
            </w:pPr>
            <w:r>
              <w:rPr>
                <w:rFonts w:ascii="Arial" w:cs="Arial" w:eastAsia="Arial" w:hAnsi="Arial"/>
                <w:sz w:val="18"/>
                <w:szCs w:val="18"/>
                <w:color w:val="auto"/>
              </w:rPr>
              <w:t>Unearned revenue</w:t>
            </w:r>
          </w:p>
        </w:tc>
        <w:tc>
          <w:tcPr>
            <w:tcW w:w="220" w:type="dxa"/>
            <w:vAlign w:val="bottom"/>
          </w:tcPr>
          <w:p>
            <w:pPr>
              <w:spacing w:after="0"/>
              <w:rPr>
                <w:sz w:val="21"/>
                <w:szCs w:val="21"/>
                <w:color w:val="auto"/>
              </w:rPr>
            </w:pP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27,295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27,739</w:t>
            </w:r>
          </w:p>
        </w:tc>
        <w:tc>
          <w:tcPr>
            <w:tcW w:w="0" w:type="dxa"/>
            <w:vAlign w:val="bottom"/>
          </w:tcPr>
          <w:p>
            <w:pPr>
              <w:spacing w:after="0"/>
              <w:rPr>
                <w:sz w:val="1"/>
                <w:szCs w:val="1"/>
                <w:color w:val="auto"/>
              </w:rPr>
            </w:pPr>
          </w:p>
        </w:tc>
      </w:tr>
      <w:tr>
        <w:trPr>
          <w:trHeight w:val="27"/>
        </w:trPr>
        <w:tc>
          <w:tcPr>
            <w:tcW w:w="7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Deferred revenue</w:t>
            </w:r>
          </w:p>
        </w:tc>
        <w:tc>
          <w:tcPr>
            <w:tcW w:w="22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52,144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62,993</w:t>
            </w:r>
          </w:p>
        </w:tc>
        <w:tc>
          <w:tcPr>
            <w:tcW w:w="0" w:type="dxa"/>
            <w:vAlign w:val="bottom"/>
          </w:tcPr>
          <w:p>
            <w:pPr>
              <w:spacing w:after="0"/>
              <w:rPr>
                <w:sz w:val="1"/>
                <w:szCs w:val="1"/>
                <w:color w:val="auto"/>
              </w:rPr>
            </w:pPr>
          </w:p>
        </w:tc>
      </w:tr>
      <w:tr>
        <w:trPr>
          <w:trHeight w:val="243"/>
        </w:trPr>
        <w:tc>
          <w:tcPr>
            <w:tcW w:w="7200" w:type="dxa"/>
            <w:vAlign w:val="bottom"/>
          </w:tcPr>
          <w:p>
            <w:pPr>
              <w:ind w:left="280"/>
              <w:spacing w:after="0"/>
              <w:rPr>
                <w:sz w:val="20"/>
                <w:szCs w:val="20"/>
                <w:color w:val="auto"/>
              </w:rPr>
            </w:pPr>
            <w:r>
              <w:rPr>
                <w:rFonts w:ascii="Arial" w:cs="Arial" w:eastAsia="Arial" w:hAnsi="Arial"/>
                <w:sz w:val="18"/>
                <w:szCs w:val="18"/>
                <w:color w:val="auto"/>
              </w:rPr>
              <w:t>Current maturities of long-term debt</w:t>
            </w:r>
          </w:p>
        </w:tc>
        <w:tc>
          <w:tcPr>
            <w:tcW w:w="220" w:type="dxa"/>
            <w:vAlign w:val="bottom"/>
          </w:tcPr>
          <w:p>
            <w:pPr>
              <w:spacing w:after="0"/>
              <w:rPr>
                <w:sz w:val="21"/>
                <w:szCs w:val="21"/>
                <w:color w:val="auto"/>
              </w:rPr>
            </w:pP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7,567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7,258</w:t>
            </w:r>
          </w:p>
        </w:tc>
        <w:tc>
          <w:tcPr>
            <w:tcW w:w="0" w:type="dxa"/>
            <w:vAlign w:val="bottom"/>
          </w:tcPr>
          <w:p>
            <w:pPr>
              <w:spacing w:after="0"/>
              <w:rPr>
                <w:sz w:val="1"/>
                <w:szCs w:val="1"/>
                <w:color w:val="auto"/>
              </w:rPr>
            </w:pPr>
          </w:p>
        </w:tc>
      </w:tr>
      <w:tr>
        <w:trPr>
          <w:trHeight w:val="27"/>
        </w:trPr>
        <w:tc>
          <w:tcPr>
            <w:tcW w:w="72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2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current liabilities</w:t>
            </w:r>
          </w:p>
        </w:tc>
        <w:tc>
          <w:tcPr>
            <w:tcW w:w="22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211,652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211,309</w:t>
            </w:r>
          </w:p>
        </w:tc>
        <w:tc>
          <w:tcPr>
            <w:tcW w:w="0" w:type="dxa"/>
            <w:vAlign w:val="bottom"/>
          </w:tcPr>
          <w:p>
            <w:pPr>
              <w:spacing w:after="0"/>
              <w:rPr>
                <w:sz w:val="1"/>
                <w:szCs w:val="1"/>
                <w:color w:val="auto"/>
              </w:rPr>
            </w:pPr>
          </w:p>
        </w:tc>
      </w:tr>
      <w:tr>
        <w:trPr>
          <w:trHeight w:val="270"/>
        </w:trPr>
        <w:tc>
          <w:tcPr>
            <w:tcW w:w="72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8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8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Long-term debt, less current portion and debt discount</w:t>
            </w:r>
          </w:p>
        </w:tc>
        <w:tc>
          <w:tcPr>
            <w:tcW w:w="22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570,545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561,980</w:t>
            </w:r>
          </w:p>
        </w:tc>
        <w:tc>
          <w:tcPr>
            <w:tcW w:w="0" w:type="dxa"/>
            <w:vAlign w:val="bottom"/>
          </w:tcPr>
          <w:p>
            <w:pPr>
              <w:spacing w:after="0"/>
              <w:rPr>
                <w:sz w:val="1"/>
                <w:szCs w:val="1"/>
                <w:color w:val="auto"/>
              </w:rPr>
            </w:pPr>
          </w:p>
        </w:tc>
      </w:tr>
      <w:tr>
        <w:trPr>
          <w:trHeight w:val="243"/>
        </w:trPr>
        <w:tc>
          <w:tcPr>
            <w:tcW w:w="7200" w:type="dxa"/>
            <w:vAlign w:val="bottom"/>
          </w:tcPr>
          <w:p>
            <w:pPr>
              <w:ind w:left="40"/>
              <w:spacing w:after="0"/>
              <w:rPr>
                <w:sz w:val="20"/>
                <w:szCs w:val="20"/>
                <w:color w:val="auto"/>
              </w:rPr>
            </w:pPr>
            <w:r>
              <w:rPr>
                <w:rFonts w:ascii="Arial" w:cs="Arial" w:eastAsia="Arial" w:hAnsi="Arial"/>
                <w:sz w:val="18"/>
                <w:szCs w:val="18"/>
                <w:b w:val="1"/>
                <w:bCs w:val="1"/>
                <w:color w:val="auto"/>
              </w:rPr>
              <w:t>Other non-current liabilities:</w:t>
            </w:r>
          </w:p>
        </w:tc>
        <w:tc>
          <w:tcPr>
            <w:tcW w:w="220" w:type="dxa"/>
            <w:vAlign w:val="bottom"/>
          </w:tcPr>
          <w:p>
            <w:pPr>
              <w:spacing w:after="0"/>
              <w:rPr>
                <w:sz w:val="21"/>
                <w:szCs w:val="21"/>
                <w:color w:val="auto"/>
              </w:rPr>
            </w:pPr>
          </w:p>
        </w:tc>
        <w:tc>
          <w:tcPr>
            <w:tcW w:w="1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Deferred revenue</w:t>
            </w:r>
          </w:p>
        </w:tc>
        <w:tc>
          <w:tcPr>
            <w:tcW w:w="22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20,134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31,222</w:t>
            </w:r>
          </w:p>
        </w:tc>
        <w:tc>
          <w:tcPr>
            <w:tcW w:w="0" w:type="dxa"/>
            <w:vAlign w:val="bottom"/>
          </w:tcPr>
          <w:p>
            <w:pPr>
              <w:spacing w:after="0"/>
              <w:rPr>
                <w:sz w:val="1"/>
                <w:szCs w:val="1"/>
                <w:color w:val="auto"/>
              </w:rPr>
            </w:pPr>
          </w:p>
        </w:tc>
      </w:tr>
      <w:tr>
        <w:trPr>
          <w:trHeight w:val="243"/>
        </w:trPr>
        <w:tc>
          <w:tcPr>
            <w:tcW w:w="7200" w:type="dxa"/>
            <w:vAlign w:val="bottom"/>
          </w:tcPr>
          <w:p>
            <w:pPr>
              <w:ind w:left="280"/>
              <w:spacing w:after="0"/>
              <w:rPr>
                <w:sz w:val="20"/>
                <w:szCs w:val="20"/>
                <w:color w:val="auto"/>
              </w:rPr>
            </w:pPr>
            <w:r>
              <w:rPr>
                <w:rFonts w:ascii="Arial" w:cs="Arial" w:eastAsia="Arial" w:hAnsi="Arial"/>
                <w:sz w:val="18"/>
                <w:szCs w:val="18"/>
                <w:color w:val="auto"/>
              </w:rPr>
              <w:t>Other liabilities</w:t>
            </w:r>
          </w:p>
        </w:tc>
        <w:tc>
          <w:tcPr>
            <w:tcW w:w="220" w:type="dxa"/>
            <w:vAlign w:val="bottom"/>
          </w:tcPr>
          <w:p>
            <w:pPr>
              <w:spacing w:after="0"/>
              <w:rPr>
                <w:sz w:val="21"/>
                <w:szCs w:val="21"/>
                <w:color w:val="auto"/>
              </w:rPr>
            </w:pP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53,964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50,902</w:t>
            </w:r>
          </w:p>
        </w:tc>
        <w:tc>
          <w:tcPr>
            <w:tcW w:w="0" w:type="dxa"/>
            <w:vAlign w:val="bottom"/>
          </w:tcPr>
          <w:p>
            <w:pPr>
              <w:spacing w:after="0"/>
              <w:rPr>
                <w:sz w:val="1"/>
                <w:szCs w:val="1"/>
                <w:color w:val="auto"/>
              </w:rPr>
            </w:pPr>
          </w:p>
        </w:tc>
      </w:tr>
      <w:tr>
        <w:trPr>
          <w:trHeight w:val="27"/>
        </w:trPr>
        <w:tc>
          <w:tcPr>
            <w:tcW w:w="7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2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Deferred income taxes, net</w:t>
            </w:r>
          </w:p>
        </w:tc>
        <w:tc>
          <w:tcPr>
            <w:tcW w:w="220" w:type="dxa"/>
            <w:vAlign w:val="bottom"/>
            <w:tcBorders>
              <w:bottom w:val="single" w:sz="8" w:color="CCEEFF"/>
            </w:tcBorders>
            <w:shd w:val="clear" w:color="auto" w:fill="CCEEFF"/>
          </w:tcPr>
          <w:p>
            <w:pPr>
              <w:spacing w:after="0"/>
              <w:rPr>
                <w:sz w:val="23"/>
                <w:szCs w:val="23"/>
                <w:color w:val="auto"/>
              </w:rPr>
            </w:pP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61,940</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71,926</w:t>
            </w:r>
          </w:p>
        </w:tc>
        <w:tc>
          <w:tcPr>
            <w:tcW w:w="0" w:type="dxa"/>
            <w:vAlign w:val="bottom"/>
          </w:tcPr>
          <w:p>
            <w:pPr>
              <w:spacing w:after="0"/>
              <w:rPr>
                <w:sz w:val="1"/>
                <w:szCs w:val="1"/>
                <w:color w:val="auto"/>
              </w:rPr>
            </w:pPr>
          </w:p>
        </w:tc>
      </w:tr>
      <w:tr>
        <w:trPr>
          <w:trHeight w:val="237"/>
        </w:trPr>
        <w:tc>
          <w:tcPr>
            <w:tcW w:w="7200" w:type="dxa"/>
            <w:vAlign w:val="bottom"/>
          </w:tcPr>
          <w:p>
            <w:pPr>
              <w:ind w:left="500"/>
              <w:spacing w:after="0"/>
              <w:rPr>
                <w:sz w:val="20"/>
                <w:szCs w:val="20"/>
                <w:color w:val="auto"/>
              </w:rPr>
            </w:pPr>
            <w:r>
              <w:rPr>
                <w:rFonts w:ascii="Arial" w:cs="Arial" w:eastAsia="Arial" w:hAnsi="Arial"/>
                <w:sz w:val="18"/>
                <w:szCs w:val="18"/>
                <w:color w:val="auto"/>
              </w:rPr>
              <w:t>Total other non-current liabilities</w:t>
            </w:r>
          </w:p>
        </w:tc>
        <w:tc>
          <w:tcPr>
            <w:tcW w:w="220" w:type="dxa"/>
            <w:vAlign w:val="bottom"/>
            <w:tcBorders>
              <w:top w:val="single" w:sz="8" w:color="auto"/>
            </w:tcBorders>
          </w:tcPr>
          <w:p>
            <w:pPr>
              <w:spacing w:after="0"/>
              <w:rPr>
                <w:sz w:val="20"/>
                <w:szCs w:val="20"/>
                <w:color w:val="auto"/>
              </w:rPr>
            </w:pPr>
          </w:p>
        </w:tc>
        <w:tc>
          <w:tcPr>
            <w:tcW w:w="18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136,038</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8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154,050</w:t>
            </w:r>
          </w:p>
        </w:tc>
        <w:tc>
          <w:tcPr>
            <w:tcW w:w="0" w:type="dxa"/>
            <w:vAlign w:val="bottom"/>
          </w:tcPr>
          <w:p>
            <w:pPr>
              <w:spacing w:after="0"/>
              <w:rPr>
                <w:sz w:val="1"/>
                <w:szCs w:val="1"/>
                <w:color w:val="auto"/>
              </w:rPr>
            </w:pPr>
          </w:p>
        </w:tc>
      </w:tr>
      <w:tr>
        <w:trPr>
          <w:trHeight w:val="27"/>
        </w:trPr>
        <w:tc>
          <w:tcPr>
            <w:tcW w:w="7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Commitments and contingencies (See Note 12)</w:t>
            </w:r>
          </w:p>
        </w:tc>
        <w:tc>
          <w:tcPr>
            <w:tcW w:w="22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200" w:type="dxa"/>
            <w:vAlign w:val="bottom"/>
          </w:tcPr>
          <w:p>
            <w:pPr>
              <w:ind w:left="40"/>
              <w:spacing w:after="0"/>
              <w:rPr>
                <w:sz w:val="20"/>
                <w:szCs w:val="20"/>
                <w:color w:val="auto"/>
              </w:rPr>
            </w:pPr>
            <w:r>
              <w:rPr>
                <w:rFonts w:ascii="Arial" w:cs="Arial" w:eastAsia="Arial" w:hAnsi="Arial"/>
                <w:sz w:val="18"/>
                <w:szCs w:val="18"/>
                <w:b w:val="1"/>
                <w:bCs w:val="1"/>
                <w:color w:val="auto"/>
              </w:rPr>
              <w:t>Stockholders’ equity:</w:t>
            </w:r>
          </w:p>
        </w:tc>
        <w:tc>
          <w:tcPr>
            <w:tcW w:w="220" w:type="dxa"/>
            <w:vAlign w:val="bottom"/>
          </w:tcPr>
          <w:p>
            <w:pPr>
              <w:spacing w:after="0"/>
              <w:rPr>
                <w:sz w:val="21"/>
                <w:szCs w:val="21"/>
                <w:color w:val="auto"/>
              </w:rPr>
            </w:pPr>
          </w:p>
        </w:tc>
        <w:tc>
          <w:tcPr>
            <w:tcW w:w="1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7200" w:type="dxa"/>
            <w:vAlign w:val="bottom"/>
            <w:shd w:val="clear" w:color="auto" w:fill="CCEEFF"/>
          </w:tcPr>
          <w:p>
            <w:pPr>
              <w:ind w:left="280"/>
              <w:spacing w:after="0"/>
              <w:rPr>
                <w:sz w:val="20"/>
                <w:szCs w:val="20"/>
                <w:color w:val="auto"/>
              </w:rPr>
            </w:pPr>
            <w:r>
              <w:rPr>
                <w:rFonts w:ascii="Arial" w:cs="Arial" w:eastAsia="Arial" w:hAnsi="Arial"/>
                <w:sz w:val="18"/>
                <w:szCs w:val="18"/>
                <w:color w:val="auto"/>
                <w:w w:val="88"/>
                <w:shd w:val="clear" w:color="auto" w:fill="CCEEFF"/>
              </w:rPr>
              <w:t>Common stock, $0.01 par value; 200,000 shares authorized; 78,246 and 74,654 shares issued as</w:t>
            </w:r>
          </w:p>
        </w:tc>
        <w:tc>
          <w:tcPr>
            <w:tcW w:w="220" w:type="dxa"/>
            <w:vAlign w:val="bottom"/>
            <w:shd w:val="clear" w:color="auto" w:fill="CCEEFF"/>
          </w:tcPr>
          <w:p>
            <w:pPr>
              <w:spacing w:after="0"/>
              <w:rPr>
                <w:sz w:val="19"/>
                <w:szCs w:val="19"/>
                <w:color w:val="auto"/>
              </w:rPr>
            </w:pPr>
          </w:p>
        </w:tc>
        <w:tc>
          <w:tcPr>
            <w:tcW w:w="1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200" w:type="dxa"/>
            <w:vAlign w:val="bottom"/>
            <w:shd w:val="clear" w:color="auto" w:fill="CCEEFF"/>
          </w:tcPr>
          <w:p>
            <w:pPr>
              <w:ind w:left="280"/>
              <w:spacing w:after="0"/>
              <w:rPr>
                <w:sz w:val="20"/>
                <w:szCs w:val="20"/>
                <w:color w:val="auto"/>
              </w:rPr>
            </w:pPr>
            <w:r>
              <w:rPr>
                <w:rFonts w:ascii="Arial" w:cs="Arial" w:eastAsia="Arial" w:hAnsi="Arial"/>
                <w:sz w:val="18"/>
                <w:szCs w:val="18"/>
                <w:color w:val="auto"/>
                <w:w w:val="98"/>
                <w:shd w:val="clear" w:color="auto" w:fill="CCEEFF"/>
              </w:rPr>
              <w:t>of December 29, 2018 and December 30, 2017, respectively; 78,167 and 74,654 shares</w:t>
            </w:r>
          </w:p>
        </w:tc>
        <w:tc>
          <w:tcPr>
            <w:tcW w:w="22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72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shd w:val="clear" w:color="auto" w:fill="CCEEFF"/>
              </w:rPr>
              <w:t>outstanding as of December 29, 2018 and December 30, 2017, respectively</w:t>
            </w:r>
          </w:p>
        </w:tc>
        <w:tc>
          <w:tcPr>
            <w:tcW w:w="220" w:type="dxa"/>
            <w:vAlign w:val="bottom"/>
            <w:tcBorders>
              <w:bottom w:val="single" w:sz="8" w:color="CCEEFF"/>
            </w:tcBorders>
            <w:shd w:val="clear" w:color="auto" w:fill="CCEEFF"/>
          </w:tcPr>
          <w:p>
            <w:pPr>
              <w:spacing w:after="0"/>
              <w:rPr>
                <w:sz w:val="20"/>
                <w:szCs w:val="20"/>
                <w:color w:val="auto"/>
              </w:rPr>
            </w:pP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782</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746</w:t>
            </w:r>
          </w:p>
        </w:tc>
        <w:tc>
          <w:tcPr>
            <w:tcW w:w="0" w:type="dxa"/>
            <w:vAlign w:val="bottom"/>
          </w:tcPr>
          <w:p>
            <w:pPr>
              <w:spacing w:after="0"/>
              <w:rPr>
                <w:sz w:val="1"/>
                <w:szCs w:val="1"/>
                <w:color w:val="auto"/>
              </w:rPr>
            </w:pPr>
          </w:p>
        </w:tc>
      </w:tr>
      <w:tr>
        <w:trPr>
          <w:trHeight w:val="243"/>
        </w:trPr>
        <w:tc>
          <w:tcPr>
            <w:tcW w:w="7200" w:type="dxa"/>
            <w:vAlign w:val="bottom"/>
          </w:tcPr>
          <w:p>
            <w:pPr>
              <w:ind w:left="280"/>
              <w:spacing w:after="0"/>
              <w:rPr>
                <w:sz w:val="20"/>
                <w:szCs w:val="20"/>
                <w:color w:val="auto"/>
              </w:rPr>
            </w:pPr>
            <w:r>
              <w:rPr>
                <w:rFonts w:ascii="Arial" w:cs="Arial" w:eastAsia="Arial" w:hAnsi="Arial"/>
                <w:sz w:val="18"/>
                <w:szCs w:val="18"/>
                <w:color w:val="auto"/>
              </w:rPr>
              <w:t>Additional paid-in capital</w:t>
            </w:r>
          </w:p>
        </w:tc>
        <w:tc>
          <w:tcPr>
            <w:tcW w:w="220" w:type="dxa"/>
            <w:vAlign w:val="bottom"/>
          </w:tcPr>
          <w:p>
            <w:pPr>
              <w:spacing w:after="0"/>
              <w:rPr>
                <w:sz w:val="21"/>
                <w:szCs w:val="21"/>
                <w:color w:val="auto"/>
              </w:rPr>
            </w:pP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672,503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631,798</w:t>
            </w:r>
          </w:p>
        </w:tc>
        <w:tc>
          <w:tcPr>
            <w:tcW w:w="0" w:type="dxa"/>
            <w:vAlign w:val="bottom"/>
          </w:tcPr>
          <w:p>
            <w:pPr>
              <w:spacing w:after="0"/>
              <w:rPr>
                <w:sz w:val="1"/>
                <w:szCs w:val="1"/>
                <w:color w:val="auto"/>
              </w:rPr>
            </w:pPr>
          </w:p>
        </w:tc>
      </w:tr>
      <w:tr>
        <w:trPr>
          <w:trHeight w:val="27"/>
        </w:trPr>
        <w:tc>
          <w:tcPr>
            <w:tcW w:w="7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2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Accumulated other comprehensive loss</w:t>
            </w:r>
          </w:p>
        </w:tc>
        <w:tc>
          <w:tcPr>
            <w:tcW w:w="22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(2,810)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(9,868)</w:t>
            </w:r>
          </w:p>
        </w:tc>
        <w:tc>
          <w:tcPr>
            <w:tcW w:w="0" w:type="dxa"/>
            <w:vAlign w:val="bottom"/>
          </w:tcPr>
          <w:p>
            <w:pPr>
              <w:spacing w:after="0"/>
              <w:rPr>
                <w:sz w:val="1"/>
                <w:szCs w:val="1"/>
                <w:color w:val="auto"/>
              </w:rPr>
            </w:pPr>
          </w:p>
        </w:tc>
      </w:tr>
      <w:tr>
        <w:trPr>
          <w:trHeight w:val="243"/>
        </w:trPr>
        <w:tc>
          <w:tcPr>
            <w:tcW w:w="7200" w:type="dxa"/>
            <w:vAlign w:val="bottom"/>
          </w:tcPr>
          <w:p>
            <w:pPr>
              <w:ind w:left="280"/>
              <w:spacing w:after="0"/>
              <w:rPr>
                <w:sz w:val="20"/>
                <w:szCs w:val="20"/>
                <w:color w:val="auto"/>
              </w:rPr>
            </w:pPr>
            <w:r>
              <w:rPr>
                <w:rFonts w:ascii="Arial" w:cs="Arial" w:eastAsia="Arial" w:hAnsi="Arial"/>
                <w:sz w:val="18"/>
                <w:szCs w:val="18"/>
                <w:color w:val="auto"/>
              </w:rPr>
              <w:t>Retained earnings</w:t>
            </w:r>
          </w:p>
        </w:tc>
        <w:tc>
          <w:tcPr>
            <w:tcW w:w="220" w:type="dxa"/>
            <w:vAlign w:val="bottom"/>
          </w:tcPr>
          <w:p>
            <w:pPr>
              <w:spacing w:after="0"/>
              <w:rPr>
                <w:sz w:val="21"/>
                <w:szCs w:val="21"/>
                <w:color w:val="auto"/>
              </w:rPr>
            </w:pP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74,840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32,157</w:t>
            </w:r>
          </w:p>
        </w:tc>
        <w:tc>
          <w:tcPr>
            <w:tcW w:w="0" w:type="dxa"/>
            <w:vAlign w:val="bottom"/>
          </w:tcPr>
          <w:p>
            <w:pPr>
              <w:spacing w:after="0"/>
              <w:rPr>
                <w:sz w:val="1"/>
                <w:szCs w:val="1"/>
                <w:color w:val="auto"/>
              </w:rPr>
            </w:pPr>
          </w:p>
        </w:tc>
      </w:tr>
      <w:tr>
        <w:trPr>
          <w:trHeight w:val="27"/>
        </w:trPr>
        <w:tc>
          <w:tcPr>
            <w:tcW w:w="7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7200" w:type="dxa"/>
            <w:vAlign w:val="bottom"/>
            <w:shd w:val="clear" w:color="auto" w:fill="CCEEFF"/>
          </w:tcPr>
          <w:p>
            <w:pPr>
              <w:ind w:left="280"/>
              <w:spacing w:after="0"/>
              <w:rPr>
                <w:sz w:val="20"/>
                <w:szCs w:val="20"/>
                <w:color w:val="auto"/>
              </w:rPr>
            </w:pPr>
            <w:r>
              <w:rPr>
                <w:rFonts w:ascii="Arial" w:cs="Arial" w:eastAsia="Arial" w:hAnsi="Arial"/>
                <w:sz w:val="18"/>
                <w:szCs w:val="18"/>
                <w:color w:val="auto"/>
                <w:w w:val="93"/>
              </w:rPr>
              <w:t>Treasury stock, at cost; 79 and 28 shares as of December 29, 2018 and December 30, 2017,</w:t>
            </w:r>
          </w:p>
        </w:tc>
        <w:tc>
          <w:tcPr>
            <w:tcW w:w="220" w:type="dxa"/>
            <w:vAlign w:val="bottom"/>
            <w:shd w:val="clear" w:color="auto" w:fill="CCEEFF"/>
          </w:tcPr>
          <w:p>
            <w:pPr>
              <w:spacing w:after="0"/>
              <w:rPr>
                <w:sz w:val="19"/>
                <w:szCs w:val="19"/>
                <w:color w:val="auto"/>
              </w:rPr>
            </w:pPr>
          </w:p>
        </w:tc>
        <w:tc>
          <w:tcPr>
            <w:tcW w:w="1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72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respectively</w:t>
            </w:r>
          </w:p>
        </w:tc>
        <w:tc>
          <w:tcPr>
            <w:tcW w:w="220" w:type="dxa"/>
            <w:vAlign w:val="bottom"/>
            <w:tcBorders>
              <w:bottom w:val="single" w:sz="8" w:color="CCEEFF"/>
            </w:tcBorders>
            <w:shd w:val="clear" w:color="auto" w:fill="CCEEFF"/>
          </w:tcPr>
          <w:p>
            <w:pPr>
              <w:spacing w:after="0"/>
              <w:rPr>
                <w:sz w:val="22"/>
                <w:szCs w:val="22"/>
                <w:color w:val="auto"/>
              </w:rPr>
            </w:pPr>
          </w:p>
        </w:tc>
        <w:tc>
          <w:tcPr>
            <w:tcW w:w="1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(2,161)</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(233)</w:t>
            </w:r>
          </w:p>
        </w:tc>
        <w:tc>
          <w:tcPr>
            <w:tcW w:w="0" w:type="dxa"/>
            <w:vAlign w:val="bottom"/>
          </w:tcPr>
          <w:p>
            <w:pPr>
              <w:spacing w:after="0"/>
              <w:rPr>
                <w:sz w:val="1"/>
                <w:szCs w:val="1"/>
                <w:color w:val="auto"/>
              </w:rPr>
            </w:pPr>
          </w:p>
        </w:tc>
      </w:tr>
      <w:tr>
        <w:trPr>
          <w:trHeight w:val="237"/>
        </w:trPr>
        <w:tc>
          <w:tcPr>
            <w:tcW w:w="7200" w:type="dxa"/>
            <w:vAlign w:val="bottom"/>
          </w:tcPr>
          <w:p>
            <w:pPr>
              <w:ind w:left="500"/>
              <w:spacing w:after="0"/>
              <w:rPr>
                <w:sz w:val="20"/>
                <w:szCs w:val="20"/>
                <w:color w:val="auto"/>
              </w:rPr>
            </w:pPr>
            <w:r>
              <w:rPr>
                <w:rFonts w:ascii="Arial" w:cs="Arial" w:eastAsia="Arial" w:hAnsi="Arial"/>
                <w:sz w:val="18"/>
                <w:szCs w:val="18"/>
                <w:color w:val="auto"/>
              </w:rPr>
              <w:t>Total stockholders’ equity</w:t>
            </w:r>
          </w:p>
        </w:tc>
        <w:tc>
          <w:tcPr>
            <w:tcW w:w="220" w:type="dxa"/>
            <w:vAlign w:val="bottom"/>
            <w:tcBorders>
              <w:top w:val="single" w:sz="8" w:color="auto"/>
            </w:tcBorders>
          </w:tcPr>
          <w:p>
            <w:pPr>
              <w:spacing w:after="0"/>
              <w:rPr>
                <w:sz w:val="20"/>
                <w:szCs w:val="20"/>
                <w:color w:val="auto"/>
              </w:rPr>
            </w:pPr>
          </w:p>
        </w:tc>
        <w:tc>
          <w:tcPr>
            <w:tcW w:w="18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743,154</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8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654,600</w:t>
            </w:r>
          </w:p>
        </w:tc>
        <w:tc>
          <w:tcPr>
            <w:tcW w:w="0" w:type="dxa"/>
            <w:vAlign w:val="bottom"/>
          </w:tcPr>
          <w:p>
            <w:pPr>
              <w:spacing w:after="0"/>
              <w:rPr>
                <w:sz w:val="1"/>
                <w:szCs w:val="1"/>
                <w:color w:val="auto"/>
              </w:rPr>
            </w:pPr>
          </w:p>
        </w:tc>
      </w:tr>
      <w:tr>
        <w:trPr>
          <w:trHeight w:val="27"/>
        </w:trPr>
        <w:tc>
          <w:tcPr>
            <w:tcW w:w="72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liabilities and stockholders’ equity</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1,661,389</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1,581,939</w:t>
            </w:r>
          </w:p>
        </w:tc>
        <w:tc>
          <w:tcPr>
            <w:tcW w:w="0" w:type="dxa"/>
            <w:vAlign w:val="bottom"/>
          </w:tcPr>
          <w:p>
            <w:pPr>
              <w:spacing w:after="0"/>
              <w:rPr>
                <w:sz w:val="1"/>
                <w:szCs w:val="1"/>
                <w:color w:val="auto"/>
              </w:rPr>
            </w:pPr>
          </w:p>
        </w:tc>
      </w:tr>
      <w:tr>
        <w:trPr>
          <w:trHeight w:val="20"/>
        </w:trPr>
        <w:tc>
          <w:tcPr>
            <w:tcW w:w="72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580" w:right="239" w:bottom="1440" w:gutter="0" w:footer="0" w:header="0"/>
        </w:sectPr>
      </w:pPr>
    </w:p>
    <w:bookmarkStart w:id="10" w:name="page11"/>
    <w:bookmarkEnd w:id="10"/>
    <w:p>
      <w:pPr>
        <w:jc w:val="center"/>
        <w:ind w:left="260" w:right="2260"/>
        <w:spacing w:after="0" w:line="261" w:lineRule="auto"/>
        <w:rPr>
          <w:sz w:val="20"/>
          <w:szCs w:val="20"/>
          <w:color w:val="auto"/>
        </w:rPr>
      </w:pPr>
      <w:r>
        <w:rPr>
          <w:rFonts w:ascii="Arial" w:cs="Arial" w:eastAsia="Arial" w:hAnsi="Arial"/>
          <w:sz w:val="18"/>
          <w:szCs w:val="18"/>
          <w:b w:val="1"/>
          <w:bCs w:val="1"/>
          <w:color w:val="auto"/>
        </w:rPr>
        <w:t xml:space="preserve">National Vision Holdings, Inc. and Subsidiaries Consolidated Statements of Operations and Comprehensive Income (Loss) For the Three Months and Fiscal Years Ended December 29, 2018 and December 30, 2017 </w:t>
      </w:r>
      <w:r>
        <w:rPr>
          <w:rFonts w:ascii="Arial" w:cs="Arial" w:eastAsia="Arial" w:hAnsi="Arial"/>
          <w:sz w:val="18"/>
          <w:szCs w:val="18"/>
          <w:i w:val="1"/>
          <w:iCs w:val="1"/>
          <w:color w:val="auto"/>
        </w:rPr>
        <w:t>In Thousands, Except Earnings Per Share</w:t>
      </w:r>
    </w:p>
    <w:p>
      <w:pPr>
        <w:spacing w:after="0" w:line="34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gridSpan w:val="2"/>
          </w:tcPr>
          <w:p>
            <w:pPr>
              <w:jc w:val="center"/>
              <w:ind w:right="260"/>
              <w:spacing w:after="0"/>
              <w:rPr>
                <w:sz w:val="20"/>
                <w:szCs w:val="20"/>
                <w:color w:val="auto"/>
              </w:rPr>
            </w:pPr>
            <w:r>
              <w:rPr>
                <w:rFonts w:ascii="Arial" w:cs="Arial" w:eastAsia="Arial" w:hAnsi="Arial"/>
                <w:sz w:val="18"/>
                <w:szCs w:val="18"/>
                <w:color w:val="auto"/>
                <w:w w:val="91"/>
              </w:rPr>
              <w:t>Three Months</w:t>
            </w:r>
          </w:p>
        </w:tc>
        <w:tc>
          <w:tcPr>
            <w:tcW w:w="140" w:type="dxa"/>
            <w:vAlign w:val="bottom"/>
          </w:tcPr>
          <w:p>
            <w:pPr>
              <w:spacing w:after="0"/>
              <w:rPr>
                <w:sz w:val="18"/>
                <w:szCs w:val="18"/>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8"/>
                <w:szCs w:val="18"/>
                <w:color w:val="auto"/>
                <w:w w:val="91"/>
              </w:rPr>
              <w:t>Three Months</w:t>
            </w: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16"/>
        </w:trPr>
        <w:tc>
          <w:tcPr>
            <w:tcW w:w="5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gridSpan w:val="2"/>
          </w:tcPr>
          <w:p>
            <w:pPr>
              <w:jc w:val="center"/>
              <w:ind w:right="260"/>
              <w:spacing w:after="0"/>
              <w:rPr>
                <w:sz w:val="20"/>
                <w:szCs w:val="20"/>
                <w:color w:val="auto"/>
              </w:rPr>
            </w:pPr>
            <w:r>
              <w:rPr>
                <w:rFonts w:ascii="Arial" w:cs="Arial" w:eastAsia="Arial" w:hAnsi="Arial"/>
                <w:sz w:val="18"/>
                <w:szCs w:val="18"/>
                <w:color w:val="auto"/>
                <w:w w:val="88"/>
              </w:rPr>
              <w:t>Ended</w:t>
            </w:r>
          </w:p>
        </w:tc>
        <w:tc>
          <w:tcPr>
            <w:tcW w:w="140" w:type="dxa"/>
            <w:vAlign w:val="bottom"/>
          </w:tcPr>
          <w:p>
            <w:pPr>
              <w:spacing w:after="0"/>
              <w:rPr>
                <w:sz w:val="18"/>
                <w:szCs w:val="18"/>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8"/>
                <w:szCs w:val="18"/>
                <w:color w:val="auto"/>
                <w:w w:val="88"/>
              </w:rPr>
              <w:t>Ended</w:t>
            </w: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16"/>
        </w:trPr>
        <w:tc>
          <w:tcPr>
            <w:tcW w:w="5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gridSpan w:val="2"/>
          </w:tcPr>
          <w:p>
            <w:pPr>
              <w:jc w:val="center"/>
              <w:ind w:right="260"/>
              <w:spacing w:after="0"/>
              <w:rPr>
                <w:sz w:val="20"/>
                <w:szCs w:val="20"/>
                <w:color w:val="auto"/>
              </w:rPr>
            </w:pPr>
            <w:r>
              <w:rPr>
                <w:rFonts w:ascii="Arial" w:cs="Arial" w:eastAsia="Arial" w:hAnsi="Arial"/>
                <w:sz w:val="18"/>
                <w:szCs w:val="18"/>
                <w:color w:val="auto"/>
                <w:w w:val="90"/>
              </w:rPr>
              <w:t>December 29,</w:t>
            </w:r>
          </w:p>
        </w:tc>
        <w:tc>
          <w:tcPr>
            <w:tcW w:w="140" w:type="dxa"/>
            <w:vAlign w:val="bottom"/>
          </w:tcPr>
          <w:p>
            <w:pPr>
              <w:spacing w:after="0"/>
              <w:rPr>
                <w:sz w:val="18"/>
                <w:szCs w:val="18"/>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8"/>
                <w:szCs w:val="18"/>
                <w:color w:val="auto"/>
                <w:w w:val="90"/>
              </w:rPr>
              <w:t>December 30,</w:t>
            </w: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16"/>
        </w:trPr>
        <w:tc>
          <w:tcPr>
            <w:tcW w:w="5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jc w:val="center"/>
              <w:ind w:right="70"/>
              <w:spacing w:after="0"/>
              <w:rPr>
                <w:sz w:val="20"/>
                <w:szCs w:val="20"/>
                <w:color w:val="auto"/>
              </w:rPr>
            </w:pPr>
            <w:r>
              <w:rPr>
                <w:rFonts w:ascii="Arial" w:cs="Arial" w:eastAsia="Arial" w:hAnsi="Arial"/>
                <w:sz w:val="18"/>
                <w:szCs w:val="18"/>
                <w:color w:val="auto"/>
                <w:w w:val="89"/>
              </w:rPr>
              <w:t>2018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jc w:val="center"/>
              <w:ind w:right="50"/>
              <w:spacing w:after="0"/>
              <w:rPr>
                <w:sz w:val="20"/>
                <w:szCs w:val="20"/>
                <w:color w:val="auto"/>
              </w:rPr>
            </w:pPr>
            <w:r>
              <w:rPr>
                <w:rFonts w:ascii="Arial" w:cs="Arial" w:eastAsia="Arial" w:hAnsi="Arial"/>
                <w:sz w:val="18"/>
                <w:szCs w:val="18"/>
                <w:color w:val="auto"/>
                <w:w w:val="89"/>
              </w:rPr>
              <w:t>2017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gridSpan w:val="2"/>
          </w:tcPr>
          <w:p>
            <w:pPr>
              <w:ind w:left="80"/>
              <w:spacing w:after="0"/>
              <w:rPr>
                <w:sz w:val="20"/>
                <w:szCs w:val="20"/>
                <w:color w:val="auto"/>
              </w:rPr>
            </w:pPr>
            <w:r>
              <w:rPr>
                <w:rFonts w:ascii="Arial" w:cs="Arial" w:eastAsia="Arial" w:hAnsi="Arial"/>
                <w:sz w:val="18"/>
                <w:szCs w:val="18"/>
                <w:color w:val="auto"/>
              </w:rPr>
              <w:t>Fiscal Year</w:t>
            </w:r>
          </w:p>
        </w:tc>
        <w:tc>
          <w:tcPr>
            <w:tcW w:w="200" w:type="dxa"/>
            <w:vAlign w:val="bottom"/>
          </w:tcPr>
          <w:p>
            <w:pPr>
              <w:spacing w:after="0"/>
              <w:rPr>
                <w:sz w:val="18"/>
                <w:szCs w:val="18"/>
                <w:color w:val="auto"/>
              </w:rPr>
            </w:pPr>
          </w:p>
        </w:tc>
        <w:tc>
          <w:tcPr>
            <w:tcW w:w="1160" w:type="dxa"/>
            <w:vAlign w:val="bottom"/>
          </w:tcPr>
          <w:p>
            <w:pPr>
              <w:jc w:val="right"/>
              <w:ind w:right="190"/>
              <w:spacing w:after="0"/>
              <w:rPr>
                <w:sz w:val="20"/>
                <w:szCs w:val="20"/>
                <w:color w:val="auto"/>
              </w:rPr>
            </w:pPr>
            <w:r>
              <w:rPr>
                <w:rFonts w:ascii="Arial" w:cs="Arial" w:eastAsia="Arial" w:hAnsi="Arial"/>
                <w:sz w:val="18"/>
                <w:szCs w:val="18"/>
                <w:color w:val="auto"/>
                <w:w w:val="95"/>
              </w:rPr>
              <w:t>Fiscal Year</w:t>
            </w:r>
          </w:p>
        </w:tc>
      </w:tr>
      <w:tr>
        <w:trPr>
          <w:trHeight w:val="230"/>
        </w:trPr>
        <w:tc>
          <w:tcPr>
            <w:tcW w:w="5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gridSpan w:val="2"/>
          </w:tcPr>
          <w:p>
            <w:pPr>
              <w:jc w:val="center"/>
              <w:ind w:right="260"/>
              <w:spacing w:after="0"/>
              <w:rPr>
                <w:sz w:val="20"/>
                <w:szCs w:val="20"/>
                <w:color w:val="auto"/>
              </w:rPr>
            </w:pPr>
            <w:r>
              <w:rPr>
                <w:rFonts w:ascii="Arial" w:cs="Arial" w:eastAsia="Arial" w:hAnsi="Arial"/>
                <w:sz w:val="18"/>
                <w:szCs w:val="18"/>
                <w:color w:val="auto"/>
                <w:w w:val="91"/>
              </w:rPr>
              <w:t>(Unaudited)</w:t>
            </w:r>
          </w:p>
        </w:tc>
        <w:tc>
          <w:tcPr>
            <w:tcW w:w="140" w:type="dxa"/>
            <w:vAlign w:val="bottom"/>
          </w:tcPr>
          <w:p>
            <w:pPr>
              <w:spacing w:after="0"/>
              <w:rPr>
                <w:sz w:val="20"/>
                <w:szCs w:val="20"/>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8"/>
                <w:szCs w:val="18"/>
                <w:color w:val="auto"/>
                <w:w w:val="91"/>
              </w:rPr>
              <w:t>(Unaudited)</w:t>
            </w:r>
          </w:p>
        </w:tc>
        <w:tc>
          <w:tcPr>
            <w:tcW w:w="200" w:type="dxa"/>
            <w:vAlign w:val="bottom"/>
          </w:tcPr>
          <w:p>
            <w:pPr>
              <w:spacing w:after="0"/>
              <w:rPr>
                <w:sz w:val="20"/>
                <w:szCs w:val="20"/>
                <w:color w:val="auto"/>
              </w:rPr>
            </w:pPr>
          </w:p>
        </w:tc>
        <w:tc>
          <w:tcPr>
            <w:tcW w:w="1160" w:type="dxa"/>
            <w:vAlign w:val="bottom"/>
          </w:tcPr>
          <w:p>
            <w:pPr>
              <w:jc w:val="right"/>
              <w:ind w:right="410"/>
              <w:spacing w:after="0"/>
              <w:rPr>
                <w:sz w:val="20"/>
                <w:szCs w:val="20"/>
                <w:color w:val="auto"/>
              </w:rPr>
            </w:pPr>
            <w:r>
              <w:rPr>
                <w:rFonts w:ascii="Arial" w:cs="Arial" w:eastAsia="Arial" w:hAnsi="Arial"/>
                <w:sz w:val="18"/>
                <w:szCs w:val="18"/>
                <w:color w:val="auto"/>
              </w:rPr>
              <w:t>2018</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jc w:val="right"/>
              <w:ind w:right="410"/>
              <w:spacing w:after="0"/>
              <w:rPr>
                <w:sz w:val="20"/>
                <w:szCs w:val="20"/>
                <w:color w:val="auto"/>
              </w:rPr>
            </w:pPr>
            <w:r>
              <w:rPr>
                <w:rFonts w:ascii="Arial" w:cs="Arial" w:eastAsia="Arial" w:hAnsi="Arial"/>
                <w:sz w:val="18"/>
                <w:szCs w:val="18"/>
                <w:color w:val="auto"/>
              </w:rPr>
              <w:t>2017</w:t>
            </w:r>
          </w:p>
        </w:tc>
      </w:tr>
      <w:tr>
        <w:trPr>
          <w:trHeight w:val="27"/>
        </w:trPr>
        <w:tc>
          <w:tcPr>
            <w:tcW w:w="56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44"/>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Revenue:</w:t>
            </w:r>
          </w:p>
        </w:tc>
        <w:tc>
          <w:tcPr>
            <w:tcW w:w="1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r>
      <w:tr>
        <w:trPr>
          <w:trHeight w:val="243"/>
        </w:trPr>
        <w:tc>
          <w:tcPr>
            <w:tcW w:w="5620" w:type="dxa"/>
            <w:vAlign w:val="bottom"/>
          </w:tcPr>
          <w:p>
            <w:pPr>
              <w:ind w:left="280"/>
              <w:spacing w:after="0"/>
              <w:rPr>
                <w:sz w:val="20"/>
                <w:szCs w:val="20"/>
                <w:color w:val="auto"/>
              </w:rPr>
            </w:pPr>
            <w:r>
              <w:rPr>
                <w:rFonts w:ascii="Arial" w:cs="Arial" w:eastAsia="Arial" w:hAnsi="Arial"/>
                <w:sz w:val="18"/>
                <w:szCs w:val="18"/>
                <w:color w:val="auto"/>
              </w:rPr>
              <w:t>Net product sales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292,115</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262,121</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1,269,612</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1,129,313</w:t>
            </w:r>
          </w:p>
        </w:tc>
      </w:tr>
      <w:tr>
        <w:trPr>
          <w:trHeight w:val="27"/>
        </w:trPr>
        <w:tc>
          <w:tcPr>
            <w:tcW w:w="5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5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sales of services and plans</w:t>
            </w:r>
          </w:p>
        </w:tc>
        <w:tc>
          <w:tcPr>
            <w:tcW w:w="1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63,807</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59,698</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267,242</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245,995</w:t>
            </w:r>
          </w:p>
        </w:tc>
      </w:tr>
      <w:tr>
        <w:trPr>
          <w:trHeight w:val="237"/>
        </w:trPr>
        <w:tc>
          <w:tcPr>
            <w:tcW w:w="5620" w:type="dxa"/>
            <w:vAlign w:val="bottom"/>
          </w:tcPr>
          <w:p>
            <w:pPr>
              <w:ind w:left="380"/>
              <w:spacing w:after="0"/>
              <w:rPr>
                <w:sz w:val="20"/>
                <w:szCs w:val="20"/>
                <w:color w:val="auto"/>
              </w:rPr>
            </w:pPr>
            <w:r>
              <w:rPr>
                <w:rFonts w:ascii="Arial" w:cs="Arial" w:eastAsia="Arial" w:hAnsi="Arial"/>
                <w:sz w:val="18"/>
                <w:szCs w:val="18"/>
                <w:color w:val="auto"/>
              </w:rPr>
              <w:t>Total net revenue</w:t>
            </w:r>
          </w:p>
        </w:tc>
        <w:tc>
          <w:tcPr>
            <w:tcW w:w="1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355,922</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321,819</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1,536,854</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1,375,308</w:t>
            </w:r>
          </w:p>
        </w:tc>
      </w:tr>
      <w:tr>
        <w:trPr>
          <w:trHeight w:val="27"/>
        </w:trPr>
        <w:tc>
          <w:tcPr>
            <w:tcW w:w="5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25"/>
        </w:trPr>
        <w:tc>
          <w:tcPr>
            <w:tcW w:w="562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Costs applicable to revenue (exclusive of depreciation and</w:t>
            </w: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41"/>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amortization):</w:t>
            </w:r>
          </w:p>
        </w:tc>
        <w:tc>
          <w:tcPr>
            <w:tcW w:w="14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r>
      <w:tr>
        <w:trPr>
          <w:trHeight w:val="243"/>
        </w:trPr>
        <w:tc>
          <w:tcPr>
            <w:tcW w:w="5620" w:type="dxa"/>
            <w:vAlign w:val="bottom"/>
          </w:tcPr>
          <w:p>
            <w:pPr>
              <w:ind w:left="280"/>
              <w:spacing w:after="0"/>
              <w:rPr>
                <w:sz w:val="20"/>
                <w:szCs w:val="20"/>
                <w:color w:val="auto"/>
              </w:rPr>
            </w:pPr>
            <w:r>
              <w:rPr>
                <w:rFonts w:ascii="Arial" w:cs="Arial" w:eastAsia="Arial" w:hAnsi="Arial"/>
                <w:sz w:val="18"/>
                <w:szCs w:val="18"/>
                <w:color w:val="auto"/>
              </w:rPr>
              <w:t>Products</w:t>
            </w:r>
          </w:p>
        </w:tc>
        <w:tc>
          <w:tcPr>
            <w:tcW w:w="14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121,846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106,979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511,406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456,078</w:t>
            </w:r>
          </w:p>
        </w:tc>
      </w:tr>
      <w:tr>
        <w:trPr>
          <w:trHeight w:val="27"/>
        </w:trPr>
        <w:tc>
          <w:tcPr>
            <w:tcW w:w="5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5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Services and plans</w:t>
            </w:r>
          </w:p>
        </w:tc>
        <w:tc>
          <w:tcPr>
            <w:tcW w:w="1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51,624</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45,414</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202,165</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180,888</w:t>
            </w:r>
          </w:p>
        </w:tc>
      </w:tr>
      <w:tr>
        <w:trPr>
          <w:trHeight w:val="237"/>
        </w:trPr>
        <w:tc>
          <w:tcPr>
            <w:tcW w:w="5620" w:type="dxa"/>
            <w:vAlign w:val="bottom"/>
          </w:tcPr>
          <w:p>
            <w:pPr>
              <w:ind w:left="380"/>
              <w:spacing w:after="0"/>
              <w:rPr>
                <w:sz w:val="20"/>
                <w:szCs w:val="20"/>
                <w:color w:val="auto"/>
              </w:rPr>
            </w:pPr>
            <w:r>
              <w:rPr>
                <w:rFonts w:ascii="Arial" w:cs="Arial" w:eastAsia="Arial" w:hAnsi="Arial"/>
                <w:sz w:val="18"/>
                <w:szCs w:val="18"/>
                <w:color w:val="auto"/>
              </w:rPr>
              <w:t>Total costs applicable to revenue</w:t>
            </w:r>
          </w:p>
        </w:tc>
        <w:tc>
          <w:tcPr>
            <w:tcW w:w="1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173,470</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152,393</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713,571</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636,966</w:t>
            </w:r>
          </w:p>
        </w:tc>
      </w:tr>
      <w:tr>
        <w:trPr>
          <w:trHeight w:val="27"/>
        </w:trPr>
        <w:tc>
          <w:tcPr>
            <w:tcW w:w="5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expenses:</w:t>
            </w:r>
          </w:p>
        </w:tc>
        <w:tc>
          <w:tcPr>
            <w:tcW w:w="1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r>
      <w:tr>
        <w:trPr>
          <w:trHeight w:val="243"/>
        </w:trPr>
        <w:tc>
          <w:tcPr>
            <w:tcW w:w="5620" w:type="dxa"/>
            <w:vAlign w:val="bottom"/>
          </w:tcPr>
          <w:p>
            <w:pPr>
              <w:ind w:left="280"/>
              <w:spacing w:after="0"/>
              <w:rPr>
                <w:sz w:val="20"/>
                <w:szCs w:val="20"/>
                <w:color w:val="auto"/>
              </w:rPr>
            </w:pPr>
            <w:r>
              <w:rPr>
                <w:rFonts w:ascii="Arial" w:cs="Arial" w:eastAsia="Arial" w:hAnsi="Arial"/>
                <w:sz w:val="18"/>
                <w:szCs w:val="18"/>
                <w:color w:val="auto"/>
              </w:rPr>
              <w:t>Selling, general and administrative expenses</w:t>
            </w:r>
          </w:p>
        </w:tc>
        <w:tc>
          <w:tcPr>
            <w:tcW w:w="14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166,132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152,756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687,476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600,010</w:t>
            </w:r>
          </w:p>
        </w:tc>
      </w:tr>
      <w:tr>
        <w:trPr>
          <w:trHeight w:val="27"/>
        </w:trPr>
        <w:tc>
          <w:tcPr>
            <w:tcW w:w="5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Depreciation and amortization</w:t>
            </w:r>
          </w:p>
        </w:tc>
        <w:tc>
          <w:tcPr>
            <w:tcW w:w="1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19,556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16,953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74,339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61,974</w:t>
            </w:r>
          </w:p>
        </w:tc>
      </w:tr>
      <w:tr>
        <w:trPr>
          <w:trHeight w:val="243"/>
        </w:trPr>
        <w:tc>
          <w:tcPr>
            <w:tcW w:w="5620" w:type="dxa"/>
            <w:vAlign w:val="bottom"/>
          </w:tcPr>
          <w:p>
            <w:pPr>
              <w:ind w:left="280"/>
              <w:spacing w:after="0"/>
              <w:rPr>
                <w:sz w:val="20"/>
                <w:szCs w:val="20"/>
                <w:color w:val="auto"/>
              </w:rPr>
            </w:pPr>
            <w:r>
              <w:rPr>
                <w:rFonts w:ascii="Arial" w:cs="Arial" w:eastAsia="Arial" w:hAnsi="Arial"/>
                <w:sz w:val="18"/>
                <w:szCs w:val="18"/>
                <w:color w:val="auto"/>
              </w:rPr>
              <w:t>Asset impairment</w:t>
            </w:r>
          </w:p>
        </w:tc>
        <w:tc>
          <w:tcPr>
            <w:tcW w:w="14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15,493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3,117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17,630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4,117</w:t>
            </w:r>
          </w:p>
        </w:tc>
      </w:tr>
      <w:tr>
        <w:trPr>
          <w:trHeight w:val="27"/>
        </w:trPr>
        <w:tc>
          <w:tcPr>
            <w:tcW w:w="5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Litigation settlement</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7,000</w:t>
            </w:r>
          </w:p>
        </w:tc>
      </w:tr>
      <w:tr>
        <w:trPr>
          <w:trHeight w:val="243"/>
        </w:trPr>
        <w:tc>
          <w:tcPr>
            <w:tcW w:w="5620" w:type="dxa"/>
            <w:vAlign w:val="bottom"/>
          </w:tcPr>
          <w:p>
            <w:pPr>
              <w:ind w:left="280"/>
              <w:spacing w:after="0"/>
              <w:rPr>
                <w:sz w:val="20"/>
                <w:szCs w:val="20"/>
                <w:color w:val="auto"/>
              </w:rPr>
            </w:pPr>
            <w:r>
              <w:rPr>
                <w:rFonts w:ascii="Arial" w:cs="Arial" w:eastAsia="Arial" w:hAnsi="Arial"/>
                <w:sz w:val="18"/>
                <w:szCs w:val="18"/>
                <w:color w:val="auto"/>
              </w:rPr>
              <w:t>Other expense, net</w:t>
            </w:r>
          </w:p>
        </w:tc>
        <w:tc>
          <w:tcPr>
            <w:tcW w:w="14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658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206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1,487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950</w:t>
            </w:r>
          </w:p>
        </w:tc>
      </w:tr>
      <w:tr>
        <w:trPr>
          <w:trHeight w:val="27"/>
        </w:trPr>
        <w:tc>
          <w:tcPr>
            <w:tcW w:w="56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64"/>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operating expenses</w:t>
            </w:r>
          </w:p>
        </w:tc>
        <w:tc>
          <w:tcPr>
            <w:tcW w:w="14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201,839</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173,032</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780,932</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674,051</w:t>
            </w:r>
          </w:p>
        </w:tc>
      </w:tr>
      <w:tr>
        <w:trPr>
          <w:trHeight w:val="237"/>
        </w:trPr>
        <w:tc>
          <w:tcPr>
            <w:tcW w:w="5620" w:type="dxa"/>
            <w:vAlign w:val="bottom"/>
          </w:tcPr>
          <w:p>
            <w:pPr>
              <w:ind w:left="40"/>
              <w:spacing w:after="0"/>
              <w:rPr>
                <w:sz w:val="20"/>
                <w:szCs w:val="20"/>
                <w:color w:val="auto"/>
              </w:rPr>
            </w:pPr>
            <w:r>
              <w:rPr>
                <w:rFonts w:ascii="Arial" w:cs="Arial" w:eastAsia="Arial" w:hAnsi="Arial"/>
                <w:sz w:val="18"/>
                <w:szCs w:val="18"/>
                <w:color w:val="auto"/>
              </w:rPr>
              <w:t>Income (loss) from operations</w:t>
            </w:r>
          </w:p>
        </w:tc>
        <w:tc>
          <w:tcPr>
            <w:tcW w:w="1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(19,387)</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(3,606)</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42,351</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64,291</w:t>
            </w:r>
          </w:p>
        </w:tc>
      </w:tr>
      <w:tr>
        <w:trPr>
          <w:trHeight w:val="27"/>
        </w:trPr>
        <w:tc>
          <w:tcPr>
            <w:tcW w:w="5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Interest expense, net</w:t>
            </w:r>
          </w:p>
        </w:tc>
        <w:tc>
          <w:tcPr>
            <w:tcW w:w="1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9,139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14,571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37,283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55,536</w:t>
            </w:r>
          </w:p>
        </w:tc>
      </w:tr>
      <w:tr>
        <w:trPr>
          <w:trHeight w:val="243"/>
        </w:trPr>
        <w:tc>
          <w:tcPr>
            <w:tcW w:w="5620" w:type="dxa"/>
            <w:vAlign w:val="bottom"/>
          </w:tcPr>
          <w:p>
            <w:pPr>
              <w:ind w:left="280"/>
              <w:spacing w:after="0"/>
              <w:rPr>
                <w:sz w:val="20"/>
                <w:szCs w:val="20"/>
                <w:color w:val="auto"/>
              </w:rPr>
            </w:pPr>
            <w:r>
              <w:rPr>
                <w:rFonts w:ascii="Arial" w:cs="Arial" w:eastAsia="Arial" w:hAnsi="Arial"/>
                <w:sz w:val="18"/>
                <w:szCs w:val="18"/>
                <w:color w:val="auto"/>
              </w:rPr>
              <w:t>Debt issuance costs</w:t>
            </w:r>
          </w:p>
        </w:tc>
        <w:tc>
          <w:tcPr>
            <w:tcW w:w="14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200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1,825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200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4,527</w:t>
            </w:r>
          </w:p>
        </w:tc>
      </w:tr>
      <w:tr>
        <w:trPr>
          <w:trHeight w:val="27"/>
        </w:trPr>
        <w:tc>
          <w:tcPr>
            <w:tcW w:w="56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44"/>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Earnings (loss) before income taxes</w:t>
            </w:r>
          </w:p>
        </w:tc>
        <w:tc>
          <w:tcPr>
            <w:tcW w:w="1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(28,726)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(20,002)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4,868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4,228</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Income tax benefit</w:t>
            </w:r>
          </w:p>
        </w:tc>
        <w:tc>
          <w:tcPr>
            <w:tcW w:w="1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(10,286)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(47,343)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(18,785)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(38,910)</w:t>
            </w:r>
          </w:p>
        </w:tc>
      </w:tr>
      <w:tr>
        <w:trPr>
          <w:trHeight w:val="27"/>
        </w:trPr>
        <w:tc>
          <w:tcPr>
            <w:tcW w:w="56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57"/>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(18,440)</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27,341</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23,653</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43,138</w:t>
            </w:r>
          </w:p>
        </w:tc>
      </w:tr>
      <w:tr>
        <w:trPr>
          <w:trHeight w:val="20"/>
        </w:trPr>
        <w:tc>
          <w:tcPr>
            <w:tcW w:w="56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271"/>
        </w:trPr>
        <w:tc>
          <w:tcPr>
            <w:tcW w:w="56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60" w:type="dxa"/>
            <w:vAlign w:val="bottom"/>
          </w:tcPr>
          <w:p>
            <w:pPr>
              <w:spacing w:after="0"/>
              <w:rPr>
                <w:sz w:val="23"/>
                <w:szCs w:val="23"/>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Earnings (loss) per share:</w:t>
            </w:r>
          </w:p>
        </w:tc>
        <w:tc>
          <w:tcPr>
            <w:tcW w:w="1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r>
      <w:tr>
        <w:trPr>
          <w:trHeight w:val="243"/>
        </w:trPr>
        <w:tc>
          <w:tcPr>
            <w:tcW w:w="5620" w:type="dxa"/>
            <w:vAlign w:val="bottom"/>
          </w:tcPr>
          <w:p>
            <w:pPr>
              <w:ind w:left="280"/>
              <w:spacing w:after="0"/>
              <w:rPr>
                <w:sz w:val="20"/>
                <w:szCs w:val="20"/>
                <w:color w:val="auto"/>
              </w:rPr>
            </w:pPr>
            <w:r>
              <w:rPr>
                <w:rFonts w:ascii="Arial" w:cs="Arial" w:eastAsia="Arial" w:hAnsi="Arial"/>
                <w:sz w:val="18"/>
                <w:szCs w:val="18"/>
                <w:color w:val="auto"/>
              </w:rPr>
              <w:t>Basic</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(0.24)</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0.39</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0.31</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0.72</w:t>
            </w:r>
          </w:p>
        </w:tc>
      </w:tr>
      <w:tr>
        <w:trPr>
          <w:trHeight w:val="27"/>
        </w:trPr>
        <w:tc>
          <w:tcPr>
            <w:tcW w:w="5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Diluted</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0.37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0.30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0.70</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b w:val="1"/>
                <w:bCs w:val="1"/>
                <w:color w:val="auto"/>
              </w:rPr>
              <w:t>Weighted average shares outstanding:</w:t>
            </w:r>
          </w:p>
        </w:tc>
        <w:tc>
          <w:tcPr>
            <w:tcW w:w="1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r>
      <w:tr>
        <w:trPr>
          <w:trHeight w:val="27"/>
        </w:trPr>
        <w:tc>
          <w:tcPr>
            <w:tcW w:w="5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Basic</w:t>
            </w:r>
          </w:p>
        </w:tc>
        <w:tc>
          <w:tcPr>
            <w:tcW w:w="1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77,526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70,454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75,899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59,895</w:t>
            </w:r>
          </w:p>
        </w:tc>
      </w:tr>
      <w:tr>
        <w:trPr>
          <w:trHeight w:val="243"/>
        </w:trPr>
        <w:tc>
          <w:tcPr>
            <w:tcW w:w="5620" w:type="dxa"/>
            <w:vAlign w:val="bottom"/>
          </w:tcPr>
          <w:p>
            <w:pPr>
              <w:ind w:left="280"/>
              <w:spacing w:after="0"/>
              <w:rPr>
                <w:sz w:val="20"/>
                <w:szCs w:val="20"/>
                <w:color w:val="auto"/>
              </w:rPr>
            </w:pPr>
            <w:r>
              <w:rPr>
                <w:rFonts w:ascii="Arial" w:cs="Arial" w:eastAsia="Arial" w:hAnsi="Arial"/>
                <w:sz w:val="18"/>
                <w:szCs w:val="18"/>
                <w:color w:val="auto"/>
              </w:rPr>
              <w:t>Diluted</w:t>
            </w:r>
          </w:p>
        </w:tc>
        <w:tc>
          <w:tcPr>
            <w:tcW w:w="14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77,526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73,256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79,041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62,035</w:t>
            </w:r>
          </w:p>
        </w:tc>
      </w:tr>
      <w:tr>
        <w:trPr>
          <w:trHeight w:val="27"/>
        </w:trPr>
        <w:tc>
          <w:tcPr>
            <w:tcW w:w="5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84"/>
        </w:trPr>
        <w:tc>
          <w:tcPr>
            <w:tcW w:w="56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b w:val="1"/>
                <w:bCs w:val="1"/>
                <w:color w:val="auto"/>
              </w:rPr>
              <w:t>Comprehensive income (loss):</w:t>
            </w:r>
          </w:p>
        </w:tc>
        <w:tc>
          <w:tcPr>
            <w:tcW w:w="1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r>
      <w:tr>
        <w:trPr>
          <w:trHeight w:val="27"/>
        </w:trPr>
        <w:tc>
          <w:tcPr>
            <w:tcW w:w="5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income (loss)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(18,440)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27,341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23,653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43,138</w:t>
            </w:r>
          </w:p>
        </w:tc>
      </w:tr>
      <w:tr>
        <w:trPr>
          <w:trHeight w:val="243"/>
        </w:trPr>
        <w:tc>
          <w:tcPr>
            <w:tcW w:w="5620" w:type="dxa"/>
            <w:vAlign w:val="bottom"/>
          </w:tcPr>
          <w:p>
            <w:pPr>
              <w:ind w:left="280"/>
              <w:spacing w:after="0"/>
              <w:rPr>
                <w:sz w:val="20"/>
                <w:szCs w:val="20"/>
                <w:color w:val="auto"/>
              </w:rPr>
            </w:pPr>
            <w:r>
              <w:rPr>
                <w:rFonts w:ascii="Arial" w:cs="Arial" w:eastAsia="Arial" w:hAnsi="Arial"/>
                <w:sz w:val="18"/>
                <w:szCs w:val="18"/>
                <w:color w:val="auto"/>
              </w:rPr>
              <w:t>Unrealized gain (loss) on hedge instruments</w:t>
            </w:r>
          </w:p>
        </w:tc>
        <w:tc>
          <w:tcPr>
            <w:tcW w:w="1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(2,354)</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5,437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9,488</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7,613</w:t>
            </w:r>
          </w:p>
        </w:tc>
      </w:tr>
      <w:tr>
        <w:trPr>
          <w:trHeight w:val="27"/>
        </w:trPr>
        <w:tc>
          <w:tcPr>
            <w:tcW w:w="5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5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w w:val="96"/>
              </w:rPr>
              <w:t>Tax provision (benefit) of unrealized gain (loss) on hedge instruments</w:t>
            </w:r>
          </w:p>
        </w:tc>
        <w:tc>
          <w:tcPr>
            <w:tcW w:w="1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(603)</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2,082</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2,430</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2,925</w:t>
            </w:r>
          </w:p>
        </w:tc>
      </w:tr>
      <w:tr>
        <w:trPr>
          <w:trHeight w:val="257"/>
        </w:trPr>
        <w:tc>
          <w:tcPr>
            <w:tcW w:w="5620" w:type="dxa"/>
            <w:vAlign w:val="bottom"/>
          </w:tcPr>
          <w:p>
            <w:pPr>
              <w:ind w:left="40"/>
              <w:spacing w:after="0"/>
              <w:rPr>
                <w:sz w:val="20"/>
                <w:szCs w:val="20"/>
                <w:color w:val="auto"/>
              </w:rPr>
            </w:pPr>
            <w:r>
              <w:rPr>
                <w:rFonts w:ascii="Arial" w:cs="Arial" w:eastAsia="Arial" w:hAnsi="Arial"/>
                <w:sz w:val="18"/>
                <w:szCs w:val="18"/>
                <w:color w:val="auto"/>
              </w:rPr>
              <w:t>Comprehensive income (loss)</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(20,191)</w:t>
            </w:r>
          </w:p>
        </w:tc>
        <w:tc>
          <w:tcPr>
            <w:tcW w:w="120" w:type="dxa"/>
            <w:vAlign w:val="bottom"/>
            <w:tcBorders>
              <w:bottom w:val="single" w:sz="8" w:color="auto"/>
            </w:tcBorders>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30,696</w:t>
            </w:r>
          </w:p>
        </w:tc>
        <w:tc>
          <w:tcPr>
            <w:tcW w:w="100" w:type="dxa"/>
            <w:vAlign w:val="bottom"/>
            <w:tcBorders>
              <w:bottom w:val="single" w:sz="8" w:color="auto"/>
            </w:tcBorders>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30,711</w:t>
            </w:r>
          </w:p>
        </w:tc>
        <w:tc>
          <w:tcPr>
            <w:tcW w:w="120" w:type="dxa"/>
            <w:vAlign w:val="bottom"/>
            <w:tcBorders>
              <w:bottom w:val="single" w:sz="8" w:color="auto"/>
            </w:tcBorders>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47,826</w:t>
            </w:r>
          </w:p>
        </w:tc>
      </w:tr>
      <w:tr>
        <w:trPr>
          <w:trHeight w:val="20"/>
        </w:trPr>
        <w:tc>
          <w:tcPr>
            <w:tcW w:w="56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1420"/>
          </w:cols>
          <w:pgMar w:left="240" w:top="580" w:right="239" w:bottom="1440" w:gutter="0" w:footer="0" w:header="0"/>
        </w:sectPr>
      </w:pPr>
    </w:p>
    <w:bookmarkStart w:id="11" w:name="page12"/>
    <w:bookmarkEnd w:id="11"/>
    <w:p>
      <w:pPr>
        <w:spacing w:after="0" w:line="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National Vision Holdings,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Fiscal Years Ended December 29, 2018 and December 30, 2017</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gridSpan w:val="2"/>
          </w:tcPr>
          <w:p>
            <w:pPr>
              <w:ind w:left="100"/>
              <w:spacing w:after="0"/>
              <w:rPr>
                <w:sz w:val="20"/>
                <w:szCs w:val="20"/>
                <w:color w:val="auto"/>
              </w:rPr>
            </w:pPr>
            <w:r>
              <w:rPr>
                <w:rFonts w:ascii="Arial" w:cs="Arial" w:eastAsia="Arial" w:hAnsi="Arial"/>
                <w:sz w:val="16"/>
                <w:szCs w:val="16"/>
                <w:color w:val="auto"/>
              </w:rPr>
              <w:t>Fiscal Year</w:t>
            </w:r>
          </w:p>
        </w:tc>
        <w:tc>
          <w:tcPr>
            <w:tcW w:w="220" w:type="dxa"/>
            <w:vAlign w:val="bottom"/>
          </w:tcPr>
          <w:p>
            <w:pPr>
              <w:spacing w:after="0"/>
              <w:rPr>
                <w:sz w:val="17"/>
                <w:szCs w:val="17"/>
                <w:color w:val="auto"/>
              </w:rPr>
            </w:pPr>
          </w:p>
        </w:tc>
        <w:tc>
          <w:tcPr>
            <w:tcW w:w="1140" w:type="dxa"/>
            <w:vAlign w:val="bottom"/>
          </w:tcPr>
          <w:p>
            <w:pPr>
              <w:jc w:val="right"/>
              <w:ind w:right="239"/>
              <w:spacing w:after="0"/>
              <w:rPr>
                <w:sz w:val="20"/>
                <w:szCs w:val="20"/>
                <w:color w:val="auto"/>
              </w:rPr>
            </w:pPr>
            <w:r>
              <w:rPr>
                <w:rFonts w:ascii="Arial" w:cs="Arial" w:eastAsia="Arial" w:hAnsi="Arial"/>
                <w:sz w:val="16"/>
                <w:szCs w:val="16"/>
                <w:color w:val="auto"/>
                <w:w w:val="99"/>
              </w:rPr>
              <w:t>Fiscal Year</w:t>
            </w:r>
          </w:p>
        </w:tc>
      </w:tr>
      <w:tr>
        <w:trPr>
          <w:trHeight w:val="206"/>
        </w:trPr>
        <w:tc>
          <w:tcPr>
            <w:tcW w:w="8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jc w:val="right"/>
              <w:ind w:right="459"/>
              <w:spacing w:after="0"/>
              <w:rPr>
                <w:sz w:val="20"/>
                <w:szCs w:val="20"/>
                <w:color w:val="auto"/>
              </w:rPr>
            </w:pPr>
            <w:r>
              <w:rPr>
                <w:rFonts w:ascii="Arial" w:cs="Arial" w:eastAsia="Arial" w:hAnsi="Arial"/>
                <w:sz w:val="16"/>
                <w:szCs w:val="16"/>
                <w:color w:val="auto"/>
              </w:rPr>
              <w:t>2018</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jc w:val="right"/>
              <w:ind w:right="439"/>
              <w:spacing w:after="0"/>
              <w:rPr>
                <w:sz w:val="20"/>
                <w:szCs w:val="20"/>
                <w:color w:val="auto"/>
              </w:rPr>
            </w:pPr>
            <w:r>
              <w:rPr>
                <w:rFonts w:ascii="Arial" w:cs="Arial" w:eastAsia="Arial" w:hAnsi="Arial"/>
                <w:sz w:val="16"/>
                <w:szCs w:val="16"/>
                <w:color w:val="auto"/>
              </w:rPr>
              <w:t>2017</w:t>
            </w:r>
          </w:p>
        </w:tc>
      </w:tr>
      <w:tr>
        <w:trPr>
          <w:trHeight w:val="33"/>
        </w:trPr>
        <w:tc>
          <w:tcPr>
            <w:tcW w:w="85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04"/>
        </w:trPr>
        <w:tc>
          <w:tcPr>
            <w:tcW w:w="858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Cash flows from operating activities:</w:t>
            </w:r>
          </w:p>
        </w:tc>
        <w:tc>
          <w:tcPr>
            <w:tcW w:w="2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r>
      <w:tr>
        <w:trPr>
          <w:trHeight w:val="60"/>
        </w:trPr>
        <w:tc>
          <w:tcPr>
            <w:tcW w:w="858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116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1140" w:type="dxa"/>
            <w:vAlign w:val="bottom"/>
            <w:shd w:val="clear" w:color="auto" w:fill="CCEEFF"/>
          </w:tcPr>
          <w:p>
            <w:pPr>
              <w:spacing w:after="0"/>
              <w:rPr>
                <w:sz w:val="5"/>
                <w:szCs w:val="5"/>
                <w:color w:val="auto"/>
              </w:rPr>
            </w:pPr>
          </w:p>
        </w:tc>
      </w:tr>
      <w:tr>
        <w:trPr>
          <w:trHeight w:val="224"/>
        </w:trPr>
        <w:tc>
          <w:tcPr>
            <w:tcW w:w="8580" w:type="dxa"/>
            <w:vAlign w:val="bottom"/>
          </w:tcPr>
          <w:p>
            <w:pPr>
              <w:ind w:left="40"/>
              <w:spacing w:after="0"/>
              <w:rPr>
                <w:sz w:val="20"/>
                <w:szCs w:val="20"/>
                <w:color w:val="auto"/>
              </w:rPr>
            </w:pPr>
            <w:r>
              <w:rPr>
                <w:rFonts w:ascii="Arial" w:cs="Arial" w:eastAsia="Arial" w:hAnsi="Arial"/>
                <w:sz w:val="16"/>
                <w:szCs w:val="16"/>
                <w:color w:val="auto"/>
              </w:rPr>
              <w:t>Net income</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23,653</w:t>
            </w:r>
          </w:p>
        </w:tc>
        <w:tc>
          <w:tcPr>
            <w:tcW w:w="100" w:type="dxa"/>
            <w:vAlign w:val="bottom"/>
          </w:tcPr>
          <w:p>
            <w:pPr>
              <w:spacing w:after="0"/>
              <w:rPr>
                <w:sz w:val="19"/>
                <w:szCs w:val="19"/>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43,138</w:t>
            </w:r>
          </w:p>
        </w:tc>
      </w:tr>
      <w:tr>
        <w:trPr>
          <w:trHeight w:val="47"/>
        </w:trPr>
        <w:tc>
          <w:tcPr>
            <w:tcW w:w="8580" w:type="dxa"/>
            <w:vAlign w:val="bottom"/>
          </w:tcPr>
          <w:p>
            <w:pPr>
              <w:spacing w:after="0"/>
              <w:rPr>
                <w:sz w:val="4"/>
                <w:szCs w:val="4"/>
                <w:color w:val="auto"/>
              </w:rPr>
            </w:pPr>
          </w:p>
        </w:tc>
        <w:tc>
          <w:tcPr>
            <w:tcW w:w="22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140" w:type="dxa"/>
            <w:vAlign w:val="bottom"/>
          </w:tcPr>
          <w:p>
            <w:pPr>
              <w:spacing w:after="0"/>
              <w:rPr>
                <w:sz w:val="4"/>
                <w:szCs w:val="4"/>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Adjustments to reconcile net income to cash provided by operating activities:</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24"/>
        </w:trPr>
        <w:tc>
          <w:tcPr>
            <w:tcW w:w="8580" w:type="dxa"/>
            <w:vAlign w:val="bottom"/>
          </w:tcPr>
          <w:p>
            <w:pPr>
              <w:ind w:left="280"/>
              <w:spacing w:after="0"/>
              <w:rPr>
                <w:sz w:val="20"/>
                <w:szCs w:val="20"/>
                <w:color w:val="auto"/>
              </w:rPr>
            </w:pPr>
            <w:r>
              <w:rPr>
                <w:rFonts w:ascii="Arial" w:cs="Arial" w:eastAsia="Arial" w:hAnsi="Arial"/>
                <w:sz w:val="16"/>
                <w:szCs w:val="16"/>
                <w:color w:val="auto"/>
              </w:rPr>
              <w:t>Depreciation and amortization</w:t>
            </w:r>
          </w:p>
        </w:tc>
        <w:tc>
          <w:tcPr>
            <w:tcW w:w="220" w:type="dxa"/>
            <w:vAlign w:val="bottom"/>
          </w:tcPr>
          <w:p>
            <w:pPr>
              <w:spacing w:after="0"/>
              <w:rPr>
                <w:sz w:val="19"/>
                <w:szCs w:val="19"/>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74,339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61,974</w:t>
            </w:r>
          </w:p>
        </w:tc>
      </w:tr>
      <w:tr>
        <w:trPr>
          <w:trHeight w:val="47"/>
        </w:trPr>
        <w:tc>
          <w:tcPr>
            <w:tcW w:w="8580" w:type="dxa"/>
            <w:vAlign w:val="bottom"/>
          </w:tcPr>
          <w:p>
            <w:pPr>
              <w:spacing w:after="0"/>
              <w:rPr>
                <w:sz w:val="4"/>
                <w:szCs w:val="4"/>
                <w:color w:val="auto"/>
              </w:rPr>
            </w:pPr>
          </w:p>
        </w:tc>
        <w:tc>
          <w:tcPr>
            <w:tcW w:w="22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140" w:type="dxa"/>
            <w:vAlign w:val="bottom"/>
          </w:tcPr>
          <w:p>
            <w:pPr>
              <w:spacing w:after="0"/>
              <w:rPr>
                <w:sz w:val="4"/>
                <w:szCs w:val="4"/>
                <w:color w:val="auto"/>
              </w:rPr>
            </w:pPr>
          </w:p>
        </w:tc>
      </w:tr>
      <w:tr>
        <w:trPr>
          <w:trHeight w:val="250"/>
        </w:trPr>
        <w:tc>
          <w:tcPr>
            <w:tcW w:w="8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Amortization of loan costs</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1,848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7,078</w:t>
            </w:r>
          </w:p>
        </w:tc>
      </w:tr>
      <w:tr>
        <w:trPr>
          <w:trHeight w:val="224"/>
        </w:trPr>
        <w:tc>
          <w:tcPr>
            <w:tcW w:w="8580" w:type="dxa"/>
            <w:vAlign w:val="bottom"/>
          </w:tcPr>
          <w:p>
            <w:pPr>
              <w:ind w:left="280"/>
              <w:spacing w:after="0"/>
              <w:rPr>
                <w:sz w:val="20"/>
                <w:szCs w:val="20"/>
                <w:color w:val="auto"/>
              </w:rPr>
            </w:pPr>
            <w:r>
              <w:rPr>
                <w:rFonts w:ascii="Arial" w:cs="Arial" w:eastAsia="Arial" w:hAnsi="Arial"/>
                <w:sz w:val="16"/>
                <w:szCs w:val="16"/>
                <w:color w:val="auto"/>
              </w:rPr>
              <w:t>Asset impairment</w:t>
            </w:r>
          </w:p>
        </w:tc>
        <w:tc>
          <w:tcPr>
            <w:tcW w:w="220" w:type="dxa"/>
            <w:vAlign w:val="bottom"/>
          </w:tcPr>
          <w:p>
            <w:pPr>
              <w:spacing w:after="0"/>
              <w:rPr>
                <w:sz w:val="19"/>
                <w:szCs w:val="19"/>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17,630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4,117</w:t>
            </w:r>
          </w:p>
        </w:tc>
      </w:tr>
      <w:tr>
        <w:trPr>
          <w:trHeight w:val="47"/>
        </w:trPr>
        <w:tc>
          <w:tcPr>
            <w:tcW w:w="8580" w:type="dxa"/>
            <w:vAlign w:val="bottom"/>
          </w:tcPr>
          <w:p>
            <w:pPr>
              <w:spacing w:after="0"/>
              <w:rPr>
                <w:sz w:val="4"/>
                <w:szCs w:val="4"/>
                <w:color w:val="auto"/>
              </w:rPr>
            </w:pPr>
          </w:p>
        </w:tc>
        <w:tc>
          <w:tcPr>
            <w:tcW w:w="22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140" w:type="dxa"/>
            <w:vAlign w:val="bottom"/>
          </w:tcPr>
          <w:p>
            <w:pPr>
              <w:spacing w:after="0"/>
              <w:rPr>
                <w:sz w:val="4"/>
                <w:szCs w:val="4"/>
                <w:color w:val="auto"/>
              </w:rPr>
            </w:pPr>
          </w:p>
        </w:tc>
      </w:tr>
      <w:tr>
        <w:trPr>
          <w:trHeight w:val="250"/>
        </w:trPr>
        <w:tc>
          <w:tcPr>
            <w:tcW w:w="8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Deferred income tax (benefit)</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(19,340)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(39,997)</w:t>
            </w:r>
          </w:p>
        </w:tc>
      </w:tr>
      <w:tr>
        <w:trPr>
          <w:trHeight w:val="224"/>
        </w:trPr>
        <w:tc>
          <w:tcPr>
            <w:tcW w:w="8580" w:type="dxa"/>
            <w:vAlign w:val="bottom"/>
          </w:tcPr>
          <w:p>
            <w:pPr>
              <w:ind w:left="280"/>
              <w:spacing w:after="0"/>
              <w:rPr>
                <w:sz w:val="20"/>
                <w:szCs w:val="20"/>
                <w:color w:val="auto"/>
              </w:rPr>
            </w:pPr>
            <w:r>
              <w:rPr>
                <w:rFonts w:ascii="Arial" w:cs="Arial" w:eastAsia="Arial" w:hAnsi="Arial"/>
                <w:sz w:val="16"/>
                <w:szCs w:val="16"/>
                <w:color w:val="auto"/>
              </w:rPr>
              <w:t>Non-cash stock option compensation</w:t>
            </w:r>
          </w:p>
        </w:tc>
        <w:tc>
          <w:tcPr>
            <w:tcW w:w="220" w:type="dxa"/>
            <w:vAlign w:val="bottom"/>
          </w:tcPr>
          <w:p>
            <w:pPr>
              <w:spacing w:after="0"/>
              <w:rPr>
                <w:sz w:val="19"/>
                <w:szCs w:val="19"/>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20,939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5,152</w:t>
            </w:r>
          </w:p>
        </w:tc>
      </w:tr>
      <w:tr>
        <w:trPr>
          <w:trHeight w:val="47"/>
        </w:trPr>
        <w:tc>
          <w:tcPr>
            <w:tcW w:w="8580" w:type="dxa"/>
            <w:vAlign w:val="bottom"/>
          </w:tcPr>
          <w:p>
            <w:pPr>
              <w:spacing w:after="0"/>
              <w:rPr>
                <w:sz w:val="4"/>
                <w:szCs w:val="4"/>
                <w:color w:val="auto"/>
              </w:rPr>
            </w:pPr>
          </w:p>
        </w:tc>
        <w:tc>
          <w:tcPr>
            <w:tcW w:w="22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140" w:type="dxa"/>
            <w:vAlign w:val="bottom"/>
          </w:tcPr>
          <w:p>
            <w:pPr>
              <w:spacing w:after="0"/>
              <w:rPr>
                <w:sz w:val="4"/>
                <w:szCs w:val="4"/>
                <w:color w:val="auto"/>
              </w:rPr>
            </w:pPr>
          </w:p>
        </w:tc>
      </w:tr>
      <w:tr>
        <w:trPr>
          <w:trHeight w:val="250"/>
        </w:trPr>
        <w:tc>
          <w:tcPr>
            <w:tcW w:w="8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Non-cash inventory adjustments</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3,868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5,496</w:t>
            </w:r>
          </w:p>
        </w:tc>
      </w:tr>
      <w:tr>
        <w:trPr>
          <w:trHeight w:val="224"/>
        </w:trPr>
        <w:tc>
          <w:tcPr>
            <w:tcW w:w="8580" w:type="dxa"/>
            <w:vAlign w:val="bottom"/>
          </w:tcPr>
          <w:p>
            <w:pPr>
              <w:ind w:left="280"/>
              <w:spacing w:after="0"/>
              <w:rPr>
                <w:sz w:val="20"/>
                <w:szCs w:val="20"/>
                <w:color w:val="auto"/>
              </w:rPr>
            </w:pPr>
            <w:r>
              <w:rPr>
                <w:rFonts w:ascii="Arial" w:cs="Arial" w:eastAsia="Arial" w:hAnsi="Arial"/>
                <w:sz w:val="16"/>
                <w:szCs w:val="16"/>
                <w:color w:val="auto"/>
              </w:rPr>
              <w:t>Bad debt expense</w:t>
            </w:r>
          </w:p>
        </w:tc>
        <w:tc>
          <w:tcPr>
            <w:tcW w:w="220" w:type="dxa"/>
            <w:vAlign w:val="bottom"/>
          </w:tcPr>
          <w:p>
            <w:pPr>
              <w:spacing w:after="0"/>
              <w:rPr>
                <w:sz w:val="19"/>
                <w:szCs w:val="19"/>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7,107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8,035</w:t>
            </w:r>
          </w:p>
        </w:tc>
      </w:tr>
      <w:tr>
        <w:trPr>
          <w:trHeight w:val="47"/>
        </w:trPr>
        <w:tc>
          <w:tcPr>
            <w:tcW w:w="8580" w:type="dxa"/>
            <w:vAlign w:val="bottom"/>
          </w:tcPr>
          <w:p>
            <w:pPr>
              <w:spacing w:after="0"/>
              <w:rPr>
                <w:sz w:val="4"/>
                <w:szCs w:val="4"/>
                <w:color w:val="auto"/>
              </w:rPr>
            </w:pPr>
          </w:p>
        </w:tc>
        <w:tc>
          <w:tcPr>
            <w:tcW w:w="22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140" w:type="dxa"/>
            <w:vAlign w:val="bottom"/>
          </w:tcPr>
          <w:p>
            <w:pPr>
              <w:spacing w:after="0"/>
              <w:rPr>
                <w:sz w:val="4"/>
                <w:szCs w:val="4"/>
                <w:color w:val="auto"/>
              </w:rPr>
            </w:pPr>
          </w:p>
        </w:tc>
      </w:tr>
      <w:tr>
        <w:trPr>
          <w:trHeight w:val="250"/>
        </w:trPr>
        <w:tc>
          <w:tcPr>
            <w:tcW w:w="8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Debt issuance costs</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200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4,527</w:t>
            </w:r>
          </w:p>
        </w:tc>
      </w:tr>
      <w:tr>
        <w:trPr>
          <w:trHeight w:val="224"/>
        </w:trPr>
        <w:tc>
          <w:tcPr>
            <w:tcW w:w="8580" w:type="dxa"/>
            <w:vAlign w:val="bottom"/>
          </w:tcPr>
          <w:p>
            <w:pPr>
              <w:ind w:left="280"/>
              <w:spacing w:after="0"/>
              <w:rPr>
                <w:sz w:val="20"/>
                <w:szCs w:val="20"/>
                <w:color w:val="auto"/>
              </w:rPr>
            </w:pPr>
            <w:r>
              <w:rPr>
                <w:rFonts w:ascii="Arial" w:cs="Arial" w:eastAsia="Arial" w:hAnsi="Arial"/>
                <w:sz w:val="16"/>
                <w:szCs w:val="16"/>
                <w:color w:val="auto"/>
              </w:rPr>
              <w:t>Other</w:t>
            </w:r>
          </w:p>
        </w:tc>
        <w:tc>
          <w:tcPr>
            <w:tcW w:w="220" w:type="dxa"/>
            <w:vAlign w:val="bottom"/>
          </w:tcPr>
          <w:p>
            <w:pPr>
              <w:spacing w:after="0"/>
              <w:rPr>
                <w:sz w:val="19"/>
                <w:szCs w:val="19"/>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2,413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1,188</w:t>
            </w:r>
          </w:p>
        </w:tc>
      </w:tr>
      <w:tr>
        <w:trPr>
          <w:trHeight w:val="47"/>
        </w:trPr>
        <w:tc>
          <w:tcPr>
            <w:tcW w:w="8580" w:type="dxa"/>
            <w:vAlign w:val="bottom"/>
          </w:tcPr>
          <w:p>
            <w:pPr>
              <w:spacing w:after="0"/>
              <w:rPr>
                <w:sz w:val="4"/>
                <w:szCs w:val="4"/>
                <w:color w:val="auto"/>
              </w:rPr>
            </w:pPr>
          </w:p>
        </w:tc>
        <w:tc>
          <w:tcPr>
            <w:tcW w:w="22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140" w:type="dxa"/>
            <w:vAlign w:val="bottom"/>
          </w:tcPr>
          <w:p>
            <w:pPr>
              <w:spacing w:after="0"/>
              <w:rPr>
                <w:sz w:val="4"/>
                <w:szCs w:val="4"/>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Changes in operating assets and liabilities:</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24"/>
        </w:trPr>
        <w:tc>
          <w:tcPr>
            <w:tcW w:w="8580" w:type="dxa"/>
            <w:vAlign w:val="bottom"/>
          </w:tcPr>
          <w:p>
            <w:pPr>
              <w:ind w:left="280"/>
              <w:spacing w:after="0"/>
              <w:rPr>
                <w:sz w:val="20"/>
                <w:szCs w:val="20"/>
                <w:color w:val="auto"/>
              </w:rPr>
            </w:pPr>
            <w:r>
              <w:rPr>
                <w:rFonts w:ascii="Arial" w:cs="Arial" w:eastAsia="Arial" w:hAnsi="Arial"/>
                <w:sz w:val="16"/>
                <w:szCs w:val="16"/>
                <w:color w:val="auto"/>
              </w:rPr>
              <w:t>Accounts receivable, net</w:t>
            </w: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(14,649)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(16,858)</w:t>
            </w:r>
          </w:p>
        </w:tc>
      </w:tr>
      <w:tr>
        <w:trPr>
          <w:trHeight w:val="47"/>
        </w:trPr>
        <w:tc>
          <w:tcPr>
            <w:tcW w:w="8580" w:type="dxa"/>
            <w:vAlign w:val="bottom"/>
          </w:tcPr>
          <w:p>
            <w:pPr>
              <w:spacing w:after="0"/>
              <w:rPr>
                <w:sz w:val="4"/>
                <w:szCs w:val="4"/>
                <w:color w:val="auto"/>
              </w:rPr>
            </w:pPr>
          </w:p>
        </w:tc>
        <w:tc>
          <w:tcPr>
            <w:tcW w:w="22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140" w:type="dxa"/>
            <w:vAlign w:val="bottom"/>
          </w:tcPr>
          <w:p>
            <w:pPr>
              <w:spacing w:after="0"/>
              <w:rPr>
                <w:sz w:val="4"/>
                <w:szCs w:val="4"/>
                <w:color w:val="auto"/>
              </w:rPr>
            </w:pPr>
          </w:p>
        </w:tc>
      </w:tr>
      <w:tr>
        <w:trPr>
          <w:trHeight w:val="250"/>
        </w:trPr>
        <w:tc>
          <w:tcPr>
            <w:tcW w:w="8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Inventories</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(28,739)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(9,583)</w:t>
            </w:r>
          </w:p>
        </w:tc>
      </w:tr>
      <w:tr>
        <w:trPr>
          <w:trHeight w:val="224"/>
        </w:trPr>
        <w:tc>
          <w:tcPr>
            <w:tcW w:w="8580" w:type="dxa"/>
            <w:vAlign w:val="bottom"/>
          </w:tcPr>
          <w:p>
            <w:pPr>
              <w:ind w:left="280"/>
              <w:spacing w:after="0"/>
              <w:rPr>
                <w:sz w:val="20"/>
                <w:szCs w:val="20"/>
                <w:color w:val="auto"/>
              </w:rPr>
            </w:pPr>
            <w:r>
              <w:rPr>
                <w:rFonts w:ascii="Arial" w:cs="Arial" w:eastAsia="Arial" w:hAnsi="Arial"/>
                <w:sz w:val="16"/>
                <w:szCs w:val="16"/>
                <w:color w:val="auto"/>
              </w:rPr>
              <w:t>Other assets</w:t>
            </w: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(7,011)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(2,075)</w:t>
            </w:r>
          </w:p>
        </w:tc>
      </w:tr>
      <w:tr>
        <w:trPr>
          <w:trHeight w:val="47"/>
        </w:trPr>
        <w:tc>
          <w:tcPr>
            <w:tcW w:w="8580" w:type="dxa"/>
            <w:vAlign w:val="bottom"/>
          </w:tcPr>
          <w:p>
            <w:pPr>
              <w:spacing w:after="0"/>
              <w:rPr>
                <w:sz w:val="4"/>
                <w:szCs w:val="4"/>
                <w:color w:val="auto"/>
              </w:rPr>
            </w:pPr>
          </w:p>
        </w:tc>
        <w:tc>
          <w:tcPr>
            <w:tcW w:w="22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140" w:type="dxa"/>
            <w:vAlign w:val="bottom"/>
          </w:tcPr>
          <w:p>
            <w:pPr>
              <w:spacing w:after="0"/>
              <w:rPr>
                <w:sz w:val="4"/>
                <w:szCs w:val="4"/>
                <w:color w:val="auto"/>
              </w:rPr>
            </w:pPr>
          </w:p>
        </w:tc>
      </w:tr>
      <w:tr>
        <w:trPr>
          <w:trHeight w:val="250"/>
        </w:trPr>
        <w:tc>
          <w:tcPr>
            <w:tcW w:w="8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Accounts payable</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7,934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(3,692)</w:t>
            </w:r>
          </w:p>
        </w:tc>
      </w:tr>
      <w:tr>
        <w:trPr>
          <w:trHeight w:val="224"/>
        </w:trPr>
        <w:tc>
          <w:tcPr>
            <w:tcW w:w="8580" w:type="dxa"/>
            <w:vAlign w:val="bottom"/>
          </w:tcPr>
          <w:p>
            <w:pPr>
              <w:ind w:left="280"/>
              <w:spacing w:after="0"/>
              <w:rPr>
                <w:sz w:val="20"/>
                <w:szCs w:val="20"/>
                <w:color w:val="auto"/>
              </w:rPr>
            </w:pPr>
            <w:r>
              <w:rPr>
                <w:rFonts w:ascii="Arial" w:cs="Arial" w:eastAsia="Arial" w:hAnsi="Arial"/>
                <w:sz w:val="16"/>
                <w:szCs w:val="16"/>
                <w:color w:val="auto"/>
              </w:rPr>
              <w:t>Deferred revenue</w:t>
            </w:r>
          </w:p>
        </w:tc>
        <w:tc>
          <w:tcPr>
            <w:tcW w:w="220" w:type="dxa"/>
            <w:vAlign w:val="bottom"/>
          </w:tcPr>
          <w:p>
            <w:pPr>
              <w:spacing w:after="0"/>
              <w:rPr>
                <w:sz w:val="19"/>
                <w:szCs w:val="19"/>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3,839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6,787</w:t>
            </w:r>
          </w:p>
        </w:tc>
      </w:tr>
      <w:tr>
        <w:trPr>
          <w:trHeight w:val="47"/>
        </w:trPr>
        <w:tc>
          <w:tcPr>
            <w:tcW w:w="8580" w:type="dxa"/>
            <w:vAlign w:val="bottom"/>
          </w:tcPr>
          <w:p>
            <w:pPr>
              <w:spacing w:after="0"/>
              <w:rPr>
                <w:sz w:val="4"/>
                <w:szCs w:val="4"/>
                <w:color w:val="auto"/>
              </w:rPr>
            </w:pPr>
          </w:p>
        </w:tc>
        <w:tc>
          <w:tcPr>
            <w:tcW w:w="22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140" w:type="dxa"/>
            <w:vAlign w:val="bottom"/>
          </w:tcPr>
          <w:p>
            <w:pPr>
              <w:spacing w:after="0"/>
              <w:rPr>
                <w:sz w:val="4"/>
                <w:szCs w:val="4"/>
                <w:color w:val="auto"/>
              </w:rPr>
            </w:pPr>
          </w:p>
        </w:tc>
      </w:tr>
      <w:tr>
        <w:trPr>
          <w:trHeight w:val="270"/>
        </w:trPr>
        <w:tc>
          <w:tcPr>
            <w:tcW w:w="8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Other liabilities</w:t>
            </w:r>
          </w:p>
        </w:tc>
        <w:tc>
          <w:tcPr>
            <w:tcW w:w="2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12,597</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14,965</w:t>
            </w:r>
          </w:p>
        </w:tc>
      </w:tr>
      <w:tr>
        <w:trPr>
          <w:trHeight w:val="217"/>
        </w:trPr>
        <w:tc>
          <w:tcPr>
            <w:tcW w:w="8580" w:type="dxa"/>
            <w:vAlign w:val="bottom"/>
          </w:tcPr>
          <w:p>
            <w:pPr>
              <w:ind w:left="40"/>
              <w:spacing w:after="0"/>
              <w:rPr>
                <w:sz w:val="20"/>
                <w:szCs w:val="20"/>
                <w:color w:val="auto"/>
              </w:rPr>
            </w:pPr>
            <w:r>
              <w:rPr>
                <w:rFonts w:ascii="Arial" w:cs="Arial" w:eastAsia="Arial" w:hAnsi="Arial"/>
                <w:sz w:val="16"/>
                <w:szCs w:val="16"/>
                <w:color w:val="auto"/>
              </w:rPr>
              <w:t>Net cash provided by operating activities</w:t>
            </w:r>
          </w:p>
        </w:tc>
        <w:tc>
          <w:tcPr>
            <w:tcW w:w="2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106,628</w:t>
            </w: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90,252</w:t>
            </w:r>
          </w:p>
        </w:tc>
      </w:tr>
      <w:tr>
        <w:trPr>
          <w:trHeight w:val="33"/>
        </w:trPr>
        <w:tc>
          <w:tcPr>
            <w:tcW w:w="85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04"/>
        </w:trPr>
        <w:tc>
          <w:tcPr>
            <w:tcW w:w="858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Cash flows from investing activities:</w:t>
            </w:r>
          </w:p>
        </w:tc>
        <w:tc>
          <w:tcPr>
            <w:tcW w:w="2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r>
      <w:tr>
        <w:trPr>
          <w:trHeight w:val="60"/>
        </w:trPr>
        <w:tc>
          <w:tcPr>
            <w:tcW w:w="858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116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1140" w:type="dxa"/>
            <w:vAlign w:val="bottom"/>
            <w:shd w:val="clear" w:color="auto" w:fill="CCEEFF"/>
          </w:tcPr>
          <w:p>
            <w:pPr>
              <w:spacing w:after="0"/>
              <w:rPr>
                <w:sz w:val="5"/>
                <w:szCs w:val="5"/>
                <w:color w:val="auto"/>
              </w:rPr>
            </w:pPr>
          </w:p>
        </w:tc>
      </w:tr>
      <w:tr>
        <w:trPr>
          <w:trHeight w:val="224"/>
        </w:trPr>
        <w:tc>
          <w:tcPr>
            <w:tcW w:w="8580" w:type="dxa"/>
            <w:vAlign w:val="bottom"/>
          </w:tcPr>
          <w:p>
            <w:pPr>
              <w:ind w:left="280"/>
              <w:spacing w:after="0"/>
              <w:rPr>
                <w:sz w:val="20"/>
                <w:szCs w:val="20"/>
                <w:color w:val="auto"/>
              </w:rPr>
            </w:pPr>
            <w:r>
              <w:rPr>
                <w:rFonts w:ascii="Arial" w:cs="Arial" w:eastAsia="Arial" w:hAnsi="Arial"/>
                <w:sz w:val="16"/>
                <w:szCs w:val="16"/>
                <w:color w:val="auto"/>
              </w:rPr>
              <w:t>Purchase of property and equipment</w:t>
            </w: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(104,493)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(93,219)</w:t>
            </w:r>
          </w:p>
        </w:tc>
      </w:tr>
      <w:tr>
        <w:trPr>
          <w:trHeight w:val="47"/>
        </w:trPr>
        <w:tc>
          <w:tcPr>
            <w:tcW w:w="8580" w:type="dxa"/>
            <w:vAlign w:val="bottom"/>
          </w:tcPr>
          <w:p>
            <w:pPr>
              <w:spacing w:after="0"/>
              <w:rPr>
                <w:sz w:val="4"/>
                <w:szCs w:val="4"/>
                <w:color w:val="auto"/>
              </w:rPr>
            </w:pPr>
          </w:p>
        </w:tc>
        <w:tc>
          <w:tcPr>
            <w:tcW w:w="22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140" w:type="dxa"/>
            <w:vAlign w:val="bottom"/>
          </w:tcPr>
          <w:p>
            <w:pPr>
              <w:spacing w:after="0"/>
              <w:rPr>
                <w:sz w:val="4"/>
                <w:szCs w:val="4"/>
                <w:color w:val="auto"/>
              </w:rPr>
            </w:pPr>
          </w:p>
        </w:tc>
      </w:tr>
      <w:tr>
        <w:trPr>
          <w:trHeight w:val="250"/>
        </w:trPr>
        <w:tc>
          <w:tcPr>
            <w:tcW w:w="8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Purchase of investments</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(1,500)</w:t>
            </w:r>
          </w:p>
        </w:tc>
      </w:tr>
      <w:tr>
        <w:trPr>
          <w:trHeight w:val="224"/>
        </w:trPr>
        <w:tc>
          <w:tcPr>
            <w:tcW w:w="8580" w:type="dxa"/>
            <w:vAlign w:val="bottom"/>
          </w:tcPr>
          <w:p>
            <w:pPr>
              <w:ind w:left="280"/>
              <w:spacing w:after="0"/>
              <w:rPr>
                <w:sz w:val="20"/>
                <w:szCs w:val="20"/>
                <w:color w:val="auto"/>
              </w:rPr>
            </w:pPr>
            <w:r>
              <w:rPr>
                <w:rFonts w:ascii="Arial" w:cs="Arial" w:eastAsia="Arial" w:hAnsi="Arial"/>
                <w:sz w:val="16"/>
                <w:szCs w:val="16"/>
                <w:color w:val="auto"/>
              </w:rPr>
              <w:t>Other</w:t>
            </w:r>
          </w:p>
        </w:tc>
        <w:tc>
          <w:tcPr>
            <w:tcW w:w="220" w:type="dxa"/>
            <w:vAlign w:val="bottom"/>
          </w:tcPr>
          <w:p>
            <w:pPr>
              <w:spacing w:after="0"/>
              <w:rPr>
                <w:sz w:val="19"/>
                <w:szCs w:val="19"/>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272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136</w:t>
            </w:r>
          </w:p>
        </w:tc>
      </w:tr>
      <w:tr>
        <w:trPr>
          <w:trHeight w:val="47"/>
        </w:trPr>
        <w:tc>
          <w:tcPr>
            <w:tcW w:w="8580" w:type="dxa"/>
            <w:vAlign w:val="bottom"/>
            <w:tcBorders>
              <w:bottom w:val="single" w:sz="8" w:color="CCEEFF"/>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cash used for investing activities</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(104,221)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(94,583)</w:t>
            </w:r>
          </w:p>
        </w:tc>
      </w:tr>
      <w:tr>
        <w:trPr>
          <w:trHeight w:val="204"/>
        </w:trPr>
        <w:tc>
          <w:tcPr>
            <w:tcW w:w="8580" w:type="dxa"/>
            <w:vAlign w:val="bottom"/>
          </w:tcPr>
          <w:p>
            <w:pPr>
              <w:ind w:left="40"/>
              <w:spacing w:after="0"/>
              <w:rPr>
                <w:sz w:val="20"/>
                <w:szCs w:val="20"/>
                <w:color w:val="auto"/>
              </w:rPr>
            </w:pPr>
            <w:r>
              <w:rPr>
                <w:rFonts w:ascii="Arial" w:cs="Arial" w:eastAsia="Arial" w:hAnsi="Arial"/>
                <w:sz w:val="16"/>
                <w:szCs w:val="16"/>
                <w:b w:val="1"/>
                <w:bCs w:val="1"/>
                <w:color w:val="auto"/>
              </w:rPr>
              <w:t>Cash flows from financing activities:</w:t>
            </w:r>
          </w:p>
        </w:tc>
        <w:tc>
          <w:tcPr>
            <w:tcW w:w="22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r>
      <w:tr>
        <w:trPr>
          <w:trHeight w:val="60"/>
        </w:trPr>
        <w:tc>
          <w:tcPr>
            <w:tcW w:w="85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40" w:type="dxa"/>
            <w:vAlign w:val="bottom"/>
          </w:tcPr>
          <w:p>
            <w:pPr>
              <w:spacing w:after="0"/>
              <w:rPr>
                <w:sz w:val="5"/>
                <w:szCs w:val="5"/>
                <w:color w:val="auto"/>
              </w:rPr>
            </w:pPr>
          </w:p>
        </w:tc>
      </w:tr>
      <w:tr>
        <w:trPr>
          <w:trHeight w:val="250"/>
        </w:trPr>
        <w:tc>
          <w:tcPr>
            <w:tcW w:w="8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Proceeds from issuance of long-term debt</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200,000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174,924</w:t>
            </w:r>
          </w:p>
        </w:tc>
      </w:tr>
      <w:tr>
        <w:trPr>
          <w:trHeight w:val="224"/>
        </w:trPr>
        <w:tc>
          <w:tcPr>
            <w:tcW w:w="8580" w:type="dxa"/>
            <w:vAlign w:val="bottom"/>
          </w:tcPr>
          <w:p>
            <w:pPr>
              <w:ind w:left="280"/>
              <w:spacing w:after="0"/>
              <w:rPr>
                <w:sz w:val="20"/>
                <w:szCs w:val="20"/>
                <w:color w:val="auto"/>
              </w:rPr>
            </w:pPr>
            <w:r>
              <w:rPr>
                <w:rFonts w:ascii="Arial" w:cs="Arial" w:eastAsia="Arial" w:hAnsi="Arial"/>
                <w:sz w:val="16"/>
                <w:szCs w:val="16"/>
                <w:color w:val="auto"/>
              </w:rPr>
              <w:t>Proceeds from issuance of common stock</w:t>
            </w:r>
          </w:p>
        </w:tc>
        <w:tc>
          <w:tcPr>
            <w:tcW w:w="220" w:type="dxa"/>
            <w:vAlign w:val="bottom"/>
          </w:tcPr>
          <w:p>
            <w:pPr>
              <w:spacing w:after="0"/>
              <w:rPr>
                <w:sz w:val="19"/>
                <w:szCs w:val="19"/>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19,802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373,024</w:t>
            </w:r>
          </w:p>
        </w:tc>
      </w:tr>
      <w:tr>
        <w:trPr>
          <w:trHeight w:val="47"/>
        </w:trPr>
        <w:tc>
          <w:tcPr>
            <w:tcW w:w="8580" w:type="dxa"/>
            <w:vAlign w:val="bottom"/>
          </w:tcPr>
          <w:p>
            <w:pPr>
              <w:spacing w:after="0"/>
              <w:rPr>
                <w:sz w:val="4"/>
                <w:szCs w:val="4"/>
                <w:color w:val="auto"/>
              </w:rPr>
            </w:pPr>
          </w:p>
        </w:tc>
        <w:tc>
          <w:tcPr>
            <w:tcW w:w="22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140" w:type="dxa"/>
            <w:vAlign w:val="bottom"/>
          </w:tcPr>
          <w:p>
            <w:pPr>
              <w:spacing w:after="0"/>
              <w:rPr>
                <w:sz w:val="4"/>
                <w:szCs w:val="4"/>
                <w:color w:val="auto"/>
              </w:rPr>
            </w:pPr>
          </w:p>
        </w:tc>
      </w:tr>
      <w:tr>
        <w:trPr>
          <w:trHeight w:val="250"/>
        </w:trPr>
        <w:tc>
          <w:tcPr>
            <w:tcW w:w="8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Principal payments on long-term debt</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(204,275)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(367,660)</w:t>
            </w:r>
          </w:p>
        </w:tc>
      </w:tr>
      <w:tr>
        <w:trPr>
          <w:trHeight w:val="224"/>
        </w:trPr>
        <w:tc>
          <w:tcPr>
            <w:tcW w:w="8580" w:type="dxa"/>
            <w:vAlign w:val="bottom"/>
          </w:tcPr>
          <w:p>
            <w:pPr>
              <w:ind w:left="280"/>
              <w:spacing w:after="0"/>
              <w:rPr>
                <w:sz w:val="20"/>
                <w:szCs w:val="20"/>
                <w:color w:val="auto"/>
              </w:rPr>
            </w:pPr>
            <w:r>
              <w:rPr>
                <w:rFonts w:ascii="Arial" w:cs="Arial" w:eastAsia="Arial" w:hAnsi="Arial"/>
                <w:sz w:val="16"/>
                <w:szCs w:val="16"/>
                <w:color w:val="auto"/>
              </w:rPr>
              <w:t>Purchase of treasury stock</w:t>
            </w: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(1,928)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47"/>
        </w:trPr>
        <w:tc>
          <w:tcPr>
            <w:tcW w:w="8580" w:type="dxa"/>
            <w:vAlign w:val="bottom"/>
          </w:tcPr>
          <w:p>
            <w:pPr>
              <w:spacing w:after="0"/>
              <w:rPr>
                <w:sz w:val="4"/>
                <w:szCs w:val="4"/>
                <w:color w:val="auto"/>
              </w:rPr>
            </w:pPr>
          </w:p>
        </w:tc>
        <w:tc>
          <w:tcPr>
            <w:tcW w:w="22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140" w:type="dxa"/>
            <w:vAlign w:val="bottom"/>
          </w:tcPr>
          <w:p>
            <w:pPr>
              <w:spacing w:after="0"/>
              <w:rPr>
                <w:sz w:val="4"/>
                <w:szCs w:val="4"/>
                <w:color w:val="auto"/>
              </w:rPr>
            </w:pPr>
          </w:p>
        </w:tc>
      </w:tr>
      <w:tr>
        <w:trPr>
          <w:trHeight w:val="250"/>
        </w:trPr>
        <w:tc>
          <w:tcPr>
            <w:tcW w:w="8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Payments on capital lease obligations</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(1,802)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(940)</w:t>
            </w:r>
          </w:p>
        </w:tc>
      </w:tr>
      <w:tr>
        <w:trPr>
          <w:trHeight w:val="224"/>
        </w:trPr>
        <w:tc>
          <w:tcPr>
            <w:tcW w:w="8580" w:type="dxa"/>
            <w:vAlign w:val="bottom"/>
          </w:tcPr>
          <w:p>
            <w:pPr>
              <w:ind w:left="280"/>
              <w:spacing w:after="0"/>
              <w:rPr>
                <w:sz w:val="20"/>
                <w:szCs w:val="20"/>
                <w:color w:val="auto"/>
              </w:rPr>
            </w:pPr>
            <w:r>
              <w:rPr>
                <w:rFonts w:ascii="Arial" w:cs="Arial" w:eastAsia="Arial" w:hAnsi="Arial"/>
                <w:sz w:val="16"/>
                <w:szCs w:val="16"/>
                <w:color w:val="auto"/>
              </w:rPr>
              <w:t>Debt issuance costs</w:t>
            </w: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(1,400)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(4,527)</w:t>
            </w:r>
          </w:p>
        </w:tc>
      </w:tr>
      <w:tr>
        <w:trPr>
          <w:trHeight w:val="47"/>
        </w:trPr>
        <w:tc>
          <w:tcPr>
            <w:tcW w:w="8580" w:type="dxa"/>
            <w:vAlign w:val="bottom"/>
          </w:tcPr>
          <w:p>
            <w:pPr>
              <w:spacing w:after="0"/>
              <w:rPr>
                <w:sz w:val="4"/>
                <w:szCs w:val="4"/>
                <w:color w:val="auto"/>
              </w:rPr>
            </w:pPr>
          </w:p>
        </w:tc>
        <w:tc>
          <w:tcPr>
            <w:tcW w:w="22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140" w:type="dxa"/>
            <w:vAlign w:val="bottom"/>
          </w:tcPr>
          <w:p>
            <w:pPr>
              <w:spacing w:after="0"/>
              <w:rPr>
                <w:sz w:val="4"/>
                <w:szCs w:val="4"/>
                <w:color w:val="auto"/>
              </w:rPr>
            </w:pPr>
          </w:p>
        </w:tc>
      </w:tr>
      <w:tr>
        <w:trPr>
          <w:trHeight w:val="250"/>
        </w:trPr>
        <w:tc>
          <w:tcPr>
            <w:tcW w:w="8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Dividend to stockholders</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(170,983)</w:t>
            </w:r>
          </w:p>
        </w:tc>
      </w:tr>
      <w:tr>
        <w:trPr>
          <w:trHeight w:val="224"/>
        </w:trPr>
        <w:tc>
          <w:tcPr>
            <w:tcW w:w="8580" w:type="dxa"/>
            <w:vAlign w:val="bottom"/>
          </w:tcPr>
          <w:p>
            <w:pPr>
              <w:ind w:left="280"/>
              <w:spacing w:after="0"/>
              <w:rPr>
                <w:sz w:val="20"/>
                <w:szCs w:val="20"/>
                <w:color w:val="auto"/>
              </w:rPr>
            </w:pPr>
            <w:r>
              <w:rPr>
                <w:rFonts w:ascii="Arial" w:cs="Arial" w:eastAsia="Arial" w:hAnsi="Arial"/>
                <w:sz w:val="16"/>
                <w:szCs w:val="16"/>
                <w:color w:val="auto"/>
              </w:rPr>
              <w:t>Other</w:t>
            </w:r>
          </w:p>
        </w:tc>
        <w:tc>
          <w:tcPr>
            <w:tcW w:w="220" w:type="dxa"/>
            <w:vAlign w:val="bottom"/>
          </w:tcPr>
          <w:p>
            <w:pPr>
              <w:spacing w:after="0"/>
              <w:rPr>
                <w:sz w:val="19"/>
                <w:szCs w:val="19"/>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9"/>
                <w:szCs w:val="19"/>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47"/>
        </w:trPr>
        <w:tc>
          <w:tcPr>
            <w:tcW w:w="8580" w:type="dxa"/>
            <w:vAlign w:val="bottom"/>
            <w:tcBorders>
              <w:bottom w:val="single" w:sz="8" w:color="CCEEFF"/>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cash provided by financing activities</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10,397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3,838</w:t>
            </w:r>
          </w:p>
        </w:tc>
      </w:tr>
      <w:tr>
        <w:trPr>
          <w:trHeight w:val="217"/>
        </w:trPr>
        <w:tc>
          <w:tcPr>
            <w:tcW w:w="8580" w:type="dxa"/>
            <w:vAlign w:val="bottom"/>
          </w:tcPr>
          <w:p>
            <w:pPr>
              <w:ind w:left="40"/>
              <w:spacing w:after="0"/>
              <w:rPr>
                <w:sz w:val="20"/>
                <w:szCs w:val="20"/>
                <w:color w:val="auto"/>
              </w:rPr>
            </w:pPr>
            <w:r>
              <w:rPr>
                <w:rFonts w:ascii="Arial" w:cs="Arial" w:eastAsia="Arial" w:hAnsi="Arial"/>
                <w:sz w:val="16"/>
                <w:szCs w:val="16"/>
                <w:color w:val="auto"/>
              </w:rPr>
              <w:t>Net change in cash, cash equivalents and restricted cash</w:t>
            </w:r>
          </w:p>
        </w:tc>
        <w:tc>
          <w:tcPr>
            <w:tcW w:w="2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12,804</w:t>
            </w: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(493)</w:t>
            </w:r>
          </w:p>
        </w:tc>
      </w:tr>
      <w:tr>
        <w:trPr>
          <w:trHeight w:val="33"/>
        </w:trPr>
        <w:tc>
          <w:tcPr>
            <w:tcW w:w="8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and cash equivalents and restricted cash, beginning of year</w:t>
            </w:r>
          </w:p>
        </w:tc>
        <w:tc>
          <w:tcPr>
            <w:tcW w:w="2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5,194</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5,687</w:t>
            </w:r>
          </w:p>
        </w:tc>
      </w:tr>
      <w:tr>
        <w:trPr>
          <w:trHeight w:val="217"/>
        </w:trPr>
        <w:tc>
          <w:tcPr>
            <w:tcW w:w="8580" w:type="dxa"/>
            <w:vAlign w:val="bottom"/>
          </w:tcPr>
          <w:p>
            <w:pPr>
              <w:ind w:left="40"/>
              <w:spacing w:after="0"/>
              <w:rPr>
                <w:sz w:val="20"/>
                <w:szCs w:val="20"/>
                <w:color w:val="auto"/>
              </w:rPr>
            </w:pPr>
            <w:r>
              <w:rPr>
                <w:rFonts w:ascii="Arial" w:cs="Arial" w:eastAsia="Arial" w:hAnsi="Arial"/>
                <w:sz w:val="16"/>
                <w:szCs w:val="16"/>
                <w:color w:val="auto"/>
              </w:rPr>
              <w:t>Cash and cash equivalents and restricted cash, end of year</w:t>
            </w:r>
          </w:p>
        </w:tc>
        <w:tc>
          <w:tcPr>
            <w:tcW w:w="2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17,998</w:t>
            </w:r>
          </w:p>
        </w:tc>
        <w:tc>
          <w:tcPr>
            <w:tcW w:w="100" w:type="dxa"/>
            <w:vAlign w:val="bottom"/>
          </w:tcPr>
          <w:p>
            <w:pPr>
              <w:spacing w:after="0"/>
              <w:rPr>
                <w:sz w:val="18"/>
                <w:szCs w:val="18"/>
                <w:color w:val="auto"/>
              </w:rPr>
            </w:pPr>
          </w:p>
        </w:tc>
        <w:tc>
          <w:tcPr>
            <w:tcW w:w="2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1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5,194</w:t>
            </w:r>
          </w:p>
        </w:tc>
      </w:tr>
      <w:tr>
        <w:trPr>
          <w:trHeight w:val="73"/>
        </w:trPr>
        <w:tc>
          <w:tcPr>
            <w:tcW w:w="8580" w:type="dxa"/>
            <w:vAlign w:val="bottom"/>
            <w:tcBorders>
              <w:bottom w:val="single" w:sz="8" w:color="CCEEFF"/>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116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1140" w:type="dxa"/>
            <w:vAlign w:val="bottom"/>
            <w:tcBorders>
              <w:bottom w:val="single" w:sz="8" w:color="auto"/>
            </w:tcBorders>
          </w:tcPr>
          <w:p>
            <w:pPr>
              <w:spacing w:after="0"/>
              <w:rPr>
                <w:sz w:val="6"/>
                <w:szCs w:val="6"/>
                <w:color w:val="auto"/>
              </w:rPr>
            </w:pPr>
          </w:p>
        </w:tc>
      </w:tr>
      <w:tr>
        <w:trPr>
          <w:trHeight w:val="210"/>
        </w:trPr>
        <w:tc>
          <w:tcPr>
            <w:tcW w:w="8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24"/>
        </w:trPr>
        <w:tc>
          <w:tcPr>
            <w:tcW w:w="8580" w:type="dxa"/>
            <w:vAlign w:val="bottom"/>
          </w:tcPr>
          <w:p>
            <w:pPr>
              <w:ind w:left="40"/>
              <w:spacing w:after="0"/>
              <w:rPr>
                <w:sz w:val="20"/>
                <w:szCs w:val="20"/>
                <w:color w:val="auto"/>
              </w:rPr>
            </w:pPr>
            <w:r>
              <w:rPr>
                <w:rFonts w:ascii="Arial" w:cs="Arial" w:eastAsia="Arial" w:hAnsi="Arial"/>
                <w:sz w:val="16"/>
                <w:szCs w:val="16"/>
                <w:b w:val="1"/>
                <w:bCs w:val="1"/>
                <w:color w:val="auto"/>
              </w:rPr>
              <w:t>Supplemental cash flow information:</w:t>
            </w:r>
          </w:p>
        </w:tc>
        <w:tc>
          <w:tcPr>
            <w:tcW w:w="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47"/>
        </w:trPr>
        <w:tc>
          <w:tcPr>
            <w:tcW w:w="8580" w:type="dxa"/>
            <w:vAlign w:val="bottom"/>
          </w:tcPr>
          <w:p>
            <w:pPr>
              <w:spacing w:after="0"/>
              <w:rPr>
                <w:sz w:val="4"/>
                <w:szCs w:val="4"/>
                <w:color w:val="auto"/>
              </w:rPr>
            </w:pPr>
          </w:p>
        </w:tc>
        <w:tc>
          <w:tcPr>
            <w:tcW w:w="22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140" w:type="dxa"/>
            <w:vAlign w:val="bottom"/>
          </w:tcPr>
          <w:p>
            <w:pPr>
              <w:spacing w:after="0"/>
              <w:rPr>
                <w:sz w:val="4"/>
                <w:szCs w:val="4"/>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paid for interest</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33,469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47,090</w:t>
            </w:r>
          </w:p>
        </w:tc>
      </w:tr>
      <w:tr>
        <w:trPr>
          <w:trHeight w:val="224"/>
        </w:trPr>
        <w:tc>
          <w:tcPr>
            <w:tcW w:w="8580" w:type="dxa"/>
            <w:vAlign w:val="bottom"/>
          </w:tcPr>
          <w:p>
            <w:pPr>
              <w:ind w:left="40"/>
              <w:spacing w:after="0"/>
              <w:rPr>
                <w:sz w:val="20"/>
                <w:szCs w:val="20"/>
                <w:color w:val="auto"/>
              </w:rPr>
            </w:pPr>
            <w:r>
              <w:rPr>
                <w:rFonts w:ascii="Arial" w:cs="Arial" w:eastAsia="Arial" w:hAnsi="Arial"/>
                <w:sz w:val="16"/>
                <w:szCs w:val="16"/>
                <w:color w:val="auto"/>
              </w:rPr>
              <w:t>Cash paid for taxes</w:t>
            </w:r>
          </w:p>
        </w:tc>
        <w:tc>
          <w:tcPr>
            <w:tcW w:w="220" w:type="dxa"/>
            <w:vAlign w:val="bottom"/>
          </w:tcPr>
          <w:p>
            <w:pPr>
              <w:spacing w:after="0"/>
              <w:rPr>
                <w:sz w:val="19"/>
                <w:szCs w:val="19"/>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1,447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2,647</w:t>
            </w:r>
          </w:p>
        </w:tc>
      </w:tr>
      <w:tr>
        <w:trPr>
          <w:trHeight w:val="47"/>
        </w:trPr>
        <w:tc>
          <w:tcPr>
            <w:tcW w:w="8580" w:type="dxa"/>
            <w:vAlign w:val="bottom"/>
          </w:tcPr>
          <w:p>
            <w:pPr>
              <w:spacing w:after="0"/>
              <w:rPr>
                <w:sz w:val="4"/>
                <w:szCs w:val="4"/>
                <w:color w:val="auto"/>
              </w:rPr>
            </w:pPr>
          </w:p>
        </w:tc>
        <w:tc>
          <w:tcPr>
            <w:tcW w:w="22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140" w:type="dxa"/>
            <w:vAlign w:val="bottom"/>
          </w:tcPr>
          <w:p>
            <w:pPr>
              <w:spacing w:after="0"/>
              <w:rPr>
                <w:sz w:val="4"/>
                <w:szCs w:val="4"/>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Property and equipment accrued at the end of the period</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14,078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10,782</w:t>
            </w:r>
          </w:p>
        </w:tc>
      </w:tr>
      <w:tr>
        <w:trPr>
          <w:trHeight w:val="224"/>
        </w:trPr>
        <w:tc>
          <w:tcPr>
            <w:tcW w:w="8580" w:type="dxa"/>
            <w:vAlign w:val="bottom"/>
          </w:tcPr>
          <w:p>
            <w:pPr>
              <w:ind w:left="40"/>
              <w:spacing w:after="0"/>
              <w:rPr>
                <w:sz w:val="20"/>
                <w:szCs w:val="20"/>
                <w:color w:val="auto"/>
              </w:rPr>
            </w:pPr>
            <w:r>
              <w:rPr>
                <w:rFonts w:ascii="Arial" w:cs="Arial" w:eastAsia="Arial" w:hAnsi="Arial"/>
                <w:sz w:val="16"/>
                <w:szCs w:val="16"/>
                <w:color w:val="auto"/>
              </w:rPr>
              <w:t>Fixed assets acquired under capital lease obligations</w:t>
            </w:r>
          </w:p>
        </w:tc>
        <w:tc>
          <w:tcPr>
            <w:tcW w:w="220" w:type="dxa"/>
            <w:vAlign w:val="bottom"/>
          </w:tcPr>
          <w:p>
            <w:pPr>
              <w:spacing w:after="0"/>
              <w:rPr>
                <w:sz w:val="19"/>
                <w:szCs w:val="19"/>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14,303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10,117</w:t>
            </w:r>
          </w:p>
        </w:tc>
      </w:tr>
      <w:tr>
        <w:trPr>
          <w:trHeight w:val="47"/>
        </w:trPr>
        <w:tc>
          <w:tcPr>
            <w:tcW w:w="8580" w:type="dxa"/>
            <w:vAlign w:val="bottom"/>
          </w:tcPr>
          <w:p>
            <w:pPr>
              <w:spacing w:after="0"/>
              <w:rPr>
                <w:sz w:val="4"/>
                <w:szCs w:val="4"/>
                <w:color w:val="auto"/>
              </w:rPr>
            </w:pPr>
          </w:p>
        </w:tc>
        <w:tc>
          <w:tcPr>
            <w:tcW w:w="22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140" w:type="dxa"/>
            <w:vAlign w:val="bottom"/>
          </w:tcPr>
          <w:p>
            <w:pPr>
              <w:spacing w:after="0"/>
              <w:rPr>
                <w:sz w:val="4"/>
                <w:szCs w:val="4"/>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Non-cash issuance of common shares</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446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24"/>
        </w:trPr>
        <w:tc>
          <w:tcPr>
            <w:tcW w:w="8580" w:type="dxa"/>
            <w:vAlign w:val="bottom"/>
          </w:tcPr>
          <w:p>
            <w:pPr>
              <w:ind w:left="40"/>
              <w:spacing w:after="0"/>
              <w:rPr>
                <w:sz w:val="20"/>
                <w:szCs w:val="20"/>
                <w:color w:val="auto"/>
              </w:rPr>
            </w:pPr>
            <w:r>
              <w:rPr>
                <w:rFonts w:ascii="Arial" w:cs="Arial" w:eastAsia="Arial" w:hAnsi="Arial"/>
                <w:sz w:val="16"/>
                <w:szCs w:val="16"/>
                <w:color w:val="auto"/>
              </w:rPr>
              <w:t>Non-cash purchase of treasury stock</w:t>
            </w: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(446)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w:t>
            </w:r>
          </w:p>
        </w:tc>
      </w:tr>
    </w:tbl>
    <w:p>
      <w:pPr>
        <w:spacing w:after="0" w:line="14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provides a reconciliation of cash and cash equivalents reported within the consolidated balance sheets to the total of cash, cash equivalents and restricted cash shown above:</w:t>
      </w:r>
    </w:p>
    <w:p>
      <w:pPr>
        <w:spacing w:after="0" w:line="33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gridSpan w:val="2"/>
          </w:tcPr>
          <w:p>
            <w:pPr>
              <w:ind w:left="100"/>
              <w:spacing w:after="0"/>
              <w:rPr>
                <w:sz w:val="20"/>
                <w:szCs w:val="20"/>
                <w:color w:val="auto"/>
              </w:rPr>
            </w:pPr>
            <w:r>
              <w:rPr>
                <w:rFonts w:ascii="Arial" w:cs="Arial" w:eastAsia="Arial" w:hAnsi="Arial"/>
                <w:sz w:val="16"/>
                <w:szCs w:val="16"/>
                <w:color w:val="auto"/>
              </w:rPr>
              <w:t>Fiscal Year</w:t>
            </w:r>
          </w:p>
        </w:tc>
        <w:tc>
          <w:tcPr>
            <w:tcW w:w="220" w:type="dxa"/>
            <w:vAlign w:val="bottom"/>
          </w:tcPr>
          <w:p>
            <w:pPr>
              <w:spacing w:after="0"/>
              <w:rPr>
                <w:sz w:val="17"/>
                <w:szCs w:val="17"/>
                <w:color w:val="auto"/>
              </w:rPr>
            </w:pPr>
          </w:p>
        </w:tc>
        <w:tc>
          <w:tcPr>
            <w:tcW w:w="1140" w:type="dxa"/>
            <w:vAlign w:val="bottom"/>
          </w:tcPr>
          <w:p>
            <w:pPr>
              <w:jc w:val="right"/>
              <w:ind w:right="239"/>
              <w:spacing w:after="0"/>
              <w:rPr>
                <w:sz w:val="20"/>
                <w:szCs w:val="20"/>
                <w:color w:val="auto"/>
              </w:rPr>
            </w:pPr>
            <w:r>
              <w:rPr>
                <w:rFonts w:ascii="Arial" w:cs="Arial" w:eastAsia="Arial" w:hAnsi="Arial"/>
                <w:sz w:val="16"/>
                <w:szCs w:val="16"/>
                <w:color w:val="auto"/>
                <w:w w:val="99"/>
              </w:rPr>
              <w:t>Fiscal Year</w:t>
            </w:r>
          </w:p>
        </w:tc>
      </w:tr>
      <w:tr>
        <w:trPr>
          <w:trHeight w:val="206"/>
        </w:trPr>
        <w:tc>
          <w:tcPr>
            <w:tcW w:w="8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jc w:val="right"/>
              <w:ind w:right="459"/>
              <w:spacing w:after="0"/>
              <w:rPr>
                <w:sz w:val="20"/>
                <w:szCs w:val="20"/>
                <w:color w:val="auto"/>
              </w:rPr>
            </w:pPr>
            <w:r>
              <w:rPr>
                <w:rFonts w:ascii="Arial" w:cs="Arial" w:eastAsia="Arial" w:hAnsi="Arial"/>
                <w:sz w:val="16"/>
                <w:szCs w:val="16"/>
                <w:color w:val="auto"/>
              </w:rPr>
              <w:t>2018</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jc w:val="right"/>
              <w:ind w:right="439"/>
              <w:spacing w:after="0"/>
              <w:rPr>
                <w:sz w:val="20"/>
                <w:szCs w:val="20"/>
                <w:color w:val="auto"/>
              </w:rPr>
            </w:pPr>
            <w:r>
              <w:rPr>
                <w:rFonts w:ascii="Arial" w:cs="Arial" w:eastAsia="Arial" w:hAnsi="Arial"/>
                <w:sz w:val="16"/>
                <w:szCs w:val="16"/>
                <w:color w:val="auto"/>
              </w:rPr>
              <w:t>2017</w:t>
            </w:r>
          </w:p>
        </w:tc>
      </w:tr>
      <w:tr>
        <w:trPr>
          <w:trHeight w:val="33"/>
        </w:trPr>
        <w:tc>
          <w:tcPr>
            <w:tcW w:w="85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30"/>
        </w:trPr>
        <w:tc>
          <w:tcPr>
            <w:tcW w:w="8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Cash and cash equivalents</w:t>
            </w: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17,132</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4,208</w:t>
            </w:r>
          </w:p>
        </w:tc>
      </w:tr>
      <w:tr>
        <w:trPr>
          <w:trHeight w:val="224"/>
        </w:trPr>
        <w:tc>
          <w:tcPr>
            <w:tcW w:w="8580" w:type="dxa"/>
            <w:vAlign w:val="bottom"/>
          </w:tcPr>
          <w:p>
            <w:pPr>
              <w:ind w:left="280"/>
              <w:spacing w:after="0"/>
              <w:rPr>
                <w:sz w:val="20"/>
                <w:szCs w:val="20"/>
                <w:color w:val="auto"/>
              </w:rPr>
            </w:pPr>
            <w:r>
              <w:rPr>
                <w:rFonts w:ascii="Arial" w:cs="Arial" w:eastAsia="Arial" w:hAnsi="Arial"/>
                <w:sz w:val="16"/>
                <w:szCs w:val="16"/>
                <w:color w:val="auto"/>
              </w:rPr>
              <w:t>Restricted cash included in other assets</w:t>
            </w:r>
          </w:p>
        </w:tc>
        <w:tc>
          <w:tcPr>
            <w:tcW w:w="220" w:type="dxa"/>
            <w:vAlign w:val="bottom"/>
          </w:tcPr>
          <w:p>
            <w:pPr>
              <w:spacing w:after="0"/>
              <w:rPr>
                <w:sz w:val="19"/>
                <w:szCs w:val="19"/>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866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986</w:t>
            </w:r>
          </w:p>
        </w:tc>
      </w:tr>
      <w:tr>
        <w:trPr>
          <w:trHeight w:val="47"/>
        </w:trPr>
        <w:tc>
          <w:tcPr>
            <w:tcW w:w="8580" w:type="dxa"/>
            <w:vAlign w:val="bottom"/>
            <w:tcBorders>
              <w:bottom w:val="single" w:sz="8" w:color="CCEEFF"/>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r>
      <w:tr>
        <w:trPr>
          <w:trHeight w:val="23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cash, cash equivalents and restricted cash</w:t>
            </w: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17,998</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5,194</w:t>
            </w:r>
          </w:p>
        </w:tc>
      </w:tr>
      <w:tr>
        <w:trPr>
          <w:trHeight w:val="20"/>
        </w:trPr>
        <w:tc>
          <w:tcPr>
            <w:tcW w:w="858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r>
    </w:tbl>
    <w:p>
      <w:pPr>
        <w:sectPr>
          <w:pgSz w:w="11900" w:h="16897" w:orient="portrait"/>
          <w:cols w:equalWidth="0" w:num="1">
            <w:col w:w="11420"/>
          </w:cols>
          <w:pgMar w:left="240" w:top="580" w:right="239" w:bottom="0" w:gutter="0" w:footer="0" w:header="0"/>
        </w:sectPr>
      </w:pPr>
    </w:p>
    <w:bookmarkStart w:id="12" w:name="page13"/>
    <w:bookmarkEnd w:id="1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5594350</wp:posOffset>
            </wp:positionH>
            <wp:positionV relativeFrom="page">
              <wp:posOffset>88900</wp:posOffset>
            </wp:positionV>
            <wp:extent cx="18097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t>National Vision Holdings,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Reconciliation of GAAP to Non-GAAP Financial Measures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Reconciliation of Net Income to EBITDA, Adjusted EBITDA, Adjusted Net Income, and Adjusted Diluted EPS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Months and Fiscal Years Ended December 29, 2018 and December 30, 2017</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 Except Earnings Per Share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20" w:type="dxa"/>
            <w:vAlign w:val="bottom"/>
            <w:gridSpan w:val="3"/>
          </w:tcPr>
          <w:p>
            <w:pPr>
              <w:jc w:val="center"/>
              <w:ind w:right="280"/>
              <w:spacing w:after="0"/>
              <w:rPr>
                <w:sz w:val="20"/>
                <w:szCs w:val="20"/>
                <w:color w:val="auto"/>
              </w:rPr>
            </w:pPr>
            <w:r>
              <w:rPr>
                <w:rFonts w:ascii="Arial" w:cs="Arial" w:eastAsia="Arial" w:hAnsi="Arial"/>
                <w:sz w:val="18"/>
                <w:szCs w:val="18"/>
                <w:color w:val="auto"/>
                <w:w w:val="90"/>
              </w:rPr>
              <w:t>Three Months Ended</w:t>
            </w:r>
          </w:p>
        </w:tc>
        <w:tc>
          <w:tcPr>
            <w:tcW w:w="160" w:type="dxa"/>
            <w:vAlign w:val="bottom"/>
          </w:tcPr>
          <w:p>
            <w:pPr>
              <w:spacing w:after="0"/>
              <w:rPr>
                <w:sz w:val="18"/>
                <w:szCs w:val="18"/>
                <w:color w:val="auto"/>
              </w:rPr>
            </w:pPr>
          </w:p>
        </w:tc>
        <w:tc>
          <w:tcPr>
            <w:tcW w:w="1860" w:type="dxa"/>
            <w:vAlign w:val="bottom"/>
            <w:gridSpan w:val="3"/>
          </w:tcPr>
          <w:p>
            <w:pPr>
              <w:jc w:val="center"/>
              <w:ind w:right="260"/>
              <w:spacing w:after="0"/>
              <w:rPr>
                <w:sz w:val="20"/>
                <w:szCs w:val="20"/>
                <w:color w:val="auto"/>
              </w:rPr>
            </w:pPr>
            <w:r>
              <w:rPr>
                <w:rFonts w:ascii="Arial" w:cs="Arial" w:eastAsia="Arial" w:hAnsi="Arial"/>
                <w:sz w:val="18"/>
                <w:szCs w:val="18"/>
                <w:color w:val="auto"/>
                <w:w w:val="90"/>
              </w:rPr>
              <w:t>Three Months Ended</w:t>
            </w:r>
          </w:p>
        </w:tc>
        <w:tc>
          <w:tcPr>
            <w:tcW w:w="240" w:type="dxa"/>
            <w:vAlign w:val="bottom"/>
          </w:tcPr>
          <w:p>
            <w:pPr>
              <w:spacing w:after="0"/>
              <w:rPr>
                <w:sz w:val="18"/>
                <w:szCs w:val="18"/>
                <w:color w:val="auto"/>
              </w:rPr>
            </w:pPr>
          </w:p>
        </w:tc>
        <w:tc>
          <w:tcPr>
            <w:tcW w:w="1800" w:type="dxa"/>
            <w:vAlign w:val="bottom"/>
            <w:gridSpan w:val="4"/>
          </w:tcPr>
          <w:p>
            <w:pPr>
              <w:jc w:val="center"/>
              <w:ind w:right="300"/>
              <w:spacing w:after="0"/>
              <w:rPr>
                <w:sz w:val="20"/>
                <w:szCs w:val="20"/>
                <w:color w:val="auto"/>
              </w:rPr>
            </w:pPr>
            <w:r>
              <w:rPr>
                <w:rFonts w:ascii="Arial" w:cs="Arial" w:eastAsia="Arial" w:hAnsi="Arial"/>
                <w:sz w:val="17"/>
                <w:szCs w:val="17"/>
                <w:color w:val="auto"/>
                <w:w w:val="91"/>
              </w:rPr>
              <w:t>Fiscal Year</w:t>
            </w:r>
          </w:p>
        </w:tc>
        <w:tc>
          <w:tcPr>
            <w:tcW w:w="240" w:type="dxa"/>
            <w:vAlign w:val="bottom"/>
          </w:tcPr>
          <w:p>
            <w:pPr>
              <w:spacing w:after="0"/>
              <w:rPr>
                <w:sz w:val="18"/>
                <w:szCs w:val="18"/>
                <w:color w:val="auto"/>
              </w:rPr>
            </w:pPr>
          </w:p>
        </w:tc>
        <w:tc>
          <w:tcPr>
            <w:tcW w:w="1700" w:type="dxa"/>
            <w:vAlign w:val="bottom"/>
            <w:gridSpan w:val="3"/>
          </w:tcPr>
          <w:p>
            <w:pPr>
              <w:jc w:val="center"/>
              <w:ind w:right="110"/>
              <w:spacing w:after="0"/>
              <w:rPr>
                <w:sz w:val="20"/>
                <w:szCs w:val="20"/>
                <w:color w:val="auto"/>
              </w:rPr>
            </w:pPr>
            <w:r>
              <w:rPr>
                <w:rFonts w:ascii="Arial" w:cs="Arial" w:eastAsia="Arial" w:hAnsi="Arial"/>
                <w:sz w:val="17"/>
                <w:szCs w:val="17"/>
                <w:color w:val="auto"/>
                <w:w w:val="91"/>
              </w:rPr>
              <w:t>Fiscal Year</w:t>
            </w:r>
          </w:p>
        </w:tc>
        <w:tc>
          <w:tcPr>
            <w:tcW w:w="0" w:type="dxa"/>
            <w:vAlign w:val="bottom"/>
          </w:tcPr>
          <w:p>
            <w:pPr>
              <w:spacing w:after="0"/>
              <w:rPr>
                <w:sz w:val="1"/>
                <w:szCs w:val="1"/>
                <w:color w:val="auto"/>
              </w:rPr>
            </w:pPr>
          </w:p>
        </w:tc>
      </w:tr>
      <w:tr>
        <w:trPr>
          <w:trHeight w:val="230"/>
        </w:trPr>
        <w:tc>
          <w:tcPr>
            <w:tcW w:w="3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920" w:type="dxa"/>
            <w:vAlign w:val="bottom"/>
            <w:gridSpan w:val="3"/>
          </w:tcPr>
          <w:p>
            <w:pPr>
              <w:jc w:val="center"/>
              <w:ind w:right="260"/>
              <w:spacing w:after="0"/>
              <w:rPr>
                <w:sz w:val="20"/>
                <w:szCs w:val="20"/>
                <w:color w:val="auto"/>
              </w:rPr>
            </w:pPr>
            <w:r>
              <w:rPr>
                <w:rFonts w:ascii="Arial" w:cs="Arial" w:eastAsia="Arial" w:hAnsi="Arial"/>
                <w:sz w:val="18"/>
                <w:szCs w:val="18"/>
                <w:color w:val="auto"/>
                <w:w w:val="89"/>
              </w:rPr>
              <w:t>December 29, 2018</w:t>
            </w:r>
          </w:p>
        </w:tc>
        <w:tc>
          <w:tcPr>
            <w:tcW w:w="160" w:type="dxa"/>
            <w:vAlign w:val="bottom"/>
          </w:tcPr>
          <w:p>
            <w:pPr>
              <w:spacing w:after="0"/>
              <w:rPr>
                <w:sz w:val="20"/>
                <w:szCs w:val="20"/>
                <w:color w:val="auto"/>
              </w:rPr>
            </w:pPr>
          </w:p>
        </w:tc>
        <w:tc>
          <w:tcPr>
            <w:tcW w:w="1860" w:type="dxa"/>
            <w:vAlign w:val="bottom"/>
            <w:gridSpan w:val="3"/>
          </w:tcPr>
          <w:p>
            <w:pPr>
              <w:jc w:val="center"/>
              <w:ind w:right="240"/>
              <w:spacing w:after="0"/>
              <w:rPr>
                <w:sz w:val="20"/>
                <w:szCs w:val="20"/>
                <w:color w:val="auto"/>
              </w:rPr>
            </w:pPr>
            <w:r>
              <w:rPr>
                <w:rFonts w:ascii="Arial" w:cs="Arial" w:eastAsia="Arial" w:hAnsi="Arial"/>
                <w:sz w:val="18"/>
                <w:szCs w:val="18"/>
                <w:color w:val="auto"/>
                <w:w w:val="89"/>
              </w:rPr>
              <w:t>December 30, 2017</w:t>
            </w:r>
          </w:p>
        </w:tc>
        <w:tc>
          <w:tcPr>
            <w:tcW w:w="240" w:type="dxa"/>
            <w:vAlign w:val="bottom"/>
          </w:tcPr>
          <w:p>
            <w:pPr>
              <w:spacing w:after="0"/>
              <w:rPr>
                <w:sz w:val="20"/>
                <w:szCs w:val="20"/>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7"/>
                <w:szCs w:val="17"/>
                <w:color w:val="auto"/>
              </w:rPr>
              <w:t>2018</w:t>
            </w: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7"/>
                <w:szCs w:val="17"/>
                <w:color w:val="auto"/>
              </w:rPr>
              <w:t>2017</w:t>
            </w:r>
          </w:p>
        </w:tc>
        <w:tc>
          <w:tcPr>
            <w:tcW w:w="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3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(18,440)</w:t>
            </w:r>
          </w:p>
        </w:tc>
        <w:tc>
          <w:tcPr>
            <w:tcW w:w="9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4"/>
              </w:rPr>
              <w:t>(5.2)%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27,341</w:t>
            </w:r>
          </w:p>
        </w:tc>
        <w:tc>
          <w:tcPr>
            <w:tcW w:w="9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8.5%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23,653</w:t>
            </w: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center"/>
              <w:ind w:right="70"/>
              <w:spacing w:after="0"/>
              <w:rPr>
                <w:sz w:val="20"/>
                <w:szCs w:val="20"/>
                <w:color w:val="auto"/>
              </w:rPr>
            </w:pPr>
            <w:r>
              <w:rPr>
                <w:rFonts w:ascii="Arial" w:cs="Arial" w:eastAsia="Arial" w:hAnsi="Arial"/>
                <w:sz w:val="18"/>
                <w:szCs w:val="18"/>
                <w:color w:val="auto"/>
                <w:w w:val="92"/>
              </w:rPr>
              <w:t>1.5%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43,138</w:t>
            </w: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center"/>
              <w:ind w:right="70"/>
              <w:spacing w:after="0"/>
              <w:rPr>
                <w:sz w:val="20"/>
                <w:szCs w:val="20"/>
                <w:color w:val="auto"/>
              </w:rPr>
            </w:pPr>
            <w:r>
              <w:rPr>
                <w:rFonts w:ascii="Arial" w:cs="Arial" w:eastAsia="Arial" w:hAnsi="Arial"/>
                <w:sz w:val="18"/>
                <w:szCs w:val="18"/>
                <w:color w:val="auto"/>
                <w:w w:val="92"/>
              </w:rPr>
              <w:t>3.1%</w:t>
            </w:r>
          </w:p>
        </w:tc>
        <w:tc>
          <w:tcPr>
            <w:tcW w:w="0" w:type="dxa"/>
            <w:vAlign w:val="bottom"/>
          </w:tcPr>
          <w:p>
            <w:pPr>
              <w:spacing w:after="0"/>
              <w:rPr>
                <w:sz w:val="1"/>
                <w:szCs w:val="1"/>
                <w:color w:val="auto"/>
              </w:rPr>
            </w:pP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rPr>
              <w:t>Interest expense</w:t>
            </w:r>
          </w:p>
        </w:tc>
        <w:tc>
          <w:tcPr>
            <w:tcW w:w="16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9,139</w:t>
            </w:r>
          </w:p>
        </w:tc>
        <w:tc>
          <w:tcPr>
            <w:tcW w:w="900" w:type="dxa"/>
            <w:vAlign w:val="bottom"/>
          </w:tcPr>
          <w:p>
            <w:pPr>
              <w:jc w:val="center"/>
              <w:spacing w:after="0"/>
              <w:rPr>
                <w:sz w:val="20"/>
                <w:szCs w:val="20"/>
                <w:color w:val="auto"/>
              </w:rPr>
            </w:pPr>
            <w:r>
              <w:rPr>
                <w:rFonts w:ascii="Arial" w:cs="Arial" w:eastAsia="Arial" w:hAnsi="Arial"/>
                <w:sz w:val="18"/>
                <w:szCs w:val="18"/>
                <w:color w:val="auto"/>
                <w:w w:val="92"/>
              </w:rPr>
              <w:t>2.6%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14,571</w:t>
            </w:r>
          </w:p>
        </w:tc>
        <w:tc>
          <w:tcPr>
            <w:tcW w:w="900" w:type="dxa"/>
            <w:vAlign w:val="bottom"/>
          </w:tcPr>
          <w:p>
            <w:pPr>
              <w:jc w:val="center"/>
              <w:spacing w:after="0"/>
              <w:rPr>
                <w:sz w:val="20"/>
                <w:szCs w:val="20"/>
                <w:color w:val="auto"/>
              </w:rPr>
            </w:pPr>
            <w:r>
              <w:rPr>
                <w:rFonts w:ascii="Arial" w:cs="Arial" w:eastAsia="Arial" w:hAnsi="Arial"/>
                <w:sz w:val="18"/>
                <w:szCs w:val="18"/>
                <w:color w:val="auto"/>
                <w:w w:val="92"/>
              </w:rPr>
              <w:t>4.5%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37,283</w:t>
            </w:r>
          </w:p>
        </w:tc>
        <w:tc>
          <w:tcPr>
            <w:tcW w:w="160" w:type="dxa"/>
            <w:vAlign w:val="bottom"/>
          </w:tcPr>
          <w:p>
            <w:pPr>
              <w:spacing w:after="0"/>
              <w:rPr>
                <w:sz w:val="21"/>
                <w:szCs w:val="21"/>
                <w:color w:val="auto"/>
              </w:rPr>
            </w:pPr>
          </w:p>
        </w:tc>
        <w:tc>
          <w:tcPr>
            <w:tcW w:w="740" w:type="dxa"/>
            <w:vAlign w:val="bottom"/>
          </w:tcPr>
          <w:p>
            <w:pPr>
              <w:jc w:val="center"/>
              <w:ind w:right="70"/>
              <w:spacing w:after="0"/>
              <w:rPr>
                <w:sz w:val="20"/>
                <w:szCs w:val="20"/>
                <w:color w:val="auto"/>
              </w:rPr>
            </w:pPr>
            <w:r>
              <w:rPr>
                <w:rFonts w:ascii="Arial" w:cs="Arial" w:eastAsia="Arial" w:hAnsi="Arial"/>
                <w:sz w:val="18"/>
                <w:szCs w:val="18"/>
                <w:color w:val="auto"/>
                <w:w w:val="92"/>
              </w:rPr>
              <w:t>2.4%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55,536</w:t>
            </w:r>
          </w:p>
        </w:tc>
        <w:tc>
          <w:tcPr>
            <w:tcW w:w="160" w:type="dxa"/>
            <w:vAlign w:val="bottom"/>
          </w:tcPr>
          <w:p>
            <w:pPr>
              <w:spacing w:after="0"/>
              <w:rPr>
                <w:sz w:val="21"/>
                <w:szCs w:val="21"/>
                <w:color w:val="auto"/>
              </w:rPr>
            </w:pPr>
          </w:p>
        </w:tc>
        <w:tc>
          <w:tcPr>
            <w:tcW w:w="740" w:type="dxa"/>
            <w:vAlign w:val="bottom"/>
          </w:tcPr>
          <w:p>
            <w:pPr>
              <w:jc w:val="center"/>
              <w:ind w:right="70"/>
              <w:spacing w:after="0"/>
              <w:rPr>
                <w:sz w:val="20"/>
                <w:szCs w:val="20"/>
                <w:color w:val="auto"/>
              </w:rPr>
            </w:pPr>
            <w:r>
              <w:rPr>
                <w:rFonts w:ascii="Arial" w:cs="Arial" w:eastAsia="Arial" w:hAnsi="Arial"/>
                <w:sz w:val="18"/>
                <w:szCs w:val="18"/>
                <w:color w:val="auto"/>
                <w:w w:val="92"/>
              </w:rPr>
              <w:t>4.0%</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benefit</w:t>
            </w: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(10,286)</w:t>
            </w:r>
          </w:p>
        </w:tc>
        <w:tc>
          <w:tcPr>
            <w:tcW w:w="9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4"/>
              </w:rPr>
              <w:t>(2.9)%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(47,343)</w:t>
            </w:r>
          </w:p>
        </w:tc>
        <w:tc>
          <w:tcPr>
            <w:tcW w:w="9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(14.7)%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(18,785)</w:t>
            </w: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center"/>
              <w:ind w:right="70"/>
              <w:spacing w:after="0"/>
              <w:rPr>
                <w:sz w:val="20"/>
                <w:szCs w:val="20"/>
                <w:color w:val="auto"/>
              </w:rPr>
            </w:pPr>
            <w:r>
              <w:rPr>
                <w:rFonts w:ascii="Arial" w:cs="Arial" w:eastAsia="Arial" w:hAnsi="Arial"/>
                <w:sz w:val="18"/>
                <w:szCs w:val="18"/>
                <w:color w:val="auto"/>
                <w:w w:val="94"/>
              </w:rPr>
              <w:t>(1.2)%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(38,910)</w:t>
            </w: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center"/>
              <w:ind w:right="70"/>
              <w:spacing w:after="0"/>
              <w:rPr>
                <w:sz w:val="20"/>
                <w:szCs w:val="20"/>
                <w:color w:val="auto"/>
              </w:rPr>
            </w:pPr>
            <w:r>
              <w:rPr>
                <w:rFonts w:ascii="Arial" w:cs="Arial" w:eastAsia="Arial" w:hAnsi="Arial"/>
                <w:sz w:val="18"/>
                <w:szCs w:val="18"/>
                <w:color w:val="auto"/>
                <w:w w:val="94"/>
              </w:rPr>
              <w:t>(2.8)%</w:t>
            </w:r>
          </w:p>
        </w:tc>
        <w:tc>
          <w:tcPr>
            <w:tcW w:w="0" w:type="dxa"/>
            <w:vAlign w:val="bottom"/>
          </w:tcPr>
          <w:p>
            <w:pPr>
              <w:spacing w:after="0"/>
              <w:rPr>
                <w:sz w:val="1"/>
                <w:szCs w:val="1"/>
                <w:color w:val="auto"/>
              </w:rPr>
            </w:pP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rPr>
              <w:t>Depreciation and amortization</w:t>
            </w:r>
          </w:p>
        </w:tc>
        <w:tc>
          <w:tcPr>
            <w:tcW w:w="16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19,556</w:t>
            </w:r>
          </w:p>
        </w:tc>
        <w:tc>
          <w:tcPr>
            <w:tcW w:w="900" w:type="dxa"/>
            <w:vAlign w:val="bottom"/>
          </w:tcPr>
          <w:p>
            <w:pPr>
              <w:jc w:val="center"/>
              <w:spacing w:after="0"/>
              <w:rPr>
                <w:sz w:val="20"/>
                <w:szCs w:val="20"/>
                <w:color w:val="auto"/>
              </w:rPr>
            </w:pPr>
            <w:r>
              <w:rPr>
                <w:rFonts w:ascii="Arial" w:cs="Arial" w:eastAsia="Arial" w:hAnsi="Arial"/>
                <w:sz w:val="18"/>
                <w:szCs w:val="18"/>
                <w:color w:val="auto"/>
                <w:w w:val="92"/>
              </w:rPr>
              <w:t>5.5%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16,953</w:t>
            </w:r>
          </w:p>
        </w:tc>
        <w:tc>
          <w:tcPr>
            <w:tcW w:w="900" w:type="dxa"/>
            <w:vAlign w:val="bottom"/>
          </w:tcPr>
          <w:p>
            <w:pPr>
              <w:jc w:val="center"/>
              <w:spacing w:after="0"/>
              <w:rPr>
                <w:sz w:val="20"/>
                <w:szCs w:val="20"/>
                <w:color w:val="auto"/>
              </w:rPr>
            </w:pPr>
            <w:r>
              <w:rPr>
                <w:rFonts w:ascii="Arial" w:cs="Arial" w:eastAsia="Arial" w:hAnsi="Arial"/>
                <w:sz w:val="18"/>
                <w:szCs w:val="18"/>
                <w:color w:val="auto"/>
                <w:w w:val="92"/>
              </w:rPr>
              <w:t>5.3%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74,339</w:t>
            </w:r>
          </w:p>
        </w:tc>
        <w:tc>
          <w:tcPr>
            <w:tcW w:w="160" w:type="dxa"/>
            <w:vAlign w:val="bottom"/>
          </w:tcPr>
          <w:p>
            <w:pPr>
              <w:spacing w:after="0"/>
              <w:rPr>
                <w:sz w:val="21"/>
                <w:szCs w:val="21"/>
                <w:color w:val="auto"/>
              </w:rPr>
            </w:pPr>
          </w:p>
        </w:tc>
        <w:tc>
          <w:tcPr>
            <w:tcW w:w="740" w:type="dxa"/>
            <w:vAlign w:val="bottom"/>
          </w:tcPr>
          <w:p>
            <w:pPr>
              <w:jc w:val="center"/>
              <w:ind w:right="70"/>
              <w:spacing w:after="0"/>
              <w:rPr>
                <w:sz w:val="20"/>
                <w:szCs w:val="20"/>
                <w:color w:val="auto"/>
              </w:rPr>
            </w:pPr>
            <w:r>
              <w:rPr>
                <w:rFonts w:ascii="Arial" w:cs="Arial" w:eastAsia="Arial" w:hAnsi="Arial"/>
                <w:sz w:val="18"/>
                <w:szCs w:val="18"/>
                <w:color w:val="auto"/>
                <w:w w:val="92"/>
              </w:rPr>
              <w:t>4.8%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61,974</w:t>
            </w:r>
          </w:p>
        </w:tc>
        <w:tc>
          <w:tcPr>
            <w:tcW w:w="160" w:type="dxa"/>
            <w:vAlign w:val="bottom"/>
          </w:tcPr>
          <w:p>
            <w:pPr>
              <w:spacing w:after="0"/>
              <w:rPr>
                <w:sz w:val="21"/>
                <w:szCs w:val="21"/>
                <w:color w:val="auto"/>
              </w:rPr>
            </w:pPr>
          </w:p>
        </w:tc>
        <w:tc>
          <w:tcPr>
            <w:tcW w:w="740" w:type="dxa"/>
            <w:vAlign w:val="bottom"/>
          </w:tcPr>
          <w:p>
            <w:pPr>
              <w:jc w:val="center"/>
              <w:ind w:right="70"/>
              <w:spacing w:after="0"/>
              <w:rPr>
                <w:sz w:val="20"/>
                <w:szCs w:val="20"/>
                <w:color w:val="auto"/>
              </w:rPr>
            </w:pPr>
            <w:r>
              <w:rPr>
                <w:rFonts w:ascii="Arial" w:cs="Arial" w:eastAsia="Arial" w:hAnsi="Arial"/>
                <w:sz w:val="18"/>
                <w:szCs w:val="18"/>
                <w:color w:val="auto"/>
                <w:w w:val="92"/>
              </w:rPr>
              <w:t>4.5%</w:t>
            </w:r>
          </w:p>
        </w:tc>
        <w:tc>
          <w:tcPr>
            <w:tcW w:w="0" w:type="dxa"/>
            <w:vAlign w:val="bottom"/>
          </w:tcPr>
          <w:p>
            <w:pPr>
              <w:spacing w:after="0"/>
              <w:rPr>
                <w:sz w:val="1"/>
                <w:szCs w:val="1"/>
                <w:color w:val="auto"/>
              </w:rPr>
            </w:pPr>
          </w:p>
        </w:tc>
      </w:tr>
      <w:tr>
        <w:trPr>
          <w:trHeight w:val="27"/>
        </w:trPr>
        <w:tc>
          <w:tcPr>
            <w:tcW w:w="33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74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7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EBITDA</w:t>
            </w: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9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0.0%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11,522</w:t>
            </w:r>
          </w:p>
        </w:tc>
        <w:tc>
          <w:tcPr>
            <w:tcW w:w="9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3.6%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116,490</w:t>
            </w: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center"/>
              <w:ind w:right="70"/>
              <w:spacing w:after="0"/>
              <w:rPr>
                <w:sz w:val="20"/>
                <w:szCs w:val="20"/>
                <w:color w:val="auto"/>
              </w:rPr>
            </w:pPr>
            <w:r>
              <w:rPr>
                <w:rFonts w:ascii="Arial" w:cs="Arial" w:eastAsia="Arial" w:hAnsi="Arial"/>
                <w:sz w:val="18"/>
                <w:szCs w:val="18"/>
                <w:color w:val="auto"/>
                <w:w w:val="92"/>
              </w:rPr>
              <w:t>7.6%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121,738</w:t>
            </w: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center"/>
              <w:ind w:right="70"/>
              <w:spacing w:after="0"/>
              <w:rPr>
                <w:sz w:val="20"/>
                <w:szCs w:val="20"/>
                <w:color w:val="auto"/>
              </w:rPr>
            </w:pPr>
            <w:r>
              <w:rPr>
                <w:rFonts w:ascii="Arial" w:cs="Arial" w:eastAsia="Arial" w:hAnsi="Arial"/>
                <w:sz w:val="18"/>
                <w:szCs w:val="18"/>
                <w:color w:val="auto"/>
                <w:w w:val="92"/>
              </w:rPr>
              <w:t>8.9%</w:t>
            </w:r>
          </w:p>
        </w:tc>
        <w:tc>
          <w:tcPr>
            <w:tcW w:w="0" w:type="dxa"/>
            <w:vAlign w:val="bottom"/>
          </w:tcPr>
          <w:p>
            <w:pPr>
              <w:spacing w:after="0"/>
              <w:rPr>
                <w:sz w:val="1"/>
                <w:szCs w:val="1"/>
                <w:color w:val="auto"/>
              </w:rPr>
            </w:pPr>
          </w:p>
        </w:tc>
      </w:tr>
      <w:tr>
        <w:trPr>
          <w:trHeight w:val="270"/>
        </w:trPr>
        <w:tc>
          <w:tcPr>
            <w:tcW w:w="33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34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Stock compensation expense </w:t>
            </w:r>
            <w:r>
              <w:rPr>
                <w:rFonts w:ascii="Arial" w:cs="Arial" w:eastAsia="Arial" w:hAnsi="Arial"/>
                <w:sz w:val="25"/>
                <w:szCs w:val="25"/>
                <w:color w:val="auto"/>
                <w:vertAlign w:val="superscript"/>
              </w:rPr>
              <w:t>(a)</w:t>
            </w:r>
          </w:p>
        </w:tc>
        <w:tc>
          <w:tcPr>
            <w:tcW w:w="16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7,190</w:t>
            </w:r>
          </w:p>
        </w:tc>
        <w:tc>
          <w:tcPr>
            <w:tcW w:w="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2.0%</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2,012</w:t>
            </w:r>
          </w:p>
        </w:tc>
        <w:tc>
          <w:tcPr>
            <w:tcW w:w="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0.6%</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20,939</w:t>
            </w:r>
          </w:p>
        </w:tc>
        <w:tc>
          <w:tcPr>
            <w:tcW w:w="160" w:type="dxa"/>
            <w:vAlign w:val="bottom"/>
            <w:shd w:val="clear" w:color="auto" w:fill="CCEEFF"/>
          </w:tcPr>
          <w:p>
            <w:pPr>
              <w:spacing w:after="0"/>
              <w:rPr>
                <w:sz w:val="23"/>
                <w:szCs w:val="23"/>
                <w:color w:val="auto"/>
              </w:rPr>
            </w:pPr>
          </w:p>
        </w:tc>
        <w:tc>
          <w:tcPr>
            <w:tcW w:w="740" w:type="dxa"/>
            <w:vAlign w:val="bottom"/>
            <w:shd w:val="clear" w:color="auto" w:fill="CCEEFF"/>
          </w:tcPr>
          <w:p>
            <w:pPr>
              <w:jc w:val="center"/>
              <w:ind w:right="70"/>
              <w:spacing w:after="0"/>
              <w:rPr>
                <w:sz w:val="20"/>
                <w:szCs w:val="20"/>
                <w:color w:val="auto"/>
              </w:rPr>
            </w:pPr>
            <w:r>
              <w:rPr>
                <w:rFonts w:ascii="Arial" w:cs="Arial" w:eastAsia="Arial" w:hAnsi="Arial"/>
                <w:sz w:val="18"/>
                <w:szCs w:val="18"/>
                <w:color w:val="auto"/>
                <w:w w:val="92"/>
              </w:rPr>
              <w:t>1.4%</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5,152</w:t>
            </w:r>
          </w:p>
        </w:tc>
        <w:tc>
          <w:tcPr>
            <w:tcW w:w="160" w:type="dxa"/>
            <w:vAlign w:val="bottom"/>
            <w:shd w:val="clear" w:color="auto" w:fill="CCEEFF"/>
          </w:tcPr>
          <w:p>
            <w:pPr>
              <w:spacing w:after="0"/>
              <w:rPr>
                <w:sz w:val="23"/>
                <w:szCs w:val="23"/>
                <w:color w:val="auto"/>
              </w:rPr>
            </w:pPr>
          </w:p>
        </w:tc>
        <w:tc>
          <w:tcPr>
            <w:tcW w:w="740" w:type="dxa"/>
            <w:vAlign w:val="bottom"/>
            <w:shd w:val="clear" w:color="auto" w:fill="CCEEFF"/>
          </w:tcPr>
          <w:p>
            <w:pPr>
              <w:jc w:val="center"/>
              <w:ind w:right="70"/>
              <w:spacing w:after="0"/>
              <w:rPr>
                <w:sz w:val="20"/>
                <w:szCs w:val="20"/>
                <w:color w:val="auto"/>
              </w:rPr>
            </w:pPr>
            <w:r>
              <w:rPr>
                <w:rFonts w:ascii="Arial" w:cs="Arial" w:eastAsia="Arial" w:hAnsi="Arial"/>
                <w:sz w:val="18"/>
                <w:szCs w:val="18"/>
                <w:color w:val="auto"/>
                <w:w w:val="92"/>
              </w:rPr>
              <w:t>0.4%</w:t>
            </w:r>
          </w:p>
        </w:tc>
        <w:tc>
          <w:tcPr>
            <w:tcW w:w="0" w:type="dxa"/>
            <w:vAlign w:val="bottom"/>
          </w:tcPr>
          <w:p>
            <w:pPr>
              <w:spacing w:after="0"/>
              <w:rPr>
                <w:sz w:val="1"/>
                <w:szCs w:val="1"/>
                <w:color w:val="auto"/>
              </w:rPr>
            </w:pPr>
          </w:p>
        </w:tc>
      </w:tr>
      <w:tr>
        <w:trPr>
          <w:trHeight w:val="270"/>
        </w:trPr>
        <w:tc>
          <w:tcPr>
            <w:tcW w:w="334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Debt issuance costs </w:t>
            </w:r>
            <w:r>
              <w:rPr>
                <w:rFonts w:ascii="Arial" w:cs="Arial" w:eastAsia="Arial" w:hAnsi="Arial"/>
                <w:sz w:val="25"/>
                <w:szCs w:val="25"/>
                <w:color w:val="auto"/>
                <w:vertAlign w:val="superscript"/>
              </w:rPr>
              <w:t>(b)</w:t>
            </w:r>
          </w:p>
        </w:tc>
        <w:tc>
          <w:tcPr>
            <w:tcW w:w="160" w:type="dxa"/>
            <w:vAlign w:val="bottom"/>
          </w:tcPr>
          <w:p>
            <w:pPr>
              <w:spacing w:after="0"/>
              <w:rPr>
                <w:sz w:val="23"/>
                <w:szCs w:val="23"/>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200</w:t>
            </w:r>
          </w:p>
        </w:tc>
        <w:tc>
          <w:tcPr>
            <w:tcW w:w="900" w:type="dxa"/>
            <w:vAlign w:val="bottom"/>
          </w:tcPr>
          <w:p>
            <w:pPr>
              <w:jc w:val="center"/>
              <w:spacing w:after="0"/>
              <w:rPr>
                <w:sz w:val="20"/>
                <w:szCs w:val="20"/>
                <w:color w:val="auto"/>
              </w:rPr>
            </w:pPr>
            <w:r>
              <w:rPr>
                <w:rFonts w:ascii="Arial" w:cs="Arial" w:eastAsia="Arial" w:hAnsi="Arial"/>
                <w:sz w:val="18"/>
                <w:szCs w:val="18"/>
                <w:color w:val="auto"/>
                <w:w w:val="92"/>
              </w:rPr>
              <w:t>0.1%</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1,825</w:t>
            </w:r>
          </w:p>
        </w:tc>
        <w:tc>
          <w:tcPr>
            <w:tcW w:w="900" w:type="dxa"/>
            <w:vAlign w:val="bottom"/>
          </w:tcPr>
          <w:p>
            <w:pPr>
              <w:jc w:val="center"/>
              <w:spacing w:after="0"/>
              <w:rPr>
                <w:sz w:val="20"/>
                <w:szCs w:val="20"/>
                <w:color w:val="auto"/>
              </w:rPr>
            </w:pPr>
            <w:r>
              <w:rPr>
                <w:rFonts w:ascii="Arial" w:cs="Arial" w:eastAsia="Arial" w:hAnsi="Arial"/>
                <w:sz w:val="18"/>
                <w:szCs w:val="18"/>
                <w:color w:val="auto"/>
                <w:w w:val="92"/>
              </w:rPr>
              <w:t>0.6%</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200</w:t>
            </w:r>
          </w:p>
        </w:tc>
        <w:tc>
          <w:tcPr>
            <w:tcW w:w="160" w:type="dxa"/>
            <w:vAlign w:val="bottom"/>
          </w:tcPr>
          <w:p>
            <w:pPr>
              <w:spacing w:after="0"/>
              <w:rPr>
                <w:sz w:val="23"/>
                <w:szCs w:val="23"/>
                <w:color w:val="auto"/>
              </w:rPr>
            </w:pPr>
          </w:p>
        </w:tc>
        <w:tc>
          <w:tcPr>
            <w:tcW w:w="740" w:type="dxa"/>
            <w:vAlign w:val="bottom"/>
          </w:tcPr>
          <w:p>
            <w:pPr>
              <w:jc w:val="center"/>
              <w:ind w:right="70"/>
              <w:spacing w:after="0"/>
              <w:rPr>
                <w:sz w:val="20"/>
                <w:szCs w:val="20"/>
                <w:color w:val="auto"/>
              </w:rPr>
            </w:pPr>
            <w:r>
              <w:rPr>
                <w:rFonts w:ascii="Arial" w:cs="Arial" w:eastAsia="Arial" w:hAnsi="Arial"/>
                <w:sz w:val="18"/>
                <w:szCs w:val="18"/>
                <w:color w:val="auto"/>
                <w:w w:val="92"/>
              </w:rPr>
              <w:t>0.0%</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4,527</w:t>
            </w:r>
          </w:p>
        </w:tc>
        <w:tc>
          <w:tcPr>
            <w:tcW w:w="160" w:type="dxa"/>
            <w:vAlign w:val="bottom"/>
          </w:tcPr>
          <w:p>
            <w:pPr>
              <w:spacing w:after="0"/>
              <w:rPr>
                <w:sz w:val="23"/>
                <w:szCs w:val="23"/>
                <w:color w:val="auto"/>
              </w:rPr>
            </w:pPr>
          </w:p>
        </w:tc>
        <w:tc>
          <w:tcPr>
            <w:tcW w:w="740" w:type="dxa"/>
            <w:vAlign w:val="bottom"/>
          </w:tcPr>
          <w:p>
            <w:pPr>
              <w:jc w:val="center"/>
              <w:ind w:right="70"/>
              <w:spacing w:after="0"/>
              <w:rPr>
                <w:sz w:val="20"/>
                <w:szCs w:val="20"/>
                <w:color w:val="auto"/>
              </w:rPr>
            </w:pPr>
            <w:r>
              <w:rPr>
                <w:rFonts w:ascii="Arial" w:cs="Arial" w:eastAsia="Arial" w:hAnsi="Arial"/>
                <w:sz w:val="18"/>
                <w:szCs w:val="18"/>
                <w:color w:val="auto"/>
                <w:w w:val="92"/>
              </w:rPr>
              <w:t>0.3%</w:t>
            </w:r>
          </w:p>
        </w:tc>
        <w:tc>
          <w:tcPr>
            <w:tcW w:w="0" w:type="dxa"/>
            <w:vAlign w:val="bottom"/>
          </w:tcPr>
          <w:p>
            <w:pPr>
              <w:spacing w:after="0"/>
              <w:rPr>
                <w:sz w:val="1"/>
                <w:szCs w:val="1"/>
                <w:color w:val="auto"/>
              </w:rPr>
            </w:pPr>
          </w:p>
        </w:tc>
      </w:tr>
      <w:tr>
        <w:trPr>
          <w:trHeight w:val="270"/>
        </w:trPr>
        <w:tc>
          <w:tcPr>
            <w:tcW w:w="334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Asset impairment </w:t>
            </w:r>
            <w:r>
              <w:rPr>
                <w:rFonts w:ascii="Arial" w:cs="Arial" w:eastAsia="Arial" w:hAnsi="Arial"/>
                <w:sz w:val="25"/>
                <w:szCs w:val="25"/>
                <w:color w:val="auto"/>
                <w:vertAlign w:val="superscript"/>
              </w:rPr>
              <w:t>(c)</w:t>
            </w:r>
          </w:p>
        </w:tc>
        <w:tc>
          <w:tcPr>
            <w:tcW w:w="16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15,493</w:t>
            </w:r>
          </w:p>
        </w:tc>
        <w:tc>
          <w:tcPr>
            <w:tcW w:w="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4.4%</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3,117</w:t>
            </w:r>
          </w:p>
        </w:tc>
        <w:tc>
          <w:tcPr>
            <w:tcW w:w="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1.0%</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17,630</w:t>
            </w:r>
          </w:p>
        </w:tc>
        <w:tc>
          <w:tcPr>
            <w:tcW w:w="160" w:type="dxa"/>
            <w:vAlign w:val="bottom"/>
            <w:shd w:val="clear" w:color="auto" w:fill="CCEEFF"/>
          </w:tcPr>
          <w:p>
            <w:pPr>
              <w:spacing w:after="0"/>
              <w:rPr>
                <w:sz w:val="23"/>
                <w:szCs w:val="23"/>
                <w:color w:val="auto"/>
              </w:rPr>
            </w:pPr>
          </w:p>
        </w:tc>
        <w:tc>
          <w:tcPr>
            <w:tcW w:w="740" w:type="dxa"/>
            <w:vAlign w:val="bottom"/>
            <w:shd w:val="clear" w:color="auto" w:fill="CCEEFF"/>
          </w:tcPr>
          <w:p>
            <w:pPr>
              <w:jc w:val="center"/>
              <w:ind w:right="70"/>
              <w:spacing w:after="0"/>
              <w:rPr>
                <w:sz w:val="20"/>
                <w:szCs w:val="20"/>
                <w:color w:val="auto"/>
              </w:rPr>
            </w:pPr>
            <w:r>
              <w:rPr>
                <w:rFonts w:ascii="Arial" w:cs="Arial" w:eastAsia="Arial" w:hAnsi="Arial"/>
                <w:sz w:val="18"/>
                <w:szCs w:val="18"/>
                <w:color w:val="auto"/>
                <w:w w:val="92"/>
              </w:rPr>
              <w:t>1.1%</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4,117</w:t>
            </w:r>
          </w:p>
        </w:tc>
        <w:tc>
          <w:tcPr>
            <w:tcW w:w="160" w:type="dxa"/>
            <w:vAlign w:val="bottom"/>
            <w:shd w:val="clear" w:color="auto" w:fill="CCEEFF"/>
          </w:tcPr>
          <w:p>
            <w:pPr>
              <w:spacing w:after="0"/>
              <w:rPr>
                <w:sz w:val="23"/>
                <w:szCs w:val="23"/>
                <w:color w:val="auto"/>
              </w:rPr>
            </w:pPr>
          </w:p>
        </w:tc>
        <w:tc>
          <w:tcPr>
            <w:tcW w:w="740" w:type="dxa"/>
            <w:vAlign w:val="bottom"/>
            <w:shd w:val="clear" w:color="auto" w:fill="CCEEFF"/>
          </w:tcPr>
          <w:p>
            <w:pPr>
              <w:jc w:val="center"/>
              <w:ind w:right="70"/>
              <w:spacing w:after="0"/>
              <w:rPr>
                <w:sz w:val="20"/>
                <w:szCs w:val="20"/>
                <w:color w:val="auto"/>
              </w:rPr>
            </w:pPr>
            <w:r>
              <w:rPr>
                <w:rFonts w:ascii="Arial" w:cs="Arial" w:eastAsia="Arial" w:hAnsi="Arial"/>
                <w:sz w:val="18"/>
                <w:szCs w:val="18"/>
                <w:color w:val="auto"/>
                <w:w w:val="92"/>
              </w:rPr>
              <w:t>0.3%</w:t>
            </w:r>
          </w:p>
        </w:tc>
        <w:tc>
          <w:tcPr>
            <w:tcW w:w="0" w:type="dxa"/>
            <w:vAlign w:val="bottom"/>
          </w:tcPr>
          <w:p>
            <w:pPr>
              <w:spacing w:after="0"/>
              <w:rPr>
                <w:sz w:val="1"/>
                <w:szCs w:val="1"/>
                <w:color w:val="auto"/>
              </w:rPr>
            </w:pPr>
          </w:p>
        </w:tc>
      </w:tr>
      <w:tr>
        <w:trPr>
          <w:trHeight w:val="270"/>
        </w:trPr>
        <w:tc>
          <w:tcPr>
            <w:tcW w:w="334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Non-cash inventory write-offs </w:t>
            </w:r>
            <w:r>
              <w:rPr>
                <w:rFonts w:ascii="Arial" w:cs="Arial" w:eastAsia="Arial" w:hAnsi="Arial"/>
                <w:sz w:val="25"/>
                <w:szCs w:val="25"/>
                <w:color w:val="auto"/>
                <w:vertAlign w:val="superscript"/>
              </w:rPr>
              <w:t>(d)</w:t>
            </w:r>
          </w:p>
        </w:tc>
        <w:tc>
          <w:tcPr>
            <w:tcW w:w="160" w:type="dxa"/>
            <w:vAlign w:val="bottom"/>
          </w:tcPr>
          <w:p>
            <w:pPr>
              <w:spacing w:after="0"/>
              <w:rPr>
                <w:sz w:val="23"/>
                <w:szCs w:val="23"/>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w:t>
            </w:r>
          </w:p>
        </w:tc>
        <w:tc>
          <w:tcPr>
            <w:tcW w:w="160" w:type="dxa"/>
            <w:vAlign w:val="bottom"/>
          </w:tcPr>
          <w:p>
            <w:pPr>
              <w:spacing w:after="0"/>
              <w:rPr>
                <w:sz w:val="23"/>
                <w:szCs w:val="23"/>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w:t>
            </w:r>
          </w:p>
        </w:tc>
        <w:tc>
          <w:tcPr>
            <w:tcW w:w="240" w:type="dxa"/>
            <w:vAlign w:val="bottom"/>
          </w:tcPr>
          <w:p>
            <w:pPr>
              <w:spacing w:after="0"/>
              <w:rPr>
                <w:sz w:val="23"/>
                <w:szCs w:val="23"/>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center"/>
              <w:ind w:right="260"/>
              <w:spacing w:after="0"/>
              <w:rPr>
                <w:sz w:val="20"/>
                <w:szCs w:val="20"/>
                <w:color w:val="auto"/>
              </w:rPr>
            </w:pPr>
            <w:r>
              <w:rPr>
                <w:rFonts w:ascii="Arial" w:cs="Arial" w:eastAsia="Arial" w:hAnsi="Arial"/>
                <w:sz w:val="18"/>
                <w:szCs w:val="18"/>
                <w:color w:val="auto"/>
                <w:w w:val="99"/>
              </w:rPr>
              <w:t>—%</w:t>
            </w:r>
          </w:p>
        </w:tc>
        <w:tc>
          <w:tcPr>
            <w:tcW w:w="240" w:type="dxa"/>
            <w:vAlign w:val="bottom"/>
          </w:tcPr>
          <w:p>
            <w:pPr>
              <w:spacing w:after="0"/>
              <w:rPr>
                <w:sz w:val="23"/>
                <w:szCs w:val="23"/>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2,271</w:t>
            </w:r>
          </w:p>
        </w:tc>
        <w:tc>
          <w:tcPr>
            <w:tcW w:w="160" w:type="dxa"/>
            <w:vAlign w:val="bottom"/>
          </w:tcPr>
          <w:p>
            <w:pPr>
              <w:spacing w:after="0"/>
              <w:rPr>
                <w:sz w:val="23"/>
                <w:szCs w:val="23"/>
                <w:color w:val="auto"/>
              </w:rPr>
            </w:pPr>
          </w:p>
        </w:tc>
        <w:tc>
          <w:tcPr>
            <w:tcW w:w="740" w:type="dxa"/>
            <w:vAlign w:val="bottom"/>
          </w:tcPr>
          <w:p>
            <w:pPr>
              <w:jc w:val="center"/>
              <w:ind w:right="70"/>
              <w:spacing w:after="0"/>
              <w:rPr>
                <w:sz w:val="20"/>
                <w:szCs w:val="20"/>
                <w:color w:val="auto"/>
              </w:rPr>
            </w:pPr>
            <w:r>
              <w:rPr>
                <w:rFonts w:ascii="Arial" w:cs="Arial" w:eastAsia="Arial" w:hAnsi="Arial"/>
                <w:sz w:val="18"/>
                <w:szCs w:val="18"/>
                <w:color w:val="auto"/>
                <w:w w:val="92"/>
              </w:rPr>
              <w:t>0.2%</w:t>
            </w:r>
          </w:p>
        </w:tc>
        <w:tc>
          <w:tcPr>
            <w:tcW w:w="0" w:type="dxa"/>
            <w:vAlign w:val="bottom"/>
          </w:tcPr>
          <w:p>
            <w:pPr>
              <w:spacing w:after="0"/>
              <w:rPr>
                <w:sz w:val="1"/>
                <w:szCs w:val="1"/>
                <w:color w:val="auto"/>
              </w:rPr>
            </w:pPr>
          </w:p>
        </w:tc>
      </w:tr>
      <w:tr>
        <w:trPr>
          <w:trHeight w:val="270"/>
        </w:trPr>
        <w:tc>
          <w:tcPr>
            <w:tcW w:w="334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Management fees </w:t>
            </w:r>
            <w:r>
              <w:rPr>
                <w:rFonts w:ascii="Arial" w:cs="Arial" w:eastAsia="Arial" w:hAnsi="Arial"/>
                <w:sz w:val="25"/>
                <w:szCs w:val="25"/>
                <w:color w:val="auto"/>
                <w:vertAlign w:val="superscript"/>
              </w:rPr>
              <w:t>(e)</w:t>
            </w:r>
          </w:p>
        </w:tc>
        <w:tc>
          <w:tcPr>
            <w:tcW w:w="16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9"/>
              </w:rPr>
              <w:t>—%</w:t>
            </w:r>
          </w:p>
        </w:tc>
        <w:tc>
          <w:tcPr>
            <w:tcW w:w="16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4,418</w:t>
            </w:r>
          </w:p>
        </w:tc>
        <w:tc>
          <w:tcPr>
            <w:tcW w:w="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1.4%</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center"/>
              <w:ind w:right="260"/>
              <w:spacing w:after="0"/>
              <w:rPr>
                <w:sz w:val="20"/>
                <w:szCs w:val="20"/>
                <w:color w:val="auto"/>
              </w:rPr>
            </w:pPr>
            <w:r>
              <w:rPr>
                <w:rFonts w:ascii="Arial" w:cs="Arial" w:eastAsia="Arial" w:hAnsi="Arial"/>
                <w:sz w:val="18"/>
                <w:szCs w:val="18"/>
                <w:color w:val="auto"/>
                <w:w w:val="99"/>
              </w:rPr>
              <w:t>—%</w:t>
            </w:r>
          </w:p>
        </w:tc>
        <w:tc>
          <w:tcPr>
            <w:tcW w:w="24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5,263</w:t>
            </w:r>
          </w:p>
        </w:tc>
        <w:tc>
          <w:tcPr>
            <w:tcW w:w="160" w:type="dxa"/>
            <w:vAlign w:val="bottom"/>
            <w:shd w:val="clear" w:color="auto" w:fill="CCEEFF"/>
          </w:tcPr>
          <w:p>
            <w:pPr>
              <w:spacing w:after="0"/>
              <w:rPr>
                <w:sz w:val="23"/>
                <w:szCs w:val="23"/>
                <w:color w:val="auto"/>
              </w:rPr>
            </w:pPr>
          </w:p>
        </w:tc>
        <w:tc>
          <w:tcPr>
            <w:tcW w:w="740" w:type="dxa"/>
            <w:vAlign w:val="bottom"/>
            <w:shd w:val="clear" w:color="auto" w:fill="CCEEFF"/>
          </w:tcPr>
          <w:p>
            <w:pPr>
              <w:jc w:val="center"/>
              <w:ind w:right="70"/>
              <w:spacing w:after="0"/>
              <w:rPr>
                <w:sz w:val="20"/>
                <w:szCs w:val="20"/>
                <w:color w:val="auto"/>
              </w:rPr>
            </w:pPr>
            <w:r>
              <w:rPr>
                <w:rFonts w:ascii="Arial" w:cs="Arial" w:eastAsia="Arial" w:hAnsi="Arial"/>
                <w:sz w:val="18"/>
                <w:szCs w:val="18"/>
                <w:color w:val="auto"/>
                <w:w w:val="92"/>
              </w:rPr>
              <w:t>0.4%</w:t>
            </w:r>
          </w:p>
        </w:tc>
        <w:tc>
          <w:tcPr>
            <w:tcW w:w="0" w:type="dxa"/>
            <w:vAlign w:val="bottom"/>
          </w:tcPr>
          <w:p>
            <w:pPr>
              <w:spacing w:after="0"/>
              <w:rPr>
                <w:sz w:val="1"/>
                <w:szCs w:val="1"/>
                <w:color w:val="auto"/>
              </w:rPr>
            </w:pPr>
          </w:p>
        </w:tc>
      </w:tr>
      <w:tr>
        <w:trPr>
          <w:trHeight w:val="270"/>
        </w:trPr>
        <w:tc>
          <w:tcPr>
            <w:tcW w:w="334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New store pre-opening expenses </w:t>
            </w:r>
            <w:r>
              <w:rPr>
                <w:rFonts w:ascii="Arial" w:cs="Arial" w:eastAsia="Arial" w:hAnsi="Arial"/>
                <w:sz w:val="25"/>
                <w:szCs w:val="25"/>
                <w:color w:val="auto"/>
                <w:vertAlign w:val="superscript"/>
              </w:rPr>
              <w:t>(f)</w:t>
            </w:r>
          </w:p>
        </w:tc>
        <w:tc>
          <w:tcPr>
            <w:tcW w:w="160" w:type="dxa"/>
            <w:vAlign w:val="bottom"/>
          </w:tcPr>
          <w:p>
            <w:pPr>
              <w:spacing w:after="0"/>
              <w:rPr>
                <w:sz w:val="23"/>
                <w:szCs w:val="23"/>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487</w:t>
            </w:r>
          </w:p>
        </w:tc>
        <w:tc>
          <w:tcPr>
            <w:tcW w:w="900" w:type="dxa"/>
            <w:vAlign w:val="bottom"/>
          </w:tcPr>
          <w:p>
            <w:pPr>
              <w:jc w:val="center"/>
              <w:spacing w:after="0"/>
              <w:rPr>
                <w:sz w:val="20"/>
                <w:szCs w:val="20"/>
                <w:color w:val="auto"/>
              </w:rPr>
            </w:pPr>
            <w:r>
              <w:rPr>
                <w:rFonts w:ascii="Arial" w:cs="Arial" w:eastAsia="Arial" w:hAnsi="Arial"/>
                <w:sz w:val="18"/>
                <w:szCs w:val="18"/>
                <w:color w:val="auto"/>
                <w:w w:val="92"/>
              </w:rPr>
              <w:t>0.1%</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635</w:t>
            </w:r>
          </w:p>
        </w:tc>
        <w:tc>
          <w:tcPr>
            <w:tcW w:w="900" w:type="dxa"/>
            <w:vAlign w:val="bottom"/>
          </w:tcPr>
          <w:p>
            <w:pPr>
              <w:jc w:val="center"/>
              <w:spacing w:after="0"/>
              <w:rPr>
                <w:sz w:val="20"/>
                <w:szCs w:val="20"/>
                <w:color w:val="auto"/>
              </w:rPr>
            </w:pPr>
            <w:r>
              <w:rPr>
                <w:rFonts w:ascii="Arial" w:cs="Arial" w:eastAsia="Arial" w:hAnsi="Arial"/>
                <w:sz w:val="18"/>
                <w:szCs w:val="18"/>
                <w:color w:val="auto"/>
                <w:w w:val="92"/>
              </w:rPr>
              <w:t>0.2%</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2,229</w:t>
            </w:r>
          </w:p>
        </w:tc>
        <w:tc>
          <w:tcPr>
            <w:tcW w:w="160" w:type="dxa"/>
            <w:vAlign w:val="bottom"/>
          </w:tcPr>
          <w:p>
            <w:pPr>
              <w:spacing w:after="0"/>
              <w:rPr>
                <w:sz w:val="23"/>
                <w:szCs w:val="23"/>
                <w:color w:val="auto"/>
              </w:rPr>
            </w:pPr>
          </w:p>
        </w:tc>
        <w:tc>
          <w:tcPr>
            <w:tcW w:w="740" w:type="dxa"/>
            <w:vAlign w:val="bottom"/>
          </w:tcPr>
          <w:p>
            <w:pPr>
              <w:jc w:val="center"/>
              <w:ind w:right="70"/>
              <w:spacing w:after="0"/>
              <w:rPr>
                <w:sz w:val="20"/>
                <w:szCs w:val="20"/>
                <w:color w:val="auto"/>
              </w:rPr>
            </w:pPr>
            <w:r>
              <w:rPr>
                <w:rFonts w:ascii="Arial" w:cs="Arial" w:eastAsia="Arial" w:hAnsi="Arial"/>
                <w:sz w:val="18"/>
                <w:szCs w:val="18"/>
                <w:color w:val="auto"/>
                <w:w w:val="92"/>
              </w:rPr>
              <w:t>0.1%</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2,531</w:t>
            </w:r>
          </w:p>
        </w:tc>
        <w:tc>
          <w:tcPr>
            <w:tcW w:w="160" w:type="dxa"/>
            <w:vAlign w:val="bottom"/>
          </w:tcPr>
          <w:p>
            <w:pPr>
              <w:spacing w:after="0"/>
              <w:rPr>
                <w:sz w:val="23"/>
                <w:szCs w:val="23"/>
                <w:color w:val="auto"/>
              </w:rPr>
            </w:pPr>
          </w:p>
        </w:tc>
        <w:tc>
          <w:tcPr>
            <w:tcW w:w="740" w:type="dxa"/>
            <w:vAlign w:val="bottom"/>
          </w:tcPr>
          <w:p>
            <w:pPr>
              <w:jc w:val="center"/>
              <w:ind w:right="70"/>
              <w:spacing w:after="0"/>
              <w:rPr>
                <w:sz w:val="20"/>
                <w:szCs w:val="20"/>
                <w:color w:val="auto"/>
              </w:rPr>
            </w:pPr>
            <w:r>
              <w:rPr>
                <w:rFonts w:ascii="Arial" w:cs="Arial" w:eastAsia="Arial" w:hAnsi="Arial"/>
                <w:sz w:val="18"/>
                <w:szCs w:val="18"/>
                <w:color w:val="auto"/>
                <w:w w:val="92"/>
              </w:rPr>
              <w:t>0.2%</w:t>
            </w:r>
          </w:p>
        </w:tc>
        <w:tc>
          <w:tcPr>
            <w:tcW w:w="0" w:type="dxa"/>
            <w:vAlign w:val="bottom"/>
          </w:tcPr>
          <w:p>
            <w:pPr>
              <w:spacing w:after="0"/>
              <w:rPr>
                <w:sz w:val="1"/>
                <w:szCs w:val="1"/>
                <w:color w:val="auto"/>
              </w:rPr>
            </w:pPr>
          </w:p>
        </w:tc>
      </w:tr>
      <w:tr>
        <w:trPr>
          <w:trHeight w:val="270"/>
        </w:trPr>
        <w:tc>
          <w:tcPr>
            <w:tcW w:w="334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Non-cash rent </w:t>
            </w:r>
            <w:r>
              <w:rPr>
                <w:rFonts w:ascii="Arial" w:cs="Arial" w:eastAsia="Arial" w:hAnsi="Arial"/>
                <w:sz w:val="25"/>
                <w:szCs w:val="25"/>
                <w:color w:val="auto"/>
                <w:vertAlign w:val="superscript"/>
              </w:rPr>
              <w:t>(g)</w:t>
            </w:r>
          </w:p>
        </w:tc>
        <w:tc>
          <w:tcPr>
            <w:tcW w:w="16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867</w:t>
            </w:r>
          </w:p>
        </w:tc>
        <w:tc>
          <w:tcPr>
            <w:tcW w:w="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0.2%</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289</w:t>
            </w:r>
          </w:p>
        </w:tc>
        <w:tc>
          <w:tcPr>
            <w:tcW w:w="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0.1%</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2,801</w:t>
            </w:r>
          </w:p>
        </w:tc>
        <w:tc>
          <w:tcPr>
            <w:tcW w:w="160" w:type="dxa"/>
            <w:vAlign w:val="bottom"/>
            <w:shd w:val="clear" w:color="auto" w:fill="CCEEFF"/>
          </w:tcPr>
          <w:p>
            <w:pPr>
              <w:spacing w:after="0"/>
              <w:rPr>
                <w:sz w:val="23"/>
                <w:szCs w:val="23"/>
                <w:color w:val="auto"/>
              </w:rPr>
            </w:pPr>
          </w:p>
        </w:tc>
        <w:tc>
          <w:tcPr>
            <w:tcW w:w="740" w:type="dxa"/>
            <w:vAlign w:val="bottom"/>
            <w:shd w:val="clear" w:color="auto" w:fill="CCEEFF"/>
          </w:tcPr>
          <w:p>
            <w:pPr>
              <w:jc w:val="center"/>
              <w:ind w:right="70"/>
              <w:spacing w:after="0"/>
              <w:rPr>
                <w:sz w:val="20"/>
                <w:szCs w:val="20"/>
                <w:color w:val="auto"/>
              </w:rPr>
            </w:pPr>
            <w:r>
              <w:rPr>
                <w:rFonts w:ascii="Arial" w:cs="Arial" w:eastAsia="Arial" w:hAnsi="Arial"/>
                <w:sz w:val="18"/>
                <w:szCs w:val="18"/>
                <w:color w:val="auto"/>
                <w:w w:val="92"/>
              </w:rPr>
              <w:t>0.2%</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1,919</w:t>
            </w:r>
          </w:p>
        </w:tc>
        <w:tc>
          <w:tcPr>
            <w:tcW w:w="160" w:type="dxa"/>
            <w:vAlign w:val="bottom"/>
            <w:shd w:val="clear" w:color="auto" w:fill="CCEEFF"/>
          </w:tcPr>
          <w:p>
            <w:pPr>
              <w:spacing w:after="0"/>
              <w:rPr>
                <w:sz w:val="23"/>
                <w:szCs w:val="23"/>
                <w:color w:val="auto"/>
              </w:rPr>
            </w:pPr>
          </w:p>
        </w:tc>
        <w:tc>
          <w:tcPr>
            <w:tcW w:w="740" w:type="dxa"/>
            <w:vAlign w:val="bottom"/>
            <w:shd w:val="clear" w:color="auto" w:fill="CCEEFF"/>
          </w:tcPr>
          <w:p>
            <w:pPr>
              <w:jc w:val="center"/>
              <w:ind w:right="70"/>
              <w:spacing w:after="0"/>
              <w:rPr>
                <w:sz w:val="20"/>
                <w:szCs w:val="20"/>
                <w:color w:val="auto"/>
              </w:rPr>
            </w:pPr>
            <w:r>
              <w:rPr>
                <w:rFonts w:ascii="Arial" w:cs="Arial" w:eastAsia="Arial" w:hAnsi="Arial"/>
                <w:sz w:val="18"/>
                <w:szCs w:val="18"/>
                <w:color w:val="auto"/>
                <w:w w:val="92"/>
              </w:rPr>
              <w:t>0.1%</w:t>
            </w:r>
          </w:p>
        </w:tc>
        <w:tc>
          <w:tcPr>
            <w:tcW w:w="0" w:type="dxa"/>
            <w:vAlign w:val="bottom"/>
          </w:tcPr>
          <w:p>
            <w:pPr>
              <w:spacing w:after="0"/>
              <w:rPr>
                <w:sz w:val="1"/>
                <w:szCs w:val="1"/>
                <w:color w:val="auto"/>
              </w:rPr>
            </w:pPr>
          </w:p>
        </w:tc>
      </w:tr>
      <w:tr>
        <w:trPr>
          <w:trHeight w:val="270"/>
        </w:trPr>
        <w:tc>
          <w:tcPr>
            <w:tcW w:w="334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Litigation settlement </w:t>
            </w:r>
            <w:r>
              <w:rPr>
                <w:rFonts w:ascii="Arial" w:cs="Arial" w:eastAsia="Arial" w:hAnsi="Arial"/>
                <w:sz w:val="25"/>
                <w:szCs w:val="25"/>
                <w:color w:val="auto"/>
                <w:vertAlign w:val="superscript"/>
              </w:rPr>
              <w:t>(h)</w:t>
            </w:r>
          </w:p>
        </w:tc>
        <w:tc>
          <w:tcPr>
            <w:tcW w:w="160" w:type="dxa"/>
            <w:vAlign w:val="bottom"/>
          </w:tcPr>
          <w:p>
            <w:pPr>
              <w:spacing w:after="0"/>
              <w:rPr>
                <w:sz w:val="23"/>
                <w:szCs w:val="23"/>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w:t>
            </w:r>
          </w:p>
        </w:tc>
        <w:tc>
          <w:tcPr>
            <w:tcW w:w="160" w:type="dxa"/>
            <w:vAlign w:val="bottom"/>
          </w:tcPr>
          <w:p>
            <w:pPr>
              <w:spacing w:after="0"/>
              <w:rPr>
                <w:sz w:val="23"/>
                <w:szCs w:val="23"/>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w:t>
            </w:r>
          </w:p>
        </w:tc>
        <w:tc>
          <w:tcPr>
            <w:tcW w:w="240" w:type="dxa"/>
            <w:vAlign w:val="bottom"/>
          </w:tcPr>
          <w:p>
            <w:pPr>
              <w:spacing w:after="0"/>
              <w:rPr>
                <w:sz w:val="23"/>
                <w:szCs w:val="23"/>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center"/>
              <w:ind w:right="260"/>
              <w:spacing w:after="0"/>
              <w:rPr>
                <w:sz w:val="20"/>
                <w:szCs w:val="20"/>
                <w:color w:val="auto"/>
              </w:rPr>
            </w:pPr>
            <w:r>
              <w:rPr>
                <w:rFonts w:ascii="Arial" w:cs="Arial" w:eastAsia="Arial" w:hAnsi="Arial"/>
                <w:sz w:val="18"/>
                <w:szCs w:val="18"/>
                <w:color w:val="auto"/>
                <w:w w:val="99"/>
              </w:rPr>
              <w:t>—%</w:t>
            </w:r>
          </w:p>
        </w:tc>
        <w:tc>
          <w:tcPr>
            <w:tcW w:w="240" w:type="dxa"/>
            <w:vAlign w:val="bottom"/>
          </w:tcPr>
          <w:p>
            <w:pPr>
              <w:spacing w:after="0"/>
              <w:rPr>
                <w:sz w:val="23"/>
                <w:szCs w:val="23"/>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7,000</w:t>
            </w:r>
          </w:p>
        </w:tc>
        <w:tc>
          <w:tcPr>
            <w:tcW w:w="160" w:type="dxa"/>
            <w:vAlign w:val="bottom"/>
          </w:tcPr>
          <w:p>
            <w:pPr>
              <w:spacing w:after="0"/>
              <w:rPr>
                <w:sz w:val="23"/>
                <w:szCs w:val="23"/>
                <w:color w:val="auto"/>
              </w:rPr>
            </w:pPr>
          </w:p>
        </w:tc>
        <w:tc>
          <w:tcPr>
            <w:tcW w:w="740" w:type="dxa"/>
            <w:vAlign w:val="bottom"/>
          </w:tcPr>
          <w:p>
            <w:pPr>
              <w:jc w:val="center"/>
              <w:ind w:right="70"/>
              <w:spacing w:after="0"/>
              <w:rPr>
                <w:sz w:val="20"/>
                <w:szCs w:val="20"/>
                <w:color w:val="auto"/>
              </w:rPr>
            </w:pPr>
            <w:r>
              <w:rPr>
                <w:rFonts w:ascii="Arial" w:cs="Arial" w:eastAsia="Arial" w:hAnsi="Arial"/>
                <w:sz w:val="18"/>
                <w:szCs w:val="18"/>
                <w:color w:val="auto"/>
                <w:w w:val="92"/>
              </w:rPr>
              <w:t>0.5%</w:t>
            </w:r>
          </w:p>
        </w:tc>
        <w:tc>
          <w:tcPr>
            <w:tcW w:w="0" w:type="dxa"/>
            <w:vAlign w:val="bottom"/>
          </w:tcPr>
          <w:p>
            <w:pPr>
              <w:spacing w:after="0"/>
              <w:rPr>
                <w:sz w:val="1"/>
                <w:szCs w:val="1"/>
                <w:color w:val="auto"/>
              </w:rPr>
            </w:pPr>
          </w:p>
        </w:tc>
      </w:tr>
      <w:tr>
        <w:trPr>
          <w:trHeight w:val="270"/>
        </w:trPr>
        <w:tc>
          <w:tcPr>
            <w:tcW w:w="334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Secondary offering expenses </w:t>
            </w:r>
            <w:r>
              <w:rPr>
                <w:rFonts w:ascii="Arial" w:cs="Arial" w:eastAsia="Arial" w:hAnsi="Arial"/>
                <w:sz w:val="25"/>
                <w:szCs w:val="25"/>
                <w:color w:val="auto"/>
                <w:vertAlign w:val="superscript"/>
              </w:rPr>
              <w:t>(i)</w:t>
            </w:r>
          </w:p>
        </w:tc>
        <w:tc>
          <w:tcPr>
            <w:tcW w:w="16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609</w:t>
            </w:r>
          </w:p>
        </w:tc>
        <w:tc>
          <w:tcPr>
            <w:tcW w:w="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0.2%</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9"/>
              </w:rPr>
              <w:t>—%</w:t>
            </w:r>
          </w:p>
        </w:tc>
        <w:tc>
          <w:tcPr>
            <w:tcW w:w="24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2,451</w:t>
            </w:r>
          </w:p>
        </w:tc>
        <w:tc>
          <w:tcPr>
            <w:tcW w:w="160" w:type="dxa"/>
            <w:vAlign w:val="bottom"/>
            <w:shd w:val="clear" w:color="auto" w:fill="CCEEFF"/>
          </w:tcPr>
          <w:p>
            <w:pPr>
              <w:spacing w:after="0"/>
              <w:rPr>
                <w:sz w:val="23"/>
                <w:szCs w:val="23"/>
                <w:color w:val="auto"/>
              </w:rPr>
            </w:pPr>
          </w:p>
        </w:tc>
        <w:tc>
          <w:tcPr>
            <w:tcW w:w="740" w:type="dxa"/>
            <w:vAlign w:val="bottom"/>
            <w:shd w:val="clear" w:color="auto" w:fill="CCEEFF"/>
          </w:tcPr>
          <w:p>
            <w:pPr>
              <w:jc w:val="center"/>
              <w:ind w:right="70"/>
              <w:spacing w:after="0"/>
              <w:rPr>
                <w:sz w:val="20"/>
                <w:szCs w:val="20"/>
                <w:color w:val="auto"/>
              </w:rPr>
            </w:pPr>
            <w:r>
              <w:rPr>
                <w:rFonts w:ascii="Arial" w:cs="Arial" w:eastAsia="Arial" w:hAnsi="Arial"/>
                <w:sz w:val="18"/>
                <w:szCs w:val="18"/>
                <w:color w:val="auto"/>
                <w:w w:val="92"/>
              </w:rPr>
              <w:t>0.2%</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center"/>
              <w:ind w:right="7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70"/>
        </w:trPr>
        <w:tc>
          <w:tcPr>
            <w:tcW w:w="3340" w:type="dxa"/>
            <w:vAlign w:val="bottom"/>
          </w:tcPr>
          <w:p>
            <w:pPr>
              <w:ind w:left="40"/>
              <w:spacing w:after="0" w:line="270" w:lineRule="exact"/>
              <w:rPr>
                <w:sz w:val="20"/>
                <w:szCs w:val="20"/>
                <w:color w:val="auto"/>
              </w:rPr>
            </w:pPr>
            <w:r>
              <w:rPr>
                <w:rFonts w:ascii="Arial" w:cs="Arial" w:eastAsia="Arial" w:hAnsi="Arial"/>
                <w:sz w:val="18"/>
                <w:szCs w:val="18"/>
                <w:color w:val="auto"/>
              </w:rPr>
              <w:t>Long-term incentive plan</w:t>
            </w:r>
            <w:r>
              <w:rPr>
                <w:rFonts w:ascii="Arial" w:cs="Arial" w:eastAsia="Arial" w:hAnsi="Arial"/>
                <w:sz w:val="25"/>
                <w:szCs w:val="25"/>
                <w:color w:val="auto"/>
                <w:vertAlign w:val="superscript"/>
              </w:rPr>
              <w:t>(j)</w:t>
            </w:r>
          </w:p>
        </w:tc>
        <w:tc>
          <w:tcPr>
            <w:tcW w:w="160" w:type="dxa"/>
            <w:vAlign w:val="bottom"/>
          </w:tcPr>
          <w:p>
            <w:pPr>
              <w:spacing w:after="0"/>
              <w:rPr>
                <w:sz w:val="23"/>
                <w:szCs w:val="23"/>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2,429</w:t>
            </w:r>
          </w:p>
        </w:tc>
        <w:tc>
          <w:tcPr>
            <w:tcW w:w="900" w:type="dxa"/>
            <w:vAlign w:val="bottom"/>
          </w:tcPr>
          <w:p>
            <w:pPr>
              <w:jc w:val="center"/>
              <w:spacing w:after="0"/>
              <w:rPr>
                <w:sz w:val="20"/>
                <w:szCs w:val="20"/>
                <w:color w:val="auto"/>
              </w:rPr>
            </w:pPr>
            <w:r>
              <w:rPr>
                <w:rFonts w:ascii="Arial" w:cs="Arial" w:eastAsia="Arial" w:hAnsi="Arial"/>
                <w:sz w:val="18"/>
                <w:szCs w:val="18"/>
                <w:color w:val="auto"/>
                <w:w w:val="92"/>
              </w:rPr>
              <w:t>0.7%</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w:t>
            </w:r>
          </w:p>
        </w:tc>
        <w:tc>
          <w:tcPr>
            <w:tcW w:w="240" w:type="dxa"/>
            <w:vAlign w:val="bottom"/>
          </w:tcPr>
          <w:p>
            <w:pPr>
              <w:spacing w:after="0"/>
              <w:rPr>
                <w:sz w:val="23"/>
                <w:szCs w:val="23"/>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7,040</w:t>
            </w:r>
          </w:p>
        </w:tc>
        <w:tc>
          <w:tcPr>
            <w:tcW w:w="160" w:type="dxa"/>
            <w:vAlign w:val="bottom"/>
          </w:tcPr>
          <w:p>
            <w:pPr>
              <w:spacing w:after="0"/>
              <w:rPr>
                <w:sz w:val="23"/>
                <w:szCs w:val="23"/>
                <w:color w:val="auto"/>
              </w:rPr>
            </w:pPr>
          </w:p>
        </w:tc>
        <w:tc>
          <w:tcPr>
            <w:tcW w:w="740" w:type="dxa"/>
            <w:vAlign w:val="bottom"/>
          </w:tcPr>
          <w:p>
            <w:pPr>
              <w:jc w:val="center"/>
              <w:ind w:right="70"/>
              <w:spacing w:after="0"/>
              <w:rPr>
                <w:sz w:val="20"/>
                <w:szCs w:val="20"/>
                <w:color w:val="auto"/>
              </w:rPr>
            </w:pPr>
            <w:r>
              <w:rPr>
                <w:rFonts w:ascii="Arial" w:cs="Arial" w:eastAsia="Arial" w:hAnsi="Arial"/>
                <w:sz w:val="18"/>
                <w:szCs w:val="18"/>
                <w:color w:val="auto"/>
                <w:w w:val="92"/>
              </w:rPr>
              <w:t>0.5%</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740" w:type="dxa"/>
            <w:vAlign w:val="bottom"/>
          </w:tcPr>
          <w:p>
            <w:pPr>
              <w:jc w:val="center"/>
              <w:ind w:right="7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70"/>
        </w:trPr>
        <w:tc>
          <w:tcPr>
            <w:tcW w:w="334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Other </w:t>
            </w:r>
            <w:r>
              <w:rPr>
                <w:rFonts w:ascii="Arial" w:cs="Arial" w:eastAsia="Arial" w:hAnsi="Arial"/>
                <w:sz w:val="25"/>
                <w:szCs w:val="25"/>
                <w:color w:val="auto"/>
                <w:vertAlign w:val="superscript"/>
              </w:rPr>
              <w:t>(k)</w:t>
            </w:r>
          </w:p>
        </w:tc>
        <w:tc>
          <w:tcPr>
            <w:tcW w:w="16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1,473</w:t>
            </w:r>
          </w:p>
        </w:tc>
        <w:tc>
          <w:tcPr>
            <w:tcW w:w="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0.4%</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8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883</w:t>
            </w:r>
          </w:p>
        </w:tc>
        <w:tc>
          <w:tcPr>
            <w:tcW w:w="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0.3%</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4,585</w:t>
            </w:r>
          </w:p>
        </w:tc>
        <w:tc>
          <w:tcPr>
            <w:tcW w:w="160" w:type="dxa"/>
            <w:vAlign w:val="bottom"/>
            <w:shd w:val="clear" w:color="auto" w:fill="CCEEFF"/>
          </w:tcPr>
          <w:p>
            <w:pPr>
              <w:spacing w:after="0"/>
              <w:rPr>
                <w:sz w:val="23"/>
                <w:szCs w:val="23"/>
                <w:color w:val="auto"/>
              </w:rPr>
            </w:pPr>
          </w:p>
        </w:tc>
        <w:tc>
          <w:tcPr>
            <w:tcW w:w="740" w:type="dxa"/>
            <w:vAlign w:val="bottom"/>
            <w:shd w:val="clear" w:color="auto" w:fill="CCEEFF"/>
          </w:tcPr>
          <w:p>
            <w:pPr>
              <w:jc w:val="center"/>
              <w:ind w:right="70"/>
              <w:spacing w:after="0"/>
              <w:rPr>
                <w:sz w:val="20"/>
                <w:szCs w:val="20"/>
                <w:color w:val="auto"/>
              </w:rPr>
            </w:pPr>
            <w:r>
              <w:rPr>
                <w:rFonts w:ascii="Arial" w:cs="Arial" w:eastAsia="Arial" w:hAnsi="Arial"/>
                <w:sz w:val="18"/>
                <w:szCs w:val="18"/>
                <w:color w:val="auto"/>
                <w:w w:val="92"/>
              </w:rPr>
              <w:t>0.3%</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3,924</w:t>
            </w:r>
          </w:p>
        </w:tc>
        <w:tc>
          <w:tcPr>
            <w:tcW w:w="160" w:type="dxa"/>
            <w:vAlign w:val="bottom"/>
            <w:shd w:val="clear" w:color="auto" w:fill="CCEEFF"/>
          </w:tcPr>
          <w:p>
            <w:pPr>
              <w:spacing w:after="0"/>
              <w:rPr>
                <w:sz w:val="23"/>
                <w:szCs w:val="23"/>
                <w:color w:val="auto"/>
              </w:rPr>
            </w:pPr>
          </w:p>
        </w:tc>
        <w:tc>
          <w:tcPr>
            <w:tcW w:w="740" w:type="dxa"/>
            <w:vAlign w:val="bottom"/>
            <w:shd w:val="clear" w:color="auto" w:fill="CCEEFF"/>
          </w:tcPr>
          <w:p>
            <w:pPr>
              <w:jc w:val="center"/>
              <w:ind w:right="70"/>
              <w:spacing w:after="0"/>
              <w:rPr>
                <w:sz w:val="20"/>
                <w:szCs w:val="20"/>
                <w:color w:val="auto"/>
              </w:rPr>
            </w:pPr>
            <w:r>
              <w:rPr>
                <w:rFonts w:ascii="Arial" w:cs="Arial" w:eastAsia="Arial" w:hAnsi="Arial"/>
                <w:sz w:val="18"/>
                <w:szCs w:val="18"/>
                <w:color w:val="auto"/>
                <w:w w:val="92"/>
              </w:rPr>
              <w:t>0.3%</w:t>
            </w:r>
          </w:p>
        </w:tc>
        <w:tc>
          <w:tcPr>
            <w:tcW w:w="0" w:type="dxa"/>
            <w:vAlign w:val="bottom"/>
          </w:tcPr>
          <w:p>
            <w:pPr>
              <w:spacing w:after="0"/>
              <w:rPr>
                <w:sz w:val="1"/>
                <w:szCs w:val="1"/>
                <w:color w:val="auto"/>
              </w:rPr>
            </w:pPr>
          </w:p>
        </w:tc>
      </w:tr>
      <w:tr>
        <w:trPr>
          <w:trHeight w:val="205"/>
        </w:trPr>
        <w:tc>
          <w:tcPr>
            <w:tcW w:w="3340" w:type="dxa"/>
            <w:vAlign w:val="bottom"/>
          </w:tcPr>
          <w:p>
            <w:pPr>
              <w:ind w:left="180"/>
              <w:spacing w:after="0" w:line="205" w:lineRule="exact"/>
              <w:rPr>
                <w:sz w:val="20"/>
                <w:szCs w:val="20"/>
                <w:color w:val="auto"/>
              </w:rPr>
            </w:pPr>
            <w:r>
              <w:rPr>
                <w:rFonts w:ascii="Arial" w:cs="Arial" w:eastAsia="Arial" w:hAnsi="Arial"/>
                <w:sz w:val="18"/>
                <w:szCs w:val="18"/>
                <w:b w:val="1"/>
                <w:bCs w:val="1"/>
                <w:color w:val="auto"/>
              </w:rPr>
              <w:t>Adjusted EBITDA/ Adjusted EBITDA</w:t>
            </w:r>
          </w:p>
        </w:tc>
        <w:tc>
          <w:tcPr>
            <w:tcW w:w="16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vMerge w:val="restart"/>
          </w:tcPr>
          <w:p>
            <w:pPr>
              <w:jc w:val="right"/>
              <w:ind w:right="30"/>
              <w:spacing w:after="0"/>
              <w:rPr>
                <w:sz w:val="20"/>
                <w:szCs w:val="20"/>
                <w:color w:val="auto"/>
              </w:rPr>
            </w:pPr>
            <w:r>
              <w:rPr>
                <w:rFonts w:ascii="Arial" w:cs="Arial" w:eastAsia="Arial" w:hAnsi="Arial"/>
                <w:sz w:val="18"/>
                <w:szCs w:val="18"/>
                <w:color w:val="auto"/>
              </w:rPr>
              <w:t>28,717</w:t>
            </w: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vMerge w:val="restart"/>
          </w:tcPr>
          <w:p>
            <w:pPr>
              <w:jc w:val="right"/>
              <w:ind w:right="30"/>
              <w:spacing w:after="0"/>
              <w:rPr>
                <w:sz w:val="20"/>
                <w:szCs w:val="20"/>
                <w:color w:val="auto"/>
              </w:rPr>
            </w:pPr>
            <w:r>
              <w:rPr>
                <w:rFonts w:ascii="Arial" w:cs="Arial" w:eastAsia="Arial" w:hAnsi="Arial"/>
                <w:sz w:val="18"/>
                <w:szCs w:val="18"/>
                <w:color w:val="auto"/>
              </w:rPr>
              <w:t>24,701</w:t>
            </w: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vMerge w:val="restart"/>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vMerge w:val="restart"/>
          </w:tcPr>
          <w:p>
            <w:pPr>
              <w:jc w:val="right"/>
              <w:ind w:right="30"/>
              <w:spacing w:after="0"/>
              <w:rPr>
                <w:sz w:val="20"/>
                <w:szCs w:val="20"/>
                <w:color w:val="auto"/>
              </w:rPr>
            </w:pPr>
            <w:r>
              <w:rPr>
                <w:rFonts w:ascii="Arial" w:cs="Arial" w:eastAsia="Arial" w:hAnsi="Arial"/>
                <w:sz w:val="18"/>
                <w:szCs w:val="18"/>
                <w:color w:val="auto"/>
              </w:rPr>
              <w:t>174,365</w:t>
            </w: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vMerge w:val="restart"/>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vMerge w:val="restart"/>
          </w:tcPr>
          <w:p>
            <w:pPr>
              <w:jc w:val="right"/>
              <w:ind w:right="30"/>
              <w:spacing w:after="0"/>
              <w:rPr>
                <w:sz w:val="20"/>
                <w:szCs w:val="20"/>
                <w:color w:val="auto"/>
              </w:rPr>
            </w:pPr>
            <w:r>
              <w:rPr>
                <w:rFonts w:ascii="Arial" w:cs="Arial" w:eastAsia="Arial" w:hAnsi="Arial"/>
                <w:sz w:val="18"/>
                <w:szCs w:val="18"/>
                <w:color w:val="auto"/>
              </w:rPr>
              <w:t>158,442</w:t>
            </w: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6"/>
        </w:trPr>
        <w:tc>
          <w:tcPr>
            <w:tcW w:w="3340" w:type="dxa"/>
            <w:vAlign w:val="bottom"/>
          </w:tcPr>
          <w:p>
            <w:pPr>
              <w:ind w:left="180"/>
              <w:spacing w:after="0"/>
              <w:rPr>
                <w:sz w:val="20"/>
                <w:szCs w:val="20"/>
                <w:color w:val="auto"/>
              </w:rPr>
            </w:pPr>
            <w:r>
              <w:rPr>
                <w:rFonts w:ascii="Arial" w:cs="Arial" w:eastAsia="Arial" w:hAnsi="Arial"/>
                <w:sz w:val="18"/>
                <w:szCs w:val="18"/>
                <w:b w:val="1"/>
                <w:bCs w:val="1"/>
                <w:color w:val="auto"/>
              </w:rPr>
              <w:t>Margin</w:t>
            </w:r>
          </w:p>
        </w:tc>
        <w:tc>
          <w:tcPr>
            <w:tcW w:w="160" w:type="dxa"/>
            <w:vAlign w:val="bottom"/>
            <w:tcBorders>
              <w:bottom w:val="single" w:sz="8" w:color="auto"/>
            </w:tcBorders>
            <w:vMerge w:val="continue"/>
          </w:tcPr>
          <w:p>
            <w:pPr>
              <w:spacing w:after="0"/>
              <w:rPr>
                <w:sz w:val="20"/>
                <w:szCs w:val="20"/>
                <w:color w:val="auto"/>
              </w:rPr>
            </w:pPr>
          </w:p>
        </w:tc>
        <w:tc>
          <w:tcPr>
            <w:tcW w:w="900" w:type="dxa"/>
            <w:vAlign w:val="bottom"/>
            <w:tcBorders>
              <w:bottom w:val="single" w:sz="8" w:color="auto"/>
            </w:tcBorders>
            <w:vMerge w:val="continue"/>
          </w:tcPr>
          <w:p>
            <w:pPr>
              <w:spacing w:after="0"/>
              <w:rPr>
                <w:sz w:val="20"/>
                <w:szCs w:val="20"/>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2"/>
              </w:rPr>
              <w:t>8.1%</w:t>
            </w:r>
          </w:p>
        </w:tc>
        <w:tc>
          <w:tcPr>
            <w:tcW w:w="120" w:type="dxa"/>
            <w:vAlign w:val="bottom"/>
          </w:tcPr>
          <w:p>
            <w:pPr>
              <w:spacing w:after="0"/>
              <w:rPr>
                <w:sz w:val="20"/>
                <w:szCs w:val="20"/>
                <w:color w:val="auto"/>
              </w:rPr>
            </w:pPr>
          </w:p>
        </w:tc>
        <w:tc>
          <w:tcPr>
            <w:tcW w:w="160" w:type="dxa"/>
            <w:vAlign w:val="bottom"/>
            <w:tcBorders>
              <w:bottom w:val="single" w:sz="8" w:color="auto"/>
            </w:tcBorders>
            <w:vMerge w:val="continue"/>
          </w:tcPr>
          <w:p>
            <w:pPr>
              <w:spacing w:after="0"/>
              <w:rPr>
                <w:sz w:val="20"/>
                <w:szCs w:val="20"/>
                <w:color w:val="auto"/>
              </w:rPr>
            </w:pPr>
          </w:p>
        </w:tc>
        <w:tc>
          <w:tcPr>
            <w:tcW w:w="860" w:type="dxa"/>
            <w:vAlign w:val="bottom"/>
            <w:tcBorders>
              <w:bottom w:val="single" w:sz="8" w:color="auto"/>
            </w:tcBorders>
            <w:vMerge w:val="continue"/>
          </w:tcPr>
          <w:p>
            <w:pPr>
              <w:spacing w:after="0"/>
              <w:rPr>
                <w:sz w:val="20"/>
                <w:szCs w:val="20"/>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2"/>
              </w:rPr>
              <w:t>7.7%</w:t>
            </w:r>
          </w:p>
        </w:tc>
        <w:tc>
          <w:tcPr>
            <w:tcW w:w="100" w:type="dxa"/>
            <w:vAlign w:val="bottom"/>
          </w:tcPr>
          <w:p>
            <w:pPr>
              <w:spacing w:after="0"/>
              <w:rPr>
                <w:sz w:val="20"/>
                <w:szCs w:val="20"/>
                <w:color w:val="auto"/>
              </w:rPr>
            </w:pPr>
          </w:p>
        </w:tc>
        <w:tc>
          <w:tcPr>
            <w:tcW w:w="240" w:type="dxa"/>
            <w:vAlign w:val="bottom"/>
            <w:tcBorders>
              <w:bottom w:val="single" w:sz="8" w:color="auto"/>
            </w:tcBorders>
            <w:vMerge w:val="continue"/>
          </w:tcPr>
          <w:p>
            <w:pPr>
              <w:spacing w:after="0"/>
              <w:rPr>
                <w:sz w:val="20"/>
                <w:szCs w:val="20"/>
                <w:color w:val="auto"/>
              </w:rPr>
            </w:pPr>
          </w:p>
        </w:tc>
        <w:tc>
          <w:tcPr>
            <w:tcW w:w="800" w:type="dxa"/>
            <w:vAlign w:val="bottom"/>
            <w:tcBorders>
              <w:bottom w:val="single" w:sz="8" w:color="auto"/>
            </w:tcBorders>
            <w:vMerge w:val="continue"/>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jc w:val="center"/>
              <w:ind w:right="70"/>
              <w:spacing w:after="0"/>
              <w:rPr>
                <w:sz w:val="20"/>
                <w:szCs w:val="20"/>
                <w:color w:val="auto"/>
              </w:rPr>
            </w:pPr>
            <w:r>
              <w:rPr>
                <w:rFonts w:ascii="Arial" w:cs="Arial" w:eastAsia="Arial" w:hAnsi="Arial"/>
                <w:sz w:val="18"/>
                <w:szCs w:val="18"/>
                <w:color w:val="auto"/>
                <w:w w:val="90"/>
              </w:rPr>
              <w:t>11.3%</w:t>
            </w:r>
          </w:p>
        </w:tc>
        <w:tc>
          <w:tcPr>
            <w:tcW w:w="100" w:type="dxa"/>
            <w:vAlign w:val="bottom"/>
          </w:tcPr>
          <w:p>
            <w:pPr>
              <w:spacing w:after="0"/>
              <w:rPr>
                <w:sz w:val="20"/>
                <w:szCs w:val="20"/>
                <w:color w:val="auto"/>
              </w:rPr>
            </w:pPr>
          </w:p>
        </w:tc>
        <w:tc>
          <w:tcPr>
            <w:tcW w:w="240" w:type="dxa"/>
            <w:vAlign w:val="bottom"/>
            <w:tcBorders>
              <w:bottom w:val="single" w:sz="8" w:color="auto"/>
            </w:tcBorders>
            <w:vMerge w:val="continue"/>
          </w:tcPr>
          <w:p>
            <w:pPr>
              <w:spacing w:after="0"/>
              <w:rPr>
                <w:sz w:val="20"/>
                <w:szCs w:val="20"/>
                <w:color w:val="auto"/>
              </w:rPr>
            </w:pPr>
          </w:p>
        </w:tc>
        <w:tc>
          <w:tcPr>
            <w:tcW w:w="800" w:type="dxa"/>
            <w:vAlign w:val="bottom"/>
            <w:tcBorders>
              <w:bottom w:val="single" w:sz="8" w:color="auto"/>
            </w:tcBorders>
            <w:vMerge w:val="continue"/>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jc w:val="center"/>
              <w:ind w:right="70"/>
              <w:spacing w:after="0"/>
              <w:rPr>
                <w:sz w:val="20"/>
                <w:szCs w:val="20"/>
                <w:color w:val="auto"/>
              </w:rPr>
            </w:pPr>
            <w:r>
              <w:rPr>
                <w:rFonts w:ascii="Arial" w:cs="Arial" w:eastAsia="Arial" w:hAnsi="Arial"/>
                <w:sz w:val="18"/>
                <w:szCs w:val="18"/>
                <w:color w:val="auto"/>
                <w:w w:val="90"/>
              </w:rPr>
              <w:t>11.5%</w:t>
            </w:r>
          </w:p>
        </w:tc>
        <w:tc>
          <w:tcPr>
            <w:tcW w:w="0" w:type="dxa"/>
            <w:vAlign w:val="bottom"/>
          </w:tcPr>
          <w:p>
            <w:pPr>
              <w:spacing w:after="0"/>
              <w:rPr>
                <w:sz w:val="1"/>
                <w:szCs w:val="1"/>
                <w:color w:val="auto"/>
              </w:rPr>
            </w:pPr>
          </w:p>
        </w:tc>
      </w:tr>
      <w:tr>
        <w:trPr>
          <w:trHeight w:val="20"/>
        </w:trPr>
        <w:tc>
          <w:tcPr>
            <w:tcW w:w="3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Arial" w:cs="Arial" w:eastAsia="Arial" w:hAnsi="Arial"/>
          <w:sz w:val="14"/>
          <w:szCs w:val="14"/>
          <w:color w:val="auto"/>
        </w:rPr>
        <w:t>Note: Percentages reflect line item as a percentage of net revenue</w:t>
      </w:r>
    </w:p>
    <w:p>
      <w:pPr>
        <w:sectPr>
          <w:pgSz w:w="11900" w:h="16838" w:orient="portrait"/>
          <w:cols w:equalWidth="0" w:num="1">
            <w:col w:w="11420"/>
          </w:cols>
          <w:pgMar w:left="240" w:top="580" w:right="239"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216"/>
        </w:trPr>
        <w:tc>
          <w:tcPr>
            <w:tcW w:w="3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20" w:type="dxa"/>
            <w:vAlign w:val="bottom"/>
            <w:gridSpan w:val="2"/>
          </w:tcPr>
          <w:p>
            <w:pPr>
              <w:jc w:val="center"/>
              <w:ind w:right="280"/>
              <w:spacing w:after="0"/>
              <w:rPr>
                <w:sz w:val="20"/>
                <w:szCs w:val="20"/>
                <w:color w:val="auto"/>
              </w:rPr>
            </w:pPr>
            <w:r>
              <w:rPr>
                <w:rFonts w:ascii="Arial" w:cs="Arial" w:eastAsia="Arial" w:hAnsi="Arial"/>
                <w:sz w:val="18"/>
                <w:szCs w:val="18"/>
                <w:color w:val="auto"/>
                <w:w w:val="90"/>
              </w:rPr>
              <w:t>Three Months Ended</w:t>
            </w:r>
          </w:p>
        </w:tc>
        <w:tc>
          <w:tcPr>
            <w:tcW w:w="160" w:type="dxa"/>
            <w:vAlign w:val="bottom"/>
          </w:tcPr>
          <w:p>
            <w:pPr>
              <w:spacing w:after="0"/>
              <w:rPr>
                <w:sz w:val="18"/>
                <w:szCs w:val="18"/>
                <w:color w:val="auto"/>
              </w:rPr>
            </w:pPr>
          </w:p>
        </w:tc>
        <w:tc>
          <w:tcPr>
            <w:tcW w:w="1860" w:type="dxa"/>
            <w:vAlign w:val="bottom"/>
            <w:gridSpan w:val="2"/>
          </w:tcPr>
          <w:p>
            <w:pPr>
              <w:jc w:val="center"/>
              <w:ind w:right="260"/>
              <w:spacing w:after="0"/>
              <w:rPr>
                <w:sz w:val="20"/>
                <w:szCs w:val="20"/>
                <w:color w:val="auto"/>
              </w:rPr>
            </w:pPr>
            <w:r>
              <w:rPr>
                <w:rFonts w:ascii="Arial" w:cs="Arial" w:eastAsia="Arial" w:hAnsi="Arial"/>
                <w:sz w:val="18"/>
                <w:szCs w:val="18"/>
                <w:color w:val="auto"/>
                <w:w w:val="90"/>
              </w:rPr>
              <w:t>Three Months Ended</w:t>
            </w:r>
          </w:p>
        </w:tc>
        <w:tc>
          <w:tcPr>
            <w:tcW w:w="360" w:type="dxa"/>
            <w:vAlign w:val="bottom"/>
          </w:tcPr>
          <w:p>
            <w:pPr>
              <w:spacing w:after="0"/>
              <w:rPr>
                <w:sz w:val="18"/>
                <w:szCs w:val="18"/>
                <w:color w:val="auto"/>
              </w:rPr>
            </w:pPr>
          </w:p>
        </w:tc>
        <w:tc>
          <w:tcPr>
            <w:tcW w:w="1680" w:type="dxa"/>
            <w:vAlign w:val="bottom"/>
            <w:gridSpan w:val="2"/>
          </w:tcPr>
          <w:p>
            <w:pPr>
              <w:jc w:val="center"/>
              <w:ind w:right="440"/>
              <w:spacing w:after="0"/>
              <w:rPr>
                <w:sz w:val="20"/>
                <w:szCs w:val="20"/>
                <w:color w:val="auto"/>
              </w:rPr>
            </w:pPr>
            <w:r>
              <w:rPr>
                <w:rFonts w:ascii="Arial" w:cs="Arial" w:eastAsia="Arial" w:hAnsi="Arial"/>
                <w:sz w:val="17"/>
                <w:szCs w:val="17"/>
                <w:color w:val="auto"/>
                <w:w w:val="89"/>
              </w:rPr>
              <w:t>Fiscal Year</w:t>
            </w:r>
          </w:p>
        </w:tc>
        <w:tc>
          <w:tcPr>
            <w:tcW w:w="360" w:type="dxa"/>
            <w:vAlign w:val="bottom"/>
          </w:tcPr>
          <w:p>
            <w:pPr>
              <w:spacing w:after="0"/>
              <w:rPr>
                <w:sz w:val="18"/>
                <w:szCs w:val="18"/>
                <w:color w:val="auto"/>
              </w:rPr>
            </w:pPr>
          </w:p>
        </w:tc>
        <w:tc>
          <w:tcPr>
            <w:tcW w:w="1580" w:type="dxa"/>
            <w:vAlign w:val="bottom"/>
          </w:tcPr>
          <w:p>
            <w:pPr>
              <w:jc w:val="center"/>
              <w:ind w:right="250"/>
              <w:spacing w:after="0"/>
              <w:rPr>
                <w:sz w:val="20"/>
                <w:szCs w:val="20"/>
                <w:color w:val="auto"/>
              </w:rPr>
            </w:pPr>
            <w:r>
              <w:rPr>
                <w:rFonts w:ascii="Arial" w:cs="Arial" w:eastAsia="Arial" w:hAnsi="Arial"/>
                <w:sz w:val="17"/>
                <w:szCs w:val="17"/>
                <w:color w:val="auto"/>
                <w:w w:val="89"/>
              </w:rPr>
              <w:t>Fiscal Year</w:t>
            </w:r>
          </w:p>
        </w:tc>
      </w:tr>
      <w:tr>
        <w:trPr>
          <w:trHeight w:val="230"/>
        </w:trPr>
        <w:tc>
          <w:tcPr>
            <w:tcW w:w="3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920" w:type="dxa"/>
            <w:vAlign w:val="bottom"/>
            <w:gridSpan w:val="2"/>
          </w:tcPr>
          <w:p>
            <w:pPr>
              <w:jc w:val="center"/>
              <w:ind w:right="300"/>
              <w:spacing w:after="0"/>
              <w:rPr>
                <w:sz w:val="20"/>
                <w:szCs w:val="20"/>
                <w:color w:val="auto"/>
              </w:rPr>
            </w:pPr>
            <w:r>
              <w:rPr>
                <w:rFonts w:ascii="Arial" w:cs="Arial" w:eastAsia="Arial" w:hAnsi="Arial"/>
                <w:sz w:val="18"/>
                <w:szCs w:val="18"/>
                <w:color w:val="auto"/>
                <w:w w:val="89"/>
              </w:rPr>
              <w:t>December 29, 2018</w:t>
            </w:r>
          </w:p>
        </w:tc>
        <w:tc>
          <w:tcPr>
            <w:tcW w:w="160" w:type="dxa"/>
            <w:vAlign w:val="bottom"/>
          </w:tcPr>
          <w:p>
            <w:pPr>
              <w:spacing w:after="0"/>
              <w:rPr>
                <w:sz w:val="20"/>
                <w:szCs w:val="20"/>
                <w:color w:val="auto"/>
              </w:rPr>
            </w:pPr>
          </w:p>
        </w:tc>
        <w:tc>
          <w:tcPr>
            <w:tcW w:w="1860" w:type="dxa"/>
            <w:vAlign w:val="bottom"/>
            <w:gridSpan w:val="2"/>
          </w:tcPr>
          <w:p>
            <w:pPr>
              <w:jc w:val="center"/>
              <w:ind w:right="280"/>
              <w:spacing w:after="0"/>
              <w:rPr>
                <w:sz w:val="20"/>
                <w:szCs w:val="20"/>
                <w:color w:val="auto"/>
              </w:rPr>
            </w:pPr>
            <w:r>
              <w:rPr>
                <w:rFonts w:ascii="Arial" w:cs="Arial" w:eastAsia="Arial" w:hAnsi="Arial"/>
                <w:sz w:val="18"/>
                <w:szCs w:val="18"/>
                <w:color w:val="auto"/>
                <w:w w:val="89"/>
              </w:rPr>
              <w:t>December 30, 2017</w:t>
            </w:r>
          </w:p>
        </w:tc>
        <w:tc>
          <w:tcPr>
            <w:tcW w:w="360" w:type="dxa"/>
            <w:vAlign w:val="bottom"/>
          </w:tcPr>
          <w:p>
            <w:pPr>
              <w:spacing w:after="0"/>
              <w:rPr>
                <w:sz w:val="20"/>
                <w:szCs w:val="20"/>
                <w:color w:val="auto"/>
              </w:rPr>
            </w:pPr>
          </w:p>
        </w:tc>
        <w:tc>
          <w:tcPr>
            <w:tcW w:w="1580" w:type="dxa"/>
            <w:vAlign w:val="bottom"/>
          </w:tcPr>
          <w:p>
            <w:pPr>
              <w:jc w:val="center"/>
              <w:ind w:right="270"/>
              <w:spacing w:after="0"/>
              <w:rPr>
                <w:sz w:val="20"/>
                <w:szCs w:val="20"/>
                <w:color w:val="auto"/>
              </w:rPr>
            </w:pPr>
            <w:r>
              <w:rPr>
                <w:rFonts w:ascii="Arial" w:cs="Arial" w:eastAsia="Arial" w:hAnsi="Arial"/>
                <w:sz w:val="17"/>
                <w:szCs w:val="17"/>
                <w:color w:val="auto"/>
                <w:w w:val="89"/>
              </w:rPr>
              <w:t>2018</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580" w:type="dxa"/>
            <w:vAlign w:val="bottom"/>
          </w:tcPr>
          <w:p>
            <w:pPr>
              <w:jc w:val="center"/>
              <w:ind w:right="270"/>
              <w:spacing w:after="0"/>
              <w:rPr>
                <w:sz w:val="20"/>
                <w:szCs w:val="20"/>
                <w:color w:val="auto"/>
              </w:rPr>
            </w:pPr>
            <w:r>
              <w:rPr>
                <w:rFonts w:ascii="Arial" w:cs="Arial" w:eastAsia="Arial" w:hAnsi="Arial"/>
                <w:sz w:val="17"/>
                <w:szCs w:val="17"/>
                <w:color w:val="auto"/>
                <w:w w:val="89"/>
              </w:rPr>
              <w:t>2017</w:t>
            </w:r>
          </w:p>
        </w:tc>
      </w:tr>
      <w:tr>
        <w:trPr>
          <w:trHeight w:val="27"/>
        </w:trPr>
        <w:tc>
          <w:tcPr>
            <w:tcW w:w="33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44"/>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(18,440)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27,341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23,653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43,138</w:t>
            </w:r>
          </w:p>
        </w:tc>
      </w:tr>
      <w:tr>
        <w:trPr>
          <w:trHeight w:val="270"/>
        </w:trPr>
        <w:tc>
          <w:tcPr>
            <w:tcW w:w="334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Stock compensation expense </w:t>
            </w:r>
            <w:r>
              <w:rPr>
                <w:rFonts w:ascii="Arial" w:cs="Arial" w:eastAsia="Arial" w:hAnsi="Arial"/>
                <w:sz w:val="25"/>
                <w:szCs w:val="25"/>
                <w:color w:val="auto"/>
                <w:vertAlign w:val="superscript"/>
              </w:rPr>
              <w:t>(a)</w:t>
            </w:r>
          </w:p>
        </w:tc>
        <w:tc>
          <w:tcPr>
            <w:tcW w:w="160" w:type="dxa"/>
            <w:vAlign w:val="bottom"/>
          </w:tcPr>
          <w:p>
            <w:pPr>
              <w:spacing w:after="0"/>
              <w:rPr>
                <w:sz w:val="23"/>
                <w:szCs w:val="23"/>
                <w:color w:val="auto"/>
              </w:rPr>
            </w:pPr>
          </w:p>
        </w:tc>
        <w:tc>
          <w:tcPr>
            <w:tcW w:w="1800" w:type="dxa"/>
            <w:vAlign w:val="bottom"/>
          </w:tcPr>
          <w:p>
            <w:pPr>
              <w:jc w:val="right"/>
              <w:ind w:right="30"/>
              <w:spacing w:after="0"/>
              <w:rPr>
                <w:sz w:val="20"/>
                <w:szCs w:val="20"/>
                <w:color w:val="auto"/>
              </w:rPr>
            </w:pPr>
            <w:r>
              <w:rPr>
                <w:rFonts w:ascii="Arial" w:cs="Arial" w:eastAsia="Arial" w:hAnsi="Arial"/>
                <w:sz w:val="18"/>
                <w:szCs w:val="18"/>
                <w:color w:val="auto"/>
              </w:rPr>
              <w:t>7,190</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760" w:type="dxa"/>
            <w:vAlign w:val="bottom"/>
          </w:tcPr>
          <w:p>
            <w:pPr>
              <w:jc w:val="right"/>
              <w:ind w:right="10"/>
              <w:spacing w:after="0"/>
              <w:rPr>
                <w:sz w:val="20"/>
                <w:szCs w:val="20"/>
                <w:color w:val="auto"/>
              </w:rPr>
            </w:pPr>
            <w:r>
              <w:rPr>
                <w:rFonts w:ascii="Arial" w:cs="Arial" w:eastAsia="Arial" w:hAnsi="Arial"/>
                <w:sz w:val="18"/>
                <w:szCs w:val="18"/>
                <w:color w:val="auto"/>
              </w:rPr>
              <w:t>2,012</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20,939</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5,152</w:t>
            </w:r>
          </w:p>
        </w:tc>
      </w:tr>
      <w:tr>
        <w:trPr>
          <w:trHeight w:val="270"/>
        </w:trPr>
        <w:tc>
          <w:tcPr>
            <w:tcW w:w="334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Debt issuance costs </w:t>
            </w:r>
            <w:r>
              <w:rPr>
                <w:rFonts w:ascii="Arial" w:cs="Arial" w:eastAsia="Arial" w:hAnsi="Arial"/>
                <w:sz w:val="25"/>
                <w:szCs w:val="25"/>
                <w:color w:val="auto"/>
                <w:vertAlign w:val="superscript"/>
              </w:rPr>
              <w:t>(b)</w:t>
            </w:r>
          </w:p>
        </w:tc>
        <w:tc>
          <w:tcPr>
            <w:tcW w:w="160" w:type="dxa"/>
            <w:vAlign w:val="bottom"/>
            <w:shd w:val="clear" w:color="auto" w:fill="CCEEFF"/>
          </w:tcPr>
          <w:p>
            <w:pPr>
              <w:spacing w:after="0"/>
              <w:rPr>
                <w:sz w:val="23"/>
                <w:szCs w:val="23"/>
                <w:color w:val="auto"/>
              </w:rPr>
            </w:pPr>
          </w:p>
        </w:tc>
        <w:tc>
          <w:tcPr>
            <w:tcW w:w="18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200</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7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1,825</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5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200</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5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4,527</w:t>
            </w:r>
          </w:p>
        </w:tc>
      </w:tr>
      <w:tr>
        <w:trPr>
          <w:trHeight w:val="270"/>
        </w:trPr>
        <w:tc>
          <w:tcPr>
            <w:tcW w:w="334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Asset impairment </w:t>
            </w:r>
            <w:r>
              <w:rPr>
                <w:rFonts w:ascii="Arial" w:cs="Arial" w:eastAsia="Arial" w:hAnsi="Arial"/>
                <w:sz w:val="25"/>
                <w:szCs w:val="25"/>
                <w:color w:val="auto"/>
                <w:vertAlign w:val="superscript"/>
              </w:rPr>
              <w:t>(c)</w:t>
            </w:r>
          </w:p>
        </w:tc>
        <w:tc>
          <w:tcPr>
            <w:tcW w:w="160" w:type="dxa"/>
            <w:vAlign w:val="bottom"/>
          </w:tcPr>
          <w:p>
            <w:pPr>
              <w:spacing w:after="0"/>
              <w:rPr>
                <w:sz w:val="23"/>
                <w:szCs w:val="23"/>
                <w:color w:val="auto"/>
              </w:rPr>
            </w:pPr>
          </w:p>
        </w:tc>
        <w:tc>
          <w:tcPr>
            <w:tcW w:w="1800" w:type="dxa"/>
            <w:vAlign w:val="bottom"/>
          </w:tcPr>
          <w:p>
            <w:pPr>
              <w:jc w:val="right"/>
              <w:ind w:right="30"/>
              <w:spacing w:after="0"/>
              <w:rPr>
                <w:sz w:val="20"/>
                <w:szCs w:val="20"/>
                <w:color w:val="auto"/>
              </w:rPr>
            </w:pPr>
            <w:r>
              <w:rPr>
                <w:rFonts w:ascii="Arial" w:cs="Arial" w:eastAsia="Arial" w:hAnsi="Arial"/>
                <w:sz w:val="18"/>
                <w:szCs w:val="18"/>
                <w:color w:val="auto"/>
              </w:rPr>
              <w:t>15,493</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760" w:type="dxa"/>
            <w:vAlign w:val="bottom"/>
          </w:tcPr>
          <w:p>
            <w:pPr>
              <w:jc w:val="right"/>
              <w:ind w:right="10"/>
              <w:spacing w:after="0"/>
              <w:rPr>
                <w:sz w:val="20"/>
                <w:szCs w:val="20"/>
                <w:color w:val="auto"/>
              </w:rPr>
            </w:pPr>
            <w:r>
              <w:rPr>
                <w:rFonts w:ascii="Arial" w:cs="Arial" w:eastAsia="Arial" w:hAnsi="Arial"/>
                <w:sz w:val="18"/>
                <w:szCs w:val="18"/>
                <w:color w:val="auto"/>
              </w:rPr>
              <w:t>3,117</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17,630</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4,117</w:t>
            </w:r>
          </w:p>
        </w:tc>
      </w:tr>
      <w:tr>
        <w:trPr>
          <w:trHeight w:val="270"/>
        </w:trPr>
        <w:tc>
          <w:tcPr>
            <w:tcW w:w="334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Non-cash inventory write-offs </w:t>
            </w:r>
            <w:r>
              <w:rPr>
                <w:rFonts w:ascii="Arial" w:cs="Arial" w:eastAsia="Arial" w:hAnsi="Arial"/>
                <w:sz w:val="25"/>
                <w:szCs w:val="25"/>
                <w:color w:val="auto"/>
                <w:vertAlign w:val="superscript"/>
              </w:rPr>
              <w:t>(d)</w:t>
            </w:r>
          </w:p>
        </w:tc>
        <w:tc>
          <w:tcPr>
            <w:tcW w:w="160" w:type="dxa"/>
            <w:vAlign w:val="bottom"/>
            <w:shd w:val="clear" w:color="auto" w:fill="CCEEFF"/>
          </w:tcPr>
          <w:p>
            <w:pPr>
              <w:spacing w:after="0"/>
              <w:rPr>
                <w:sz w:val="23"/>
                <w:szCs w:val="23"/>
                <w:color w:val="auto"/>
              </w:rPr>
            </w:pPr>
          </w:p>
        </w:tc>
        <w:tc>
          <w:tcPr>
            <w:tcW w:w="1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3"/>
                <w:szCs w:val="23"/>
                <w:color w:val="auto"/>
              </w:rPr>
            </w:pPr>
          </w:p>
        </w:tc>
        <w:tc>
          <w:tcPr>
            <w:tcW w:w="1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23"/>
                <w:szCs w:val="23"/>
                <w:color w:val="auto"/>
              </w:rPr>
            </w:pPr>
          </w:p>
        </w:tc>
        <w:tc>
          <w:tcPr>
            <w:tcW w:w="1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23"/>
                <w:szCs w:val="23"/>
                <w:color w:val="auto"/>
              </w:rPr>
            </w:pPr>
          </w:p>
        </w:tc>
        <w:tc>
          <w:tcPr>
            <w:tcW w:w="15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2,271</w:t>
            </w:r>
          </w:p>
        </w:tc>
      </w:tr>
      <w:tr>
        <w:trPr>
          <w:trHeight w:val="270"/>
        </w:trPr>
        <w:tc>
          <w:tcPr>
            <w:tcW w:w="334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Management fees </w:t>
            </w:r>
            <w:r>
              <w:rPr>
                <w:rFonts w:ascii="Arial" w:cs="Arial" w:eastAsia="Arial" w:hAnsi="Arial"/>
                <w:sz w:val="25"/>
                <w:szCs w:val="25"/>
                <w:color w:val="auto"/>
                <w:vertAlign w:val="superscript"/>
              </w:rPr>
              <w:t>(e)</w:t>
            </w:r>
          </w:p>
        </w:tc>
        <w:tc>
          <w:tcPr>
            <w:tcW w:w="160" w:type="dxa"/>
            <w:vAlign w:val="bottom"/>
          </w:tcPr>
          <w:p>
            <w:pPr>
              <w:spacing w:after="0"/>
              <w:rPr>
                <w:sz w:val="23"/>
                <w:szCs w:val="23"/>
                <w:color w:val="auto"/>
              </w:rPr>
            </w:pPr>
          </w:p>
        </w:tc>
        <w:tc>
          <w:tcPr>
            <w:tcW w:w="19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1760" w:type="dxa"/>
            <w:vAlign w:val="bottom"/>
          </w:tcPr>
          <w:p>
            <w:pPr>
              <w:jc w:val="right"/>
              <w:ind w:right="10"/>
              <w:spacing w:after="0"/>
              <w:rPr>
                <w:sz w:val="20"/>
                <w:szCs w:val="20"/>
                <w:color w:val="auto"/>
              </w:rPr>
            </w:pPr>
            <w:r>
              <w:rPr>
                <w:rFonts w:ascii="Arial" w:cs="Arial" w:eastAsia="Arial" w:hAnsi="Arial"/>
                <w:sz w:val="18"/>
                <w:szCs w:val="18"/>
                <w:color w:val="auto"/>
              </w:rPr>
              <w:t>4,418</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3"/>
                <w:szCs w:val="23"/>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5,263</w:t>
            </w:r>
          </w:p>
        </w:tc>
      </w:tr>
      <w:tr>
        <w:trPr>
          <w:trHeight w:val="270"/>
        </w:trPr>
        <w:tc>
          <w:tcPr>
            <w:tcW w:w="334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New store pre-opening expenses </w:t>
            </w:r>
            <w:r>
              <w:rPr>
                <w:rFonts w:ascii="Arial" w:cs="Arial" w:eastAsia="Arial" w:hAnsi="Arial"/>
                <w:sz w:val="25"/>
                <w:szCs w:val="25"/>
                <w:color w:val="auto"/>
                <w:vertAlign w:val="superscript"/>
              </w:rPr>
              <w:t>(f)</w:t>
            </w:r>
          </w:p>
        </w:tc>
        <w:tc>
          <w:tcPr>
            <w:tcW w:w="160" w:type="dxa"/>
            <w:vAlign w:val="bottom"/>
            <w:shd w:val="clear" w:color="auto" w:fill="CCEEFF"/>
          </w:tcPr>
          <w:p>
            <w:pPr>
              <w:spacing w:after="0"/>
              <w:rPr>
                <w:sz w:val="23"/>
                <w:szCs w:val="23"/>
                <w:color w:val="auto"/>
              </w:rPr>
            </w:pPr>
          </w:p>
        </w:tc>
        <w:tc>
          <w:tcPr>
            <w:tcW w:w="18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487</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7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635</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5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2,229</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5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2,531</w:t>
            </w:r>
          </w:p>
        </w:tc>
      </w:tr>
      <w:tr>
        <w:trPr>
          <w:trHeight w:val="270"/>
        </w:trPr>
        <w:tc>
          <w:tcPr>
            <w:tcW w:w="334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Non-cash rent </w:t>
            </w:r>
            <w:r>
              <w:rPr>
                <w:rFonts w:ascii="Arial" w:cs="Arial" w:eastAsia="Arial" w:hAnsi="Arial"/>
                <w:sz w:val="25"/>
                <w:szCs w:val="25"/>
                <w:color w:val="auto"/>
                <w:vertAlign w:val="superscript"/>
              </w:rPr>
              <w:t>(g)</w:t>
            </w:r>
          </w:p>
        </w:tc>
        <w:tc>
          <w:tcPr>
            <w:tcW w:w="160" w:type="dxa"/>
            <w:vAlign w:val="bottom"/>
          </w:tcPr>
          <w:p>
            <w:pPr>
              <w:spacing w:after="0"/>
              <w:rPr>
                <w:sz w:val="23"/>
                <w:szCs w:val="23"/>
                <w:color w:val="auto"/>
              </w:rPr>
            </w:pPr>
          </w:p>
        </w:tc>
        <w:tc>
          <w:tcPr>
            <w:tcW w:w="1800" w:type="dxa"/>
            <w:vAlign w:val="bottom"/>
          </w:tcPr>
          <w:p>
            <w:pPr>
              <w:jc w:val="right"/>
              <w:ind w:right="30"/>
              <w:spacing w:after="0"/>
              <w:rPr>
                <w:sz w:val="20"/>
                <w:szCs w:val="20"/>
                <w:color w:val="auto"/>
              </w:rPr>
            </w:pPr>
            <w:r>
              <w:rPr>
                <w:rFonts w:ascii="Arial" w:cs="Arial" w:eastAsia="Arial" w:hAnsi="Arial"/>
                <w:sz w:val="18"/>
                <w:szCs w:val="18"/>
                <w:color w:val="auto"/>
              </w:rPr>
              <w:t>867</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760" w:type="dxa"/>
            <w:vAlign w:val="bottom"/>
          </w:tcPr>
          <w:p>
            <w:pPr>
              <w:jc w:val="right"/>
              <w:ind w:right="10"/>
              <w:spacing w:after="0"/>
              <w:rPr>
                <w:sz w:val="20"/>
                <w:szCs w:val="20"/>
                <w:color w:val="auto"/>
              </w:rPr>
            </w:pPr>
            <w:r>
              <w:rPr>
                <w:rFonts w:ascii="Arial" w:cs="Arial" w:eastAsia="Arial" w:hAnsi="Arial"/>
                <w:sz w:val="18"/>
                <w:szCs w:val="18"/>
                <w:color w:val="auto"/>
              </w:rPr>
              <w:t>289</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2,801</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1,919</w:t>
            </w:r>
          </w:p>
        </w:tc>
      </w:tr>
      <w:tr>
        <w:trPr>
          <w:trHeight w:val="270"/>
        </w:trPr>
        <w:tc>
          <w:tcPr>
            <w:tcW w:w="334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Litigation settlement </w:t>
            </w:r>
            <w:r>
              <w:rPr>
                <w:rFonts w:ascii="Arial" w:cs="Arial" w:eastAsia="Arial" w:hAnsi="Arial"/>
                <w:sz w:val="25"/>
                <w:szCs w:val="25"/>
                <w:color w:val="auto"/>
                <w:vertAlign w:val="superscript"/>
              </w:rPr>
              <w:t>(h)</w:t>
            </w:r>
          </w:p>
        </w:tc>
        <w:tc>
          <w:tcPr>
            <w:tcW w:w="160" w:type="dxa"/>
            <w:vAlign w:val="bottom"/>
            <w:shd w:val="clear" w:color="auto" w:fill="CCEEFF"/>
          </w:tcPr>
          <w:p>
            <w:pPr>
              <w:spacing w:after="0"/>
              <w:rPr>
                <w:sz w:val="23"/>
                <w:szCs w:val="23"/>
                <w:color w:val="auto"/>
              </w:rPr>
            </w:pPr>
          </w:p>
        </w:tc>
        <w:tc>
          <w:tcPr>
            <w:tcW w:w="1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3"/>
                <w:szCs w:val="23"/>
                <w:color w:val="auto"/>
              </w:rPr>
            </w:pPr>
          </w:p>
        </w:tc>
        <w:tc>
          <w:tcPr>
            <w:tcW w:w="1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23"/>
                <w:szCs w:val="23"/>
                <w:color w:val="auto"/>
              </w:rPr>
            </w:pPr>
          </w:p>
        </w:tc>
        <w:tc>
          <w:tcPr>
            <w:tcW w:w="1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23"/>
                <w:szCs w:val="23"/>
                <w:color w:val="auto"/>
              </w:rPr>
            </w:pPr>
          </w:p>
        </w:tc>
        <w:tc>
          <w:tcPr>
            <w:tcW w:w="15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7,000</w:t>
            </w:r>
          </w:p>
        </w:tc>
      </w:tr>
      <w:tr>
        <w:trPr>
          <w:trHeight w:val="270"/>
        </w:trPr>
        <w:tc>
          <w:tcPr>
            <w:tcW w:w="334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Secondary offering expenses </w:t>
            </w:r>
            <w:r>
              <w:rPr>
                <w:rFonts w:ascii="Arial" w:cs="Arial" w:eastAsia="Arial" w:hAnsi="Arial"/>
                <w:sz w:val="25"/>
                <w:szCs w:val="25"/>
                <w:color w:val="auto"/>
                <w:vertAlign w:val="superscript"/>
              </w:rPr>
              <w:t>(i)</w:t>
            </w:r>
          </w:p>
        </w:tc>
        <w:tc>
          <w:tcPr>
            <w:tcW w:w="160" w:type="dxa"/>
            <w:vAlign w:val="bottom"/>
          </w:tcPr>
          <w:p>
            <w:pPr>
              <w:spacing w:after="0"/>
              <w:rPr>
                <w:sz w:val="23"/>
                <w:szCs w:val="23"/>
                <w:color w:val="auto"/>
              </w:rPr>
            </w:pPr>
          </w:p>
        </w:tc>
        <w:tc>
          <w:tcPr>
            <w:tcW w:w="1800" w:type="dxa"/>
            <w:vAlign w:val="bottom"/>
          </w:tcPr>
          <w:p>
            <w:pPr>
              <w:jc w:val="right"/>
              <w:ind w:right="30"/>
              <w:spacing w:after="0"/>
              <w:rPr>
                <w:sz w:val="20"/>
                <w:szCs w:val="20"/>
                <w:color w:val="auto"/>
              </w:rPr>
            </w:pPr>
            <w:r>
              <w:rPr>
                <w:rFonts w:ascii="Arial" w:cs="Arial" w:eastAsia="Arial" w:hAnsi="Arial"/>
                <w:sz w:val="18"/>
                <w:szCs w:val="18"/>
                <w:color w:val="auto"/>
              </w:rPr>
              <w:t>609</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8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3"/>
                <w:szCs w:val="23"/>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2,451</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0"/>
        </w:trPr>
        <w:tc>
          <w:tcPr>
            <w:tcW w:w="334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Long-term incentive plan</w:t>
            </w:r>
            <w:r>
              <w:rPr>
                <w:rFonts w:ascii="Arial" w:cs="Arial" w:eastAsia="Arial" w:hAnsi="Arial"/>
                <w:sz w:val="25"/>
                <w:szCs w:val="25"/>
                <w:color w:val="auto"/>
                <w:vertAlign w:val="superscript"/>
              </w:rPr>
              <w:t>(j)</w:t>
            </w:r>
          </w:p>
        </w:tc>
        <w:tc>
          <w:tcPr>
            <w:tcW w:w="160" w:type="dxa"/>
            <w:vAlign w:val="bottom"/>
            <w:shd w:val="clear" w:color="auto" w:fill="CCEEFF"/>
          </w:tcPr>
          <w:p>
            <w:pPr>
              <w:spacing w:after="0"/>
              <w:rPr>
                <w:sz w:val="23"/>
                <w:szCs w:val="23"/>
                <w:color w:val="auto"/>
              </w:rPr>
            </w:pPr>
          </w:p>
        </w:tc>
        <w:tc>
          <w:tcPr>
            <w:tcW w:w="18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2,429</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23"/>
                <w:szCs w:val="23"/>
                <w:color w:val="auto"/>
              </w:rPr>
            </w:pPr>
          </w:p>
        </w:tc>
        <w:tc>
          <w:tcPr>
            <w:tcW w:w="15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7,040</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5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70"/>
        </w:trPr>
        <w:tc>
          <w:tcPr>
            <w:tcW w:w="334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Other </w:t>
            </w:r>
            <w:r>
              <w:rPr>
                <w:rFonts w:ascii="Arial" w:cs="Arial" w:eastAsia="Arial" w:hAnsi="Arial"/>
                <w:sz w:val="25"/>
                <w:szCs w:val="25"/>
                <w:color w:val="auto"/>
                <w:vertAlign w:val="superscript"/>
              </w:rPr>
              <w:t>(k)</w:t>
            </w:r>
          </w:p>
        </w:tc>
        <w:tc>
          <w:tcPr>
            <w:tcW w:w="160" w:type="dxa"/>
            <w:vAlign w:val="bottom"/>
          </w:tcPr>
          <w:p>
            <w:pPr>
              <w:spacing w:after="0"/>
              <w:rPr>
                <w:sz w:val="23"/>
                <w:szCs w:val="23"/>
                <w:color w:val="auto"/>
              </w:rPr>
            </w:pPr>
          </w:p>
        </w:tc>
        <w:tc>
          <w:tcPr>
            <w:tcW w:w="1800" w:type="dxa"/>
            <w:vAlign w:val="bottom"/>
          </w:tcPr>
          <w:p>
            <w:pPr>
              <w:jc w:val="right"/>
              <w:ind w:right="30"/>
              <w:spacing w:after="0"/>
              <w:rPr>
                <w:sz w:val="20"/>
                <w:szCs w:val="20"/>
                <w:color w:val="auto"/>
              </w:rPr>
            </w:pPr>
            <w:r>
              <w:rPr>
                <w:rFonts w:ascii="Arial" w:cs="Arial" w:eastAsia="Arial" w:hAnsi="Arial"/>
                <w:sz w:val="18"/>
                <w:szCs w:val="18"/>
                <w:color w:val="auto"/>
              </w:rPr>
              <w:t>1,473</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760" w:type="dxa"/>
            <w:vAlign w:val="bottom"/>
          </w:tcPr>
          <w:p>
            <w:pPr>
              <w:jc w:val="right"/>
              <w:ind w:right="10"/>
              <w:spacing w:after="0"/>
              <w:rPr>
                <w:sz w:val="20"/>
                <w:szCs w:val="20"/>
                <w:color w:val="auto"/>
              </w:rPr>
            </w:pPr>
            <w:r>
              <w:rPr>
                <w:rFonts w:ascii="Arial" w:cs="Arial" w:eastAsia="Arial" w:hAnsi="Arial"/>
                <w:sz w:val="18"/>
                <w:szCs w:val="18"/>
                <w:color w:val="auto"/>
              </w:rPr>
              <w:t>883</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4,585</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3,924</w:t>
            </w:r>
          </w:p>
        </w:tc>
      </w:tr>
      <w:tr>
        <w:trPr>
          <w:trHeight w:val="229"/>
        </w:trPr>
        <w:tc>
          <w:tcPr>
            <w:tcW w:w="3340" w:type="dxa"/>
            <w:vAlign w:val="bottom"/>
            <w:shd w:val="clear" w:color="auto" w:fill="CCEEFF"/>
          </w:tcPr>
          <w:p>
            <w:pPr>
              <w:ind w:left="40"/>
              <w:spacing w:after="0"/>
              <w:rPr>
                <w:sz w:val="20"/>
                <w:szCs w:val="20"/>
                <w:color w:val="auto"/>
              </w:rPr>
            </w:pPr>
            <w:r>
              <w:rPr>
                <w:rFonts w:ascii="Arial" w:cs="Arial" w:eastAsia="Arial" w:hAnsi="Arial"/>
                <w:sz w:val="18"/>
                <w:szCs w:val="18"/>
                <w:color w:val="auto"/>
                <w:w w:val="97"/>
              </w:rPr>
              <w:t>Amortization of acquisition intangibles and</w:t>
            </w:r>
          </w:p>
        </w:tc>
        <w:tc>
          <w:tcPr>
            <w:tcW w:w="160" w:type="dxa"/>
            <w:vAlign w:val="bottom"/>
            <w:shd w:val="clear" w:color="auto" w:fill="CCEEFF"/>
          </w:tcPr>
          <w:p>
            <w:pPr>
              <w:spacing w:after="0"/>
              <w:rPr>
                <w:sz w:val="19"/>
                <w:szCs w:val="19"/>
                <w:color w:val="auto"/>
              </w:rPr>
            </w:pPr>
          </w:p>
        </w:tc>
        <w:tc>
          <w:tcPr>
            <w:tcW w:w="1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r>
      <w:tr>
        <w:trPr>
          <w:trHeight w:val="257"/>
        </w:trPr>
        <w:tc>
          <w:tcPr>
            <w:tcW w:w="3340" w:type="dxa"/>
            <w:vAlign w:val="bottom"/>
            <w:shd w:val="clear" w:color="auto" w:fill="CCEEFF"/>
          </w:tcPr>
          <w:p>
            <w:pPr>
              <w:ind w:left="40"/>
              <w:spacing w:after="0" w:line="257" w:lineRule="exact"/>
              <w:rPr>
                <w:sz w:val="20"/>
                <w:szCs w:val="20"/>
                <w:color w:val="auto"/>
              </w:rPr>
            </w:pPr>
            <w:r>
              <w:rPr>
                <w:rFonts w:ascii="Arial" w:cs="Arial" w:eastAsia="Arial" w:hAnsi="Arial"/>
                <w:sz w:val="18"/>
                <w:szCs w:val="18"/>
                <w:color w:val="auto"/>
              </w:rPr>
              <w:t xml:space="preserve">deferred financing costs </w:t>
            </w:r>
            <w:r>
              <w:rPr>
                <w:rFonts w:ascii="Arial" w:cs="Arial" w:eastAsia="Arial" w:hAnsi="Arial"/>
                <w:sz w:val="25"/>
                <w:szCs w:val="25"/>
                <w:color w:val="auto"/>
                <w:vertAlign w:val="superscript"/>
              </w:rPr>
              <w:t>(l)</w:t>
            </w:r>
          </w:p>
        </w:tc>
        <w:tc>
          <w:tcPr>
            <w:tcW w:w="160" w:type="dxa"/>
            <w:vAlign w:val="bottom"/>
            <w:shd w:val="clear" w:color="auto" w:fill="CCEEFF"/>
          </w:tcPr>
          <w:p>
            <w:pPr>
              <w:spacing w:after="0"/>
              <w:rPr>
                <w:sz w:val="22"/>
                <w:szCs w:val="22"/>
                <w:color w:val="auto"/>
              </w:rPr>
            </w:pPr>
          </w:p>
        </w:tc>
        <w:tc>
          <w:tcPr>
            <w:tcW w:w="18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2,413</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7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5,853</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5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9,253</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5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14,481</w:t>
            </w:r>
          </w:p>
        </w:tc>
      </w:tr>
      <w:tr>
        <w:trPr>
          <w:trHeight w:val="270"/>
        </w:trPr>
        <w:tc>
          <w:tcPr>
            <w:tcW w:w="3340" w:type="dxa"/>
            <w:vAlign w:val="bottom"/>
          </w:tcPr>
          <w:p>
            <w:pPr>
              <w:ind w:left="40"/>
              <w:spacing w:after="0" w:line="270" w:lineRule="exact"/>
              <w:rPr>
                <w:sz w:val="20"/>
                <w:szCs w:val="20"/>
                <w:color w:val="auto"/>
              </w:rPr>
            </w:pPr>
            <w:r>
              <w:rPr>
                <w:rFonts w:ascii="Arial" w:cs="Arial" w:eastAsia="Arial" w:hAnsi="Arial"/>
                <w:sz w:val="18"/>
                <w:szCs w:val="18"/>
                <w:color w:val="auto"/>
              </w:rPr>
              <w:t>Tax benefit of stock option exercises</w:t>
            </w:r>
            <w:r>
              <w:rPr>
                <w:rFonts w:ascii="Arial" w:cs="Arial" w:eastAsia="Arial" w:hAnsi="Arial"/>
                <w:sz w:val="25"/>
                <w:szCs w:val="25"/>
                <w:color w:val="auto"/>
                <w:vertAlign w:val="superscript"/>
              </w:rPr>
              <w:t>(m)</w:t>
            </w:r>
          </w:p>
        </w:tc>
        <w:tc>
          <w:tcPr>
            <w:tcW w:w="160" w:type="dxa"/>
            <w:vAlign w:val="bottom"/>
          </w:tcPr>
          <w:p>
            <w:pPr>
              <w:spacing w:after="0"/>
              <w:rPr>
                <w:sz w:val="23"/>
                <w:szCs w:val="23"/>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(7,580)</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8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3"/>
                <w:szCs w:val="23"/>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(25,544)</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0"/>
        </w:trPr>
        <w:tc>
          <w:tcPr>
            <w:tcW w:w="334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Tax legislation adjustment </w:t>
            </w:r>
            <w:r>
              <w:rPr>
                <w:rFonts w:ascii="Arial" w:cs="Arial" w:eastAsia="Arial" w:hAnsi="Arial"/>
                <w:sz w:val="25"/>
                <w:szCs w:val="25"/>
                <w:color w:val="auto"/>
                <w:vertAlign w:val="superscript"/>
              </w:rPr>
              <w:t>(n)</w:t>
            </w:r>
          </w:p>
        </w:tc>
        <w:tc>
          <w:tcPr>
            <w:tcW w:w="160" w:type="dxa"/>
            <w:vAlign w:val="bottom"/>
            <w:shd w:val="clear" w:color="auto" w:fill="CCEEFF"/>
          </w:tcPr>
          <w:p>
            <w:pPr>
              <w:spacing w:after="0"/>
              <w:rPr>
                <w:sz w:val="23"/>
                <w:szCs w:val="23"/>
                <w:color w:val="auto"/>
              </w:rPr>
            </w:pPr>
          </w:p>
        </w:tc>
        <w:tc>
          <w:tcPr>
            <w:tcW w:w="1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3"/>
                <w:szCs w:val="23"/>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(42,089)</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23"/>
                <w:szCs w:val="23"/>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(42,089)</w:t>
            </w:r>
          </w:p>
        </w:tc>
      </w:tr>
      <w:tr>
        <w:trPr>
          <w:trHeight w:val="270"/>
        </w:trPr>
        <w:tc>
          <w:tcPr>
            <w:tcW w:w="3340" w:type="dxa"/>
            <w:vAlign w:val="bottom"/>
            <w:tcBorders>
              <w:bottom w:val="single" w:sz="8" w:color="CCEEFF"/>
            </w:tcBorders>
          </w:tcPr>
          <w:p>
            <w:pPr>
              <w:ind w:left="40"/>
              <w:spacing w:after="0" w:line="270" w:lineRule="exact"/>
              <w:rPr>
                <w:sz w:val="20"/>
                <w:szCs w:val="20"/>
                <w:color w:val="auto"/>
              </w:rPr>
            </w:pPr>
            <w:r>
              <w:rPr>
                <w:rFonts w:ascii="Arial" w:cs="Arial" w:eastAsia="Arial" w:hAnsi="Arial"/>
                <w:sz w:val="18"/>
                <w:szCs w:val="18"/>
                <w:color w:val="auto"/>
              </w:rPr>
              <w:t xml:space="preserve">Tax effect of total adjustments </w:t>
            </w:r>
            <w:r>
              <w:rPr>
                <w:rFonts w:ascii="Arial" w:cs="Arial" w:eastAsia="Arial" w:hAnsi="Arial"/>
                <w:sz w:val="25"/>
                <w:szCs w:val="25"/>
                <w:color w:val="auto"/>
                <w:vertAlign w:val="superscript"/>
              </w:rPr>
              <w:t>(o)</w:t>
            </w:r>
          </w:p>
        </w:tc>
        <w:tc>
          <w:tcPr>
            <w:tcW w:w="160" w:type="dxa"/>
            <w:vAlign w:val="bottom"/>
            <w:tcBorders>
              <w:bottom w:val="single" w:sz="8" w:color="auto"/>
            </w:tcBorders>
          </w:tcPr>
          <w:p>
            <w:pPr>
              <w:spacing w:after="0"/>
              <w:rPr>
                <w:sz w:val="23"/>
                <w:szCs w:val="23"/>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(4,102)</w:t>
            </w:r>
          </w:p>
        </w:tc>
        <w:tc>
          <w:tcPr>
            <w:tcW w:w="12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(7,613)</w:t>
            </w:r>
          </w:p>
        </w:tc>
        <w:tc>
          <w:tcPr>
            <w:tcW w:w="100" w:type="dxa"/>
            <w:vAlign w:val="bottom"/>
            <w:tcBorders>
              <w:bottom w:val="single" w:sz="8" w:color="CCEEFF"/>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(13,309)</w:t>
            </w:r>
          </w:p>
        </w:tc>
        <w:tc>
          <w:tcPr>
            <w:tcW w:w="100" w:type="dxa"/>
            <w:vAlign w:val="bottom"/>
            <w:tcBorders>
              <w:bottom w:val="single" w:sz="8" w:color="CCEEFF"/>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(20,475)</w:t>
            </w:r>
          </w:p>
        </w:tc>
      </w:tr>
      <w:tr>
        <w:trPr>
          <w:trHeight w:val="269"/>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Adjusted Net Income (Loss)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1,039</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(3,329)</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51,928</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31,759</w:t>
            </w:r>
          </w:p>
        </w:tc>
      </w:tr>
      <w:tr>
        <w:trPr>
          <w:trHeight w:val="20"/>
        </w:trPr>
        <w:tc>
          <w:tcPr>
            <w:tcW w:w="33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r>
      <w:tr>
        <w:trPr>
          <w:trHeight w:val="452"/>
        </w:trPr>
        <w:tc>
          <w:tcPr>
            <w:tcW w:w="3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920" w:type="dxa"/>
            <w:vAlign w:val="bottom"/>
            <w:gridSpan w:val="2"/>
          </w:tcPr>
          <w:p>
            <w:pPr>
              <w:jc w:val="center"/>
              <w:ind w:right="280"/>
              <w:spacing w:after="0"/>
              <w:rPr>
                <w:sz w:val="20"/>
                <w:szCs w:val="20"/>
                <w:color w:val="auto"/>
              </w:rPr>
            </w:pPr>
            <w:r>
              <w:rPr>
                <w:rFonts w:ascii="Arial" w:cs="Arial" w:eastAsia="Arial" w:hAnsi="Arial"/>
                <w:sz w:val="18"/>
                <w:szCs w:val="18"/>
                <w:color w:val="auto"/>
                <w:w w:val="90"/>
              </w:rPr>
              <w:t>Three Months Ended</w:t>
            </w:r>
          </w:p>
        </w:tc>
        <w:tc>
          <w:tcPr>
            <w:tcW w:w="160" w:type="dxa"/>
            <w:vAlign w:val="bottom"/>
          </w:tcPr>
          <w:p>
            <w:pPr>
              <w:spacing w:after="0"/>
              <w:rPr>
                <w:sz w:val="24"/>
                <w:szCs w:val="24"/>
                <w:color w:val="auto"/>
              </w:rPr>
            </w:pPr>
          </w:p>
        </w:tc>
        <w:tc>
          <w:tcPr>
            <w:tcW w:w="1860" w:type="dxa"/>
            <w:vAlign w:val="bottom"/>
            <w:gridSpan w:val="2"/>
          </w:tcPr>
          <w:p>
            <w:pPr>
              <w:jc w:val="center"/>
              <w:ind w:right="260"/>
              <w:spacing w:after="0"/>
              <w:rPr>
                <w:sz w:val="20"/>
                <w:szCs w:val="20"/>
                <w:color w:val="auto"/>
              </w:rPr>
            </w:pPr>
            <w:r>
              <w:rPr>
                <w:rFonts w:ascii="Arial" w:cs="Arial" w:eastAsia="Arial" w:hAnsi="Arial"/>
                <w:sz w:val="18"/>
                <w:szCs w:val="18"/>
                <w:color w:val="auto"/>
                <w:w w:val="90"/>
              </w:rPr>
              <w:t>Three Months Ended</w:t>
            </w:r>
          </w:p>
        </w:tc>
        <w:tc>
          <w:tcPr>
            <w:tcW w:w="360" w:type="dxa"/>
            <w:vAlign w:val="bottom"/>
          </w:tcPr>
          <w:p>
            <w:pPr>
              <w:spacing w:after="0"/>
              <w:rPr>
                <w:sz w:val="24"/>
                <w:szCs w:val="24"/>
                <w:color w:val="auto"/>
              </w:rPr>
            </w:pPr>
          </w:p>
        </w:tc>
        <w:tc>
          <w:tcPr>
            <w:tcW w:w="1680" w:type="dxa"/>
            <w:vAlign w:val="bottom"/>
            <w:gridSpan w:val="2"/>
          </w:tcPr>
          <w:p>
            <w:pPr>
              <w:jc w:val="center"/>
              <w:ind w:right="440"/>
              <w:spacing w:after="0"/>
              <w:rPr>
                <w:sz w:val="20"/>
                <w:szCs w:val="20"/>
                <w:color w:val="auto"/>
              </w:rPr>
            </w:pPr>
            <w:r>
              <w:rPr>
                <w:rFonts w:ascii="Arial" w:cs="Arial" w:eastAsia="Arial" w:hAnsi="Arial"/>
                <w:sz w:val="17"/>
                <w:szCs w:val="17"/>
                <w:color w:val="auto"/>
                <w:w w:val="89"/>
              </w:rPr>
              <w:t>Fiscal Year</w:t>
            </w:r>
          </w:p>
        </w:tc>
        <w:tc>
          <w:tcPr>
            <w:tcW w:w="360" w:type="dxa"/>
            <w:vAlign w:val="bottom"/>
          </w:tcPr>
          <w:p>
            <w:pPr>
              <w:spacing w:after="0"/>
              <w:rPr>
                <w:sz w:val="24"/>
                <w:szCs w:val="24"/>
                <w:color w:val="auto"/>
              </w:rPr>
            </w:pPr>
          </w:p>
        </w:tc>
        <w:tc>
          <w:tcPr>
            <w:tcW w:w="1580" w:type="dxa"/>
            <w:vAlign w:val="bottom"/>
          </w:tcPr>
          <w:p>
            <w:pPr>
              <w:jc w:val="center"/>
              <w:ind w:right="250"/>
              <w:spacing w:after="0"/>
              <w:rPr>
                <w:sz w:val="20"/>
                <w:szCs w:val="20"/>
                <w:color w:val="auto"/>
              </w:rPr>
            </w:pPr>
            <w:r>
              <w:rPr>
                <w:rFonts w:ascii="Arial" w:cs="Arial" w:eastAsia="Arial" w:hAnsi="Arial"/>
                <w:sz w:val="17"/>
                <w:szCs w:val="17"/>
                <w:color w:val="auto"/>
                <w:w w:val="89"/>
              </w:rPr>
              <w:t>Fiscal Year</w:t>
            </w:r>
          </w:p>
        </w:tc>
      </w:tr>
      <w:tr>
        <w:trPr>
          <w:trHeight w:val="230"/>
        </w:trPr>
        <w:tc>
          <w:tcPr>
            <w:tcW w:w="3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920" w:type="dxa"/>
            <w:vAlign w:val="bottom"/>
            <w:gridSpan w:val="2"/>
          </w:tcPr>
          <w:p>
            <w:pPr>
              <w:jc w:val="center"/>
              <w:ind w:right="300"/>
              <w:spacing w:after="0"/>
              <w:rPr>
                <w:sz w:val="20"/>
                <w:szCs w:val="20"/>
                <w:color w:val="auto"/>
              </w:rPr>
            </w:pPr>
            <w:r>
              <w:rPr>
                <w:rFonts w:ascii="Arial" w:cs="Arial" w:eastAsia="Arial" w:hAnsi="Arial"/>
                <w:sz w:val="18"/>
                <w:szCs w:val="18"/>
                <w:color w:val="auto"/>
                <w:w w:val="89"/>
              </w:rPr>
              <w:t>December 29, 2018</w:t>
            </w:r>
          </w:p>
        </w:tc>
        <w:tc>
          <w:tcPr>
            <w:tcW w:w="160" w:type="dxa"/>
            <w:vAlign w:val="bottom"/>
          </w:tcPr>
          <w:p>
            <w:pPr>
              <w:spacing w:after="0"/>
              <w:rPr>
                <w:sz w:val="20"/>
                <w:szCs w:val="20"/>
                <w:color w:val="auto"/>
              </w:rPr>
            </w:pPr>
          </w:p>
        </w:tc>
        <w:tc>
          <w:tcPr>
            <w:tcW w:w="1860" w:type="dxa"/>
            <w:vAlign w:val="bottom"/>
            <w:gridSpan w:val="2"/>
          </w:tcPr>
          <w:p>
            <w:pPr>
              <w:jc w:val="center"/>
              <w:ind w:right="280"/>
              <w:spacing w:after="0"/>
              <w:rPr>
                <w:sz w:val="20"/>
                <w:szCs w:val="20"/>
                <w:color w:val="auto"/>
              </w:rPr>
            </w:pPr>
            <w:r>
              <w:rPr>
                <w:rFonts w:ascii="Arial" w:cs="Arial" w:eastAsia="Arial" w:hAnsi="Arial"/>
                <w:sz w:val="18"/>
                <w:szCs w:val="18"/>
                <w:color w:val="auto"/>
                <w:w w:val="89"/>
              </w:rPr>
              <w:t>December 30, 2017</w:t>
            </w:r>
          </w:p>
        </w:tc>
        <w:tc>
          <w:tcPr>
            <w:tcW w:w="360" w:type="dxa"/>
            <w:vAlign w:val="bottom"/>
          </w:tcPr>
          <w:p>
            <w:pPr>
              <w:spacing w:after="0"/>
              <w:rPr>
                <w:sz w:val="20"/>
                <w:szCs w:val="20"/>
                <w:color w:val="auto"/>
              </w:rPr>
            </w:pPr>
          </w:p>
        </w:tc>
        <w:tc>
          <w:tcPr>
            <w:tcW w:w="1580" w:type="dxa"/>
            <w:vAlign w:val="bottom"/>
          </w:tcPr>
          <w:p>
            <w:pPr>
              <w:jc w:val="center"/>
              <w:ind w:right="270"/>
              <w:spacing w:after="0"/>
              <w:rPr>
                <w:sz w:val="20"/>
                <w:szCs w:val="20"/>
                <w:color w:val="auto"/>
              </w:rPr>
            </w:pPr>
            <w:r>
              <w:rPr>
                <w:rFonts w:ascii="Arial" w:cs="Arial" w:eastAsia="Arial" w:hAnsi="Arial"/>
                <w:sz w:val="17"/>
                <w:szCs w:val="17"/>
                <w:color w:val="auto"/>
                <w:w w:val="89"/>
              </w:rPr>
              <w:t>2018</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580" w:type="dxa"/>
            <w:vAlign w:val="bottom"/>
          </w:tcPr>
          <w:p>
            <w:pPr>
              <w:jc w:val="center"/>
              <w:ind w:right="270"/>
              <w:spacing w:after="0"/>
              <w:rPr>
                <w:sz w:val="20"/>
                <w:szCs w:val="20"/>
                <w:color w:val="auto"/>
              </w:rPr>
            </w:pPr>
            <w:r>
              <w:rPr>
                <w:rFonts w:ascii="Arial" w:cs="Arial" w:eastAsia="Arial" w:hAnsi="Arial"/>
                <w:sz w:val="17"/>
                <w:szCs w:val="17"/>
                <w:color w:val="auto"/>
                <w:w w:val="89"/>
              </w:rPr>
              <w:t>2017</w:t>
            </w:r>
          </w:p>
        </w:tc>
      </w:tr>
      <w:tr>
        <w:trPr>
          <w:trHeight w:val="27"/>
        </w:trPr>
        <w:tc>
          <w:tcPr>
            <w:tcW w:w="33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44"/>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Diluted EPS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0.37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0.30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0.70</w:t>
            </w:r>
          </w:p>
        </w:tc>
      </w:tr>
      <w:tr>
        <w:trPr>
          <w:trHeight w:val="270"/>
        </w:trPr>
        <w:tc>
          <w:tcPr>
            <w:tcW w:w="334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Stock compensation expense </w:t>
            </w:r>
            <w:r>
              <w:rPr>
                <w:rFonts w:ascii="Arial" w:cs="Arial" w:eastAsia="Arial" w:hAnsi="Arial"/>
                <w:sz w:val="25"/>
                <w:szCs w:val="25"/>
                <w:color w:val="auto"/>
                <w:vertAlign w:val="superscript"/>
              </w:rPr>
              <w:t>(a)</w:t>
            </w:r>
          </w:p>
        </w:tc>
        <w:tc>
          <w:tcPr>
            <w:tcW w:w="160" w:type="dxa"/>
            <w:vAlign w:val="bottom"/>
          </w:tcPr>
          <w:p>
            <w:pPr>
              <w:spacing w:after="0"/>
              <w:rPr>
                <w:sz w:val="23"/>
                <w:szCs w:val="23"/>
                <w:color w:val="auto"/>
              </w:rPr>
            </w:pPr>
          </w:p>
        </w:tc>
        <w:tc>
          <w:tcPr>
            <w:tcW w:w="1800" w:type="dxa"/>
            <w:vAlign w:val="bottom"/>
          </w:tcPr>
          <w:p>
            <w:pPr>
              <w:jc w:val="right"/>
              <w:ind w:right="30"/>
              <w:spacing w:after="0"/>
              <w:rPr>
                <w:sz w:val="20"/>
                <w:szCs w:val="20"/>
                <w:color w:val="auto"/>
              </w:rPr>
            </w:pPr>
            <w:r>
              <w:rPr>
                <w:rFonts w:ascii="Arial" w:cs="Arial" w:eastAsia="Arial" w:hAnsi="Arial"/>
                <w:sz w:val="18"/>
                <w:szCs w:val="18"/>
                <w:color w:val="auto"/>
              </w:rPr>
              <w:t>0.09</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760" w:type="dxa"/>
            <w:vAlign w:val="bottom"/>
          </w:tcPr>
          <w:p>
            <w:pPr>
              <w:jc w:val="right"/>
              <w:ind w:right="10"/>
              <w:spacing w:after="0"/>
              <w:rPr>
                <w:sz w:val="20"/>
                <w:szCs w:val="20"/>
                <w:color w:val="auto"/>
              </w:rPr>
            </w:pPr>
            <w:r>
              <w:rPr>
                <w:rFonts w:ascii="Arial" w:cs="Arial" w:eastAsia="Arial" w:hAnsi="Arial"/>
                <w:sz w:val="18"/>
                <w:szCs w:val="18"/>
                <w:color w:val="auto"/>
              </w:rPr>
              <w:t>0.03</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0.26</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0.08</w:t>
            </w:r>
          </w:p>
        </w:tc>
      </w:tr>
      <w:tr>
        <w:trPr>
          <w:trHeight w:val="270"/>
        </w:trPr>
        <w:tc>
          <w:tcPr>
            <w:tcW w:w="334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Debt issuance costs </w:t>
            </w:r>
            <w:r>
              <w:rPr>
                <w:rFonts w:ascii="Arial" w:cs="Arial" w:eastAsia="Arial" w:hAnsi="Arial"/>
                <w:sz w:val="25"/>
                <w:szCs w:val="25"/>
                <w:color w:val="auto"/>
                <w:vertAlign w:val="superscript"/>
              </w:rPr>
              <w:t>(b)</w:t>
            </w:r>
          </w:p>
        </w:tc>
        <w:tc>
          <w:tcPr>
            <w:tcW w:w="160" w:type="dxa"/>
            <w:vAlign w:val="bottom"/>
            <w:shd w:val="clear" w:color="auto" w:fill="CCEEFF"/>
          </w:tcPr>
          <w:p>
            <w:pPr>
              <w:spacing w:after="0"/>
              <w:rPr>
                <w:sz w:val="23"/>
                <w:szCs w:val="23"/>
                <w:color w:val="auto"/>
              </w:rPr>
            </w:pPr>
          </w:p>
        </w:tc>
        <w:tc>
          <w:tcPr>
            <w:tcW w:w="18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0.00</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7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0.02</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5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0.00</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5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0.07</w:t>
            </w:r>
          </w:p>
        </w:tc>
      </w:tr>
      <w:tr>
        <w:trPr>
          <w:trHeight w:val="270"/>
        </w:trPr>
        <w:tc>
          <w:tcPr>
            <w:tcW w:w="334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Asset impairment </w:t>
            </w:r>
            <w:r>
              <w:rPr>
                <w:rFonts w:ascii="Arial" w:cs="Arial" w:eastAsia="Arial" w:hAnsi="Arial"/>
                <w:sz w:val="25"/>
                <w:szCs w:val="25"/>
                <w:color w:val="auto"/>
                <w:vertAlign w:val="superscript"/>
              </w:rPr>
              <w:t>(c)</w:t>
            </w:r>
          </w:p>
        </w:tc>
        <w:tc>
          <w:tcPr>
            <w:tcW w:w="160" w:type="dxa"/>
            <w:vAlign w:val="bottom"/>
          </w:tcPr>
          <w:p>
            <w:pPr>
              <w:spacing w:after="0"/>
              <w:rPr>
                <w:sz w:val="23"/>
                <w:szCs w:val="23"/>
                <w:color w:val="auto"/>
              </w:rPr>
            </w:pPr>
          </w:p>
        </w:tc>
        <w:tc>
          <w:tcPr>
            <w:tcW w:w="1800" w:type="dxa"/>
            <w:vAlign w:val="bottom"/>
          </w:tcPr>
          <w:p>
            <w:pPr>
              <w:jc w:val="right"/>
              <w:ind w:right="30"/>
              <w:spacing w:after="0"/>
              <w:rPr>
                <w:sz w:val="20"/>
                <w:szCs w:val="20"/>
                <w:color w:val="auto"/>
              </w:rPr>
            </w:pPr>
            <w:r>
              <w:rPr>
                <w:rFonts w:ascii="Arial" w:cs="Arial" w:eastAsia="Arial" w:hAnsi="Arial"/>
                <w:sz w:val="18"/>
                <w:szCs w:val="18"/>
                <w:color w:val="auto"/>
              </w:rPr>
              <w:t>0.20</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760" w:type="dxa"/>
            <w:vAlign w:val="bottom"/>
          </w:tcPr>
          <w:p>
            <w:pPr>
              <w:jc w:val="right"/>
              <w:ind w:right="10"/>
              <w:spacing w:after="0"/>
              <w:rPr>
                <w:sz w:val="20"/>
                <w:szCs w:val="20"/>
                <w:color w:val="auto"/>
              </w:rPr>
            </w:pPr>
            <w:r>
              <w:rPr>
                <w:rFonts w:ascii="Arial" w:cs="Arial" w:eastAsia="Arial" w:hAnsi="Arial"/>
                <w:sz w:val="18"/>
                <w:szCs w:val="18"/>
                <w:color w:val="auto"/>
              </w:rPr>
              <w:t>0.04</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0.22</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0.07</w:t>
            </w:r>
          </w:p>
        </w:tc>
      </w:tr>
      <w:tr>
        <w:trPr>
          <w:trHeight w:val="270"/>
        </w:trPr>
        <w:tc>
          <w:tcPr>
            <w:tcW w:w="334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Non-cash inventory write-offs </w:t>
            </w:r>
            <w:r>
              <w:rPr>
                <w:rFonts w:ascii="Arial" w:cs="Arial" w:eastAsia="Arial" w:hAnsi="Arial"/>
                <w:sz w:val="25"/>
                <w:szCs w:val="25"/>
                <w:color w:val="auto"/>
                <w:vertAlign w:val="superscript"/>
              </w:rPr>
              <w:t>(d)</w:t>
            </w:r>
          </w:p>
        </w:tc>
        <w:tc>
          <w:tcPr>
            <w:tcW w:w="160" w:type="dxa"/>
            <w:vAlign w:val="bottom"/>
            <w:shd w:val="clear" w:color="auto" w:fill="CCEEFF"/>
          </w:tcPr>
          <w:p>
            <w:pPr>
              <w:spacing w:after="0"/>
              <w:rPr>
                <w:sz w:val="23"/>
                <w:szCs w:val="23"/>
                <w:color w:val="auto"/>
              </w:rPr>
            </w:pPr>
          </w:p>
        </w:tc>
        <w:tc>
          <w:tcPr>
            <w:tcW w:w="1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3"/>
                <w:szCs w:val="23"/>
                <w:color w:val="auto"/>
              </w:rPr>
            </w:pPr>
          </w:p>
        </w:tc>
        <w:tc>
          <w:tcPr>
            <w:tcW w:w="1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23"/>
                <w:szCs w:val="23"/>
                <w:color w:val="auto"/>
              </w:rPr>
            </w:pPr>
          </w:p>
        </w:tc>
        <w:tc>
          <w:tcPr>
            <w:tcW w:w="1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23"/>
                <w:szCs w:val="23"/>
                <w:color w:val="auto"/>
              </w:rPr>
            </w:pPr>
          </w:p>
        </w:tc>
        <w:tc>
          <w:tcPr>
            <w:tcW w:w="15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0.04</w:t>
            </w:r>
          </w:p>
        </w:tc>
      </w:tr>
      <w:tr>
        <w:trPr>
          <w:trHeight w:val="270"/>
        </w:trPr>
        <w:tc>
          <w:tcPr>
            <w:tcW w:w="334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Management fees </w:t>
            </w:r>
            <w:r>
              <w:rPr>
                <w:rFonts w:ascii="Arial" w:cs="Arial" w:eastAsia="Arial" w:hAnsi="Arial"/>
                <w:sz w:val="25"/>
                <w:szCs w:val="25"/>
                <w:color w:val="auto"/>
                <w:vertAlign w:val="superscript"/>
              </w:rPr>
              <w:t>(e)</w:t>
            </w:r>
          </w:p>
        </w:tc>
        <w:tc>
          <w:tcPr>
            <w:tcW w:w="160" w:type="dxa"/>
            <w:vAlign w:val="bottom"/>
          </w:tcPr>
          <w:p>
            <w:pPr>
              <w:spacing w:after="0"/>
              <w:rPr>
                <w:sz w:val="23"/>
                <w:szCs w:val="23"/>
                <w:color w:val="auto"/>
              </w:rPr>
            </w:pPr>
          </w:p>
        </w:tc>
        <w:tc>
          <w:tcPr>
            <w:tcW w:w="19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1760" w:type="dxa"/>
            <w:vAlign w:val="bottom"/>
          </w:tcPr>
          <w:p>
            <w:pPr>
              <w:jc w:val="right"/>
              <w:ind w:right="10"/>
              <w:spacing w:after="0"/>
              <w:rPr>
                <w:sz w:val="20"/>
                <w:szCs w:val="20"/>
                <w:color w:val="auto"/>
              </w:rPr>
            </w:pPr>
            <w:r>
              <w:rPr>
                <w:rFonts w:ascii="Arial" w:cs="Arial" w:eastAsia="Arial" w:hAnsi="Arial"/>
                <w:sz w:val="18"/>
                <w:szCs w:val="18"/>
                <w:color w:val="auto"/>
              </w:rPr>
              <w:t>0.06</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3"/>
                <w:szCs w:val="23"/>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0.08</w:t>
            </w:r>
          </w:p>
        </w:tc>
      </w:tr>
      <w:tr>
        <w:trPr>
          <w:trHeight w:val="270"/>
        </w:trPr>
        <w:tc>
          <w:tcPr>
            <w:tcW w:w="334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New store pre-opening expenses </w:t>
            </w:r>
            <w:r>
              <w:rPr>
                <w:rFonts w:ascii="Arial" w:cs="Arial" w:eastAsia="Arial" w:hAnsi="Arial"/>
                <w:sz w:val="25"/>
                <w:szCs w:val="25"/>
                <w:color w:val="auto"/>
                <w:vertAlign w:val="superscript"/>
              </w:rPr>
              <w:t>(f)</w:t>
            </w:r>
          </w:p>
        </w:tc>
        <w:tc>
          <w:tcPr>
            <w:tcW w:w="160" w:type="dxa"/>
            <w:vAlign w:val="bottom"/>
            <w:shd w:val="clear" w:color="auto" w:fill="CCEEFF"/>
          </w:tcPr>
          <w:p>
            <w:pPr>
              <w:spacing w:after="0"/>
              <w:rPr>
                <w:sz w:val="23"/>
                <w:szCs w:val="23"/>
                <w:color w:val="auto"/>
              </w:rPr>
            </w:pPr>
          </w:p>
        </w:tc>
        <w:tc>
          <w:tcPr>
            <w:tcW w:w="18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0.01</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7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0.01</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5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0.03</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5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0.04</w:t>
            </w:r>
          </w:p>
        </w:tc>
      </w:tr>
      <w:tr>
        <w:trPr>
          <w:trHeight w:val="270"/>
        </w:trPr>
        <w:tc>
          <w:tcPr>
            <w:tcW w:w="334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Non-cash rent </w:t>
            </w:r>
            <w:r>
              <w:rPr>
                <w:rFonts w:ascii="Arial" w:cs="Arial" w:eastAsia="Arial" w:hAnsi="Arial"/>
                <w:sz w:val="25"/>
                <w:szCs w:val="25"/>
                <w:color w:val="auto"/>
                <w:vertAlign w:val="superscript"/>
              </w:rPr>
              <w:t>(g)</w:t>
            </w:r>
          </w:p>
        </w:tc>
        <w:tc>
          <w:tcPr>
            <w:tcW w:w="160" w:type="dxa"/>
            <w:vAlign w:val="bottom"/>
          </w:tcPr>
          <w:p>
            <w:pPr>
              <w:spacing w:after="0"/>
              <w:rPr>
                <w:sz w:val="23"/>
                <w:szCs w:val="23"/>
                <w:color w:val="auto"/>
              </w:rPr>
            </w:pPr>
          </w:p>
        </w:tc>
        <w:tc>
          <w:tcPr>
            <w:tcW w:w="1800" w:type="dxa"/>
            <w:vAlign w:val="bottom"/>
          </w:tcPr>
          <w:p>
            <w:pPr>
              <w:jc w:val="right"/>
              <w:ind w:right="30"/>
              <w:spacing w:after="0"/>
              <w:rPr>
                <w:sz w:val="20"/>
                <w:szCs w:val="20"/>
                <w:color w:val="auto"/>
              </w:rPr>
            </w:pPr>
            <w:r>
              <w:rPr>
                <w:rFonts w:ascii="Arial" w:cs="Arial" w:eastAsia="Arial" w:hAnsi="Arial"/>
                <w:sz w:val="18"/>
                <w:szCs w:val="18"/>
                <w:color w:val="auto"/>
              </w:rPr>
              <w:t>0.01</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760" w:type="dxa"/>
            <w:vAlign w:val="bottom"/>
          </w:tcPr>
          <w:p>
            <w:pPr>
              <w:jc w:val="right"/>
              <w:ind w:right="10"/>
              <w:spacing w:after="0"/>
              <w:rPr>
                <w:sz w:val="20"/>
                <w:szCs w:val="20"/>
                <w:color w:val="auto"/>
              </w:rPr>
            </w:pPr>
            <w:r>
              <w:rPr>
                <w:rFonts w:ascii="Arial" w:cs="Arial" w:eastAsia="Arial" w:hAnsi="Arial"/>
                <w:sz w:val="18"/>
                <w:szCs w:val="18"/>
                <w:color w:val="auto"/>
              </w:rPr>
              <w:t>0.00</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0.04</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0.03</w:t>
            </w:r>
          </w:p>
        </w:tc>
      </w:tr>
      <w:tr>
        <w:trPr>
          <w:trHeight w:val="270"/>
        </w:trPr>
        <w:tc>
          <w:tcPr>
            <w:tcW w:w="334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Litigation settlement </w:t>
            </w:r>
            <w:r>
              <w:rPr>
                <w:rFonts w:ascii="Arial" w:cs="Arial" w:eastAsia="Arial" w:hAnsi="Arial"/>
                <w:sz w:val="25"/>
                <w:szCs w:val="25"/>
                <w:color w:val="auto"/>
                <w:vertAlign w:val="superscript"/>
              </w:rPr>
              <w:t>(h)</w:t>
            </w:r>
          </w:p>
        </w:tc>
        <w:tc>
          <w:tcPr>
            <w:tcW w:w="160" w:type="dxa"/>
            <w:vAlign w:val="bottom"/>
            <w:shd w:val="clear" w:color="auto" w:fill="CCEEFF"/>
          </w:tcPr>
          <w:p>
            <w:pPr>
              <w:spacing w:after="0"/>
              <w:rPr>
                <w:sz w:val="23"/>
                <w:szCs w:val="23"/>
                <w:color w:val="auto"/>
              </w:rPr>
            </w:pPr>
          </w:p>
        </w:tc>
        <w:tc>
          <w:tcPr>
            <w:tcW w:w="1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3"/>
                <w:szCs w:val="23"/>
                <w:color w:val="auto"/>
              </w:rPr>
            </w:pPr>
          </w:p>
        </w:tc>
        <w:tc>
          <w:tcPr>
            <w:tcW w:w="1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23"/>
                <w:szCs w:val="23"/>
                <w:color w:val="auto"/>
              </w:rPr>
            </w:pPr>
          </w:p>
        </w:tc>
        <w:tc>
          <w:tcPr>
            <w:tcW w:w="1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23"/>
                <w:szCs w:val="23"/>
                <w:color w:val="auto"/>
              </w:rPr>
            </w:pPr>
          </w:p>
        </w:tc>
        <w:tc>
          <w:tcPr>
            <w:tcW w:w="15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0.11</w:t>
            </w:r>
          </w:p>
        </w:tc>
      </w:tr>
      <w:tr>
        <w:trPr>
          <w:trHeight w:val="270"/>
        </w:trPr>
        <w:tc>
          <w:tcPr>
            <w:tcW w:w="334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Secondary offering expenses </w:t>
            </w:r>
            <w:r>
              <w:rPr>
                <w:rFonts w:ascii="Arial" w:cs="Arial" w:eastAsia="Arial" w:hAnsi="Arial"/>
                <w:sz w:val="25"/>
                <w:szCs w:val="25"/>
                <w:color w:val="auto"/>
                <w:vertAlign w:val="superscript"/>
              </w:rPr>
              <w:t>(i)</w:t>
            </w:r>
          </w:p>
        </w:tc>
        <w:tc>
          <w:tcPr>
            <w:tcW w:w="160" w:type="dxa"/>
            <w:vAlign w:val="bottom"/>
          </w:tcPr>
          <w:p>
            <w:pPr>
              <w:spacing w:after="0"/>
              <w:rPr>
                <w:sz w:val="23"/>
                <w:szCs w:val="23"/>
                <w:color w:val="auto"/>
              </w:rPr>
            </w:pPr>
          </w:p>
        </w:tc>
        <w:tc>
          <w:tcPr>
            <w:tcW w:w="1800" w:type="dxa"/>
            <w:vAlign w:val="bottom"/>
          </w:tcPr>
          <w:p>
            <w:pPr>
              <w:jc w:val="right"/>
              <w:ind w:right="30"/>
              <w:spacing w:after="0"/>
              <w:rPr>
                <w:sz w:val="20"/>
                <w:szCs w:val="20"/>
                <w:color w:val="auto"/>
              </w:rPr>
            </w:pPr>
            <w:r>
              <w:rPr>
                <w:rFonts w:ascii="Arial" w:cs="Arial" w:eastAsia="Arial" w:hAnsi="Arial"/>
                <w:sz w:val="18"/>
                <w:szCs w:val="18"/>
                <w:color w:val="auto"/>
              </w:rPr>
              <w:t>0.01</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8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3"/>
                <w:szCs w:val="23"/>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0.03</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0"/>
        </w:trPr>
        <w:tc>
          <w:tcPr>
            <w:tcW w:w="334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Long-term incentive plan</w:t>
            </w:r>
            <w:r>
              <w:rPr>
                <w:rFonts w:ascii="Arial" w:cs="Arial" w:eastAsia="Arial" w:hAnsi="Arial"/>
                <w:sz w:val="25"/>
                <w:szCs w:val="25"/>
                <w:color w:val="auto"/>
                <w:vertAlign w:val="superscript"/>
              </w:rPr>
              <w:t>(j)</w:t>
            </w:r>
          </w:p>
        </w:tc>
        <w:tc>
          <w:tcPr>
            <w:tcW w:w="160" w:type="dxa"/>
            <w:vAlign w:val="bottom"/>
            <w:shd w:val="clear" w:color="auto" w:fill="CCEEFF"/>
          </w:tcPr>
          <w:p>
            <w:pPr>
              <w:spacing w:after="0"/>
              <w:rPr>
                <w:sz w:val="23"/>
                <w:szCs w:val="23"/>
                <w:color w:val="auto"/>
              </w:rPr>
            </w:pPr>
          </w:p>
        </w:tc>
        <w:tc>
          <w:tcPr>
            <w:tcW w:w="18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0.03</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23"/>
                <w:szCs w:val="23"/>
                <w:color w:val="auto"/>
              </w:rPr>
            </w:pPr>
          </w:p>
        </w:tc>
        <w:tc>
          <w:tcPr>
            <w:tcW w:w="15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0.09</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5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70"/>
        </w:trPr>
        <w:tc>
          <w:tcPr>
            <w:tcW w:w="334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Other </w:t>
            </w:r>
            <w:r>
              <w:rPr>
                <w:rFonts w:ascii="Arial" w:cs="Arial" w:eastAsia="Arial" w:hAnsi="Arial"/>
                <w:sz w:val="25"/>
                <w:szCs w:val="25"/>
                <w:color w:val="auto"/>
                <w:vertAlign w:val="superscript"/>
              </w:rPr>
              <w:t>(k)</w:t>
            </w:r>
          </w:p>
        </w:tc>
        <w:tc>
          <w:tcPr>
            <w:tcW w:w="160" w:type="dxa"/>
            <w:vAlign w:val="bottom"/>
          </w:tcPr>
          <w:p>
            <w:pPr>
              <w:spacing w:after="0"/>
              <w:rPr>
                <w:sz w:val="23"/>
                <w:szCs w:val="23"/>
                <w:color w:val="auto"/>
              </w:rPr>
            </w:pPr>
          </w:p>
        </w:tc>
        <w:tc>
          <w:tcPr>
            <w:tcW w:w="1800" w:type="dxa"/>
            <w:vAlign w:val="bottom"/>
          </w:tcPr>
          <w:p>
            <w:pPr>
              <w:jc w:val="right"/>
              <w:ind w:right="30"/>
              <w:spacing w:after="0"/>
              <w:rPr>
                <w:sz w:val="20"/>
                <w:szCs w:val="20"/>
                <w:color w:val="auto"/>
              </w:rPr>
            </w:pPr>
            <w:r>
              <w:rPr>
                <w:rFonts w:ascii="Arial" w:cs="Arial" w:eastAsia="Arial" w:hAnsi="Arial"/>
                <w:sz w:val="18"/>
                <w:szCs w:val="18"/>
                <w:color w:val="auto"/>
              </w:rPr>
              <w:t>0.02</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760" w:type="dxa"/>
            <w:vAlign w:val="bottom"/>
          </w:tcPr>
          <w:p>
            <w:pPr>
              <w:jc w:val="right"/>
              <w:ind w:right="10"/>
              <w:spacing w:after="0"/>
              <w:rPr>
                <w:sz w:val="20"/>
                <w:szCs w:val="20"/>
                <w:color w:val="auto"/>
              </w:rPr>
            </w:pPr>
            <w:r>
              <w:rPr>
                <w:rFonts w:ascii="Arial" w:cs="Arial" w:eastAsia="Arial" w:hAnsi="Arial"/>
                <w:sz w:val="18"/>
                <w:szCs w:val="18"/>
                <w:color w:val="auto"/>
              </w:rPr>
              <w:t>0.01</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0.06</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0.06</w:t>
            </w:r>
          </w:p>
        </w:tc>
      </w:tr>
      <w:tr>
        <w:trPr>
          <w:trHeight w:val="229"/>
        </w:trPr>
        <w:tc>
          <w:tcPr>
            <w:tcW w:w="3340" w:type="dxa"/>
            <w:vAlign w:val="bottom"/>
            <w:shd w:val="clear" w:color="auto" w:fill="CCEEFF"/>
          </w:tcPr>
          <w:p>
            <w:pPr>
              <w:ind w:left="40"/>
              <w:spacing w:after="0"/>
              <w:rPr>
                <w:sz w:val="20"/>
                <w:szCs w:val="20"/>
                <w:color w:val="auto"/>
              </w:rPr>
            </w:pPr>
            <w:r>
              <w:rPr>
                <w:rFonts w:ascii="Arial" w:cs="Arial" w:eastAsia="Arial" w:hAnsi="Arial"/>
                <w:sz w:val="18"/>
                <w:szCs w:val="18"/>
                <w:color w:val="auto"/>
                <w:w w:val="97"/>
              </w:rPr>
              <w:t>Amortization of acquisition intangibles and</w:t>
            </w:r>
          </w:p>
        </w:tc>
        <w:tc>
          <w:tcPr>
            <w:tcW w:w="160" w:type="dxa"/>
            <w:vAlign w:val="bottom"/>
            <w:shd w:val="clear" w:color="auto" w:fill="CCEEFF"/>
          </w:tcPr>
          <w:p>
            <w:pPr>
              <w:spacing w:after="0"/>
              <w:rPr>
                <w:sz w:val="19"/>
                <w:szCs w:val="19"/>
                <w:color w:val="auto"/>
              </w:rPr>
            </w:pPr>
          </w:p>
        </w:tc>
        <w:tc>
          <w:tcPr>
            <w:tcW w:w="1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r>
      <w:tr>
        <w:trPr>
          <w:trHeight w:val="257"/>
        </w:trPr>
        <w:tc>
          <w:tcPr>
            <w:tcW w:w="3340" w:type="dxa"/>
            <w:vAlign w:val="bottom"/>
            <w:shd w:val="clear" w:color="auto" w:fill="CCEEFF"/>
          </w:tcPr>
          <w:p>
            <w:pPr>
              <w:ind w:left="40"/>
              <w:spacing w:after="0" w:line="257" w:lineRule="exact"/>
              <w:rPr>
                <w:sz w:val="20"/>
                <w:szCs w:val="20"/>
                <w:color w:val="auto"/>
              </w:rPr>
            </w:pPr>
            <w:r>
              <w:rPr>
                <w:rFonts w:ascii="Arial" w:cs="Arial" w:eastAsia="Arial" w:hAnsi="Arial"/>
                <w:sz w:val="18"/>
                <w:szCs w:val="18"/>
                <w:color w:val="auto"/>
              </w:rPr>
              <w:t xml:space="preserve">deferred financing costs </w:t>
            </w:r>
            <w:r>
              <w:rPr>
                <w:rFonts w:ascii="Arial" w:cs="Arial" w:eastAsia="Arial" w:hAnsi="Arial"/>
                <w:sz w:val="25"/>
                <w:szCs w:val="25"/>
                <w:color w:val="auto"/>
                <w:vertAlign w:val="superscript"/>
              </w:rPr>
              <w:t>(l)</w:t>
            </w:r>
          </w:p>
        </w:tc>
        <w:tc>
          <w:tcPr>
            <w:tcW w:w="160" w:type="dxa"/>
            <w:vAlign w:val="bottom"/>
            <w:shd w:val="clear" w:color="auto" w:fill="CCEEFF"/>
          </w:tcPr>
          <w:p>
            <w:pPr>
              <w:spacing w:after="0"/>
              <w:rPr>
                <w:sz w:val="22"/>
                <w:szCs w:val="22"/>
                <w:color w:val="auto"/>
              </w:rPr>
            </w:pPr>
          </w:p>
        </w:tc>
        <w:tc>
          <w:tcPr>
            <w:tcW w:w="18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0.03</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7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0.08</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5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0.12</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5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0.23</w:t>
            </w:r>
          </w:p>
        </w:tc>
      </w:tr>
      <w:tr>
        <w:trPr>
          <w:trHeight w:val="270"/>
        </w:trPr>
        <w:tc>
          <w:tcPr>
            <w:tcW w:w="3340" w:type="dxa"/>
            <w:vAlign w:val="bottom"/>
          </w:tcPr>
          <w:p>
            <w:pPr>
              <w:ind w:left="40"/>
              <w:spacing w:after="0" w:line="270" w:lineRule="exact"/>
              <w:rPr>
                <w:sz w:val="20"/>
                <w:szCs w:val="20"/>
                <w:color w:val="auto"/>
              </w:rPr>
            </w:pPr>
            <w:r>
              <w:rPr>
                <w:rFonts w:ascii="Arial" w:cs="Arial" w:eastAsia="Arial" w:hAnsi="Arial"/>
                <w:sz w:val="18"/>
                <w:szCs w:val="18"/>
                <w:color w:val="auto"/>
              </w:rPr>
              <w:t>Tax benefit of stock option exercises</w:t>
            </w:r>
            <w:r>
              <w:rPr>
                <w:rFonts w:ascii="Arial" w:cs="Arial" w:eastAsia="Arial" w:hAnsi="Arial"/>
                <w:sz w:val="25"/>
                <w:szCs w:val="25"/>
                <w:color w:val="auto"/>
                <w:vertAlign w:val="superscript"/>
              </w:rPr>
              <w:t>(m)</w:t>
            </w:r>
          </w:p>
        </w:tc>
        <w:tc>
          <w:tcPr>
            <w:tcW w:w="160" w:type="dxa"/>
            <w:vAlign w:val="bottom"/>
          </w:tcPr>
          <w:p>
            <w:pPr>
              <w:spacing w:after="0"/>
              <w:rPr>
                <w:sz w:val="23"/>
                <w:szCs w:val="23"/>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(0.10)</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8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3"/>
                <w:szCs w:val="23"/>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(0.32)</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0"/>
        </w:trPr>
        <w:tc>
          <w:tcPr>
            <w:tcW w:w="334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Tax legislation adjustment </w:t>
            </w:r>
            <w:r>
              <w:rPr>
                <w:rFonts w:ascii="Arial" w:cs="Arial" w:eastAsia="Arial" w:hAnsi="Arial"/>
                <w:sz w:val="25"/>
                <w:szCs w:val="25"/>
                <w:color w:val="auto"/>
                <w:vertAlign w:val="superscript"/>
              </w:rPr>
              <w:t>(n)</w:t>
            </w:r>
          </w:p>
        </w:tc>
        <w:tc>
          <w:tcPr>
            <w:tcW w:w="160" w:type="dxa"/>
            <w:vAlign w:val="bottom"/>
            <w:shd w:val="clear" w:color="auto" w:fill="CCEEFF"/>
          </w:tcPr>
          <w:p>
            <w:pPr>
              <w:spacing w:after="0"/>
              <w:rPr>
                <w:sz w:val="23"/>
                <w:szCs w:val="23"/>
                <w:color w:val="auto"/>
              </w:rPr>
            </w:pPr>
          </w:p>
        </w:tc>
        <w:tc>
          <w:tcPr>
            <w:tcW w:w="1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3"/>
                <w:szCs w:val="23"/>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(0.57)</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23"/>
                <w:szCs w:val="23"/>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(0.68)</w:t>
            </w:r>
          </w:p>
        </w:tc>
      </w:tr>
      <w:tr>
        <w:trPr>
          <w:trHeight w:val="270"/>
        </w:trPr>
        <w:tc>
          <w:tcPr>
            <w:tcW w:w="3340" w:type="dxa"/>
            <w:vAlign w:val="bottom"/>
            <w:tcBorders>
              <w:bottom w:val="single" w:sz="8" w:color="CCEEFF"/>
            </w:tcBorders>
          </w:tcPr>
          <w:p>
            <w:pPr>
              <w:ind w:left="40"/>
              <w:spacing w:after="0" w:line="270" w:lineRule="exact"/>
              <w:rPr>
                <w:sz w:val="20"/>
                <w:szCs w:val="20"/>
                <w:color w:val="auto"/>
              </w:rPr>
            </w:pPr>
            <w:r>
              <w:rPr>
                <w:rFonts w:ascii="Arial" w:cs="Arial" w:eastAsia="Arial" w:hAnsi="Arial"/>
                <w:sz w:val="18"/>
                <w:szCs w:val="18"/>
                <w:color w:val="auto"/>
              </w:rPr>
              <w:t xml:space="preserve">Tax effect of total adjustments </w:t>
            </w:r>
            <w:r>
              <w:rPr>
                <w:rFonts w:ascii="Arial" w:cs="Arial" w:eastAsia="Arial" w:hAnsi="Arial"/>
                <w:sz w:val="25"/>
                <w:szCs w:val="25"/>
                <w:color w:val="auto"/>
                <w:vertAlign w:val="superscript"/>
              </w:rPr>
              <w:t>(o)</w:t>
            </w:r>
          </w:p>
        </w:tc>
        <w:tc>
          <w:tcPr>
            <w:tcW w:w="160" w:type="dxa"/>
            <w:vAlign w:val="bottom"/>
            <w:tcBorders>
              <w:bottom w:val="single" w:sz="8" w:color="auto"/>
            </w:tcBorders>
          </w:tcPr>
          <w:p>
            <w:pPr>
              <w:spacing w:after="0"/>
              <w:rPr>
                <w:sz w:val="23"/>
                <w:szCs w:val="23"/>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(0.05)</w:t>
            </w:r>
          </w:p>
        </w:tc>
        <w:tc>
          <w:tcPr>
            <w:tcW w:w="12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(0.10)</w:t>
            </w:r>
          </w:p>
        </w:tc>
        <w:tc>
          <w:tcPr>
            <w:tcW w:w="100" w:type="dxa"/>
            <w:vAlign w:val="bottom"/>
            <w:tcBorders>
              <w:bottom w:val="single" w:sz="8" w:color="CCEEFF"/>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(0.17)</w:t>
            </w:r>
          </w:p>
        </w:tc>
        <w:tc>
          <w:tcPr>
            <w:tcW w:w="100" w:type="dxa"/>
            <w:vAlign w:val="bottom"/>
            <w:tcBorders>
              <w:bottom w:val="single" w:sz="8" w:color="CCEEFF"/>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(0.33)</w:t>
            </w:r>
          </w:p>
        </w:tc>
      </w:tr>
      <w:tr>
        <w:trPr>
          <w:trHeight w:val="257"/>
        </w:trPr>
        <w:tc>
          <w:tcPr>
            <w:tcW w:w="33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Adjusted Diluted EPS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8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0.01</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(0.05)</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0.66</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0.51</w:t>
            </w:r>
          </w:p>
        </w:tc>
      </w:tr>
      <w:tr>
        <w:trPr>
          <w:trHeight w:val="20"/>
        </w:trPr>
        <w:tc>
          <w:tcPr>
            <w:tcW w:w="3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r>
        <w:trPr>
          <w:trHeight w:val="284"/>
        </w:trPr>
        <w:tc>
          <w:tcPr>
            <w:tcW w:w="3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225"/>
        </w:trPr>
        <w:tc>
          <w:tcPr>
            <w:tcW w:w="334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Weighted average diluted shares</w:t>
            </w:r>
          </w:p>
        </w:tc>
        <w:tc>
          <w:tcPr>
            <w:tcW w:w="160" w:type="dxa"/>
            <w:vAlign w:val="bottom"/>
            <w:shd w:val="clear" w:color="auto" w:fill="CCEEFF"/>
          </w:tcPr>
          <w:p>
            <w:pPr>
              <w:spacing w:after="0"/>
              <w:rPr>
                <w:sz w:val="19"/>
                <w:szCs w:val="19"/>
                <w:color w:val="auto"/>
              </w:rPr>
            </w:pPr>
          </w:p>
        </w:tc>
        <w:tc>
          <w:tcPr>
            <w:tcW w:w="1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r>
      <w:tr>
        <w:trPr>
          <w:trHeight w:val="234"/>
        </w:trPr>
        <w:tc>
          <w:tcPr>
            <w:tcW w:w="334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outstanding</w:t>
            </w:r>
          </w:p>
        </w:tc>
        <w:tc>
          <w:tcPr>
            <w:tcW w:w="160" w:type="dxa"/>
            <w:vAlign w:val="bottom"/>
            <w:shd w:val="clear" w:color="auto" w:fill="CCEEFF"/>
          </w:tcPr>
          <w:p>
            <w:pPr>
              <w:spacing w:after="0"/>
              <w:rPr>
                <w:sz w:val="20"/>
                <w:szCs w:val="20"/>
                <w:color w:val="auto"/>
              </w:rPr>
            </w:pPr>
          </w:p>
        </w:tc>
        <w:tc>
          <w:tcPr>
            <w:tcW w:w="18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2C2C2C"/>
              </w:rPr>
              <w:t>77,526</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7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2C2C2C"/>
              </w:rPr>
              <w:t>73,256</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5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2C2C2C"/>
              </w:rPr>
              <w:t>79,041</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5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2C2C2C"/>
              </w:rPr>
              <w:t>62,035</w:t>
            </w:r>
          </w:p>
        </w:tc>
      </w:tr>
      <w:tr>
        <w:trPr>
          <w:trHeight w:val="27"/>
        </w:trPr>
        <w:tc>
          <w:tcPr>
            <w:tcW w:w="334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8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7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5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580" w:type="dxa"/>
            <w:vAlign w:val="bottom"/>
            <w:shd w:val="clear" w:color="auto" w:fill="CCEEFF"/>
          </w:tcPr>
          <w:p>
            <w:pPr>
              <w:spacing w:after="0"/>
              <w:rPr>
                <w:sz w:val="2"/>
                <w:szCs w:val="2"/>
                <w:color w:val="auto"/>
              </w:rPr>
            </w:pPr>
          </w:p>
        </w:tc>
      </w:tr>
    </w:tbl>
    <w:p>
      <w:pPr>
        <w:spacing w:after="0" w:line="8" w:lineRule="exact"/>
        <w:rPr>
          <w:sz w:val="20"/>
          <w:szCs w:val="20"/>
          <w:color w:val="auto"/>
        </w:rPr>
      </w:pPr>
    </w:p>
    <w:p>
      <w:pPr>
        <w:ind w:left="220"/>
        <w:spacing w:after="0"/>
        <w:rPr>
          <w:sz w:val="20"/>
          <w:szCs w:val="20"/>
          <w:color w:val="auto"/>
        </w:rPr>
      </w:pPr>
      <w:r>
        <w:rPr>
          <w:rFonts w:ascii="Arial" w:cs="Arial" w:eastAsia="Arial" w:hAnsi="Arial"/>
          <w:sz w:val="14"/>
          <w:szCs w:val="14"/>
          <w:color w:val="auto"/>
        </w:rPr>
        <w:t>Note: Some of the totals in the table above do not foot due to rounding differences</w:t>
      </w:r>
    </w:p>
    <w:p>
      <w:pPr>
        <w:sectPr>
          <w:pgSz w:w="11900" w:h="16838" w:orient="portrait"/>
          <w:cols w:equalWidth="0" w:num="1">
            <w:col w:w="11420"/>
          </w:cols>
          <w:pgMar w:left="240" w:top="746" w:right="239" w:bottom="1440" w:gutter="0" w:footer="0" w:header="0"/>
        </w:sectPr>
      </w:pPr>
    </w:p>
    <w:bookmarkStart w:id="15" w:name="page16"/>
    <w:bookmarkEnd w:id="15"/>
    <w:p>
      <w:pPr>
        <w:ind w:left="412" w:hanging="412"/>
        <w:spacing w:after="0"/>
        <w:tabs>
          <w:tab w:leader="none" w:pos="412" w:val="left"/>
        </w:tabs>
        <w:numPr>
          <w:ilvl w:val="0"/>
          <w:numId w:val="11"/>
        </w:numPr>
        <w:rPr>
          <w:rFonts w:ascii="Arial" w:cs="Arial" w:eastAsia="Arial" w:hAnsi="Arial"/>
          <w:sz w:val="14"/>
          <w:szCs w:val="14"/>
          <w:color w:val="auto"/>
        </w:rPr>
      </w:pPr>
      <w:r>
        <w:rPr>
          <w:rFonts w:ascii="Arial" w:cs="Arial" w:eastAsia="Arial" w:hAnsi="Arial"/>
          <w:sz w:val="14"/>
          <w:szCs w:val="14"/>
          <w:color w:val="auto"/>
        </w:rPr>
        <w:t>Non-cash charges related to stock-based compensation programs, which vary from period to period depending on the timing of awards and performance vesting conditions.</w:t>
      </w:r>
    </w:p>
    <w:p>
      <w:pPr>
        <w:spacing w:after="0" w:line="13" w:lineRule="exact"/>
        <w:rPr>
          <w:rFonts w:ascii="Arial" w:cs="Arial" w:eastAsia="Arial" w:hAnsi="Arial"/>
          <w:sz w:val="14"/>
          <w:szCs w:val="14"/>
          <w:color w:val="auto"/>
        </w:rPr>
      </w:pPr>
    </w:p>
    <w:p>
      <w:pPr>
        <w:ind w:left="412" w:hanging="412"/>
        <w:spacing w:after="0" w:line="260" w:lineRule="auto"/>
        <w:tabs>
          <w:tab w:leader="none" w:pos="412" w:val="left"/>
        </w:tabs>
        <w:numPr>
          <w:ilvl w:val="0"/>
          <w:numId w:val="11"/>
        </w:numPr>
        <w:rPr>
          <w:rFonts w:ascii="Arial" w:cs="Arial" w:eastAsia="Arial" w:hAnsi="Arial"/>
          <w:sz w:val="13"/>
          <w:szCs w:val="13"/>
          <w:color w:val="auto"/>
        </w:rPr>
      </w:pPr>
      <w:r>
        <w:rPr>
          <w:rFonts w:ascii="Arial" w:cs="Arial" w:eastAsia="Arial" w:hAnsi="Arial"/>
          <w:sz w:val="13"/>
          <w:szCs w:val="13"/>
          <w:color w:val="auto"/>
        </w:rPr>
        <w:t>For fiscal year 2018, fees associated with the issuance of new term loans during the fourth quarter of fiscal year 2018. For fiscal year 2017, includes $2.7 million of fees associated with the borrowing of $175.0 million in additional principal under our first lien credit agreement and $1.8 million of fees associated with the refinancing of our first lien credit agreement.</w:t>
      </w:r>
    </w:p>
    <w:p>
      <w:pPr>
        <w:jc w:val="both"/>
        <w:ind w:left="412" w:hanging="412"/>
        <w:spacing w:after="0" w:line="241" w:lineRule="auto"/>
        <w:tabs>
          <w:tab w:leader="none" w:pos="412" w:val="left"/>
        </w:tabs>
        <w:numPr>
          <w:ilvl w:val="0"/>
          <w:numId w:val="11"/>
        </w:numPr>
        <w:rPr>
          <w:rFonts w:ascii="Arial" w:cs="Arial" w:eastAsia="Arial" w:hAnsi="Arial"/>
          <w:sz w:val="14"/>
          <w:szCs w:val="14"/>
          <w:color w:val="auto"/>
        </w:rPr>
      </w:pPr>
      <w:r>
        <w:rPr>
          <w:rFonts w:ascii="Arial" w:cs="Arial" w:eastAsia="Arial" w:hAnsi="Arial"/>
          <w:sz w:val="14"/>
          <w:szCs w:val="14"/>
          <w:color w:val="auto"/>
        </w:rPr>
        <w:t>Non-cash charges related to impairment of long-lived assets, primarily goodwill in our Military and Fred Meyer brands during three months ended December 29, 2018 and fiscal year 2018. Non-cash write-downs of capitalized software and property and equipment for the three months ended December 30, 2017 and non-cash charges related to a complete write-off of a cost-based investment and impairment of capitalized software and property and equipment for during fiscal year 2017.</w:t>
      </w:r>
    </w:p>
    <w:p>
      <w:pPr>
        <w:spacing w:after="0" w:line="1" w:lineRule="exact"/>
        <w:rPr>
          <w:rFonts w:ascii="Arial" w:cs="Arial" w:eastAsia="Arial" w:hAnsi="Arial"/>
          <w:sz w:val="14"/>
          <w:szCs w:val="14"/>
          <w:color w:val="auto"/>
        </w:rPr>
      </w:pPr>
    </w:p>
    <w:p>
      <w:pPr>
        <w:ind w:left="412" w:hanging="412"/>
        <w:spacing w:after="0"/>
        <w:tabs>
          <w:tab w:leader="none" w:pos="412" w:val="left"/>
        </w:tabs>
        <w:numPr>
          <w:ilvl w:val="0"/>
          <w:numId w:val="11"/>
        </w:numPr>
        <w:rPr>
          <w:rFonts w:ascii="Arial" w:cs="Arial" w:eastAsia="Arial" w:hAnsi="Arial"/>
          <w:sz w:val="14"/>
          <w:szCs w:val="14"/>
          <w:color w:val="auto"/>
        </w:rPr>
      </w:pPr>
      <w:r>
        <w:rPr>
          <w:rFonts w:ascii="Arial" w:cs="Arial" w:eastAsia="Arial" w:hAnsi="Arial"/>
          <w:sz w:val="14"/>
          <w:szCs w:val="14"/>
          <w:color w:val="auto"/>
        </w:rPr>
        <w:t>Reflects write-offs of inventory relating to the expiration of a specific type of contact lens that could not be sold and required disposal.</w:t>
      </w:r>
    </w:p>
    <w:p>
      <w:pPr>
        <w:spacing w:after="0" w:line="1" w:lineRule="exact"/>
        <w:rPr>
          <w:rFonts w:ascii="Arial" w:cs="Arial" w:eastAsia="Arial" w:hAnsi="Arial"/>
          <w:sz w:val="14"/>
          <w:szCs w:val="14"/>
          <w:color w:val="auto"/>
        </w:rPr>
      </w:pPr>
    </w:p>
    <w:p>
      <w:pPr>
        <w:ind w:left="412" w:hanging="412"/>
        <w:spacing w:after="0" w:line="241" w:lineRule="auto"/>
        <w:tabs>
          <w:tab w:leader="none" w:pos="412" w:val="left"/>
        </w:tabs>
        <w:numPr>
          <w:ilvl w:val="0"/>
          <w:numId w:val="11"/>
        </w:numPr>
        <w:rPr>
          <w:rFonts w:ascii="Arial" w:cs="Arial" w:eastAsia="Arial" w:hAnsi="Arial"/>
          <w:sz w:val="14"/>
          <w:szCs w:val="14"/>
          <w:color w:val="auto"/>
        </w:rPr>
      </w:pPr>
      <w:r>
        <w:rPr>
          <w:rFonts w:ascii="Arial" w:cs="Arial" w:eastAsia="Arial" w:hAnsi="Arial"/>
          <w:sz w:val="14"/>
          <w:szCs w:val="14"/>
          <w:color w:val="auto"/>
        </w:rPr>
        <w:t>Reflects management fees paid to Kohlberg Kravis Roberts &amp; Co. L.P. (“KKR Sponsor”) and Berkshire Partners (“Berkshire”) in accordance with our monitoring agreement with them. The monitoring agreement was terminated automatically in accordance with its terms upon the consummation of the initial public offering (“the IPO”) in October 2017.</w:t>
      </w:r>
    </w:p>
    <w:p>
      <w:pPr>
        <w:jc w:val="both"/>
        <w:ind w:left="412" w:hanging="412"/>
        <w:spacing w:after="0" w:line="241" w:lineRule="auto"/>
        <w:tabs>
          <w:tab w:leader="none" w:pos="412" w:val="left"/>
        </w:tabs>
        <w:numPr>
          <w:ilvl w:val="0"/>
          <w:numId w:val="11"/>
        </w:numPr>
        <w:rPr>
          <w:rFonts w:ascii="Arial" w:cs="Arial" w:eastAsia="Arial" w:hAnsi="Arial"/>
          <w:sz w:val="14"/>
          <w:szCs w:val="14"/>
          <w:color w:val="auto"/>
        </w:rPr>
      </w:pPr>
      <w:r>
        <w:rPr>
          <w:rFonts w:ascii="Arial" w:cs="Arial" w:eastAsia="Arial" w:hAnsi="Arial"/>
          <w:sz w:val="14"/>
          <w:szCs w:val="14"/>
          <w:color w:val="auto"/>
        </w:rPr>
        <w:t>Pre-opening expenses, which include marketing and advertising, labor and occupancy expenses incurred prior to opening a new store, are generally higher than comparable expenses incurred once such store is open and generating revenue. We believe that such higher pre-opening expenses are specific in nature and amount to opening a new store and as such, are not indicative of ongoing core operating performance. We adjust for these costs to facilitate comparisons of store operating performance from period to period.</w:t>
      </w:r>
    </w:p>
    <w:p>
      <w:pPr>
        <w:spacing w:after="0" w:line="1" w:lineRule="exact"/>
        <w:rPr>
          <w:rFonts w:ascii="Arial" w:cs="Arial" w:eastAsia="Arial" w:hAnsi="Arial"/>
          <w:sz w:val="14"/>
          <w:szCs w:val="14"/>
          <w:color w:val="auto"/>
        </w:rPr>
      </w:pPr>
    </w:p>
    <w:p>
      <w:pPr>
        <w:ind w:left="412" w:hanging="412"/>
        <w:spacing w:after="0"/>
        <w:tabs>
          <w:tab w:leader="none" w:pos="412" w:val="left"/>
        </w:tabs>
        <w:numPr>
          <w:ilvl w:val="0"/>
          <w:numId w:val="11"/>
        </w:numPr>
        <w:rPr>
          <w:rFonts w:ascii="Arial" w:cs="Arial" w:eastAsia="Arial" w:hAnsi="Arial"/>
          <w:sz w:val="13"/>
          <w:szCs w:val="13"/>
          <w:color w:val="auto"/>
        </w:rPr>
      </w:pPr>
      <w:r>
        <w:rPr>
          <w:rFonts w:ascii="Arial" w:cs="Arial" w:eastAsia="Arial" w:hAnsi="Arial"/>
          <w:sz w:val="13"/>
          <w:szCs w:val="13"/>
          <w:color w:val="auto"/>
        </w:rPr>
        <w:t>Consists of the non-cash portion of rent expense, which reflects the extent to which our straight-line rent expense recognized under GAAP exceeds or is less than our cash rent payments.</w:t>
      </w:r>
    </w:p>
    <w:p>
      <w:pPr>
        <w:spacing w:after="0" w:line="12" w:lineRule="exact"/>
        <w:rPr>
          <w:rFonts w:ascii="Arial" w:cs="Arial" w:eastAsia="Arial" w:hAnsi="Arial"/>
          <w:sz w:val="13"/>
          <w:szCs w:val="13"/>
          <w:color w:val="auto"/>
        </w:rPr>
      </w:pPr>
    </w:p>
    <w:p>
      <w:pPr>
        <w:ind w:left="412" w:hanging="412"/>
        <w:spacing w:after="0" w:line="241" w:lineRule="auto"/>
        <w:tabs>
          <w:tab w:leader="none" w:pos="412" w:val="left"/>
        </w:tabs>
        <w:numPr>
          <w:ilvl w:val="0"/>
          <w:numId w:val="11"/>
        </w:numPr>
        <w:rPr>
          <w:rFonts w:ascii="Arial" w:cs="Arial" w:eastAsia="Arial" w:hAnsi="Arial"/>
          <w:sz w:val="14"/>
          <w:szCs w:val="14"/>
          <w:color w:val="auto"/>
        </w:rPr>
      </w:pPr>
      <w:r>
        <w:rPr>
          <w:rFonts w:ascii="Arial" w:cs="Arial" w:eastAsia="Arial" w:hAnsi="Arial"/>
          <w:sz w:val="14"/>
          <w:szCs w:val="14"/>
          <w:color w:val="auto"/>
        </w:rPr>
        <w:t>Expenses associated with settlement of litigation. See Part I. Item 3. “Legal Proceedings” and Note 12. “Commitments and Contingencies” in our consolidated financial statements included in Part II. Item 8. of our annual report on form 10-K for further details.</w:t>
      </w:r>
    </w:p>
    <w:p>
      <w:pPr>
        <w:ind w:left="412" w:hanging="412"/>
        <w:spacing w:after="0"/>
        <w:tabs>
          <w:tab w:leader="none" w:pos="412" w:val="left"/>
        </w:tabs>
        <w:numPr>
          <w:ilvl w:val="0"/>
          <w:numId w:val="11"/>
        </w:numPr>
        <w:rPr>
          <w:rFonts w:ascii="Arial" w:cs="Arial" w:eastAsia="Arial" w:hAnsi="Arial"/>
          <w:sz w:val="14"/>
          <w:szCs w:val="14"/>
          <w:color w:val="auto"/>
        </w:rPr>
      </w:pPr>
      <w:r>
        <w:rPr>
          <w:rFonts w:ascii="Arial" w:cs="Arial" w:eastAsia="Arial" w:hAnsi="Arial"/>
          <w:sz w:val="14"/>
          <w:szCs w:val="14"/>
          <w:color w:val="auto"/>
        </w:rPr>
        <w:t>Expenses related to our secondary public offerings during fiscal year 2018.</w:t>
      </w:r>
    </w:p>
    <w:p>
      <w:pPr>
        <w:spacing w:after="0" w:line="1" w:lineRule="exact"/>
        <w:rPr>
          <w:rFonts w:ascii="Arial" w:cs="Arial" w:eastAsia="Arial" w:hAnsi="Arial"/>
          <w:sz w:val="14"/>
          <w:szCs w:val="14"/>
          <w:color w:val="auto"/>
        </w:rPr>
      </w:pPr>
    </w:p>
    <w:p>
      <w:pPr>
        <w:jc w:val="both"/>
        <w:ind w:left="412" w:hanging="412"/>
        <w:spacing w:after="0" w:line="241" w:lineRule="auto"/>
        <w:tabs>
          <w:tab w:leader="none" w:pos="412" w:val="left"/>
        </w:tabs>
        <w:numPr>
          <w:ilvl w:val="0"/>
          <w:numId w:val="11"/>
        </w:numPr>
        <w:rPr>
          <w:rFonts w:ascii="Arial" w:cs="Arial" w:eastAsia="Arial" w:hAnsi="Arial"/>
          <w:sz w:val="14"/>
          <w:szCs w:val="14"/>
          <w:color w:val="auto"/>
        </w:rPr>
      </w:pPr>
      <w:r>
        <w:rPr>
          <w:rFonts w:ascii="Arial" w:cs="Arial" w:eastAsia="Arial" w:hAnsi="Arial"/>
          <w:sz w:val="14"/>
          <w:szCs w:val="14"/>
          <w:color w:val="auto"/>
        </w:rPr>
        <w:t>Expenses pursuant to a long-term incentive plan for non-executive employees who were not participants in the management equity plan for fiscal year 2018. This plan was effective in 2014 following the acquisition of the Company by KKR Sponsor, during fiscal year 2018, a $4.6 million payout was triggered as a result of the second secondary offering of common stock by KKR Sponsor and other selling stockholders completed in the third quarter of 2018. The remaining $2.4 million relates to the third secondary offering and is accrued but not paid as of fiscal year end 2018.</w:t>
      </w:r>
    </w:p>
    <w:p>
      <w:pPr>
        <w:spacing w:after="0" w:line="1" w:lineRule="exact"/>
        <w:rPr>
          <w:rFonts w:ascii="Arial" w:cs="Arial" w:eastAsia="Arial" w:hAnsi="Arial"/>
          <w:sz w:val="14"/>
          <w:szCs w:val="14"/>
          <w:color w:val="auto"/>
        </w:rPr>
      </w:pPr>
    </w:p>
    <w:p>
      <w:pPr>
        <w:jc w:val="both"/>
        <w:ind w:left="412" w:hanging="412"/>
        <w:spacing w:after="0" w:line="260" w:lineRule="auto"/>
        <w:tabs>
          <w:tab w:leader="none" w:pos="412" w:val="left"/>
        </w:tabs>
        <w:numPr>
          <w:ilvl w:val="0"/>
          <w:numId w:val="11"/>
        </w:numPr>
        <w:rPr>
          <w:rFonts w:ascii="Arial" w:cs="Arial" w:eastAsia="Arial" w:hAnsi="Arial"/>
          <w:sz w:val="13"/>
          <w:szCs w:val="13"/>
          <w:color w:val="auto"/>
        </w:rPr>
      </w:pPr>
      <w:r>
        <w:rPr>
          <w:rFonts w:ascii="Arial" w:cs="Arial" w:eastAsia="Arial" w:hAnsi="Arial"/>
          <w:sz w:val="13"/>
          <w:szCs w:val="13"/>
          <w:color w:val="auto"/>
        </w:rPr>
        <w:t>Other adjustments include amounts that management believes are not representative of our operating performance, including our share of losses on equity method investments of $0.3 million, for the three months ended December 29, 2018 and December 30, 2017, and $1.3 million and $1.0 million for fiscal years 2018 and 2017, respectively; the amortization impact of adjustments related to the acquisition of the Company by affiliates of KKR Sponsor in March 2014 (the "KKR Acquisition") (e.g., fair value of leasehold interests) of $0.1 million, $(0.1) million, $0.4 million and $(0.3) million for the three months ended December 29, 2018 and December 30, 2017 and fiscal years 2018 and 2017, respectively, related to prior acquisitions; expenses related to preparation for being an SEC registrant that were not directly attributable to the IPO and therefore not charged to equity of $1.8 million for fiscal year 2017; differences between the timing of expense versus cash payments related to contributions to charitable organizations of $(0.2) million and $(0.3) million for three months ended December 29, 2018 and December 30, 2017, respectively, and $(1.0) million during fiscal years 2018 and 2017; costs of severance and relocation of $0.1 million, $0.4 million, $1.0 million, and $1.4 million for the three months ended December 29, 2018 and December 30, 2017 and fiscal years 2018 and 2017 respectively; excess payroll taxes related to stock option exercises of $0.6 million and $1.8 million for the three months ended December 29, 2018 and fiscal year 2018, respectively; and other expenses and adjustments totaling $0.6 million and $0.5 million for the three months ended December 29, 2018 and December 30, 2017, respectively, and $1.1 million and $1.0 million for fiscal years 2018 and 2017, respectively.</w:t>
      </w:r>
    </w:p>
    <w:p>
      <w:pPr>
        <w:spacing w:after="0" w:line="1" w:lineRule="exact"/>
        <w:rPr>
          <w:rFonts w:ascii="Arial" w:cs="Arial" w:eastAsia="Arial" w:hAnsi="Arial"/>
          <w:sz w:val="13"/>
          <w:szCs w:val="13"/>
          <w:color w:val="auto"/>
        </w:rPr>
      </w:pPr>
    </w:p>
    <w:p>
      <w:pPr>
        <w:jc w:val="both"/>
        <w:ind w:left="412" w:hanging="412"/>
        <w:spacing w:after="0" w:line="241" w:lineRule="auto"/>
        <w:tabs>
          <w:tab w:leader="none" w:pos="412" w:val="left"/>
        </w:tabs>
        <w:numPr>
          <w:ilvl w:val="0"/>
          <w:numId w:val="11"/>
        </w:numPr>
        <w:rPr>
          <w:rFonts w:ascii="Arial" w:cs="Arial" w:eastAsia="Arial" w:hAnsi="Arial"/>
          <w:sz w:val="14"/>
          <w:szCs w:val="14"/>
          <w:color w:val="auto"/>
        </w:rPr>
      </w:pPr>
      <w:r>
        <w:rPr>
          <w:rFonts w:ascii="Arial" w:cs="Arial" w:eastAsia="Arial" w:hAnsi="Arial"/>
          <w:sz w:val="14"/>
          <w:szCs w:val="14"/>
          <w:color w:val="auto"/>
        </w:rPr>
        <w:t>Amortization of the increase in carrying values of definite-lived intangible assets resulting from the application of purchase accounting to the KKR Acquisition of $1.9 million for the three months ended December 29, 2018 and December 30, 2017, and $7.4 million for fiscal years 2018 and 2017; and 2) Amortization of debt discounts associated with the March 2014 term loan borrowings in connection with the KKR Acquisition and, to a lesser extent, amortization of debt discounts associated with the May 2015 and February 2017 incremental First Lien - Term Loan B and the November 2017 First Lien - Term Loan B loan refinancing, aggregating to $0.5 million, $4.0 million, $1.9 million and $7.1 million for the three months ended December 29, 2018 and December 30, 2017, and fiscal years 2018 and 2017, respectively. The $7.1 million additional expense for fiscal year 2017 includes a $3.3 million write-off of debt discounts associated with the repayment of the entire $125.0 million second lien term loan balance.</w:t>
      </w:r>
    </w:p>
    <w:p>
      <w:pPr>
        <w:spacing w:after="0" w:line="2" w:lineRule="exact"/>
        <w:rPr>
          <w:rFonts w:ascii="Arial" w:cs="Arial" w:eastAsia="Arial" w:hAnsi="Arial"/>
          <w:sz w:val="14"/>
          <w:szCs w:val="14"/>
          <w:color w:val="auto"/>
        </w:rPr>
      </w:pPr>
    </w:p>
    <w:p>
      <w:pPr>
        <w:ind w:left="412" w:hanging="412"/>
        <w:spacing w:after="0" w:line="241" w:lineRule="auto"/>
        <w:tabs>
          <w:tab w:leader="none" w:pos="412" w:val="left"/>
        </w:tabs>
        <w:numPr>
          <w:ilvl w:val="0"/>
          <w:numId w:val="11"/>
        </w:numPr>
        <w:rPr>
          <w:rFonts w:ascii="Arial" w:cs="Arial" w:eastAsia="Arial" w:hAnsi="Arial"/>
          <w:sz w:val="14"/>
          <w:szCs w:val="14"/>
          <w:color w:val="auto"/>
        </w:rPr>
      </w:pPr>
      <w:r>
        <w:rPr>
          <w:rFonts w:ascii="Arial" w:cs="Arial" w:eastAsia="Arial" w:hAnsi="Arial"/>
          <w:sz w:val="14"/>
          <w:szCs w:val="14"/>
          <w:color w:val="auto"/>
        </w:rPr>
        <w:t>Tax benefit associated with accounting guidance adopted at the beginning of fiscal year 2017 (Accounting Standards Update 2016-09,Compensation - Stock Compensation), requiring excess tax benefits to be recorded in earnings as discrete items in the reporting period in which they occur.</w:t>
      </w:r>
    </w:p>
    <w:p>
      <w:pPr>
        <w:ind w:left="412" w:right="20" w:hanging="412"/>
        <w:spacing w:after="0" w:line="241" w:lineRule="auto"/>
        <w:tabs>
          <w:tab w:leader="none" w:pos="412" w:val="left"/>
        </w:tabs>
        <w:numPr>
          <w:ilvl w:val="0"/>
          <w:numId w:val="11"/>
        </w:numPr>
        <w:rPr>
          <w:rFonts w:ascii="Arial" w:cs="Arial" w:eastAsia="Arial" w:hAnsi="Arial"/>
          <w:sz w:val="14"/>
          <w:szCs w:val="14"/>
          <w:color w:val="auto"/>
        </w:rPr>
      </w:pPr>
      <w:r>
        <w:rPr>
          <w:rFonts w:ascii="Arial" w:cs="Arial" w:eastAsia="Arial" w:hAnsi="Arial"/>
          <w:sz w:val="14"/>
          <w:szCs w:val="14"/>
          <w:color w:val="auto"/>
        </w:rPr>
        <w:t>The adjustment represents re-measuring and reassessing the net realizability of our deferred tax assets and liabilities during fiscal year 2017. See Note 6. “Income Taxes” in our consolidated financial statements included in Part II. Item 8. of our annual report on form 10-K for additional information regarding the Tax Legislation.</w:t>
      </w:r>
    </w:p>
    <w:p>
      <w:pPr>
        <w:ind w:left="412" w:hanging="412"/>
        <w:spacing w:after="0"/>
        <w:tabs>
          <w:tab w:leader="none" w:pos="412" w:val="left"/>
        </w:tabs>
        <w:numPr>
          <w:ilvl w:val="0"/>
          <w:numId w:val="11"/>
        </w:numPr>
        <w:rPr>
          <w:rFonts w:ascii="Arial" w:cs="Arial" w:eastAsia="Arial" w:hAnsi="Arial"/>
          <w:sz w:val="14"/>
          <w:szCs w:val="14"/>
          <w:color w:val="auto"/>
        </w:rPr>
      </w:pPr>
      <w:r>
        <w:rPr>
          <w:rFonts w:ascii="Arial" w:cs="Arial" w:eastAsia="Arial" w:hAnsi="Arial"/>
          <w:sz w:val="14"/>
          <w:szCs w:val="14"/>
          <w:color w:val="auto"/>
        </w:rPr>
        <w:t>Represents the income tax effect of the total adjustments at our combined statutory federal and state income tax rates.</w:t>
      </w:r>
    </w:p>
    <w:p>
      <w:pPr>
        <w:sectPr>
          <w:pgSz w:w="11900" w:h="16838" w:orient="portrait"/>
          <w:cols w:equalWidth="0" w:num="1">
            <w:col w:w="11412"/>
          </w:cols>
          <w:pgMar w:left="248" w:top="580" w:right="239" w:bottom="1440" w:gutter="0" w:footer="0" w:header="0"/>
        </w:sectPr>
      </w:pPr>
    </w:p>
    <w:bookmarkStart w:id="16" w:name="page17"/>
    <w:bookmarkEnd w:id="16"/>
    <w:p>
      <w:pPr>
        <w:jc w:val="center"/>
        <w:spacing w:after="0"/>
        <w:rPr>
          <w:sz w:val="20"/>
          <w:szCs w:val="20"/>
          <w:color w:val="auto"/>
        </w:rPr>
      </w:pPr>
      <w:r>
        <w:rPr>
          <w:rFonts w:ascii="Arial" w:cs="Arial" w:eastAsia="Arial" w:hAnsi="Arial"/>
          <w:sz w:val="18"/>
          <w:szCs w:val="18"/>
          <w:b w:val="1"/>
          <w:bCs w:val="1"/>
          <w:color w:val="auto"/>
        </w:rPr>
        <w:t>National Vision Holdings,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Reconciliation of Adjusted Comparable Store Sales Growth to Total Comparable Store Sales Growth</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Months and Fiscal Years Ended December 29, 2018 and December 30, 2017</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87"/>
        </w:trPr>
        <w:tc>
          <w:tcPr>
            <w:tcW w:w="4440" w:type="dxa"/>
            <w:vAlign w:val="bottom"/>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300" w:type="dxa"/>
            <w:vAlign w:val="bottom"/>
            <w:tcBorders>
              <w:bottom w:val="single" w:sz="8" w:color="auto"/>
            </w:tcBorders>
            <w:gridSpan w:val="6"/>
          </w:tcPr>
          <w:p>
            <w:pPr>
              <w:ind w:left="840"/>
              <w:spacing w:after="0"/>
              <w:rPr>
                <w:sz w:val="20"/>
                <w:szCs w:val="20"/>
                <w:color w:val="auto"/>
              </w:rPr>
            </w:pPr>
            <w:r>
              <w:rPr>
                <w:rFonts w:ascii="Arial" w:cs="Arial" w:eastAsia="Arial" w:hAnsi="Arial"/>
                <w:sz w:val="18"/>
                <w:szCs w:val="18"/>
                <w:color w:val="auto"/>
              </w:rPr>
              <w:t xml:space="preserve">Comparable store sales growth </w:t>
            </w:r>
            <w:r>
              <w:rPr>
                <w:rFonts w:ascii="Arial" w:cs="Arial" w:eastAsia="Arial" w:hAnsi="Arial"/>
                <w:sz w:val="25"/>
                <w:szCs w:val="25"/>
                <w:color w:val="auto"/>
                <w:vertAlign w:val="superscript"/>
              </w:rPr>
              <w:t>(a)</w:t>
            </w:r>
          </w:p>
        </w:tc>
        <w:tc>
          <w:tcPr>
            <w:tcW w:w="12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4440" w:type="dxa"/>
            <w:vAlign w:val="bottom"/>
          </w:tcPr>
          <w:p>
            <w:pPr>
              <w:spacing w:after="0"/>
              <w:rPr>
                <w:sz w:val="19"/>
                <w:szCs w:val="19"/>
                <w:color w:val="auto"/>
              </w:rPr>
            </w:pPr>
          </w:p>
        </w:tc>
        <w:tc>
          <w:tcPr>
            <w:tcW w:w="146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Three Months</w:t>
            </w:r>
          </w:p>
        </w:tc>
        <w:tc>
          <w:tcPr>
            <w:tcW w:w="142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Three Months</w:t>
            </w: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440" w:type="dxa"/>
            <w:vAlign w:val="bottom"/>
          </w:tcPr>
          <w:p>
            <w:pPr>
              <w:spacing w:after="0"/>
              <w:rPr>
                <w:sz w:val="18"/>
                <w:szCs w:val="18"/>
                <w:color w:val="auto"/>
              </w:rPr>
            </w:pPr>
          </w:p>
        </w:tc>
        <w:tc>
          <w:tcPr>
            <w:tcW w:w="146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Ended</w:t>
            </w:r>
          </w:p>
        </w:tc>
        <w:tc>
          <w:tcPr>
            <w:tcW w:w="142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Ended</w:t>
            </w: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40" w:type="dxa"/>
            <w:vAlign w:val="bottom"/>
          </w:tcPr>
          <w:p>
            <w:pPr>
              <w:spacing w:after="0"/>
              <w:rPr>
                <w:sz w:val="18"/>
                <w:szCs w:val="18"/>
                <w:color w:val="auto"/>
              </w:rPr>
            </w:pPr>
          </w:p>
        </w:tc>
        <w:tc>
          <w:tcPr>
            <w:tcW w:w="146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December 29,</w:t>
            </w:r>
          </w:p>
        </w:tc>
        <w:tc>
          <w:tcPr>
            <w:tcW w:w="142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December 30,</w:t>
            </w:r>
          </w:p>
        </w:tc>
        <w:tc>
          <w:tcPr>
            <w:tcW w:w="1440" w:type="dxa"/>
            <w:vAlign w:val="bottom"/>
            <w:gridSpan w:val="2"/>
          </w:tcPr>
          <w:p>
            <w:pPr>
              <w:ind w:left="280"/>
              <w:spacing w:after="0"/>
              <w:rPr>
                <w:sz w:val="20"/>
                <w:szCs w:val="20"/>
                <w:color w:val="auto"/>
              </w:rPr>
            </w:pPr>
            <w:r>
              <w:rPr>
                <w:rFonts w:ascii="Arial" w:cs="Arial" w:eastAsia="Arial" w:hAnsi="Arial"/>
                <w:sz w:val="17"/>
                <w:szCs w:val="17"/>
                <w:color w:val="auto"/>
              </w:rPr>
              <w:t>Fiscal Year</w:t>
            </w:r>
          </w:p>
        </w:tc>
        <w:tc>
          <w:tcPr>
            <w:tcW w:w="1440" w:type="dxa"/>
            <w:vAlign w:val="bottom"/>
            <w:gridSpan w:val="2"/>
          </w:tcPr>
          <w:p>
            <w:pPr>
              <w:ind w:left="280"/>
              <w:spacing w:after="0"/>
              <w:rPr>
                <w:sz w:val="20"/>
                <w:szCs w:val="20"/>
                <w:color w:val="auto"/>
              </w:rPr>
            </w:pPr>
            <w:r>
              <w:rPr>
                <w:rFonts w:ascii="Arial" w:cs="Arial" w:eastAsia="Arial" w:hAnsi="Arial"/>
                <w:sz w:val="17"/>
                <w:szCs w:val="17"/>
                <w:color w:val="auto"/>
              </w:rPr>
              <w:t>Fiscal Year</w:t>
            </w: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440" w:type="dxa"/>
            <w:vAlign w:val="bottom"/>
          </w:tcPr>
          <w:p>
            <w:pPr>
              <w:spacing w:after="0"/>
              <w:rPr>
                <w:sz w:val="20"/>
                <w:szCs w:val="20"/>
                <w:color w:val="auto"/>
              </w:rPr>
            </w:pPr>
          </w:p>
        </w:tc>
        <w:tc>
          <w:tcPr>
            <w:tcW w:w="1340" w:type="dxa"/>
            <w:vAlign w:val="bottom"/>
          </w:tcPr>
          <w:p>
            <w:pPr>
              <w:jc w:val="center"/>
              <w:spacing w:after="0"/>
              <w:rPr>
                <w:sz w:val="20"/>
                <w:szCs w:val="20"/>
                <w:color w:val="auto"/>
              </w:rPr>
            </w:pPr>
            <w:r>
              <w:rPr>
                <w:rFonts w:ascii="Arial" w:cs="Arial" w:eastAsia="Arial" w:hAnsi="Arial"/>
                <w:sz w:val="18"/>
                <w:szCs w:val="18"/>
                <w:color w:val="auto"/>
                <w:w w:val="89"/>
              </w:rPr>
              <w:t>2018</w:t>
            </w:r>
          </w:p>
        </w:tc>
        <w:tc>
          <w:tcPr>
            <w:tcW w:w="120" w:type="dxa"/>
            <w:vAlign w:val="bottom"/>
          </w:tcPr>
          <w:p>
            <w:pPr>
              <w:spacing w:after="0"/>
              <w:rPr>
                <w:sz w:val="20"/>
                <w:szCs w:val="20"/>
                <w:color w:val="auto"/>
              </w:rPr>
            </w:pPr>
          </w:p>
        </w:tc>
        <w:tc>
          <w:tcPr>
            <w:tcW w:w="1300" w:type="dxa"/>
            <w:vAlign w:val="bottom"/>
          </w:tcPr>
          <w:p>
            <w:pPr>
              <w:jc w:val="center"/>
              <w:spacing w:after="0"/>
              <w:rPr>
                <w:sz w:val="20"/>
                <w:szCs w:val="20"/>
                <w:color w:val="auto"/>
              </w:rPr>
            </w:pPr>
            <w:r>
              <w:rPr>
                <w:rFonts w:ascii="Arial" w:cs="Arial" w:eastAsia="Arial" w:hAnsi="Arial"/>
                <w:sz w:val="18"/>
                <w:szCs w:val="18"/>
                <w:color w:val="auto"/>
                <w:w w:val="89"/>
              </w:rPr>
              <w:t>2017</w:t>
            </w:r>
          </w:p>
        </w:tc>
        <w:tc>
          <w:tcPr>
            <w:tcW w:w="120" w:type="dxa"/>
            <w:vAlign w:val="bottom"/>
          </w:tcPr>
          <w:p>
            <w:pPr>
              <w:spacing w:after="0"/>
              <w:rPr>
                <w:sz w:val="20"/>
                <w:szCs w:val="20"/>
                <w:color w:val="auto"/>
              </w:rPr>
            </w:pPr>
          </w:p>
        </w:tc>
        <w:tc>
          <w:tcPr>
            <w:tcW w:w="1340" w:type="dxa"/>
            <w:vAlign w:val="bottom"/>
          </w:tcPr>
          <w:p>
            <w:pPr>
              <w:jc w:val="right"/>
              <w:ind w:right="411"/>
              <w:spacing w:after="0"/>
              <w:rPr>
                <w:sz w:val="20"/>
                <w:szCs w:val="20"/>
                <w:color w:val="auto"/>
              </w:rPr>
            </w:pPr>
            <w:r>
              <w:rPr>
                <w:rFonts w:ascii="Arial" w:cs="Arial" w:eastAsia="Arial" w:hAnsi="Arial"/>
                <w:sz w:val="17"/>
                <w:szCs w:val="17"/>
                <w:color w:val="auto"/>
              </w:rPr>
              <w:t>2018</w:t>
            </w:r>
          </w:p>
        </w:tc>
        <w:tc>
          <w:tcPr>
            <w:tcW w:w="100" w:type="dxa"/>
            <w:vAlign w:val="bottom"/>
          </w:tcPr>
          <w:p>
            <w:pPr>
              <w:spacing w:after="0"/>
              <w:rPr>
                <w:sz w:val="20"/>
                <w:szCs w:val="20"/>
                <w:color w:val="auto"/>
              </w:rPr>
            </w:pPr>
          </w:p>
        </w:tc>
        <w:tc>
          <w:tcPr>
            <w:tcW w:w="1340" w:type="dxa"/>
            <w:vAlign w:val="bottom"/>
          </w:tcPr>
          <w:p>
            <w:pPr>
              <w:jc w:val="right"/>
              <w:ind w:right="411"/>
              <w:spacing w:after="0"/>
              <w:rPr>
                <w:sz w:val="20"/>
                <w:szCs w:val="20"/>
                <w:color w:val="auto"/>
              </w:rPr>
            </w:pPr>
            <w:r>
              <w:rPr>
                <w:rFonts w:ascii="Arial" w:cs="Arial" w:eastAsia="Arial" w:hAnsi="Arial"/>
                <w:sz w:val="17"/>
                <w:szCs w:val="17"/>
                <w:color w:val="auto"/>
              </w:rPr>
              <w:t>2017</w:t>
            </w:r>
          </w:p>
        </w:tc>
        <w:tc>
          <w:tcPr>
            <w:tcW w:w="100" w:type="dxa"/>
            <w:vAlign w:val="bottom"/>
          </w:tcPr>
          <w:p>
            <w:pPr>
              <w:spacing w:after="0"/>
              <w:rPr>
                <w:sz w:val="20"/>
                <w:szCs w:val="20"/>
                <w:color w:val="auto"/>
              </w:rPr>
            </w:pPr>
          </w:p>
        </w:tc>
        <w:tc>
          <w:tcPr>
            <w:tcW w:w="1220" w:type="dxa"/>
            <w:vAlign w:val="bottom"/>
          </w:tcPr>
          <w:p>
            <w:pPr>
              <w:ind w:left="120"/>
              <w:spacing w:after="0"/>
              <w:rPr>
                <w:sz w:val="20"/>
                <w:szCs w:val="20"/>
                <w:color w:val="auto"/>
              </w:rPr>
            </w:pPr>
            <w:r>
              <w:rPr>
                <w:rFonts w:ascii="Arial" w:cs="Arial" w:eastAsia="Arial" w:hAnsi="Arial"/>
                <w:sz w:val="18"/>
                <w:szCs w:val="18"/>
                <w:color w:val="auto"/>
              </w:rPr>
              <w:t>2019 Outlook</w:t>
            </w:r>
          </w:p>
        </w:tc>
        <w:tc>
          <w:tcPr>
            <w:tcW w:w="0" w:type="dxa"/>
            <w:vAlign w:val="bottom"/>
          </w:tcPr>
          <w:p>
            <w:pPr>
              <w:spacing w:after="0"/>
              <w:rPr>
                <w:sz w:val="1"/>
                <w:szCs w:val="1"/>
                <w:color w:val="auto"/>
              </w:rPr>
            </w:pPr>
          </w:p>
        </w:tc>
      </w:tr>
      <w:tr>
        <w:trPr>
          <w:trHeight w:val="27"/>
        </w:trPr>
        <w:tc>
          <w:tcPr>
            <w:tcW w:w="444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Owned &amp; host segment</w:t>
            </w:r>
          </w:p>
        </w:tc>
        <w:tc>
          <w:tcPr>
            <w:tcW w:w="13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440" w:type="dxa"/>
            <w:vAlign w:val="bottom"/>
            <w:vMerge w:val="continue"/>
          </w:tcPr>
          <w:p>
            <w:pPr>
              <w:spacing w:after="0"/>
              <w:rPr>
                <w:sz w:val="20"/>
                <w:szCs w:val="20"/>
                <w:color w:val="auto"/>
              </w:rPr>
            </w:pP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4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America’s Best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5.9 %</w:t>
            </w:r>
          </w:p>
        </w:tc>
        <w:tc>
          <w:tcPr>
            <w:tcW w:w="1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7.2 %</w:t>
            </w: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10.1 %</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440" w:type="dxa"/>
            <w:vAlign w:val="bottom"/>
          </w:tcPr>
          <w:p>
            <w:pPr>
              <w:ind w:left="40"/>
              <w:spacing w:after="0"/>
              <w:rPr>
                <w:sz w:val="20"/>
                <w:szCs w:val="20"/>
                <w:color w:val="auto"/>
              </w:rPr>
            </w:pPr>
            <w:r>
              <w:rPr>
                <w:rFonts w:ascii="Arial" w:cs="Arial" w:eastAsia="Arial" w:hAnsi="Arial"/>
                <w:sz w:val="18"/>
                <w:szCs w:val="18"/>
                <w:color w:val="auto"/>
              </w:rPr>
              <w:t>Eyeglass World</w:t>
            </w:r>
          </w:p>
        </w:tc>
        <w:tc>
          <w:tcPr>
            <w:tcW w:w="1340" w:type="dxa"/>
            <w:vAlign w:val="bottom"/>
          </w:tcPr>
          <w:p>
            <w:pPr>
              <w:jc w:val="right"/>
              <w:spacing w:after="0"/>
              <w:rPr>
                <w:sz w:val="20"/>
                <w:szCs w:val="20"/>
                <w:color w:val="auto"/>
              </w:rPr>
            </w:pPr>
            <w:r>
              <w:rPr>
                <w:rFonts w:ascii="Arial" w:cs="Arial" w:eastAsia="Arial" w:hAnsi="Arial"/>
                <w:sz w:val="18"/>
                <w:szCs w:val="18"/>
                <w:color w:val="auto"/>
              </w:rPr>
              <w:t>2.3 %</w:t>
            </w:r>
          </w:p>
        </w:tc>
        <w:tc>
          <w:tcPr>
            <w:tcW w:w="1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11.7%</w:t>
            </w:r>
          </w:p>
        </w:tc>
        <w:tc>
          <w:tcPr>
            <w:tcW w:w="1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6.8 %</w:t>
            </w:r>
          </w:p>
        </w:tc>
        <w:tc>
          <w:tcPr>
            <w:tcW w:w="1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6.5 %</w:t>
            </w:r>
          </w:p>
        </w:tc>
        <w:tc>
          <w:tcPr>
            <w:tcW w:w="1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4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Military</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(19.4)%</w:t>
            </w:r>
          </w:p>
        </w:tc>
        <w:tc>
          <w:tcPr>
            <w:tcW w:w="1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440" w:type="dxa"/>
            <w:vAlign w:val="bottom"/>
          </w:tcPr>
          <w:p>
            <w:pPr>
              <w:ind w:left="40"/>
              <w:spacing w:after="0"/>
              <w:rPr>
                <w:sz w:val="20"/>
                <w:szCs w:val="20"/>
                <w:color w:val="auto"/>
              </w:rPr>
            </w:pPr>
            <w:r>
              <w:rPr>
                <w:rFonts w:ascii="Arial" w:cs="Arial" w:eastAsia="Arial" w:hAnsi="Arial"/>
                <w:sz w:val="18"/>
                <w:szCs w:val="18"/>
                <w:color w:val="auto"/>
              </w:rPr>
              <w:t>Fred Meyer</w:t>
            </w:r>
          </w:p>
        </w:tc>
        <w:tc>
          <w:tcPr>
            <w:tcW w:w="1340" w:type="dxa"/>
            <w:vAlign w:val="bottom"/>
          </w:tcPr>
          <w:p>
            <w:pPr>
              <w:jc w:val="right"/>
              <w:spacing w:after="0"/>
              <w:rPr>
                <w:sz w:val="20"/>
                <w:szCs w:val="20"/>
                <w:color w:val="auto"/>
              </w:rPr>
            </w:pPr>
            <w:r>
              <w:rPr>
                <w:rFonts w:ascii="Arial" w:cs="Arial" w:eastAsia="Arial" w:hAnsi="Arial"/>
                <w:sz w:val="18"/>
                <w:szCs w:val="18"/>
                <w:color w:val="auto"/>
              </w:rPr>
              <w:t>(13.5)%</w:t>
            </w:r>
          </w:p>
        </w:tc>
        <w:tc>
          <w:tcPr>
            <w:tcW w:w="1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10.0%</w:t>
            </w:r>
          </w:p>
        </w:tc>
        <w:tc>
          <w:tcPr>
            <w:tcW w:w="1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0.6 %</w:t>
            </w:r>
          </w:p>
        </w:tc>
        <w:tc>
          <w:tcPr>
            <w:tcW w:w="1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4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Legacy segment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0.6 %</w:t>
            </w: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1.0 %</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444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4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comparable store sales growth</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4.3 %</w:t>
            </w:r>
          </w:p>
        </w:tc>
        <w:tc>
          <w:tcPr>
            <w:tcW w:w="1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6.7 %</w:t>
            </w: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8.4 %</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3.5 - 5.5%</w:t>
            </w:r>
          </w:p>
        </w:tc>
        <w:tc>
          <w:tcPr>
            <w:tcW w:w="0" w:type="dxa"/>
            <w:vAlign w:val="bottom"/>
          </w:tcPr>
          <w:p>
            <w:pPr>
              <w:spacing w:after="0"/>
              <w:rPr>
                <w:sz w:val="1"/>
                <w:szCs w:val="1"/>
                <w:color w:val="auto"/>
              </w:rPr>
            </w:pPr>
          </w:p>
        </w:tc>
      </w:tr>
      <w:tr>
        <w:trPr>
          <w:trHeight w:val="341"/>
        </w:trPr>
        <w:tc>
          <w:tcPr>
            <w:tcW w:w="4440" w:type="dxa"/>
            <w:vAlign w:val="bottom"/>
          </w:tcPr>
          <w:p>
            <w:pPr>
              <w:ind w:left="40"/>
              <w:spacing w:after="0"/>
              <w:rPr>
                <w:sz w:val="20"/>
                <w:szCs w:val="20"/>
                <w:color w:val="auto"/>
              </w:rPr>
            </w:pPr>
            <w:r>
              <w:rPr>
                <w:rFonts w:ascii="Arial" w:cs="Arial" w:eastAsia="Arial" w:hAnsi="Arial"/>
                <w:sz w:val="18"/>
                <w:szCs w:val="18"/>
                <w:color w:val="auto"/>
              </w:rPr>
              <w:t>Adjusted comparable store sales growth</w:t>
            </w:r>
            <w:r>
              <w:rPr>
                <w:rFonts w:ascii="Arial" w:cs="Arial" w:eastAsia="Arial" w:hAnsi="Arial"/>
                <w:sz w:val="25"/>
                <w:szCs w:val="25"/>
                <w:color w:val="auto"/>
                <w:vertAlign w:val="superscript"/>
              </w:rPr>
              <w:t>(b)</w:t>
            </w:r>
          </w:p>
        </w:tc>
        <w:tc>
          <w:tcPr>
            <w:tcW w:w="1340" w:type="dxa"/>
            <w:vAlign w:val="bottom"/>
          </w:tcPr>
          <w:p>
            <w:pPr>
              <w:jc w:val="right"/>
              <w:spacing w:after="0"/>
              <w:rPr>
                <w:sz w:val="20"/>
                <w:szCs w:val="20"/>
                <w:color w:val="auto"/>
              </w:rPr>
            </w:pPr>
            <w:r>
              <w:rPr>
                <w:rFonts w:ascii="Arial" w:cs="Arial" w:eastAsia="Arial" w:hAnsi="Arial"/>
                <w:sz w:val="18"/>
                <w:szCs w:val="18"/>
                <w:color w:val="auto"/>
              </w:rPr>
              <w:t>2.9 %</w:t>
            </w:r>
          </w:p>
        </w:tc>
        <w:tc>
          <w:tcPr>
            <w:tcW w:w="12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10.4%</w:t>
            </w:r>
          </w:p>
        </w:tc>
        <w:tc>
          <w:tcPr>
            <w:tcW w:w="12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5.7 %</w:t>
            </w:r>
          </w:p>
        </w:tc>
        <w:tc>
          <w:tcPr>
            <w:tcW w:w="10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7.5 %</w:t>
            </w:r>
          </w:p>
        </w:tc>
        <w:tc>
          <w:tcPr>
            <w:tcW w:w="100" w:type="dxa"/>
            <w:vAlign w:val="bottom"/>
          </w:tcPr>
          <w:p>
            <w:pPr>
              <w:spacing w:after="0"/>
              <w:rPr>
                <w:sz w:val="24"/>
                <w:szCs w:val="24"/>
                <w:color w:val="auto"/>
              </w:rPr>
            </w:pPr>
          </w:p>
        </w:tc>
        <w:tc>
          <w:tcPr>
            <w:tcW w:w="1220" w:type="dxa"/>
            <w:vAlign w:val="bottom"/>
          </w:tcPr>
          <w:p>
            <w:pPr>
              <w:jc w:val="right"/>
              <w:ind w:right="250"/>
              <w:spacing w:after="0"/>
              <w:rPr>
                <w:sz w:val="20"/>
                <w:szCs w:val="20"/>
                <w:color w:val="auto"/>
              </w:rPr>
            </w:pPr>
            <w:r>
              <w:rPr>
                <w:rFonts w:ascii="Arial" w:cs="Arial" w:eastAsia="Arial" w:hAnsi="Arial"/>
                <w:sz w:val="18"/>
                <w:szCs w:val="18"/>
                <w:color w:val="auto"/>
              </w:rPr>
              <w:t>3 - 5%</w:t>
            </w:r>
          </w:p>
        </w:tc>
        <w:tc>
          <w:tcPr>
            <w:tcW w:w="0" w:type="dxa"/>
            <w:vAlign w:val="bottom"/>
          </w:tcPr>
          <w:p>
            <w:pPr>
              <w:spacing w:after="0"/>
              <w:rPr>
                <w:sz w:val="1"/>
                <w:szCs w:val="1"/>
                <w:color w:val="auto"/>
              </w:rPr>
            </w:pPr>
          </w:p>
        </w:tc>
      </w:tr>
    </w:tbl>
    <w:p>
      <w:pPr>
        <w:spacing w:after="0" w:line="18" w:lineRule="exact"/>
        <w:rPr>
          <w:sz w:val="20"/>
          <w:szCs w:val="20"/>
          <w:color w:val="auto"/>
        </w:rPr>
      </w:pPr>
    </w:p>
    <w:p>
      <w:pPr>
        <w:ind w:left="340" w:hanging="332"/>
        <w:spacing w:after="0"/>
        <w:tabs>
          <w:tab w:leader="none" w:pos="340" w:val="left"/>
        </w:tabs>
        <w:numPr>
          <w:ilvl w:val="0"/>
          <w:numId w:val="12"/>
        </w:numPr>
        <w:rPr>
          <w:rFonts w:ascii="Arial" w:cs="Arial" w:eastAsia="Arial" w:hAnsi="Arial"/>
          <w:sz w:val="12"/>
          <w:szCs w:val="12"/>
          <w:color w:val="auto"/>
        </w:rPr>
      </w:pPr>
      <w:r>
        <w:rPr>
          <w:rFonts w:ascii="Arial" w:cs="Arial" w:eastAsia="Arial" w:hAnsi="Arial"/>
          <w:sz w:val="12"/>
          <w:szCs w:val="12"/>
          <w:color w:val="auto"/>
        </w:rPr>
        <w:t>Total comparable store sales is calculated based on consolidated net revenue excluding the impact of (i) corporate/other segment net revenue, (ii) sales from stores opened less than 13 months,</w:t>
      </w:r>
    </w:p>
    <w:p>
      <w:pPr>
        <w:spacing w:after="0" w:line="36" w:lineRule="exact"/>
        <w:rPr>
          <w:rFonts w:ascii="Arial" w:cs="Arial" w:eastAsia="Arial" w:hAnsi="Arial"/>
          <w:sz w:val="12"/>
          <w:szCs w:val="12"/>
          <w:color w:val="auto"/>
        </w:rPr>
      </w:pPr>
    </w:p>
    <w:p>
      <w:pPr>
        <w:jc w:val="both"/>
        <w:ind w:left="340" w:hanging="8"/>
        <w:spacing w:after="0" w:line="260" w:lineRule="auto"/>
        <w:tabs>
          <w:tab w:leader="none" w:pos="595" w:val="left"/>
        </w:tabs>
        <w:numPr>
          <w:ilvl w:val="1"/>
          <w:numId w:val="12"/>
        </w:numPr>
        <w:rPr>
          <w:rFonts w:ascii="Arial" w:cs="Arial" w:eastAsia="Arial" w:hAnsi="Arial"/>
          <w:sz w:val="13"/>
          <w:szCs w:val="13"/>
          <w:color w:val="auto"/>
        </w:rPr>
      </w:pPr>
      <w:r>
        <w:rPr>
          <w:rFonts w:ascii="Arial" w:cs="Arial" w:eastAsia="Arial" w:hAnsi="Arial"/>
          <w:sz w:val="13"/>
          <w:szCs w:val="13"/>
          <w:color w:val="auto"/>
        </w:rPr>
        <w:t>stores closed in the periods presented, (iv) sales from partial months of operation when stores do not open or close on the first day of the month, and (v) if applicable, the impact of a 53rd week in a fiscal year. Brand-level comparable store sales growth is calculated based on cash basis revenues consistent with what the Chief Operating Decision Maker reviews, and consistent with reportable segment revenues presented in Note 15. "Segment Reporting" in our consolidated financial statements, with the exception of the legacy segment, which is adjusted as noted in</w:t>
      </w:r>
    </w:p>
    <w:p>
      <w:pPr>
        <w:ind w:left="540" w:hanging="208"/>
        <w:spacing w:after="0"/>
        <w:tabs>
          <w:tab w:leader="none" w:pos="540" w:val="left"/>
        </w:tabs>
        <w:numPr>
          <w:ilvl w:val="1"/>
          <w:numId w:val="13"/>
        </w:numPr>
        <w:rPr>
          <w:rFonts w:ascii="Arial" w:cs="Arial" w:eastAsia="Arial" w:hAnsi="Arial"/>
          <w:sz w:val="14"/>
          <w:szCs w:val="14"/>
          <w:color w:val="auto"/>
        </w:rPr>
      </w:pPr>
      <w:r>
        <w:rPr>
          <w:rFonts w:ascii="Arial" w:cs="Arial" w:eastAsia="Arial" w:hAnsi="Arial"/>
          <w:sz w:val="14"/>
          <w:szCs w:val="14"/>
          <w:color w:val="auto"/>
        </w:rPr>
        <w:t>(ii) below.</w:t>
      </w:r>
    </w:p>
    <w:p>
      <w:pPr>
        <w:spacing w:after="0" w:line="1" w:lineRule="exact"/>
        <w:rPr>
          <w:rFonts w:ascii="Arial" w:cs="Arial" w:eastAsia="Arial" w:hAnsi="Arial"/>
          <w:sz w:val="14"/>
          <w:szCs w:val="14"/>
          <w:color w:val="auto"/>
        </w:rPr>
      </w:pPr>
    </w:p>
    <w:p>
      <w:pPr>
        <w:jc w:val="both"/>
        <w:ind w:left="340" w:hanging="332"/>
        <w:spacing w:after="0" w:line="243" w:lineRule="auto"/>
        <w:tabs>
          <w:tab w:leader="none" w:pos="340" w:val="left"/>
        </w:tabs>
        <w:numPr>
          <w:ilvl w:val="0"/>
          <w:numId w:val="14"/>
        </w:numPr>
        <w:rPr>
          <w:rFonts w:ascii="Arial" w:cs="Arial" w:eastAsia="Arial" w:hAnsi="Arial"/>
          <w:sz w:val="14"/>
          <w:szCs w:val="14"/>
          <w:color w:val="auto"/>
        </w:rPr>
      </w:pPr>
      <w:r>
        <w:rPr>
          <w:rFonts w:ascii="Arial" w:cs="Arial" w:eastAsia="Arial" w:hAnsi="Arial"/>
          <w:sz w:val="14"/>
          <w:szCs w:val="14"/>
          <w:color w:val="auto"/>
        </w:rPr>
        <w:t>There are two differences between total comparable store sales growth based on consolidated net revenue and adjusted comparable store sales growth: (i) adjusted comparable store sales growth includes the effect of deferred and unearned revenue as if such revenues were earned at the point of sale, resulting in a decrease of 1.1% and 1.0% from total comparable store sales growth based on consolidated net revenue for the three months ended December 29, 2018 and December 30, 2017, respectively, and a decrease of 0.8% and 0.7% from total comparable store sales growth based on consolidated net revenue for fiscal year 2018 and fiscal year 2017, respectively, (ii) adjusted comparable store sales growth includes retail sales to the legacy partner’s customers (rather than the revenues recognized consistent with the management &amp; services agreement), resulting in a decrease of 0.3% and 0.1% from total comparable store sales growth based on consolidated net revenue for the three months ended December 29, 2018 and December 30, 2017, respectively, and a decrease of 0.2% from total comparable store sales growth based on consolidated net revenue for each of the fiscal years 2018 and 2017, and (iii) with respect to the Company's 2019 Outlook, adjusted comparable store sales growth includes an estimated 0.5% impact for the effect of deferred and unearned income as if such revenues were earned at the point of sale and retail sales to the legacy partner's customers (rather than the revenues recognized consistent with the management &amp; services agreement).</w:t>
      </w:r>
    </w:p>
    <w:p>
      <w:pPr>
        <w:sectPr>
          <w:pgSz w:w="11900" w:h="16838" w:orient="portrait"/>
          <w:cols w:equalWidth="0" w:num="1">
            <w:col w:w="11420"/>
          </w:cols>
          <w:pgMar w:left="240" w:top="580" w:right="239" w:bottom="1440" w:gutter="0" w:footer="0" w:header="0"/>
        </w:sectPr>
      </w:pPr>
    </w:p>
    <w:bookmarkStart w:id="17" w:name="page18"/>
    <w:bookmarkEnd w:id="17"/>
    <w:p>
      <w:pPr>
        <w:jc w:val="center"/>
        <w:spacing w:after="0"/>
        <w:rPr>
          <w:sz w:val="20"/>
          <w:szCs w:val="20"/>
          <w:color w:val="auto"/>
        </w:rPr>
      </w:pPr>
      <w:r>
        <w:rPr>
          <w:rFonts w:ascii="Arial" w:cs="Arial" w:eastAsia="Arial" w:hAnsi="Arial"/>
          <w:sz w:val="18"/>
          <w:szCs w:val="18"/>
          <w:b w:val="1"/>
          <w:bCs w:val="1"/>
          <w:color w:val="auto"/>
        </w:rPr>
        <w:t>Revision of Prior Period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National Vision Holdings,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December 30, 2017</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 Except Par Value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gridSpan w:val="2"/>
          </w:tcPr>
          <w:p>
            <w:pPr>
              <w:jc w:val="center"/>
              <w:ind w:right="300"/>
              <w:spacing w:after="0"/>
              <w:rPr>
                <w:sz w:val="20"/>
                <w:szCs w:val="20"/>
                <w:color w:val="auto"/>
              </w:rPr>
            </w:pPr>
            <w:r>
              <w:rPr>
                <w:rFonts w:ascii="Arial" w:cs="Arial" w:eastAsia="Arial" w:hAnsi="Arial"/>
                <w:sz w:val="18"/>
                <w:szCs w:val="18"/>
                <w:color w:val="auto"/>
                <w:w w:val="97"/>
              </w:rPr>
              <w:t>As of</w:t>
            </w: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30"/>
        </w:trPr>
        <w:tc>
          <w:tcPr>
            <w:tcW w:w="70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580" w:type="dxa"/>
            <w:vAlign w:val="bottom"/>
            <w:gridSpan w:val="4"/>
          </w:tcPr>
          <w:p>
            <w:pPr>
              <w:jc w:val="center"/>
              <w:spacing w:after="0"/>
              <w:rPr>
                <w:sz w:val="20"/>
                <w:szCs w:val="20"/>
                <w:color w:val="auto"/>
              </w:rPr>
            </w:pPr>
            <w:r>
              <w:rPr>
                <w:rFonts w:ascii="Arial" w:cs="Arial" w:eastAsia="Arial" w:hAnsi="Arial"/>
                <w:sz w:val="18"/>
                <w:szCs w:val="18"/>
                <w:color w:val="auto"/>
                <w:w w:val="89"/>
              </w:rPr>
              <w:t>December 30, 2017</w:t>
            </w: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27"/>
        </w:trPr>
        <w:tc>
          <w:tcPr>
            <w:tcW w:w="70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22"/>
        </w:trPr>
        <w:tc>
          <w:tcPr>
            <w:tcW w:w="70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jc w:val="right"/>
              <w:ind w:right="110"/>
              <w:spacing w:after="0"/>
              <w:rPr>
                <w:sz w:val="20"/>
                <w:szCs w:val="20"/>
                <w:color w:val="auto"/>
              </w:rPr>
            </w:pPr>
            <w:r>
              <w:rPr>
                <w:rFonts w:ascii="Arial" w:cs="Arial" w:eastAsia="Arial" w:hAnsi="Arial"/>
                <w:sz w:val="18"/>
                <w:szCs w:val="18"/>
                <w:color w:val="auto"/>
                <w:w w:val="93"/>
              </w:rPr>
              <w:t>As Previously</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30"/>
        </w:trPr>
        <w:tc>
          <w:tcPr>
            <w:tcW w:w="7080" w:type="dxa"/>
            <w:vAlign w:val="bottom"/>
          </w:tcPr>
          <w:p>
            <w:pPr>
              <w:ind w:left="40"/>
              <w:spacing w:after="0"/>
              <w:rPr>
                <w:sz w:val="20"/>
                <w:szCs w:val="20"/>
                <w:color w:val="auto"/>
              </w:rPr>
            </w:pPr>
            <w:r>
              <w:rPr>
                <w:rFonts w:ascii="Arial" w:cs="Arial" w:eastAsia="Arial" w:hAnsi="Arial"/>
                <w:sz w:val="18"/>
                <w:szCs w:val="18"/>
                <w:i w:val="1"/>
                <w:iCs w:val="1"/>
                <w:color w:val="auto"/>
              </w:rPr>
              <w:t>In thousands</w:t>
            </w:r>
          </w:p>
        </w:tc>
        <w:tc>
          <w:tcPr>
            <w:tcW w:w="160" w:type="dxa"/>
            <w:vAlign w:val="bottom"/>
          </w:tcPr>
          <w:p>
            <w:pPr>
              <w:spacing w:after="0"/>
              <w:rPr>
                <w:sz w:val="20"/>
                <w:szCs w:val="20"/>
                <w:color w:val="auto"/>
              </w:rPr>
            </w:pPr>
          </w:p>
        </w:tc>
        <w:tc>
          <w:tcPr>
            <w:tcW w:w="1240" w:type="dxa"/>
            <w:vAlign w:val="bottom"/>
          </w:tcPr>
          <w:p>
            <w:pPr>
              <w:jc w:val="right"/>
              <w:ind w:right="270"/>
              <w:spacing w:after="0"/>
              <w:rPr>
                <w:sz w:val="20"/>
                <w:szCs w:val="20"/>
                <w:color w:val="auto"/>
              </w:rPr>
            </w:pPr>
            <w:r>
              <w:rPr>
                <w:rFonts w:ascii="Arial" w:cs="Arial" w:eastAsia="Arial" w:hAnsi="Arial"/>
                <w:sz w:val="18"/>
                <w:szCs w:val="18"/>
                <w:color w:val="auto"/>
              </w:rPr>
              <w:t>Reported</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8"/>
                <w:szCs w:val="18"/>
                <w:color w:val="auto"/>
                <w:w w:val="90"/>
              </w:rPr>
              <w:t>Adjustments</w:t>
            </w:r>
          </w:p>
        </w:tc>
        <w:tc>
          <w:tcPr>
            <w:tcW w:w="160" w:type="dxa"/>
            <w:vAlign w:val="bottom"/>
          </w:tcPr>
          <w:p>
            <w:pPr>
              <w:spacing w:after="0"/>
              <w:rPr>
                <w:sz w:val="20"/>
                <w:szCs w:val="20"/>
                <w:color w:val="auto"/>
              </w:rPr>
            </w:pPr>
          </w:p>
        </w:tc>
        <w:tc>
          <w:tcPr>
            <w:tcW w:w="1200" w:type="dxa"/>
            <w:vAlign w:val="bottom"/>
          </w:tcPr>
          <w:p>
            <w:pPr>
              <w:jc w:val="right"/>
              <w:ind w:right="110"/>
              <w:spacing w:after="0"/>
              <w:rPr>
                <w:sz w:val="20"/>
                <w:szCs w:val="20"/>
                <w:color w:val="auto"/>
              </w:rPr>
            </w:pPr>
            <w:r>
              <w:rPr>
                <w:rFonts w:ascii="Arial" w:cs="Arial" w:eastAsia="Arial" w:hAnsi="Arial"/>
                <w:sz w:val="18"/>
                <w:szCs w:val="18"/>
                <w:color w:val="auto"/>
                <w:w w:val="93"/>
              </w:rPr>
              <w:t>As Corrected</w:t>
            </w:r>
          </w:p>
        </w:tc>
      </w:tr>
      <w:tr>
        <w:trPr>
          <w:trHeight w:val="27"/>
        </w:trPr>
        <w:tc>
          <w:tcPr>
            <w:tcW w:w="70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4"/>
        </w:trPr>
        <w:tc>
          <w:tcPr>
            <w:tcW w:w="7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Property and equipment, net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304,132</w:t>
            </w:r>
          </w:p>
        </w:tc>
        <w:tc>
          <w:tcPr>
            <w:tcW w:w="2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(1,852)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302,280</w:t>
            </w: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b w:val="1"/>
                <w:bCs w:val="1"/>
                <w:color w:val="auto"/>
              </w:rPr>
              <w:t>Total non-current assets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1,421,314</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(1,852)</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1,419,462</w:t>
            </w:r>
          </w:p>
        </w:tc>
      </w:tr>
      <w:tr>
        <w:trPr>
          <w:trHeight w:val="27"/>
        </w:trPr>
        <w:tc>
          <w:tcPr>
            <w:tcW w:w="70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assets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1,583,791</w:t>
            </w:r>
          </w:p>
        </w:tc>
        <w:tc>
          <w:tcPr>
            <w:tcW w:w="2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(1,852)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1,581,939</w:t>
            </w:r>
          </w:p>
        </w:tc>
      </w:tr>
      <w:tr>
        <w:trPr>
          <w:trHeight w:val="243"/>
        </w:trPr>
        <w:tc>
          <w:tcPr>
            <w:tcW w:w="7080" w:type="dxa"/>
            <w:vAlign w:val="bottom"/>
          </w:tcPr>
          <w:p>
            <w:pPr>
              <w:ind w:left="180"/>
              <w:spacing w:after="0"/>
              <w:rPr>
                <w:sz w:val="20"/>
                <w:szCs w:val="20"/>
                <w:color w:val="auto"/>
              </w:rPr>
            </w:pPr>
            <w:r>
              <w:rPr>
                <w:rFonts w:ascii="Arial" w:cs="Arial" w:eastAsia="Arial" w:hAnsi="Arial"/>
                <w:sz w:val="18"/>
                <w:szCs w:val="18"/>
                <w:color w:val="auto"/>
              </w:rPr>
              <w:t>Other liabilities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46,044</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4,858</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50,902</w:t>
            </w:r>
          </w:p>
        </w:tc>
      </w:tr>
      <w:tr>
        <w:trPr>
          <w:trHeight w:val="27"/>
        </w:trPr>
        <w:tc>
          <w:tcPr>
            <w:tcW w:w="70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Deferred income taxes, net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73,648</w:t>
            </w:r>
          </w:p>
        </w:tc>
        <w:tc>
          <w:tcPr>
            <w:tcW w:w="2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(1,722)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71,926</w:t>
            </w: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b w:val="1"/>
                <w:bCs w:val="1"/>
                <w:color w:val="auto"/>
              </w:rPr>
              <w:t>Total other non-current liabilities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150,914</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3,136</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154,050</w:t>
            </w:r>
          </w:p>
        </w:tc>
      </w:tr>
      <w:tr>
        <w:trPr>
          <w:trHeight w:val="27"/>
        </w:trPr>
        <w:tc>
          <w:tcPr>
            <w:tcW w:w="70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Retained earnings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37,145</w:t>
            </w:r>
          </w:p>
        </w:tc>
        <w:tc>
          <w:tcPr>
            <w:tcW w:w="2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(4,988)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32,157</w:t>
            </w: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b w:val="1"/>
                <w:bCs w:val="1"/>
                <w:color w:val="auto"/>
              </w:rPr>
              <w:t>Total stockholders’ equity</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659,588</w:t>
            </w:r>
          </w:p>
        </w:tc>
        <w:tc>
          <w:tcPr>
            <w:tcW w:w="2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(4,988)</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654,600</w:t>
            </w:r>
          </w:p>
        </w:tc>
      </w:tr>
      <w:tr>
        <w:trPr>
          <w:trHeight w:val="27"/>
        </w:trPr>
        <w:tc>
          <w:tcPr>
            <w:tcW w:w="70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43"/>
        </w:trPr>
        <w:tc>
          <w:tcPr>
            <w:tcW w:w="708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Total liabilities and stockholders’ equity</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1,583,791</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(1,852)</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1,581,939</w:t>
            </w:r>
          </w:p>
        </w:tc>
      </w:tr>
      <w:tr>
        <w:trPr>
          <w:trHeight w:val="27"/>
        </w:trPr>
        <w:tc>
          <w:tcPr>
            <w:tcW w:w="708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r>
    </w:tbl>
    <w:p>
      <w:pPr>
        <w:spacing w:after="0" w:line="198"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 xml:space="preserve">Consolidated Statements of Operations and Comprehensive Income (Loss) For the Three Months and Fiscal Year Ended December 30, 2017 </w:t>
      </w:r>
      <w:r>
        <w:rPr>
          <w:rFonts w:ascii="Arial" w:cs="Arial" w:eastAsia="Arial" w:hAnsi="Arial"/>
          <w:sz w:val="18"/>
          <w:szCs w:val="18"/>
          <w:i w:val="1"/>
          <w:iCs w:val="1"/>
          <w:color w:val="auto"/>
        </w:rPr>
        <w:t>In Thousands, Except Earnings Per Share</w:t>
      </w:r>
    </w:p>
    <w:p>
      <w:pPr>
        <w:spacing w:after="0" w:line="234" w:lineRule="exact"/>
        <w:rPr>
          <w:sz w:val="20"/>
          <w:szCs w:val="20"/>
          <w:color w:val="auto"/>
        </w:rPr>
      </w:pPr>
    </w:p>
    <w:tbl>
      <w:tblPr>
        <w:tblLayout w:type="fixed"/>
        <w:tblInd w:w="180" w:type="dxa"/>
        <w:tblCellMar>
          <w:top w:w="0" w:type="dxa"/>
          <w:left w:w="0" w:type="dxa"/>
          <w:bottom w:w="0" w:type="dxa"/>
          <w:right w:w="0" w:type="dxa"/>
        </w:tblCellMar>
      </w:tblPr>
      <w:tr>
        <w:trPr>
          <w:trHeight w:val="216"/>
        </w:trPr>
        <w:tc>
          <w:tcPr>
            <w:tcW w:w="3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0" w:type="dxa"/>
            <w:vAlign w:val="bottom"/>
            <w:gridSpan w:val="6"/>
          </w:tcPr>
          <w:p>
            <w:pPr>
              <w:jc w:val="center"/>
              <w:spacing w:after="0"/>
              <w:rPr>
                <w:sz w:val="20"/>
                <w:szCs w:val="20"/>
                <w:color w:val="auto"/>
              </w:rPr>
            </w:pPr>
            <w:r>
              <w:rPr>
                <w:rFonts w:ascii="Arial" w:cs="Arial" w:eastAsia="Arial" w:hAnsi="Arial"/>
                <w:sz w:val="18"/>
                <w:szCs w:val="18"/>
                <w:color w:val="auto"/>
                <w:w w:val="90"/>
              </w:rPr>
              <w:t>Three Months Ended</w:t>
            </w: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center"/>
              <w:ind w:right="200"/>
              <w:spacing w:after="0"/>
              <w:rPr>
                <w:sz w:val="20"/>
                <w:szCs w:val="20"/>
                <w:color w:val="auto"/>
              </w:rPr>
            </w:pPr>
            <w:r>
              <w:rPr>
                <w:rFonts w:ascii="Arial" w:cs="Arial" w:eastAsia="Arial" w:hAnsi="Arial"/>
                <w:sz w:val="18"/>
                <w:szCs w:val="18"/>
                <w:color w:val="auto"/>
                <w:w w:val="88"/>
              </w:rPr>
              <w:t>Fiscal Year</w:t>
            </w: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30"/>
        </w:trPr>
        <w:tc>
          <w:tcPr>
            <w:tcW w:w="3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40" w:type="dxa"/>
            <w:vAlign w:val="bottom"/>
            <w:gridSpan w:val="4"/>
          </w:tcPr>
          <w:p>
            <w:pPr>
              <w:jc w:val="center"/>
              <w:ind w:right="20"/>
              <w:spacing w:after="0"/>
              <w:rPr>
                <w:sz w:val="20"/>
                <w:szCs w:val="20"/>
                <w:color w:val="auto"/>
              </w:rPr>
            </w:pPr>
            <w:r>
              <w:rPr>
                <w:rFonts w:ascii="Arial" w:cs="Arial" w:eastAsia="Arial" w:hAnsi="Arial"/>
                <w:sz w:val="18"/>
                <w:szCs w:val="18"/>
                <w:color w:val="auto"/>
                <w:w w:val="89"/>
              </w:rPr>
              <w:t>December 30, 2017</w:t>
            </w:r>
          </w:p>
        </w:tc>
        <w:tc>
          <w:tcPr>
            <w:tcW w:w="1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jc w:val="center"/>
              <w:ind w:right="10"/>
              <w:spacing w:after="0"/>
              <w:rPr>
                <w:sz w:val="20"/>
                <w:szCs w:val="20"/>
                <w:color w:val="auto"/>
              </w:rPr>
            </w:pPr>
            <w:r>
              <w:rPr>
                <w:rFonts w:ascii="Arial" w:cs="Arial" w:eastAsia="Arial" w:hAnsi="Arial"/>
                <w:sz w:val="18"/>
                <w:szCs w:val="18"/>
                <w:color w:val="auto"/>
                <w:w w:val="89"/>
              </w:rPr>
              <w:t>2017</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27"/>
        </w:trPr>
        <w:tc>
          <w:tcPr>
            <w:tcW w:w="3220" w:type="dxa"/>
            <w:vAlign w:val="bottom"/>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Borders>
              <w:bottom w:val="single" w:sz="8" w:color="auto"/>
            </w:tcBorders>
            <w:gridSpan w:val="3"/>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22"/>
        </w:trPr>
        <w:tc>
          <w:tcPr>
            <w:tcW w:w="3220" w:type="dxa"/>
            <w:vAlign w:val="bottom"/>
          </w:tcPr>
          <w:p>
            <w:pPr>
              <w:spacing w:after="0"/>
              <w:rPr>
                <w:sz w:val="19"/>
                <w:szCs w:val="19"/>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As Previously</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gridSpan w:val="3"/>
          </w:tcPr>
          <w:p>
            <w:pPr>
              <w:jc w:val="center"/>
              <w:ind w:right="140"/>
              <w:spacing w:after="0"/>
              <w:rPr>
                <w:sz w:val="20"/>
                <w:szCs w:val="20"/>
                <w:color w:val="auto"/>
              </w:rPr>
            </w:pPr>
            <w:r>
              <w:rPr>
                <w:rFonts w:ascii="Arial" w:cs="Arial" w:eastAsia="Arial" w:hAnsi="Arial"/>
                <w:sz w:val="18"/>
                <w:szCs w:val="18"/>
                <w:color w:val="auto"/>
                <w:w w:val="93"/>
              </w:rPr>
              <w:t>As Previously</w:t>
            </w: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30"/>
        </w:trPr>
        <w:tc>
          <w:tcPr>
            <w:tcW w:w="3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tcPr>
          <w:p>
            <w:pPr>
              <w:jc w:val="right"/>
              <w:ind w:right="150"/>
              <w:spacing w:after="0"/>
              <w:rPr>
                <w:sz w:val="20"/>
                <w:szCs w:val="20"/>
                <w:color w:val="auto"/>
              </w:rPr>
            </w:pPr>
            <w:r>
              <w:rPr>
                <w:rFonts w:ascii="Arial" w:cs="Arial" w:eastAsia="Arial" w:hAnsi="Arial"/>
                <w:sz w:val="18"/>
                <w:szCs w:val="18"/>
                <w:color w:val="auto"/>
                <w:w w:val="97"/>
              </w:rPr>
              <w:t>Reported</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8"/>
                <w:szCs w:val="18"/>
                <w:color w:val="auto"/>
                <w:w w:val="90"/>
              </w:rPr>
              <w:t>Adjustments</w:t>
            </w:r>
          </w:p>
        </w:tc>
        <w:tc>
          <w:tcPr>
            <w:tcW w:w="100" w:type="dxa"/>
            <w:vAlign w:val="bottom"/>
          </w:tcPr>
          <w:p>
            <w:pPr>
              <w:spacing w:after="0"/>
              <w:rPr>
                <w:sz w:val="20"/>
                <w:szCs w:val="20"/>
                <w:color w:val="auto"/>
              </w:rPr>
            </w:pPr>
          </w:p>
        </w:tc>
        <w:tc>
          <w:tcPr>
            <w:tcW w:w="1220" w:type="dxa"/>
            <w:vAlign w:val="bottom"/>
            <w:gridSpan w:val="2"/>
          </w:tcPr>
          <w:p>
            <w:pPr>
              <w:ind w:left="20"/>
              <w:spacing w:after="0"/>
              <w:rPr>
                <w:sz w:val="20"/>
                <w:szCs w:val="20"/>
                <w:color w:val="auto"/>
              </w:rPr>
            </w:pPr>
            <w:r>
              <w:rPr>
                <w:rFonts w:ascii="Arial" w:cs="Arial" w:eastAsia="Arial" w:hAnsi="Arial"/>
                <w:sz w:val="18"/>
                <w:szCs w:val="18"/>
                <w:color w:val="auto"/>
              </w:rPr>
              <w:t>As Corrected</w:t>
            </w:r>
          </w:p>
        </w:tc>
        <w:tc>
          <w:tcPr>
            <w:tcW w:w="180" w:type="dxa"/>
            <w:vAlign w:val="bottom"/>
          </w:tcPr>
          <w:p>
            <w:pPr>
              <w:spacing w:after="0"/>
              <w:rPr>
                <w:sz w:val="20"/>
                <w:szCs w:val="20"/>
                <w:color w:val="auto"/>
              </w:rPr>
            </w:pPr>
          </w:p>
        </w:tc>
        <w:tc>
          <w:tcPr>
            <w:tcW w:w="1140" w:type="dxa"/>
            <w:vAlign w:val="bottom"/>
            <w:gridSpan w:val="2"/>
          </w:tcPr>
          <w:p>
            <w:pPr>
              <w:jc w:val="center"/>
              <w:ind w:right="320"/>
              <w:spacing w:after="0"/>
              <w:rPr>
                <w:sz w:val="20"/>
                <w:szCs w:val="20"/>
                <w:color w:val="auto"/>
              </w:rPr>
            </w:pPr>
            <w:r>
              <w:rPr>
                <w:rFonts w:ascii="Arial" w:cs="Arial" w:eastAsia="Arial" w:hAnsi="Arial"/>
                <w:sz w:val="18"/>
                <w:szCs w:val="18"/>
                <w:color w:val="auto"/>
                <w:w w:val="89"/>
              </w:rPr>
              <w:t>Reported</w:t>
            </w:r>
          </w:p>
        </w:tc>
        <w:tc>
          <w:tcPr>
            <w:tcW w:w="120" w:type="dxa"/>
            <w:vAlign w:val="bottom"/>
          </w:tcPr>
          <w:p>
            <w:pPr>
              <w:spacing w:after="0"/>
              <w:rPr>
                <w:sz w:val="20"/>
                <w:szCs w:val="20"/>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8"/>
                <w:szCs w:val="18"/>
                <w:color w:val="auto"/>
                <w:w w:val="92"/>
              </w:rPr>
              <w:t>Adjustments</w:t>
            </w:r>
          </w:p>
        </w:tc>
        <w:tc>
          <w:tcPr>
            <w:tcW w:w="120" w:type="dxa"/>
            <w:vAlign w:val="bottom"/>
          </w:tcPr>
          <w:p>
            <w:pPr>
              <w:spacing w:after="0"/>
              <w:rPr>
                <w:sz w:val="20"/>
                <w:szCs w:val="20"/>
                <w:color w:val="auto"/>
              </w:rPr>
            </w:pPr>
          </w:p>
        </w:tc>
        <w:tc>
          <w:tcPr>
            <w:tcW w:w="1100" w:type="dxa"/>
            <w:vAlign w:val="bottom"/>
          </w:tcPr>
          <w:p>
            <w:pPr>
              <w:jc w:val="right"/>
              <w:ind w:right="50"/>
              <w:spacing w:after="0"/>
              <w:rPr>
                <w:sz w:val="20"/>
                <w:szCs w:val="20"/>
                <w:color w:val="auto"/>
              </w:rPr>
            </w:pPr>
            <w:r>
              <w:rPr>
                <w:rFonts w:ascii="Arial" w:cs="Arial" w:eastAsia="Arial" w:hAnsi="Arial"/>
                <w:sz w:val="18"/>
                <w:szCs w:val="18"/>
                <w:color w:val="auto"/>
                <w:w w:val="89"/>
              </w:rPr>
              <w:t>As Corrected</w:t>
            </w:r>
          </w:p>
        </w:tc>
      </w:tr>
      <w:tr>
        <w:trPr>
          <w:trHeight w:val="27"/>
        </w:trPr>
        <w:tc>
          <w:tcPr>
            <w:tcW w:w="32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4"/>
        </w:trPr>
        <w:tc>
          <w:tcPr>
            <w:tcW w:w="3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Operating Expenses:</w:t>
            </w: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29"/>
        </w:trPr>
        <w:tc>
          <w:tcPr>
            <w:tcW w:w="3220" w:type="dxa"/>
            <w:vAlign w:val="bottom"/>
          </w:tcPr>
          <w:p>
            <w:pPr>
              <w:ind w:left="160"/>
              <w:spacing w:after="0"/>
              <w:rPr>
                <w:sz w:val="20"/>
                <w:szCs w:val="20"/>
                <w:color w:val="auto"/>
              </w:rPr>
            </w:pPr>
            <w:r>
              <w:rPr>
                <w:rFonts w:ascii="Arial" w:cs="Arial" w:eastAsia="Arial" w:hAnsi="Arial"/>
                <w:sz w:val="18"/>
                <w:szCs w:val="18"/>
                <w:color w:val="auto"/>
              </w:rPr>
              <w:t>Selling, general and administrative</w:t>
            </w: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30"/>
        </w:trPr>
        <w:tc>
          <w:tcPr>
            <w:tcW w:w="3220" w:type="dxa"/>
            <w:vAlign w:val="bottom"/>
          </w:tcPr>
          <w:p>
            <w:pPr>
              <w:ind w:left="160"/>
              <w:spacing w:after="0"/>
              <w:rPr>
                <w:sz w:val="20"/>
                <w:szCs w:val="20"/>
                <w:color w:val="auto"/>
              </w:rPr>
            </w:pPr>
            <w:r>
              <w:rPr>
                <w:rFonts w:ascii="Arial" w:cs="Arial" w:eastAsia="Arial" w:hAnsi="Arial"/>
                <w:sz w:val="18"/>
                <w:szCs w:val="18"/>
                <w:color w:val="auto"/>
              </w:rPr>
              <w:t>expenses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152,210</w:t>
            </w:r>
          </w:p>
        </w:tc>
        <w:tc>
          <w:tcPr>
            <w:tcW w:w="30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546</w:t>
            </w:r>
          </w:p>
        </w:tc>
        <w:tc>
          <w:tcPr>
            <w:tcW w:w="12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152,756</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597,924</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2,086</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600,010</w:t>
            </w:r>
          </w:p>
        </w:tc>
      </w:tr>
      <w:tr>
        <w:trPr>
          <w:trHeight w:val="27"/>
        </w:trPr>
        <w:tc>
          <w:tcPr>
            <w:tcW w:w="3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32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Depreciation and amortization</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16,711</w:t>
            </w:r>
          </w:p>
        </w:tc>
        <w:tc>
          <w:tcPr>
            <w:tcW w:w="30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242</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16,953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61,115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859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61,974</w:t>
            </w:r>
          </w:p>
        </w:tc>
      </w:tr>
      <w:tr>
        <w:trPr>
          <w:trHeight w:val="243"/>
        </w:trPr>
        <w:tc>
          <w:tcPr>
            <w:tcW w:w="3220" w:type="dxa"/>
            <w:vAlign w:val="bottom"/>
          </w:tcPr>
          <w:p>
            <w:pPr>
              <w:ind w:left="260"/>
              <w:spacing w:after="0"/>
              <w:rPr>
                <w:sz w:val="20"/>
                <w:szCs w:val="20"/>
                <w:color w:val="auto"/>
              </w:rPr>
            </w:pPr>
            <w:r>
              <w:rPr>
                <w:rFonts w:ascii="Arial" w:cs="Arial" w:eastAsia="Arial" w:hAnsi="Arial"/>
                <w:sz w:val="18"/>
                <w:szCs w:val="18"/>
                <w:color w:val="auto"/>
              </w:rPr>
              <w:t>Total operating expenses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172,244</w:t>
            </w:r>
          </w:p>
        </w:tc>
        <w:tc>
          <w:tcPr>
            <w:tcW w:w="30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788</w:t>
            </w:r>
          </w:p>
        </w:tc>
        <w:tc>
          <w:tcPr>
            <w:tcW w:w="12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173,032</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671,106</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2,945</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674,051</w:t>
            </w:r>
          </w:p>
        </w:tc>
      </w:tr>
      <w:tr>
        <w:trPr>
          <w:trHeight w:val="27"/>
        </w:trPr>
        <w:tc>
          <w:tcPr>
            <w:tcW w:w="3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3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(loss) from operations</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(2,818)</w:t>
            </w:r>
          </w:p>
        </w:tc>
        <w:tc>
          <w:tcPr>
            <w:tcW w:w="30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(788)</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(3,606)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67,236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(2,945)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64,291</w:t>
            </w:r>
          </w:p>
        </w:tc>
      </w:tr>
      <w:tr>
        <w:trPr>
          <w:trHeight w:val="243"/>
        </w:trPr>
        <w:tc>
          <w:tcPr>
            <w:tcW w:w="3220" w:type="dxa"/>
            <w:vAlign w:val="bottom"/>
          </w:tcPr>
          <w:p>
            <w:pPr>
              <w:ind w:left="20"/>
              <w:spacing w:after="0"/>
              <w:rPr>
                <w:sz w:val="20"/>
                <w:szCs w:val="20"/>
                <w:color w:val="auto"/>
              </w:rPr>
            </w:pPr>
            <w:r>
              <w:rPr>
                <w:rFonts w:ascii="Arial" w:cs="Arial" w:eastAsia="Arial" w:hAnsi="Arial"/>
                <w:sz w:val="18"/>
                <w:szCs w:val="18"/>
                <w:color w:val="auto"/>
              </w:rPr>
              <w:t>Earnings (loss) before income taxes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(19,214)</w:t>
            </w:r>
          </w:p>
        </w:tc>
        <w:tc>
          <w:tcPr>
            <w:tcW w:w="30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(788)</w:t>
            </w:r>
          </w:p>
        </w:tc>
        <w:tc>
          <w:tcPr>
            <w:tcW w:w="12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(20,002)</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7,173</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(2,945)</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4,228</w:t>
            </w:r>
          </w:p>
        </w:tc>
      </w:tr>
      <w:tr>
        <w:trPr>
          <w:trHeight w:val="27"/>
        </w:trPr>
        <w:tc>
          <w:tcPr>
            <w:tcW w:w="3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3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tax provision (benefit)</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(47,914)</w:t>
            </w:r>
          </w:p>
        </w:tc>
        <w:tc>
          <w:tcPr>
            <w:tcW w:w="30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571</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(47,343)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(38,647)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(38,910)</w:t>
            </w:r>
          </w:p>
        </w:tc>
      </w:tr>
      <w:tr>
        <w:trPr>
          <w:trHeight w:val="243"/>
        </w:trPr>
        <w:tc>
          <w:tcPr>
            <w:tcW w:w="322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28,700</w:t>
            </w:r>
          </w:p>
        </w:tc>
        <w:tc>
          <w:tcPr>
            <w:tcW w:w="30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(1,359)</w:t>
            </w:r>
          </w:p>
        </w:tc>
        <w:tc>
          <w:tcPr>
            <w:tcW w:w="12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27,341</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45,820</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(2,682)</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43,138</w:t>
            </w:r>
          </w:p>
        </w:tc>
      </w:tr>
      <w:tr>
        <w:trPr>
          <w:trHeight w:val="27"/>
        </w:trPr>
        <w:tc>
          <w:tcPr>
            <w:tcW w:w="3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3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Earnings per share:</w:t>
            </w: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43"/>
        </w:trPr>
        <w:tc>
          <w:tcPr>
            <w:tcW w:w="3220" w:type="dxa"/>
            <w:vAlign w:val="bottom"/>
          </w:tcPr>
          <w:p>
            <w:pPr>
              <w:ind w:left="160"/>
              <w:spacing w:after="0"/>
              <w:rPr>
                <w:sz w:val="20"/>
                <w:szCs w:val="20"/>
                <w:color w:val="auto"/>
              </w:rPr>
            </w:pPr>
            <w:r>
              <w:rPr>
                <w:rFonts w:ascii="Arial" w:cs="Arial" w:eastAsia="Arial" w:hAnsi="Arial"/>
                <w:sz w:val="18"/>
                <w:szCs w:val="18"/>
                <w:color w:val="auto"/>
              </w:rPr>
              <w:t>Basic</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0.41</w:t>
            </w:r>
          </w:p>
        </w:tc>
        <w:tc>
          <w:tcPr>
            <w:tcW w:w="30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(0.02)</w:t>
            </w:r>
          </w:p>
        </w:tc>
        <w:tc>
          <w:tcPr>
            <w:tcW w:w="12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0.39</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0.77</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(0.05)</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0.72</w:t>
            </w:r>
          </w:p>
        </w:tc>
      </w:tr>
      <w:tr>
        <w:trPr>
          <w:trHeight w:val="27"/>
        </w:trPr>
        <w:tc>
          <w:tcPr>
            <w:tcW w:w="3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32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Diluted</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0.39</w:t>
            </w:r>
          </w:p>
        </w:tc>
        <w:tc>
          <w:tcPr>
            <w:tcW w:w="30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0.37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0.74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0.70</w:t>
            </w:r>
          </w:p>
        </w:tc>
      </w:tr>
      <w:tr>
        <w:trPr>
          <w:trHeight w:val="243"/>
        </w:trPr>
        <w:tc>
          <w:tcPr>
            <w:tcW w:w="3220" w:type="dxa"/>
            <w:vAlign w:val="bottom"/>
          </w:tcPr>
          <w:p>
            <w:pPr>
              <w:ind w:left="20"/>
              <w:spacing w:after="0"/>
              <w:rPr>
                <w:sz w:val="20"/>
                <w:szCs w:val="20"/>
                <w:color w:val="auto"/>
              </w:rPr>
            </w:pPr>
            <w:r>
              <w:rPr>
                <w:rFonts w:ascii="Arial" w:cs="Arial" w:eastAsia="Arial" w:hAnsi="Arial"/>
                <w:sz w:val="18"/>
                <w:szCs w:val="18"/>
                <w:b w:val="1"/>
                <w:bCs w:val="1"/>
                <w:color w:val="auto"/>
              </w:rPr>
              <w:t>Comprehensive income:</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32,055</w:t>
            </w:r>
          </w:p>
        </w:tc>
        <w:tc>
          <w:tcPr>
            <w:tcW w:w="30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(1,359)</w:t>
            </w:r>
          </w:p>
        </w:tc>
        <w:tc>
          <w:tcPr>
            <w:tcW w:w="12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30,696</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50,508</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(2,682)</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47,826</w:t>
            </w:r>
          </w:p>
        </w:tc>
      </w:tr>
    </w:tbl>
    <w:p>
      <w:pPr>
        <w:sectPr>
          <w:pgSz w:w="11900" w:h="16838" w:orient="portrait"/>
          <w:cols w:equalWidth="0" w:num="1">
            <w:col w:w="11420"/>
          </w:cols>
          <w:pgMar w:left="240" w:top="580" w:right="239" w:bottom="1440" w:gutter="0" w:footer="0" w:header="0"/>
        </w:sectPr>
      </w:pPr>
    </w:p>
    <w:bookmarkStart w:id="18" w:name="page19"/>
    <w:bookmarkEnd w:id="18"/>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Fiscal Year Ended December 30, 2017, and January 2, 2016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gridSpan w:val="2"/>
          </w:tcPr>
          <w:p>
            <w:pPr>
              <w:jc w:val="center"/>
              <w:ind w:right="300"/>
              <w:spacing w:after="0"/>
              <w:rPr>
                <w:sz w:val="20"/>
                <w:szCs w:val="20"/>
                <w:color w:val="auto"/>
              </w:rPr>
            </w:pPr>
            <w:r>
              <w:rPr>
                <w:rFonts w:ascii="Arial" w:cs="Arial" w:eastAsia="Arial" w:hAnsi="Arial"/>
                <w:sz w:val="18"/>
                <w:szCs w:val="18"/>
                <w:color w:val="auto"/>
                <w:w w:val="88"/>
              </w:rPr>
              <w:t>Fiscal Year</w:t>
            </w: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30"/>
        </w:trPr>
        <w:tc>
          <w:tcPr>
            <w:tcW w:w="70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center"/>
              <w:ind w:right="90"/>
              <w:spacing w:after="0"/>
              <w:rPr>
                <w:sz w:val="20"/>
                <w:szCs w:val="20"/>
                <w:color w:val="auto"/>
              </w:rPr>
            </w:pPr>
            <w:r>
              <w:rPr>
                <w:rFonts w:ascii="Arial" w:cs="Arial" w:eastAsia="Arial" w:hAnsi="Arial"/>
                <w:sz w:val="18"/>
                <w:szCs w:val="18"/>
                <w:color w:val="auto"/>
                <w:w w:val="89"/>
              </w:rPr>
              <w:t>2017</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27"/>
        </w:trPr>
        <w:tc>
          <w:tcPr>
            <w:tcW w:w="70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22"/>
        </w:trPr>
        <w:tc>
          <w:tcPr>
            <w:tcW w:w="70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gridSpan w:val="2"/>
          </w:tcPr>
          <w:p>
            <w:pPr>
              <w:jc w:val="center"/>
              <w:ind w:right="260"/>
              <w:spacing w:after="0"/>
              <w:rPr>
                <w:sz w:val="20"/>
                <w:szCs w:val="20"/>
                <w:color w:val="auto"/>
              </w:rPr>
            </w:pPr>
            <w:r>
              <w:rPr>
                <w:rFonts w:ascii="Arial" w:cs="Arial" w:eastAsia="Arial" w:hAnsi="Arial"/>
                <w:sz w:val="18"/>
                <w:szCs w:val="18"/>
                <w:color w:val="auto"/>
                <w:w w:val="91"/>
              </w:rPr>
              <w:t>As Previously</w:t>
            </w: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30"/>
        </w:trPr>
        <w:tc>
          <w:tcPr>
            <w:tcW w:w="7080" w:type="dxa"/>
            <w:vAlign w:val="bottom"/>
          </w:tcPr>
          <w:p>
            <w:pPr>
              <w:ind w:left="40"/>
              <w:spacing w:after="0"/>
              <w:rPr>
                <w:sz w:val="20"/>
                <w:szCs w:val="20"/>
                <w:color w:val="auto"/>
              </w:rPr>
            </w:pPr>
            <w:r>
              <w:rPr>
                <w:rFonts w:ascii="Arial" w:cs="Arial" w:eastAsia="Arial" w:hAnsi="Arial"/>
                <w:sz w:val="18"/>
                <w:szCs w:val="18"/>
                <w:i w:val="1"/>
                <w:iCs w:val="1"/>
                <w:color w:val="auto"/>
              </w:rPr>
              <w:t>In thousands</w:t>
            </w:r>
          </w:p>
        </w:tc>
        <w:tc>
          <w:tcPr>
            <w:tcW w:w="160" w:type="dxa"/>
            <w:vAlign w:val="bottom"/>
          </w:tcPr>
          <w:p>
            <w:pPr>
              <w:spacing w:after="0"/>
              <w:rPr>
                <w:sz w:val="20"/>
                <w:szCs w:val="20"/>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8"/>
                <w:szCs w:val="18"/>
                <w:color w:val="auto"/>
                <w:w w:val="89"/>
              </w:rPr>
              <w:t>Reported</w:t>
            </w:r>
          </w:p>
        </w:tc>
        <w:tc>
          <w:tcPr>
            <w:tcW w:w="180" w:type="dxa"/>
            <w:vAlign w:val="bottom"/>
          </w:tcPr>
          <w:p>
            <w:pPr>
              <w:spacing w:after="0"/>
              <w:rPr>
                <w:sz w:val="20"/>
                <w:szCs w:val="20"/>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8"/>
                <w:szCs w:val="18"/>
                <w:color w:val="auto"/>
                <w:w w:val="90"/>
              </w:rPr>
              <w:t>Adjustments</w:t>
            </w:r>
          </w:p>
        </w:tc>
        <w:tc>
          <w:tcPr>
            <w:tcW w:w="160" w:type="dxa"/>
            <w:vAlign w:val="bottom"/>
          </w:tcPr>
          <w:p>
            <w:pPr>
              <w:spacing w:after="0"/>
              <w:rPr>
                <w:sz w:val="20"/>
                <w:szCs w:val="20"/>
                <w:color w:val="auto"/>
              </w:rPr>
            </w:pPr>
          </w:p>
        </w:tc>
        <w:tc>
          <w:tcPr>
            <w:tcW w:w="1200" w:type="dxa"/>
            <w:vAlign w:val="bottom"/>
          </w:tcPr>
          <w:p>
            <w:pPr>
              <w:jc w:val="right"/>
              <w:ind w:right="110"/>
              <w:spacing w:after="0"/>
              <w:rPr>
                <w:sz w:val="20"/>
                <w:szCs w:val="20"/>
                <w:color w:val="auto"/>
              </w:rPr>
            </w:pPr>
            <w:r>
              <w:rPr>
                <w:rFonts w:ascii="Arial" w:cs="Arial" w:eastAsia="Arial" w:hAnsi="Arial"/>
                <w:sz w:val="18"/>
                <w:szCs w:val="18"/>
                <w:color w:val="auto"/>
                <w:w w:val="93"/>
              </w:rPr>
              <w:t>As Corrected</w:t>
            </w:r>
          </w:p>
        </w:tc>
      </w:tr>
      <w:tr>
        <w:trPr>
          <w:trHeight w:val="27"/>
        </w:trPr>
        <w:tc>
          <w:tcPr>
            <w:tcW w:w="70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4"/>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45,820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(2,682)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43,138</w:t>
            </w: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Depreciation and amortization</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61,115</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859</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61,974</w:t>
            </w:r>
          </w:p>
        </w:tc>
      </w:tr>
      <w:tr>
        <w:trPr>
          <w:trHeight w:val="27"/>
        </w:trPr>
        <w:tc>
          <w:tcPr>
            <w:tcW w:w="70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income tax expense (benefit)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(39,734)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(39,997)</w:t>
            </w: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Changes in operating assets and liabilities: Other liabilities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12,879</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2,086</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14,965</w:t>
            </w:r>
          </w:p>
        </w:tc>
      </w:tr>
    </w:tbl>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Reconciliation of GAAP to Non-GAAP Financial Measures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Reconciliation of Net Income to EBITDA, Adjusted EBITDA, Adjusted Net Income, and Adjusted Diluted EPS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Months and Fiscal Year Ended December 30, 2017</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 Except, Earnings Per Share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tbl>
      <w:tblPr>
        <w:tblLayout w:type="fixed"/>
        <w:tblInd w:w="80" w:type="dxa"/>
        <w:tblCellMar>
          <w:top w:w="0" w:type="dxa"/>
          <w:left w:w="0" w:type="dxa"/>
          <w:bottom w:w="0" w:type="dxa"/>
          <w:right w:w="0" w:type="dxa"/>
        </w:tblCellMar>
      </w:tblPr>
      <w:tr>
        <w:trPr>
          <w:trHeight w:val="216"/>
        </w:trPr>
        <w:tc>
          <w:tcPr>
            <w:tcW w:w="3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20" w:type="dxa"/>
            <w:vAlign w:val="bottom"/>
            <w:gridSpan w:val="6"/>
          </w:tcPr>
          <w:p>
            <w:pPr>
              <w:jc w:val="center"/>
              <w:ind w:right="10"/>
              <w:spacing w:after="0"/>
              <w:rPr>
                <w:sz w:val="20"/>
                <w:szCs w:val="20"/>
                <w:color w:val="auto"/>
              </w:rPr>
            </w:pPr>
            <w:r>
              <w:rPr>
                <w:rFonts w:ascii="Arial" w:cs="Arial" w:eastAsia="Arial" w:hAnsi="Arial"/>
                <w:sz w:val="18"/>
                <w:szCs w:val="18"/>
                <w:color w:val="auto"/>
                <w:w w:val="90"/>
              </w:rPr>
              <w:t>Three Months Ended</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220"/>
              <w:spacing w:after="0"/>
              <w:rPr>
                <w:sz w:val="20"/>
                <w:szCs w:val="20"/>
                <w:color w:val="auto"/>
              </w:rPr>
            </w:pPr>
            <w:r>
              <w:rPr>
                <w:rFonts w:ascii="Arial" w:cs="Arial" w:eastAsia="Arial" w:hAnsi="Arial"/>
                <w:sz w:val="18"/>
                <w:szCs w:val="18"/>
                <w:color w:val="auto"/>
                <w:w w:val="88"/>
              </w:rPr>
              <w:t>Fiscal Year</w:t>
            </w: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30"/>
        </w:trPr>
        <w:tc>
          <w:tcPr>
            <w:tcW w:w="3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60" w:type="dxa"/>
            <w:vAlign w:val="bottom"/>
            <w:gridSpan w:val="4"/>
          </w:tcPr>
          <w:p>
            <w:pPr>
              <w:jc w:val="center"/>
              <w:ind w:right="20"/>
              <w:spacing w:after="0"/>
              <w:rPr>
                <w:sz w:val="20"/>
                <w:szCs w:val="20"/>
                <w:color w:val="auto"/>
              </w:rPr>
            </w:pPr>
            <w:r>
              <w:rPr>
                <w:rFonts w:ascii="Arial" w:cs="Arial" w:eastAsia="Arial" w:hAnsi="Arial"/>
                <w:sz w:val="18"/>
                <w:szCs w:val="18"/>
                <w:color w:val="auto"/>
                <w:w w:val="88"/>
              </w:rPr>
              <w:t>December 30, 2017</w:t>
            </w: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jc w:val="center"/>
              <w:ind w:right="30"/>
              <w:spacing w:after="0"/>
              <w:rPr>
                <w:sz w:val="20"/>
                <w:szCs w:val="20"/>
                <w:color w:val="auto"/>
              </w:rPr>
            </w:pPr>
            <w:r>
              <w:rPr>
                <w:rFonts w:ascii="Arial" w:cs="Arial" w:eastAsia="Arial" w:hAnsi="Arial"/>
                <w:sz w:val="18"/>
                <w:szCs w:val="18"/>
                <w:color w:val="auto"/>
                <w:w w:val="89"/>
              </w:rPr>
              <w:t>2017</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7"/>
        </w:trPr>
        <w:tc>
          <w:tcPr>
            <w:tcW w:w="32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Borders>
              <w:bottom w:val="single" w:sz="8" w:color="auto"/>
            </w:tcBorders>
            <w:gridSpan w:val="3"/>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22"/>
        </w:trPr>
        <w:tc>
          <w:tcPr>
            <w:tcW w:w="3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w w:val="91"/>
              </w:rPr>
              <w:t>As Previously</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gridSpan w:val="3"/>
          </w:tcPr>
          <w:p>
            <w:pPr>
              <w:jc w:val="center"/>
              <w:ind w:right="140"/>
              <w:spacing w:after="0"/>
              <w:rPr>
                <w:sz w:val="20"/>
                <w:szCs w:val="20"/>
                <w:color w:val="auto"/>
              </w:rPr>
            </w:pPr>
            <w:r>
              <w:rPr>
                <w:rFonts w:ascii="Arial" w:cs="Arial" w:eastAsia="Arial" w:hAnsi="Arial"/>
                <w:sz w:val="18"/>
                <w:szCs w:val="18"/>
                <w:color w:val="auto"/>
                <w:w w:val="93"/>
              </w:rPr>
              <w:t>As Previously</w:t>
            </w: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30"/>
        </w:trPr>
        <w:tc>
          <w:tcPr>
            <w:tcW w:w="3280" w:type="dxa"/>
            <w:vAlign w:val="bottom"/>
          </w:tcPr>
          <w:p>
            <w:pPr>
              <w:ind w:left="20"/>
              <w:spacing w:after="0"/>
              <w:rPr>
                <w:sz w:val="20"/>
                <w:szCs w:val="20"/>
                <w:color w:val="auto"/>
              </w:rPr>
            </w:pPr>
            <w:r>
              <w:rPr>
                <w:rFonts w:ascii="Arial" w:cs="Arial" w:eastAsia="Arial" w:hAnsi="Arial"/>
                <w:sz w:val="18"/>
                <w:szCs w:val="18"/>
                <w:i w:val="1"/>
                <w:iCs w:val="1"/>
                <w:color w:val="auto"/>
              </w:rPr>
              <w:t>In thousands, except earnings per share</w:t>
            </w:r>
          </w:p>
        </w:tc>
        <w:tc>
          <w:tcPr>
            <w:tcW w:w="100" w:type="dxa"/>
            <w:vAlign w:val="bottom"/>
          </w:tcPr>
          <w:p>
            <w:pPr>
              <w:spacing w:after="0"/>
              <w:rPr>
                <w:sz w:val="20"/>
                <w:szCs w:val="20"/>
                <w:color w:val="auto"/>
              </w:rPr>
            </w:pPr>
          </w:p>
        </w:tc>
        <w:tc>
          <w:tcPr>
            <w:tcW w:w="1120" w:type="dxa"/>
            <w:vAlign w:val="bottom"/>
          </w:tcPr>
          <w:p>
            <w:pPr>
              <w:jc w:val="right"/>
              <w:ind w:right="190"/>
              <w:spacing w:after="0"/>
              <w:rPr>
                <w:sz w:val="20"/>
                <w:szCs w:val="20"/>
                <w:color w:val="auto"/>
              </w:rPr>
            </w:pPr>
            <w:r>
              <w:rPr>
                <w:rFonts w:ascii="Arial" w:cs="Arial" w:eastAsia="Arial" w:hAnsi="Arial"/>
                <w:sz w:val="18"/>
                <w:szCs w:val="18"/>
                <w:color w:val="auto"/>
              </w:rPr>
              <w:t>Reported</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8"/>
                <w:szCs w:val="18"/>
                <w:color w:val="auto"/>
                <w:w w:val="92"/>
              </w:rPr>
              <w:t>Adjustments</w:t>
            </w:r>
          </w:p>
        </w:tc>
        <w:tc>
          <w:tcPr>
            <w:tcW w:w="120" w:type="dxa"/>
            <w:vAlign w:val="bottom"/>
          </w:tcPr>
          <w:p>
            <w:pPr>
              <w:spacing w:after="0"/>
              <w:rPr>
                <w:sz w:val="20"/>
                <w:szCs w:val="20"/>
                <w:color w:val="auto"/>
              </w:rPr>
            </w:pPr>
          </w:p>
        </w:tc>
        <w:tc>
          <w:tcPr>
            <w:tcW w:w="1220" w:type="dxa"/>
            <w:vAlign w:val="bottom"/>
            <w:gridSpan w:val="2"/>
          </w:tcPr>
          <w:p>
            <w:pPr>
              <w:spacing w:after="0"/>
              <w:rPr>
                <w:sz w:val="20"/>
                <w:szCs w:val="20"/>
                <w:color w:val="auto"/>
              </w:rPr>
            </w:pPr>
            <w:r>
              <w:rPr>
                <w:rFonts w:ascii="Arial" w:cs="Arial" w:eastAsia="Arial" w:hAnsi="Arial"/>
                <w:sz w:val="18"/>
                <w:szCs w:val="18"/>
                <w:color w:val="auto"/>
              </w:rPr>
              <w:t>As Corrected</w:t>
            </w:r>
          </w:p>
        </w:tc>
        <w:tc>
          <w:tcPr>
            <w:tcW w:w="200" w:type="dxa"/>
            <w:vAlign w:val="bottom"/>
          </w:tcPr>
          <w:p>
            <w:pPr>
              <w:spacing w:after="0"/>
              <w:rPr>
                <w:sz w:val="20"/>
                <w:szCs w:val="20"/>
                <w:color w:val="auto"/>
              </w:rPr>
            </w:pPr>
          </w:p>
        </w:tc>
        <w:tc>
          <w:tcPr>
            <w:tcW w:w="1160" w:type="dxa"/>
            <w:vAlign w:val="bottom"/>
            <w:gridSpan w:val="2"/>
          </w:tcPr>
          <w:p>
            <w:pPr>
              <w:jc w:val="center"/>
              <w:ind w:right="340"/>
              <w:spacing w:after="0"/>
              <w:rPr>
                <w:sz w:val="20"/>
                <w:szCs w:val="20"/>
                <w:color w:val="auto"/>
              </w:rPr>
            </w:pPr>
            <w:r>
              <w:rPr>
                <w:rFonts w:ascii="Arial" w:cs="Arial" w:eastAsia="Arial" w:hAnsi="Arial"/>
                <w:sz w:val="18"/>
                <w:szCs w:val="18"/>
                <w:color w:val="auto"/>
                <w:w w:val="89"/>
              </w:rPr>
              <w:t>Reported</w:t>
            </w:r>
          </w:p>
        </w:tc>
        <w:tc>
          <w:tcPr>
            <w:tcW w:w="120" w:type="dxa"/>
            <w:vAlign w:val="bottom"/>
          </w:tcPr>
          <w:p>
            <w:pPr>
              <w:spacing w:after="0"/>
              <w:rPr>
                <w:sz w:val="20"/>
                <w:szCs w:val="20"/>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8"/>
                <w:szCs w:val="18"/>
                <w:color w:val="auto"/>
                <w:w w:val="90"/>
              </w:rPr>
              <w:t>Adjustments</w:t>
            </w:r>
          </w:p>
        </w:tc>
        <w:tc>
          <w:tcPr>
            <w:tcW w:w="120" w:type="dxa"/>
            <w:vAlign w:val="bottom"/>
          </w:tcPr>
          <w:p>
            <w:pPr>
              <w:spacing w:after="0"/>
              <w:rPr>
                <w:sz w:val="20"/>
                <w:szCs w:val="20"/>
                <w:color w:val="auto"/>
              </w:rPr>
            </w:pPr>
          </w:p>
        </w:tc>
        <w:tc>
          <w:tcPr>
            <w:tcW w:w="1120" w:type="dxa"/>
            <w:vAlign w:val="bottom"/>
          </w:tcPr>
          <w:p>
            <w:pPr>
              <w:jc w:val="right"/>
              <w:ind w:right="50"/>
              <w:spacing w:after="0"/>
              <w:rPr>
                <w:sz w:val="20"/>
                <w:szCs w:val="20"/>
                <w:color w:val="auto"/>
              </w:rPr>
            </w:pPr>
            <w:r>
              <w:rPr>
                <w:rFonts w:ascii="Arial" w:cs="Arial" w:eastAsia="Arial" w:hAnsi="Arial"/>
                <w:sz w:val="18"/>
                <w:szCs w:val="18"/>
                <w:color w:val="auto"/>
                <w:w w:val="91"/>
              </w:rPr>
              <w:t>As Corrected</w:t>
            </w:r>
          </w:p>
        </w:tc>
      </w:tr>
      <w:tr>
        <w:trPr>
          <w:trHeight w:val="27"/>
        </w:trPr>
        <w:tc>
          <w:tcPr>
            <w:tcW w:w="32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3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28,700</w:t>
            </w:r>
          </w:p>
        </w:tc>
        <w:tc>
          <w:tcPr>
            <w:tcW w:w="28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(1,359)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27,341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45,820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(2,682)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43,138</w:t>
            </w:r>
          </w:p>
        </w:tc>
      </w:tr>
      <w:tr>
        <w:trPr>
          <w:trHeight w:val="243"/>
        </w:trPr>
        <w:tc>
          <w:tcPr>
            <w:tcW w:w="3280" w:type="dxa"/>
            <w:vAlign w:val="bottom"/>
          </w:tcPr>
          <w:p>
            <w:pPr>
              <w:ind w:left="20"/>
              <w:spacing w:after="0"/>
              <w:rPr>
                <w:sz w:val="20"/>
                <w:szCs w:val="20"/>
                <w:color w:val="auto"/>
              </w:rPr>
            </w:pPr>
            <w:r>
              <w:rPr>
                <w:rFonts w:ascii="Arial" w:cs="Arial" w:eastAsia="Arial" w:hAnsi="Arial"/>
                <w:sz w:val="18"/>
                <w:szCs w:val="18"/>
                <w:color w:val="auto"/>
              </w:rPr>
              <w:t>Income tax benefit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(47,914)</w:t>
            </w:r>
          </w:p>
        </w:tc>
        <w:tc>
          <w:tcPr>
            <w:tcW w:w="28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571</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(47,343)</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(38,647)</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(263)</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(38,910)</w:t>
            </w:r>
          </w:p>
        </w:tc>
      </w:tr>
      <w:tr>
        <w:trPr>
          <w:trHeight w:val="27"/>
        </w:trPr>
        <w:tc>
          <w:tcPr>
            <w:tcW w:w="3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3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16,711</w:t>
            </w:r>
          </w:p>
        </w:tc>
        <w:tc>
          <w:tcPr>
            <w:tcW w:w="28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16,953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61,115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859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61,974</w:t>
            </w:r>
          </w:p>
        </w:tc>
      </w:tr>
      <w:tr>
        <w:trPr>
          <w:trHeight w:val="243"/>
        </w:trPr>
        <w:tc>
          <w:tcPr>
            <w:tcW w:w="3280" w:type="dxa"/>
            <w:vAlign w:val="bottom"/>
          </w:tcPr>
          <w:p>
            <w:pPr>
              <w:ind w:left="260"/>
              <w:spacing w:after="0"/>
              <w:rPr>
                <w:sz w:val="20"/>
                <w:szCs w:val="20"/>
                <w:color w:val="auto"/>
              </w:rPr>
            </w:pPr>
            <w:r>
              <w:rPr>
                <w:rFonts w:ascii="Arial" w:cs="Arial" w:eastAsia="Arial" w:hAnsi="Arial"/>
                <w:sz w:val="18"/>
                <w:szCs w:val="18"/>
                <w:color w:val="auto"/>
              </w:rPr>
              <w:t>EBITDA</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12,068</w:t>
            </w:r>
          </w:p>
        </w:tc>
        <w:tc>
          <w:tcPr>
            <w:tcW w:w="28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(546)</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11,522</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123,824</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(2,086)</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121,738</w:t>
            </w:r>
          </w:p>
        </w:tc>
      </w:tr>
      <w:tr>
        <w:trPr>
          <w:trHeight w:val="27"/>
        </w:trPr>
        <w:tc>
          <w:tcPr>
            <w:tcW w:w="3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324"/>
        </w:trPr>
        <w:tc>
          <w:tcPr>
            <w:tcW w:w="32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r>
      <w:tr>
        <w:trPr>
          <w:trHeight w:val="243"/>
        </w:trPr>
        <w:tc>
          <w:tcPr>
            <w:tcW w:w="3280" w:type="dxa"/>
            <w:vAlign w:val="bottom"/>
          </w:tcPr>
          <w:p>
            <w:pPr>
              <w:ind w:left="20"/>
              <w:spacing w:after="0"/>
              <w:rPr>
                <w:sz w:val="20"/>
                <w:szCs w:val="20"/>
                <w:color w:val="auto"/>
              </w:rPr>
            </w:pPr>
            <w:r>
              <w:rPr>
                <w:rFonts w:ascii="Arial" w:cs="Arial" w:eastAsia="Arial" w:hAnsi="Arial"/>
                <w:sz w:val="18"/>
                <w:szCs w:val="18"/>
                <w:color w:val="auto"/>
              </w:rPr>
              <w:t>Non-cash rent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77</w:t>
            </w:r>
          </w:p>
        </w:tc>
        <w:tc>
          <w:tcPr>
            <w:tcW w:w="28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212</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289</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1,112</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807</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1,919</w:t>
            </w:r>
          </w:p>
        </w:tc>
      </w:tr>
      <w:tr>
        <w:trPr>
          <w:trHeight w:val="27"/>
        </w:trPr>
        <w:tc>
          <w:tcPr>
            <w:tcW w:w="3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25"/>
        </w:trPr>
        <w:tc>
          <w:tcPr>
            <w:tcW w:w="3280" w:type="dxa"/>
            <w:vAlign w:val="bottom"/>
            <w:shd w:val="clear" w:color="auto" w:fill="CCEEFF"/>
          </w:tcPr>
          <w:p>
            <w:pPr>
              <w:ind w:left="260"/>
              <w:spacing w:after="0"/>
              <w:rPr>
                <w:sz w:val="20"/>
                <w:szCs w:val="20"/>
                <w:color w:val="auto"/>
              </w:rPr>
            </w:pPr>
            <w:r>
              <w:rPr>
                <w:rFonts w:ascii="Arial" w:cs="Arial" w:eastAsia="Arial" w:hAnsi="Arial"/>
                <w:sz w:val="18"/>
                <w:szCs w:val="18"/>
                <w:b w:val="1"/>
                <w:bCs w:val="1"/>
                <w:color w:val="auto"/>
                <w:w w:val="98"/>
              </w:rPr>
              <w:t>Adjusted EBITDA/Adjusted EBITDA</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41"/>
        </w:trPr>
        <w:tc>
          <w:tcPr>
            <w:tcW w:w="32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b w:val="1"/>
                <w:bCs w:val="1"/>
                <w:color w:val="auto"/>
              </w:rPr>
              <w:t>Margin</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25,035</w:t>
            </w:r>
          </w:p>
        </w:tc>
        <w:tc>
          <w:tcPr>
            <w:tcW w:w="28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(334)</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24,701</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159,721</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(1,279)</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158,442</w:t>
            </w:r>
          </w:p>
        </w:tc>
      </w:tr>
      <w:tr>
        <w:trPr>
          <w:trHeight w:val="324"/>
        </w:trPr>
        <w:tc>
          <w:tcPr>
            <w:tcW w:w="3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50"/>
        </w:trPr>
        <w:tc>
          <w:tcPr>
            <w:tcW w:w="3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28,700</w:t>
            </w:r>
          </w:p>
        </w:tc>
        <w:tc>
          <w:tcPr>
            <w:tcW w:w="28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(1,359)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27,341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45,820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(2,682)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43,138</w:t>
            </w:r>
          </w:p>
        </w:tc>
      </w:tr>
      <w:tr>
        <w:trPr>
          <w:trHeight w:val="243"/>
        </w:trPr>
        <w:tc>
          <w:tcPr>
            <w:tcW w:w="3280" w:type="dxa"/>
            <w:vAlign w:val="bottom"/>
          </w:tcPr>
          <w:p>
            <w:pPr>
              <w:ind w:left="20"/>
              <w:spacing w:after="0"/>
              <w:rPr>
                <w:sz w:val="20"/>
                <w:szCs w:val="20"/>
                <w:color w:val="auto"/>
              </w:rPr>
            </w:pPr>
            <w:r>
              <w:rPr>
                <w:rFonts w:ascii="Arial" w:cs="Arial" w:eastAsia="Arial" w:hAnsi="Arial"/>
                <w:sz w:val="18"/>
                <w:szCs w:val="18"/>
                <w:color w:val="auto"/>
              </w:rPr>
              <w:t>Non-cash rent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77</w:t>
            </w:r>
          </w:p>
        </w:tc>
        <w:tc>
          <w:tcPr>
            <w:tcW w:w="28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212</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289</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1,112</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807</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1,919</w:t>
            </w:r>
          </w:p>
        </w:tc>
      </w:tr>
      <w:tr>
        <w:trPr>
          <w:trHeight w:val="27"/>
        </w:trPr>
        <w:tc>
          <w:tcPr>
            <w:tcW w:w="3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3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Tax legislation adjustment</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(42,965)</w:t>
            </w:r>
          </w:p>
        </w:tc>
        <w:tc>
          <w:tcPr>
            <w:tcW w:w="28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876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(42,089)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(42,965)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876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(42,089)</w:t>
            </w:r>
          </w:p>
        </w:tc>
      </w:tr>
      <w:tr>
        <w:trPr>
          <w:trHeight w:val="243"/>
        </w:trPr>
        <w:tc>
          <w:tcPr>
            <w:tcW w:w="3280" w:type="dxa"/>
            <w:vAlign w:val="bottom"/>
          </w:tcPr>
          <w:p>
            <w:pPr>
              <w:ind w:left="20"/>
              <w:spacing w:after="0"/>
              <w:rPr>
                <w:sz w:val="20"/>
                <w:szCs w:val="20"/>
                <w:color w:val="auto"/>
              </w:rPr>
            </w:pPr>
            <w:r>
              <w:rPr>
                <w:rFonts w:ascii="Arial" w:cs="Arial" w:eastAsia="Arial" w:hAnsi="Arial"/>
                <w:sz w:val="18"/>
                <w:szCs w:val="18"/>
                <w:color w:val="auto"/>
              </w:rPr>
              <w:t>Tax effect of total adjustments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(7,529)</w:t>
            </w:r>
          </w:p>
        </w:tc>
        <w:tc>
          <w:tcPr>
            <w:tcW w:w="28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(84)</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(7,613)</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(20,152)</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(323)</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(20,475)</w:t>
            </w:r>
          </w:p>
        </w:tc>
      </w:tr>
      <w:tr>
        <w:trPr>
          <w:trHeight w:val="27"/>
        </w:trPr>
        <w:tc>
          <w:tcPr>
            <w:tcW w:w="3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32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b w:val="1"/>
                <w:bCs w:val="1"/>
                <w:color w:val="auto"/>
              </w:rPr>
              <w:t>Adjusted Net Income (Loss)</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(2,974)</w:t>
            </w:r>
          </w:p>
        </w:tc>
        <w:tc>
          <w:tcPr>
            <w:tcW w:w="28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(3,329)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33,081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(1,322)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31,759</w:t>
            </w:r>
          </w:p>
        </w:tc>
      </w:tr>
      <w:tr>
        <w:trPr>
          <w:trHeight w:val="270"/>
        </w:trPr>
        <w:tc>
          <w:tcPr>
            <w:tcW w:w="32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20" w:type="dxa"/>
            <w:vAlign w:val="bottom"/>
          </w:tcPr>
          <w:p>
            <w:pPr>
              <w:spacing w:after="0"/>
              <w:rPr>
                <w:sz w:val="23"/>
                <w:szCs w:val="23"/>
                <w:color w:val="auto"/>
              </w:rPr>
            </w:pPr>
          </w:p>
        </w:tc>
      </w:tr>
      <w:tr>
        <w:trPr>
          <w:trHeight w:val="250"/>
        </w:trPr>
        <w:tc>
          <w:tcPr>
            <w:tcW w:w="3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Diluted EPS</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0.39</w:t>
            </w:r>
          </w:p>
        </w:tc>
        <w:tc>
          <w:tcPr>
            <w:tcW w:w="28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0.37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0.74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0.70</w:t>
            </w:r>
          </w:p>
        </w:tc>
      </w:tr>
      <w:tr>
        <w:trPr>
          <w:trHeight w:val="243"/>
        </w:trPr>
        <w:tc>
          <w:tcPr>
            <w:tcW w:w="3280" w:type="dxa"/>
            <w:vAlign w:val="bottom"/>
          </w:tcPr>
          <w:p>
            <w:pPr>
              <w:ind w:left="20"/>
              <w:spacing w:after="0"/>
              <w:rPr>
                <w:sz w:val="20"/>
                <w:szCs w:val="20"/>
                <w:color w:val="auto"/>
              </w:rPr>
            </w:pPr>
            <w:r>
              <w:rPr>
                <w:rFonts w:ascii="Arial" w:cs="Arial" w:eastAsia="Arial" w:hAnsi="Arial"/>
                <w:sz w:val="18"/>
                <w:szCs w:val="18"/>
                <w:color w:val="auto"/>
              </w:rPr>
              <w:t>Non-cash rent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0.00</w:t>
            </w:r>
          </w:p>
        </w:tc>
        <w:tc>
          <w:tcPr>
            <w:tcW w:w="28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0.00</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0.00</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0.02</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0.01</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0.03</w:t>
            </w:r>
          </w:p>
        </w:tc>
      </w:tr>
      <w:tr>
        <w:trPr>
          <w:trHeight w:val="27"/>
        </w:trPr>
        <w:tc>
          <w:tcPr>
            <w:tcW w:w="3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3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Tax legislation adjustment</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(0.59)</w:t>
            </w:r>
          </w:p>
        </w:tc>
        <w:tc>
          <w:tcPr>
            <w:tcW w:w="28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0.02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(0.69)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0.01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(0.68)</w:t>
            </w:r>
          </w:p>
        </w:tc>
      </w:tr>
      <w:tr>
        <w:trPr>
          <w:trHeight w:val="243"/>
        </w:trPr>
        <w:tc>
          <w:tcPr>
            <w:tcW w:w="3280" w:type="dxa"/>
            <w:vAlign w:val="bottom"/>
          </w:tcPr>
          <w:p>
            <w:pPr>
              <w:ind w:left="20"/>
              <w:spacing w:after="0"/>
              <w:rPr>
                <w:sz w:val="20"/>
                <w:szCs w:val="20"/>
                <w:color w:val="auto"/>
              </w:rPr>
            </w:pPr>
            <w:r>
              <w:rPr>
                <w:rFonts w:ascii="Arial" w:cs="Arial" w:eastAsia="Arial" w:hAnsi="Arial"/>
                <w:sz w:val="18"/>
                <w:szCs w:val="18"/>
                <w:color w:val="auto"/>
              </w:rPr>
              <w:t>Tax effect of total adjustments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(0.10)</w:t>
            </w:r>
          </w:p>
        </w:tc>
        <w:tc>
          <w:tcPr>
            <w:tcW w:w="28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0.00</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(0.10)</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(0.32)</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(0.01)</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(0.33)</w:t>
            </w:r>
          </w:p>
        </w:tc>
      </w:tr>
      <w:tr>
        <w:trPr>
          <w:trHeight w:val="27"/>
        </w:trPr>
        <w:tc>
          <w:tcPr>
            <w:tcW w:w="3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43"/>
        </w:trPr>
        <w:tc>
          <w:tcPr>
            <w:tcW w:w="3280" w:type="dxa"/>
            <w:vAlign w:val="bottom"/>
            <w:shd w:val="clear" w:color="auto" w:fill="CCEEFF"/>
          </w:tcPr>
          <w:p>
            <w:pPr>
              <w:ind w:left="260"/>
              <w:spacing w:after="0"/>
              <w:rPr>
                <w:sz w:val="20"/>
                <w:szCs w:val="20"/>
                <w:color w:val="auto"/>
              </w:rPr>
            </w:pPr>
            <w:r>
              <w:rPr>
                <w:rFonts w:ascii="Arial" w:cs="Arial" w:eastAsia="Arial" w:hAnsi="Arial"/>
                <w:sz w:val="18"/>
                <w:szCs w:val="18"/>
                <w:b w:val="1"/>
                <w:bCs w:val="1"/>
                <w:color w:val="auto"/>
              </w:rPr>
              <w:t>Adjusted Diluted EPS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(0.04)</w:t>
            </w:r>
          </w:p>
        </w:tc>
        <w:tc>
          <w:tcPr>
            <w:tcW w:w="2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(0.05)</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0.53</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0.51</w:t>
            </w:r>
          </w:p>
        </w:tc>
      </w:tr>
      <w:tr>
        <w:trPr>
          <w:trHeight w:val="27"/>
        </w:trPr>
        <w:tc>
          <w:tcPr>
            <w:tcW w:w="32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r>
    </w:tbl>
    <w:p>
      <w:pPr>
        <w:sectPr>
          <w:pgSz w:w="11900" w:h="16838" w:orient="portrait"/>
          <w:cols w:equalWidth="0" w:num="1">
            <w:col w:w="11420"/>
          </w:cols>
          <w:pgMar w:left="240" w:top="580" w:right="2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t>Investors:</w:t>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color w:val="auto"/>
        </w:rPr>
        <w:t>National Vision Holdings, Inc.</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David Mann, CFA, Vice President of Investor Relations</w:t>
      </w:r>
    </w:p>
    <w:p>
      <w:pPr>
        <w:spacing w:after="0" w:line="32" w:lineRule="exact"/>
        <w:rPr>
          <w:sz w:val="20"/>
          <w:szCs w:val="20"/>
          <w:color w:val="auto"/>
        </w:rPr>
      </w:pPr>
    </w:p>
    <w:p>
      <w:pPr>
        <w:ind w:right="7439" w:firstLine="8"/>
        <w:spacing w:after="0" w:line="323" w:lineRule="auto"/>
        <w:tabs>
          <w:tab w:leader="none" w:pos="435" w:val="left"/>
        </w:tabs>
        <w:numPr>
          <w:ilvl w:val="0"/>
          <w:numId w:val="15"/>
        </w:numPr>
        <w:rPr>
          <w:rFonts w:ascii="Arial" w:cs="Arial" w:eastAsia="Arial" w:hAnsi="Arial"/>
          <w:sz w:val="16"/>
          <w:szCs w:val="16"/>
          <w:color w:val="auto"/>
        </w:rPr>
      </w:pPr>
      <w:r>
        <w:rPr>
          <w:rFonts w:ascii="Arial" w:cs="Arial" w:eastAsia="Arial" w:hAnsi="Arial"/>
          <w:sz w:val="16"/>
          <w:szCs w:val="16"/>
          <w:color w:val="auto"/>
        </w:rPr>
        <w:t>448-2448 investor.relations@nationalvision.com</w:t>
      </w: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w:t>
      </w:r>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National Vision Holdings,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Kristina Gross, Director of Communications</w:t>
      </w:r>
    </w:p>
    <w:p>
      <w:pPr>
        <w:spacing w:after="0" w:line="9" w:lineRule="exact"/>
        <w:rPr>
          <w:sz w:val="20"/>
          <w:szCs w:val="20"/>
          <w:color w:val="auto"/>
        </w:rPr>
      </w:pPr>
    </w:p>
    <w:p>
      <w:pPr>
        <w:ind w:right="8239" w:firstLine="8"/>
        <w:spacing w:after="0" w:line="323" w:lineRule="auto"/>
        <w:tabs>
          <w:tab w:leader="none" w:pos="435" w:val="left"/>
        </w:tabs>
        <w:numPr>
          <w:ilvl w:val="0"/>
          <w:numId w:val="16"/>
        </w:numPr>
        <w:rPr>
          <w:rFonts w:ascii="Arial" w:cs="Arial" w:eastAsia="Arial" w:hAnsi="Arial"/>
          <w:sz w:val="16"/>
          <w:szCs w:val="16"/>
          <w:color w:val="auto"/>
        </w:rPr>
      </w:pPr>
      <w:r>
        <w:rPr>
          <w:rFonts w:ascii="Arial" w:cs="Arial" w:eastAsia="Arial" w:hAnsi="Arial"/>
          <w:sz w:val="16"/>
          <w:szCs w:val="16"/>
          <w:color w:val="auto"/>
        </w:rPr>
        <w:t>448-2355 media@nationalvision.com</w:t>
      </w:r>
    </w:p>
    <w:sectPr>
      <w:pgSz w:w="11900" w:h="16838" w:orient="portrait"/>
      <w:cols w:equalWidth="0" w:num="1">
        <w:col w:w="10219"/>
      </w:cols>
      <w:pgMar w:left="240" w:top="66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5F007C"/>
    <w:multiLevelType w:val="hybridMultilevel"/>
    <w:lvl w:ilvl="0">
      <w:lvlJc w:val="left"/>
      <w:lvlText w:val="☐"/>
      <w:numFmt w:val="bullet"/>
      <w:start w:val="1"/>
    </w:lvl>
  </w:abstractNum>
  <w:abstractNum w:abstractNumId="1">
    <w:nsid w:val="5BD062C2"/>
    <w:multiLevelType w:val="hybridMultilevel"/>
    <w:lvl w:ilvl="0">
      <w:lvlJc w:val="left"/>
      <w:lvlText w:val="(%1)"/>
      <w:numFmt w:val="lowerLetter"/>
      <w:start w:val="4"/>
    </w:lvl>
  </w:abstractNum>
  <w:abstractNum w:abstractNumId="2">
    <w:nsid w:val="12200854"/>
    <w:multiLevelType w:val="hybridMultilevel"/>
    <w:lvl w:ilvl="0">
      <w:lvlJc w:val="left"/>
      <w:lvlText w:val="•"/>
      <w:numFmt w:val="bullet"/>
      <w:start w:val="1"/>
    </w:lvl>
  </w:abstractNum>
  <w:abstractNum w:abstractNumId="3">
    <w:nsid w:val="4DB127F8"/>
    <w:multiLevelType w:val="hybridMultilevel"/>
    <w:lvl w:ilvl="0">
      <w:lvlJc w:val="left"/>
      <w:lvlText w:val="•"/>
      <w:numFmt w:val="bullet"/>
      <w:start w:val="1"/>
    </w:lvl>
  </w:abstractNum>
  <w:abstractNum w:abstractNumId="4">
    <w:nsid w:val="216231B"/>
    <w:multiLevelType w:val="hybridMultilevel"/>
    <w:lvl w:ilvl="0">
      <w:lvlJc w:val="left"/>
      <w:lvlText w:val="•"/>
      <w:numFmt w:val="bullet"/>
      <w:start w:val="1"/>
    </w:lvl>
  </w:abstractNum>
  <w:abstractNum w:abstractNumId="5">
    <w:nsid w:val="1F16E9E8"/>
    <w:multiLevelType w:val="hybridMultilevel"/>
    <w:lvl w:ilvl="0">
      <w:lvlJc w:val="left"/>
      <w:lvlText w:val="•"/>
      <w:numFmt w:val="bullet"/>
      <w:start w:val="1"/>
    </w:lvl>
  </w:abstractNum>
  <w:abstractNum w:abstractNumId="6">
    <w:nsid w:val="1190CDE7"/>
    <w:multiLevelType w:val="hybridMultilevel"/>
    <w:lvl w:ilvl="0">
      <w:lvlJc w:val="left"/>
      <w:lvlText w:val="•"/>
      <w:numFmt w:val="bullet"/>
      <w:start w:val="1"/>
    </w:lvl>
  </w:abstractNum>
  <w:abstractNum w:abstractNumId="7">
    <w:nsid w:val="66EF438D"/>
    <w:multiLevelType w:val="hybridMultilevel"/>
    <w:lvl w:ilvl="0">
      <w:lvlJc w:val="left"/>
      <w:lvlText w:val="•"/>
      <w:numFmt w:val="bullet"/>
      <w:start w:val="1"/>
    </w:lvl>
  </w:abstractNum>
  <w:abstractNum w:abstractNumId="8">
    <w:nsid w:val="140E0F76"/>
    <w:multiLevelType w:val="hybridMultilevel"/>
    <w:lvl w:ilvl="0">
      <w:lvlJc w:val="left"/>
      <w:lvlText w:val="•"/>
      <w:numFmt w:val="bullet"/>
      <w:start w:val="1"/>
    </w:lvl>
  </w:abstractNum>
  <w:abstractNum w:abstractNumId="9">
    <w:nsid w:val="3352255A"/>
    <w:multiLevelType w:val="hybridMultilevel"/>
    <w:lvl w:ilvl="0">
      <w:lvlJc w:val="left"/>
      <w:lvlText w:val="(%1)"/>
      <w:numFmt w:val="decimal"/>
      <w:start w:val="1"/>
    </w:lvl>
  </w:abstractNum>
  <w:abstractNum w:abstractNumId="10">
    <w:nsid w:val="109CF92E"/>
    <w:multiLevelType w:val="hybridMultilevel"/>
    <w:lvl w:ilvl="0">
      <w:lvlJc w:val="left"/>
      <w:lvlText w:val="(%1)"/>
      <w:numFmt w:val="lowerLetter"/>
      <w:start w:val="1"/>
    </w:lvl>
  </w:abstractNum>
  <w:abstractNum w:abstractNumId="11">
    <w:nsid w:val="DED7263"/>
    <w:multiLevelType w:val="hybridMultilevel"/>
    <w:lvl w:ilvl="0">
      <w:lvlJc w:val="left"/>
      <w:lvlText w:val="(%1)"/>
      <w:numFmt w:val="lowerLetter"/>
      <w:start w:val="1"/>
    </w:lvl>
    <w:lvl w:ilvl="1">
      <w:lvlJc w:val="left"/>
      <w:lvlText w:val="(%2)"/>
      <w:numFmt w:val="lowerLetter"/>
      <w:start w:val="61"/>
    </w:lvl>
  </w:abstractNum>
  <w:abstractNum w:abstractNumId="12">
    <w:nsid w:val="7FDCC233"/>
    <w:multiLevelType w:val="hybridMultilevel"/>
    <w:lvl w:ilvl="0">
      <w:lvlJc w:val="left"/>
      <w:lvlText w:val="%1"/>
      <w:numFmt w:val="lowerLetter"/>
      <w:start w:val="1"/>
    </w:lvl>
    <w:lvl w:ilvl="1">
      <w:lvlJc w:val="left"/>
      <w:lvlText w:val="(%2)"/>
      <w:numFmt w:val="lowerLetter"/>
      <w:start w:val="2"/>
    </w:lvl>
  </w:abstractNum>
  <w:abstractNum w:abstractNumId="13">
    <w:nsid w:val="1BEFD79F"/>
    <w:multiLevelType w:val="hybridMultilevel"/>
    <w:lvl w:ilvl="0">
      <w:lvlJc w:val="left"/>
      <w:lvlText w:val="(%1)"/>
      <w:numFmt w:val="lowerLetter"/>
      <w:start w:val="2"/>
    </w:lvl>
    <w:lvl w:ilvl="1">
      <w:lvlJc w:val="left"/>
      <w:lvlText w:val="%2"/>
      <w:numFmt w:val="lowerLetter"/>
      <w:start w:val="1"/>
    </w:lvl>
  </w:abstractNum>
  <w:abstractNum w:abstractNumId="14">
    <w:nsid w:val="41A7C4C9"/>
    <w:multiLevelType w:val="hybridMultilevel"/>
    <w:lvl w:ilvl="0">
      <w:lvlJc w:val="left"/>
      <w:lvlText w:val="(%1)"/>
      <w:numFmt w:val="decimal"/>
      <w:start w:val="470"/>
    </w:lvl>
  </w:abstractNum>
  <w:abstractNum w:abstractNumId="15">
    <w:nsid w:val="6B68079A"/>
    <w:multiLevelType w:val="hybridMultilevel"/>
    <w:lvl w:ilvl="0">
      <w:lvlJc w:val="left"/>
      <w:lvlText w:val="(%1)"/>
      <w:numFmt w:val="decimal"/>
      <w:start w:val="470"/>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2019-12-28T15:24:14Z</dcterms:created>
  <dcterms:modified xsi:type="dcterms:W3CDTF">2019-12-28T15:24:14Z</dcterms:modified>
</cp:coreProperties>
</file>