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Brandman Jared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SVP, GC and Secretary</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11/18/2022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2,744</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21,441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20,615</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11/18/2022</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2,744</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10,856</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2022, 2,744 restricted stock units vested and 826 shares of the Company's common stock were withheld to satisfy tax withholding obligations. The closing price on November 18, 2022 of the Company's common stock on NASDAQ was $40.02 per share.</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2019, the reporting person was granted 10,977 restricted stock units, which will vest in three installments, with 5,488 shares vesting on the second anniversary of the grant date, 2,744 shares vesting on the third anniversary of the grant date and 2,745 shares vesting on the fourth anniversary of the grant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Jared Brandman</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11/22/2022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2022-11-22T16:27:36Z</dcterms:created>
  <dcterms:modified xsi:type="dcterms:W3CDTF">2022-11-22T16:27:36Z</dcterms:modified>
</cp:coreProperties>
</file>