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0034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3415"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662940</wp:posOffset>
            </wp:positionV>
            <wp:extent cx="700341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3415" cy="26035"/>
                    </a:xfrm>
                    <a:prstGeom prst="rect">
                      <a:avLst/>
                    </a:prstGeom>
                    <a:noFill/>
                  </pic:spPr>
                </pic:pic>
              </a:graphicData>
            </a:graphic>
          </wp:anchor>
        </w:drawing>
        <w:t>UNITED STATES</w:t>
      </w:r>
    </w:p>
    <w:p>
      <w:pPr>
        <w:spacing w:after="0" w:line="2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350"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6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102"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32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9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8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w:t>
      </w:r>
    </w:p>
    <w:p>
      <w:pPr>
        <w:spacing w:after="0" w:line="10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November 10, 2022</w:t>
      </w:r>
    </w:p>
    <w:p>
      <w:pPr>
        <w:spacing w:after="0" w:line="100"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6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National Vision Holdings, Inc.</w:t>
      </w:r>
    </w:p>
    <w:p>
      <w:pPr>
        <w:spacing w:after="0" w:line="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86"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319" w:lineRule="exact"/>
        <w:rPr>
          <w:sz w:val="24"/>
          <w:szCs w:val="24"/>
          <w:color w:val="auto"/>
        </w:rPr>
      </w:pPr>
    </w:p>
    <w:tbl>
      <w:tblPr>
        <w:tblLayout w:type="fixed"/>
        <w:tblInd w:w="1880" w:type="dxa"/>
        <w:tblCellMar>
          <w:top w:w="0" w:type="dxa"/>
          <w:left w:w="0" w:type="dxa"/>
          <w:bottom w:w="0" w:type="dxa"/>
          <w:right w:w="0" w:type="dxa"/>
        </w:tblCellMar>
      </w:tblPr>
      <w:tr>
        <w:trPr>
          <w:trHeight w:val="212"/>
        </w:trPr>
        <w:tc>
          <w:tcPr>
            <w:tcW w:w="5520" w:type="dxa"/>
            <w:vAlign w:val="bottom"/>
          </w:tcPr>
          <w:p>
            <w:pPr>
              <w:jc w:val="center"/>
              <w:ind w:left="1879"/>
              <w:spacing w:after="0"/>
              <w:rPr>
                <w:sz w:val="20"/>
                <w:szCs w:val="20"/>
                <w:color w:val="auto"/>
              </w:rPr>
            </w:pPr>
            <w:r>
              <w:rPr>
                <w:rFonts w:ascii="Times New Roman" w:cs="Times New Roman" w:eastAsia="Times New Roman" w:hAnsi="Times New Roman"/>
                <w:sz w:val="16"/>
                <w:szCs w:val="16"/>
                <w:b w:val="1"/>
                <w:bCs w:val="1"/>
                <w:color w:val="auto"/>
              </w:rPr>
              <w:t>Commission file number 001-38257</w:t>
            </w:r>
          </w:p>
        </w:tc>
        <w:tc>
          <w:tcPr>
            <w:tcW w:w="1260" w:type="dxa"/>
            <w:vAlign w:val="bottom"/>
          </w:tcPr>
          <w:p>
            <w:pPr>
              <w:spacing w:after="0"/>
              <w:rPr>
                <w:sz w:val="18"/>
                <w:szCs w:val="18"/>
                <w:color w:val="auto"/>
              </w:rPr>
            </w:pPr>
          </w:p>
        </w:tc>
      </w:tr>
      <w:tr>
        <w:trPr>
          <w:trHeight w:val="324"/>
        </w:trPr>
        <w:tc>
          <w:tcPr>
            <w:tcW w:w="5520" w:type="dxa"/>
            <w:vAlign w:val="bottom"/>
          </w:tcPr>
          <w:p>
            <w:pPr>
              <w:jc w:val="center"/>
              <w:ind w:right="285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46-4841717</w:t>
            </w:r>
          </w:p>
        </w:tc>
      </w:tr>
      <w:tr>
        <w:trPr>
          <w:trHeight w:val="208"/>
        </w:trPr>
        <w:tc>
          <w:tcPr>
            <w:tcW w:w="5520" w:type="dxa"/>
            <w:vAlign w:val="bottom"/>
          </w:tcPr>
          <w:p>
            <w:pPr>
              <w:jc w:val="center"/>
              <w:ind w:right="283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5520" w:type="dxa"/>
            <w:vAlign w:val="bottom"/>
          </w:tcPr>
          <w:p>
            <w:pPr>
              <w:jc w:val="center"/>
              <w:ind w:right="285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270"/>
        </w:trPr>
        <w:tc>
          <w:tcPr>
            <w:tcW w:w="5520" w:type="dxa"/>
            <w:vAlign w:val="bottom"/>
          </w:tcPr>
          <w:p>
            <w:pPr>
              <w:jc w:val="center"/>
              <w:ind w:right="2859"/>
              <w:spacing w:after="0"/>
              <w:rPr>
                <w:sz w:val="20"/>
                <w:szCs w:val="20"/>
                <w:color w:val="auto"/>
              </w:rPr>
            </w:pPr>
            <w:r>
              <w:rPr>
                <w:rFonts w:ascii="Times New Roman" w:cs="Times New Roman" w:eastAsia="Times New Roman" w:hAnsi="Times New Roman"/>
                <w:sz w:val="16"/>
                <w:szCs w:val="16"/>
                <w:b w:val="1"/>
                <w:bCs w:val="1"/>
                <w:color w:val="auto"/>
              </w:rPr>
              <w:t>2435 Commerce Ave.</w:t>
            </w:r>
          </w:p>
        </w:tc>
        <w:tc>
          <w:tcPr>
            <w:tcW w:w="1260" w:type="dxa"/>
            <w:vAlign w:val="bottom"/>
          </w:tcPr>
          <w:p>
            <w:pPr>
              <w:spacing w:after="0"/>
              <w:rPr>
                <w:sz w:val="23"/>
                <w:szCs w:val="23"/>
                <w:color w:val="auto"/>
              </w:rPr>
            </w:pPr>
          </w:p>
        </w:tc>
      </w:tr>
      <w:tr>
        <w:trPr>
          <w:trHeight w:val="216"/>
        </w:trPr>
        <w:tc>
          <w:tcPr>
            <w:tcW w:w="5520" w:type="dxa"/>
            <w:vAlign w:val="bottom"/>
          </w:tcPr>
          <w:p>
            <w:pPr>
              <w:jc w:val="center"/>
              <w:ind w:right="2839"/>
              <w:spacing w:after="0"/>
              <w:rPr>
                <w:sz w:val="20"/>
                <w:szCs w:val="20"/>
                <w:color w:val="auto"/>
              </w:rPr>
            </w:pPr>
            <w:r>
              <w:rPr>
                <w:rFonts w:ascii="Times New Roman" w:cs="Times New Roman" w:eastAsia="Times New Roman" w:hAnsi="Times New Roman"/>
                <w:sz w:val="16"/>
                <w:szCs w:val="16"/>
                <w:b w:val="1"/>
                <w:bCs w:val="1"/>
                <w:color w:val="auto"/>
              </w:rPr>
              <w:t>Building 2200</w:t>
            </w:r>
          </w:p>
        </w:tc>
        <w:tc>
          <w:tcPr>
            <w:tcW w:w="126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30096</w:t>
            </w:r>
          </w:p>
        </w:tc>
      </w:tr>
      <w:tr>
        <w:trPr>
          <w:trHeight w:val="216"/>
        </w:trPr>
        <w:tc>
          <w:tcPr>
            <w:tcW w:w="5520" w:type="dxa"/>
            <w:vAlign w:val="bottom"/>
          </w:tcPr>
          <w:p>
            <w:pPr>
              <w:jc w:val="center"/>
              <w:ind w:right="2839"/>
              <w:spacing w:after="0"/>
              <w:rPr>
                <w:sz w:val="20"/>
                <w:szCs w:val="20"/>
                <w:color w:val="auto"/>
              </w:rPr>
            </w:pPr>
            <w:r>
              <w:rPr>
                <w:rFonts w:ascii="Times New Roman" w:cs="Times New Roman" w:eastAsia="Times New Roman" w:hAnsi="Times New Roman"/>
                <w:sz w:val="16"/>
                <w:szCs w:val="16"/>
                <w:b w:val="1"/>
                <w:bCs w:val="1"/>
                <w:color w:val="auto"/>
              </w:rPr>
              <w:t>Duluth, Georgia</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(Zip Code)</w:t>
            </w:r>
          </w:p>
        </w:tc>
      </w:tr>
      <w:tr>
        <w:trPr>
          <w:trHeight w:val="216"/>
        </w:trPr>
        <w:tc>
          <w:tcPr>
            <w:tcW w:w="5520" w:type="dxa"/>
            <w:vAlign w:val="bottom"/>
          </w:tcPr>
          <w:p>
            <w:pPr>
              <w:jc w:val="center"/>
              <w:ind w:right="285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1260" w:type="dxa"/>
            <w:vAlign w:val="bottom"/>
          </w:tcPr>
          <w:p>
            <w:pPr>
              <w:spacing w:after="0"/>
              <w:rPr>
                <w:sz w:val="18"/>
                <w:szCs w:val="18"/>
                <w:color w:val="auto"/>
              </w:rPr>
            </w:pPr>
          </w:p>
        </w:tc>
      </w:tr>
      <w:tr>
        <w:trPr>
          <w:trHeight w:val="276"/>
        </w:trPr>
        <w:tc>
          <w:tcPr>
            <w:tcW w:w="5520" w:type="dxa"/>
            <w:vAlign w:val="bottom"/>
          </w:tcPr>
          <w:p>
            <w:pPr>
              <w:jc w:val="center"/>
              <w:ind w:left="1899"/>
              <w:spacing w:after="0" w:line="184" w:lineRule="exact"/>
              <w:rPr>
                <w:sz w:val="20"/>
                <w:szCs w:val="20"/>
                <w:color w:val="auto"/>
              </w:rPr>
            </w:pPr>
            <w:r>
              <w:rPr>
                <w:rFonts w:ascii="Times New Roman" w:cs="Times New Roman" w:eastAsia="Times New Roman" w:hAnsi="Times New Roman"/>
                <w:sz w:val="16"/>
                <w:szCs w:val="16"/>
                <w:b w:val="1"/>
                <w:bCs w:val="1"/>
                <w:color w:val="auto"/>
              </w:rPr>
              <w:t>(770) 822</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3600</w:t>
            </w:r>
          </w:p>
        </w:tc>
        <w:tc>
          <w:tcPr>
            <w:tcW w:w="1260" w:type="dxa"/>
            <w:vAlign w:val="bottom"/>
          </w:tcPr>
          <w:p>
            <w:pPr>
              <w:spacing w:after="0"/>
              <w:rPr>
                <w:sz w:val="23"/>
                <w:szCs w:val="23"/>
                <w:color w:val="auto"/>
              </w:rPr>
            </w:pPr>
          </w:p>
        </w:tc>
      </w:tr>
      <w:tr>
        <w:trPr>
          <w:trHeight w:val="210"/>
        </w:trPr>
        <w:tc>
          <w:tcPr>
            <w:tcW w:w="5520" w:type="dxa"/>
            <w:vAlign w:val="bottom"/>
          </w:tcPr>
          <w:p>
            <w:pPr>
              <w:jc w:val="center"/>
              <w:ind w:left="187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1260" w:type="dxa"/>
            <w:vAlign w:val="bottom"/>
          </w:tcPr>
          <w:p>
            <w:pPr>
              <w:spacing w:after="0"/>
              <w:rPr>
                <w:sz w:val="18"/>
                <w:szCs w:val="18"/>
                <w:color w:val="auto"/>
              </w:rPr>
            </w:pPr>
          </w:p>
        </w:tc>
      </w:tr>
    </w:tbl>
    <w:p>
      <w:pPr>
        <w:spacing w:after="0" w:line="98"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100" w:lineRule="exact"/>
        <w:rPr>
          <w:sz w:val="24"/>
          <w:szCs w:val="24"/>
          <w:color w:val="auto"/>
        </w:rPr>
      </w:pPr>
    </w:p>
    <w:p>
      <w:pPr>
        <w:ind w:right="580"/>
        <w:spacing w:after="0" w:line="280"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3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w:t>
      </w:r>
    </w:p>
    <w:p>
      <w:pPr>
        <w:spacing w:after="0" w:line="63" w:lineRule="exact"/>
        <w:rPr>
          <w:rFonts w:ascii="MS PGothic" w:cs="MS PGothic" w:eastAsia="MS PGothic" w:hAnsi="MS PGothic"/>
          <w:sz w:val="18"/>
          <w:szCs w:val="18"/>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365"/>
        </w:trPr>
        <w:tc>
          <w:tcPr>
            <w:tcW w:w="4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2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EYE</w:t>
            </w:r>
          </w:p>
        </w:tc>
        <w:tc>
          <w:tcPr>
            <w:tcW w:w="100" w:type="dxa"/>
            <w:vAlign w:val="bottom"/>
          </w:tcPr>
          <w:p>
            <w:pPr>
              <w:spacing w:after="0"/>
              <w:rPr>
                <w:sz w:val="19"/>
                <w:szCs w:val="19"/>
                <w:color w:val="auto"/>
              </w:rPr>
            </w:pPr>
          </w:p>
        </w:tc>
        <w:tc>
          <w:tcPr>
            <w:tcW w:w="4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bl>
    <w:p>
      <w:pPr>
        <w:spacing w:after="0" w:line="179"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w:t>
      </w:r>
    </w:p>
    <w:p>
      <w:pPr>
        <w:spacing w:after="0" w:line="22" w:lineRule="exact"/>
        <w:rPr>
          <w:sz w:val="24"/>
          <w:szCs w:val="24"/>
          <w:color w:val="auto"/>
        </w:rPr>
      </w:pPr>
    </w:p>
    <w:p>
      <w:pPr>
        <w:spacing w:after="0" w:line="207" w:lineRule="exact"/>
        <w:tabs>
          <w:tab w:leader="none" w:pos="8020" w:val="left"/>
        </w:tabs>
        <w:rPr>
          <w:sz w:val="20"/>
          <w:szCs w:val="20"/>
          <w:color w:val="auto"/>
        </w:rPr>
      </w:pPr>
      <w:r>
        <w:rPr>
          <w:rFonts w:ascii="Times New Roman" w:cs="Times New Roman" w:eastAsia="Times New Roman" w:hAnsi="Times New Roman"/>
          <w:sz w:val="18"/>
          <w:szCs w:val="18"/>
          <w:color w:val="auto"/>
        </w:rPr>
        <w:t>new or revised financial 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904875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120650</wp:posOffset>
            </wp:positionV>
            <wp:extent cx="700341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3415"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0034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3415" cy="8890"/>
                    </a:xfrm>
                    <a:prstGeom prst="rect">
                      <a:avLst/>
                    </a:prstGeom>
                    <a:noFill/>
                  </pic:spPr>
                </pic:pic>
              </a:graphicData>
            </a:graphic>
          </wp:anchor>
        </w:drawing>
      </w:r>
    </w:p>
    <w:p>
      <w:pPr>
        <w:sectPr>
          <w:pgSz w:w="11900" w:h="16838" w:orient="portrait"/>
          <w:cols w:equalWidth="0" w:num="1">
            <w:col w:w="11180"/>
          </w:cols>
          <w:pgMar w:left="320" w:top="1190" w:right="3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10, 2022, National Vision Holdings, Inc. (“</w:t>
      </w:r>
      <w:r>
        <w:rPr>
          <w:rFonts w:ascii="Times New Roman" w:cs="Times New Roman" w:eastAsia="Times New Roman" w:hAnsi="Times New Roman"/>
          <w:sz w:val="18"/>
          <w:szCs w:val="18"/>
          <w:u w:val="single" w:color="auto"/>
          <w:color w:val="auto"/>
        </w:rPr>
        <w:t>National Vision</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issued a press release announcing financial results for the quarter ended October 1, 2022. A copy of the release is furnished herewith as Exhibit 99.1 and incorporated by reference herein.</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in Item 2.02 of this Current Report on Form 8-K, including Exhibit 99.1, is being furnished to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pursuant to Item 2.02 of Form 8-K and shall not be deemed to be “filed” for purposes of Section 18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otherwise subject to the liabilities of that section, nor shall it be deemed incorporated by reference into any of National Vision’s filings with the SEC under the Securities Act of 1933, as amended, or the Exchange Act, except as shall be expressly set forth by specific reference in such a filing.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9" w:lineRule="exact"/>
        <w:rPr>
          <w:sz w:val="20"/>
          <w:szCs w:val="20"/>
          <w:color w:val="auto"/>
        </w:rPr>
      </w:pPr>
    </w:p>
    <w:p>
      <w:pPr>
        <w:ind w:left="400" w:hanging="392"/>
        <w:spacing w:after="0"/>
        <w:tabs>
          <w:tab w:leader="none" w:pos="4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the Exhibit Index immediately preceding the signature page hereto, which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716280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8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11"/>
        </w:trPr>
        <w:tc>
          <w:tcPr>
            <w:tcW w:w="40" w:type="dxa"/>
            <w:vAlign w:val="bottom"/>
          </w:tcPr>
          <w:p>
            <w:pPr>
              <w:spacing w:after="0"/>
              <w:rPr>
                <w:sz w:val="24"/>
                <w:szCs w:val="24"/>
                <w:color w:val="auto"/>
              </w:rPr>
            </w:pPr>
          </w:p>
        </w:tc>
        <w:tc>
          <w:tcPr>
            <w:tcW w:w="8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7"/>
              </w:rPr>
              <w:t>Exhibit No.</w:t>
            </w:r>
          </w:p>
        </w:tc>
        <w:tc>
          <w:tcPr>
            <w:tcW w:w="104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Description</w:t>
            </w:r>
          </w:p>
        </w:tc>
        <w:tc>
          <w:tcPr>
            <w:tcW w:w="8480" w:type="dxa"/>
            <w:vAlign w:val="bottom"/>
          </w:tcPr>
          <w:p>
            <w:pPr>
              <w:spacing w:after="0"/>
              <w:rPr>
                <w:sz w:val="24"/>
                <w:szCs w:val="24"/>
                <w:color w:val="auto"/>
              </w:rPr>
            </w:pPr>
          </w:p>
        </w:tc>
      </w:tr>
      <w:tr>
        <w:trPr>
          <w:trHeight w:val="209"/>
        </w:trPr>
        <w:tc>
          <w:tcPr>
            <w:tcW w:w="8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04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National Vision Holdings, Inc. Press Release dated November 10, 2022.</w:t>
            </w: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320" w:type="dxa"/>
            <w:vAlign w:val="bottom"/>
            <w:gridSpan w:val="2"/>
          </w:tcPr>
          <w:p>
            <w:pPr>
              <w:spacing w:after="0" w:line="20" w:lineRule="exact"/>
              <w:rPr>
                <w:sz w:val="1"/>
                <w:szCs w:val="1"/>
                <w:color w:val="auto"/>
              </w:rPr>
            </w:pPr>
          </w:p>
        </w:tc>
      </w:tr>
      <w:tr>
        <w:trPr>
          <w:trHeight w:val="250"/>
        </w:trPr>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5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1208"/>
        </w:trPr>
        <w:tc>
          <w:tcPr>
            <w:tcW w:w="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National Vision Holdings, Inc.</w:t>
            </w:r>
          </w:p>
        </w:tc>
      </w:tr>
      <w:tr>
        <w:trPr>
          <w:trHeight w:val="391"/>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10, 2022</w:t>
            </w:r>
          </w:p>
        </w:tc>
        <w:tc>
          <w:tcPr>
            <w:tcW w:w="24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Jared Brandman</w:t>
            </w:r>
          </w:p>
        </w:tc>
      </w:tr>
      <w:tr>
        <w:trPr>
          <w:trHeight w:val="218"/>
        </w:trPr>
        <w:tc>
          <w:tcPr>
            <w:tcW w:w="3000" w:type="dxa"/>
            <w:vAlign w:val="bottom"/>
          </w:tcPr>
          <w:p>
            <w:pPr>
              <w:spacing w:after="0"/>
              <w:rPr>
                <w:sz w:val="18"/>
                <w:szCs w:val="18"/>
                <w:color w:val="auto"/>
              </w:rPr>
            </w:pPr>
          </w:p>
        </w:tc>
        <w:tc>
          <w:tcPr>
            <w:tcW w:w="24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Name:</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Jared Brandman</w:t>
            </w:r>
          </w:p>
        </w:tc>
      </w:tr>
      <w:tr>
        <w:trPr>
          <w:trHeight w:val="234"/>
        </w:trPr>
        <w:tc>
          <w:tcPr>
            <w:tcW w:w="3000" w:type="dxa"/>
            <w:vAlign w:val="bottom"/>
          </w:tcPr>
          <w:p>
            <w:pPr>
              <w:spacing w:after="0"/>
              <w:rPr>
                <w:sz w:val="20"/>
                <w:szCs w:val="20"/>
                <w:color w:val="auto"/>
              </w:rPr>
            </w:pPr>
          </w:p>
        </w:tc>
        <w:tc>
          <w:tcPr>
            <w:tcW w:w="24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Title:</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r>
    </w:tbl>
    <w:p>
      <w:pPr>
        <w:sectPr>
          <w:pgSz w:w="11900" w:h="16838" w:orient="portrait"/>
          <w:cols w:equalWidth="0" w:num="1">
            <w:col w:w="11200"/>
          </w:cols>
          <w:pgMar w:left="320" w:top="887" w:right="3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371475</wp:posOffset>
            </wp:positionV>
            <wp:extent cx="1105535" cy="8572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0553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National Vision Holdings, Inc. Reports Third Quarter 2022 Financial Results</w:t>
      </w:r>
    </w:p>
    <w:p>
      <w:pPr>
        <w:spacing w:after="0" w:line="261" w:lineRule="exact"/>
        <w:rPr>
          <w:sz w:val="20"/>
          <w:szCs w:val="20"/>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Net revenue decreased 3.6% to $499.2 million</w:t>
      </w:r>
    </w:p>
    <w:p>
      <w:pPr>
        <w:spacing w:after="0" w:line="29" w:lineRule="exact"/>
        <w:rPr>
          <w:rFonts w:ascii="Times New Roman" w:cs="Times New Roman" w:eastAsia="Times New Roman" w:hAnsi="Times New Roman"/>
          <w:sz w:val="18"/>
          <w:szCs w:val="18"/>
          <w:i w:val="1"/>
          <w:iCs w:val="1"/>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Comparable store sales growth of (8.0)%; Adjusted Comparable Store Sales Growth of (8.1)%</w:t>
      </w:r>
    </w:p>
    <w:p>
      <w:pPr>
        <w:spacing w:after="0" w:line="9" w:lineRule="exact"/>
        <w:rPr>
          <w:rFonts w:ascii="Times New Roman" w:cs="Times New Roman" w:eastAsia="Times New Roman" w:hAnsi="Times New Roman"/>
          <w:sz w:val="18"/>
          <w:szCs w:val="18"/>
          <w:i w:val="1"/>
          <w:iCs w:val="1"/>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Net income decreased 71.9% to $11.5 million; Diluted EPS decreased 67.7% to $0.15</w:t>
      </w:r>
    </w:p>
    <w:p>
      <w:pPr>
        <w:spacing w:after="0" w:line="9" w:lineRule="exact"/>
        <w:rPr>
          <w:rFonts w:ascii="Times New Roman" w:cs="Times New Roman" w:eastAsia="Times New Roman" w:hAnsi="Times New Roman"/>
          <w:sz w:val="18"/>
          <w:szCs w:val="18"/>
          <w:i w:val="1"/>
          <w:iCs w:val="1"/>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Adjusted Operating Income decreased 60.8% to $21.5 million</w:t>
      </w:r>
    </w:p>
    <w:p>
      <w:pPr>
        <w:spacing w:after="0" w:line="9" w:lineRule="exact"/>
        <w:rPr>
          <w:rFonts w:ascii="Times New Roman" w:cs="Times New Roman" w:eastAsia="Times New Roman" w:hAnsi="Times New Roman"/>
          <w:sz w:val="18"/>
          <w:szCs w:val="18"/>
          <w:i w:val="1"/>
          <w:iCs w:val="1"/>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Adjusted Diluted EPS decreased 59.8% to $0.15</w:t>
      </w:r>
    </w:p>
    <w:p>
      <w:pPr>
        <w:spacing w:after="0" w:line="9" w:lineRule="exact"/>
        <w:rPr>
          <w:rFonts w:ascii="Times New Roman" w:cs="Times New Roman" w:eastAsia="Times New Roman" w:hAnsi="Times New Roman"/>
          <w:sz w:val="18"/>
          <w:szCs w:val="18"/>
          <w:i w:val="1"/>
          <w:iCs w:val="1"/>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Remote medicine rolled out in approximately 300 stores</w:t>
      </w:r>
    </w:p>
    <w:p>
      <w:pPr>
        <w:spacing w:after="0" w:line="200" w:lineRule="exact"/>
        <w:rPr>
          <w:sz w:val="20"/>
          <w:szCs w:val="20"/>
          <w:color w:val="auto"/>
        </w:rPr>
      </w:pPr>
    </w:p>
    <w:p>
      <w:pPr>
        <w:spacing w:after="0" w:line="27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Duluth, Ga.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November 10, 2022 </w:t>
      </w:r>
      <w:r>
        <w:rPr>
          <w:rFonts w:ascii="Times New Roman" w:cs="Times New Roman" w:eastAsia="Times New Roman" w:hAnsi="Times New Roman"/>
          <w:sz w:val="18"/>
          <w:szCs w:val="18"/>
          <w:color w:val="auto"/>
        </w:rPr>
        <w:t>-- National Vision Holdings, Inc. (NASDAQ: EYE) (“National Vision” or the “Company”) today reported its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results for the third quarter ended October 1, 2022.</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National Vision team continues to progress our key growth initiatives while navigating the challenges of this dynamic consumer environment,” stated chief executive officer Reade Fahs. “We opened 18 stores this quarter, including a record seven Eyeglass World stores as we ramp up expansion of this brand. Our accelerated rollout of remote medicine is now enabled in approximately 300 stores and is adding incremental exam capacity.”</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Fahs continued, “While the operational environment remains challenging, especially for our lower-income consumers, we are pleased to see more higher-income consumers attracted to our affordably priced eye exams, eyeglasses and contact lenses. As we look ahead, we are confident in our ability to deliver the consistent sustainable growth we have experienced for the past few decades.”</w:t>
      </w:r>
    </w:p>
    <w:p>
      <w:pPr>
        <w:spacing w:after="0" w:line="6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Adjusted Comparable Store Sales Growth, Adjusted Operating Income, Adjusted EBITDA, Adjusted Diluted EPS, Adjusted Operating Margin, Adjusted EBITDA Margin, and EBITDA are not measures recognized under generally accepted accounting principles (“GAAP”). Please see “Non-GAAP Financial Measures” and “Reconciliation of Non-GAAP to GAAP Financial Measures” below for more information.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2022 Summary</w:t>
      </w:r>
    </w:p>
    <w:p>
      <w:pPr>
        <w:spacing w:after="0" w:line="121" w:lineRule="exact"/>
        <w:rPr>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Net revenue decreased 3.6% to $499.2 million compared to the third quarter of 2021.</w:t>
      </w:r>
    </w:p>
    <w:p>
      <w:pPr>
        <w:spacing w:after="0" w:line="27" w:lineRule="exact"/>
        <w:rPr>
          <w:rFonts w:ascii="Times New Roman" w:cs="Times New Roman" w:eastAsia="Times New Roman" w:hAnsi="Times New Roman"/>
          <w:sz w:val="18"/>
          <w:szCs w:val="18"/>
          <w:i w:val="1"/>
          <w:iCs w:val="1"/>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 was negatively impacted by 0.4% due to the timing of unearned revenue.</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Comparable store sales growth was (8.0)% and Adjusted Comparable Store Sales Growth was (8.1)%.</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opened 18 new stores and ended the quarter with 1,332 stores. Overall, store count grew 5.5% from October 2, 2021 to October 1, 2022.</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applicable to revenue increased 2.8% to $232.8 million compared to the third quarter of 2021. As a percentage of net revenue, costs applicable to revenue increased 290 basis points to 46.6% compared to the third quarter of 2021. This increase as a percentage of net revenue was primarily driven by deleverage of optometrist-related costs, reduced eyeglass mix and lower eyeglass margin.</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increased 3.1% to $225.0 million compared to the third quarter of 2021. As a percentage of net revenue, SG&amp;A increased 300 basis points to 45.1% compared to the third quarter of 2021. This increase as a percentage of net revenue was primarily driven by deleverage of payroll, corporate overhead and occupancy expense, partially offset by lower advertising.</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decreased 71.9% to $11.5 million compared to the third quarter of 2021.</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Diluted EPS decreased 67.7% to $0.15 compared to the third quarter of 2021. Adjusted Diluted EPS decreased 59.8% to $0.15 compared to the third quarter of 2021. The change in margin on unearned revenue negatively impacted Adjusted Diluted EPS by $0.01.</w:t>
      </w:r>
    </w:p>
    <w:p>
      <w:pPr>
        <w:jc w:val="both"/>
        <w:ind w:left="340" w:hanging="332"/>
        <w:spacing w:after="0" w:line="255"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Operating Income decreased 60.8% to $21.5 million compared to the third quarter of 2021. Adjusted Operating Margin decreased 630 basis points to 4.3% compared to the third quarter of 2021. The change in margin on unearned revenue negatively impacted Adjusted Operating Income by $1.7 million.</w:t>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Nine-Month Period Summary</w:t>
      </w:r>
    </w:p>
    <w:p>
      <w:pPr>
        <w:spacing w:after="0" w:line="121" w:lineRule="exact"/>
        <w:rPr>
          <w:sz w:val="20"/>
          <w:szCs w:val="20"/>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 decreased 4.1% to $1.5 billion compared to the same period of 2021.</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from the timing of unearned revenue on net revenue and profitability was immaterial.</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Comparable store sales growth was (8.0)% and Adjusted Comparable Store Sales Growth was (9.1)%.</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opened 57 new stores, closed three stores, and ended the period with 1,332 stores.</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applicable to revenue increased 2.4% to $703.4 million compared to the same period of 2021. As a percentage of net revenue, costs applicable to revenue increased 290 basis points to 45.8% compared to the same period of 2021. This increase as a percentage of net revenue was primarily driven by the deleverage of optometrist-related costs, reduced eyeglass mix and lower eyeglass margin.</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increased 0.8% to $681.4 million compared to the same period of 2021. As a percentage of net revenue, SG&amp;A increased 210 basis points to 44.3% compared to the same period of 2021. This increase as a percentage of net revenue was primarily driven by the deleverage of store payroll, corporate overhead and occupancy expense, partially offset by lower performance-based incentive compensation and lower advertising.</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decreased 57.9% to $51.4 million compared to the same period of 2021.</w:t>
      </w:r>
    </w:p>
    <w:p>
      <w:pPr>
        <w:spacing w:after="0" w:line="9"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3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Diluted EPS decreased 53.4% to $0.63 compared to the same period of 2021. Adjusted Diluted EPS decreased 49.1% to $0.69 compared to the same period of 2021.</w:t>
      </w:r>
    </w:p>
    <w:p>
      <w:pPr>
        <w:ind w:left="340" w:hanging="332"/>
        <w:spacing w:after="0" w:line="260" w:lineRule="auto"/>
        <w:tabs>
          <w:tab w:leader="none" w:pos="33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Adjusted Operating Income decreased 49.7% to $94.5 million compared to the same period of 2021. Adjusted Operating Margin decreased 550 basis points to 6.2% compared to the same period of 2021.</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and Cash Flow Highlights as of October 1, 2022</w:t>
      </w:r>
    </w:p>
    <w:p>
      <w:pPr>
        <w:spacing w:after="0" w:line="121" w:lineRule="exact"/>
        <w:rPr>
          <w:sz w:val="20"/>
          <w:szCs w:val="20"/>
          <w:color w:val="auto"/>
        </w:rPr>
      </w:pPr>
    </w:p>
    <w:p>
      <w:pPr>
        <w:ind w:left="340" w:hanging="332"/>
        <w:spacing w:after="0" w:line="261"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cash balance was $256.2 million as of October 1, 2022. The Company had no borrowings under its $300 million first lien revolving credit facility, exclusive of letters of credit of $6.4 million.</w:t>
      </w:r>
    </w:p>
    <w:p>
      <w:pPr>
        <w:ind w:left="340" w:right="20" w:hanging="332"/>
        <w:spacing w:after="0" w:line="250"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debt was $568.2 million as of October 1, 2022, consisting of outstanding first lien term loans, convertible senior notes (“2025 Notes”) and finance lease obligations, net of unamortized discounts.</w:t>
      </w: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flows from operating activities for the first nine months of 2022 were $121.3 million compared to $233.8 million for the same period of 2021.</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for the first nine months of 2022 totaled $86.1 million compared to $58.9 million for the same period of 2021.</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121" w:lineRule="exact"/>
        <w:rPr>
          <w:sz w:val="20"/>
          <w:szCs w:val="20"/>
          <w:color w:val="auto"/>
        </w:rPr>
      </w:pPr>
    </w:p>
    <w:p>
      <w:pPr>
        <w:ind w:left="340" w:hanging="332"/>
        <w:spacing w:after="0" w:line="282"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third quarter, the Company did not repurchase any shares of its common stock. The Company has $50 million remaining under the current share repurchase authorization.</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2022 Outlook</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fiscal 2022 outlook reflects the currently expected impacts related to macro-economic factors, including inflation, geopolitical instability and risks of recession, as well as constraints on exam capacity and the ongoing COVID-19 pandemic; however, the ultimate impact of these factors on the Company’s financial outlook remains uncertain with dynamic market conditions and the outlook shown below assumes no material deterioration to the Company’s current business operations as a result of such factors.</w:t>
      </w:r>
    </w:p>
    <w:p>
      <w:pPr>
        <w:sectPr>
          <w:pgSz w:w="11900" w:h="16838" w:orient="portrait"/>
          <w:cols w:equalWidth="0" w:num="1">
            <w:col w:w="11240"/>
          </w:cols>
          <w:pgMar w:left="320" w:top="981" w:right="339" w:bottom="1440" w:gutter="0" w:footer="0" w:header="0"/>
        </w:sectPr>
      </w:pPr>
    </w:p>
    <w:bookmarkStart w:id="6" w:name="page7"/>
    <w:bookmarkEnd w:id="6"/>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reaffirms the previously provided outlook for its key operating metrics, while updating its expectations for depreciation and amortization and interest. The Company is providing the following outlook for the 52 weeks ending December 31, 2022:</w:t>
      </w:r>
    </w:p>
    <w:p>
      <w:pPr>
        <w:spacing w:after="0" w:line="90" w:lineRule="exact"/>
        <w:rPr>
          <w:sz w:val="20"/>
          <w:szCs w:val="20"/>
          <w:color w:val="auto"/>
        </w:rPr>
      </w:pPr>
    </w:p>
    <w:tbl>
      <w:tblPr>
        <w:tblLayout w:type="fixed"/>
        <w:tblInd w:w="26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p>
        </w:tc>
        <w:tc>
          <w:tcPr>
            <w:tcW w:w="3700" w:type="dxa"/>
            <w:vAlign w:val="bottom"/>
            <w:gridSpan w:val="2"/>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Current Fiscal 2022 Outlook</w:t>
            </w: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 Fiscal 2022 Outlook</w:t>
            </w: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Stores</w:t>
            </w:r>
          </w:p>
        </w:tc>
        <w:tc>
          <w:tcPr>
            <w:tcW w:w="3700" w:type="dxa"/>
            <w:vAlign w:val="bottom"/>
            <w:gridSpan w:val="2"/>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9"/>
              </w:rPr>
              <w:t>At least 80</w:t>
            </w:r>
          </w:p>
        </w:tc>
        <w:tc>
          <w:tcPr>
            <w:tcW w:w="2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At least 80</w:t>
            </w: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Comparable Store Sales Growth</w:t>
            </w:r>
          </w:p>
        </w:tc>
        <w:tc>
          <w:tcPr>
            <w:tcW w:w="3700" w:type="dxa"/>
            <w:vAlign w:val="bottom"/>
            <w:gridSpan w:val="2"/>
          </w:tcPr>
          <w:p>
            <w:pPr>
              <w:jc w:val="right"/>
              <w:ind w:right="990"/>
              <w:spacing w:after="0"/>
              <w:rPr>
                <w:sz w:val="20"/>
                <w:szCs w:val="20"/>
                <w:color w:val="auto"/>
              </w:rPr>
            </w:pPr>
            <w:r>
              <w:rPr>
                <w:rFonts w:ascii="Times New Roman" w:cs="Times New Roman" w:eastAsia="Times New Roman" w:hAnsi="Times New Roman"/>
                <w:sz w:val="18"/>
                <w:szCs w:val="18"/>
                <w:color w:val="auto"/>
              </w:rPr>
              <w:t>(8%) - (6.5%)</w:t>
            </w: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 - (6.5%)</w:t>
            </w: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3700" w:type="dxa"/>
            <w:vAlign w:val="bottom"/>
            <w:gridSpan w:val="2"/>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rPr>
              <w:t>$1.99 - $2.02 billion</w:t>
            </w:r>
          </w:p>
        </w:tc>
        <w:tc>
          <w:tcPr>
            <w:tcW w:w="2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$1.99 - $2.02 billion</w:t>
            </w: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3700" w:type="dxa"/>
            <w:vAlign w:val="bottom"/>
            <w:gridSpan w:val="2"/>
          </w:tcPr>
          <w:p>
            <w:pPr>
              <w:jc w:val="center"/>
              <w:ind w:left="450"/>
              <w:spacing w:after="0"/>
              <w:rPr>
                <w:sz w:val="20"/>
                <w:szCs w:val="20"/>
                <w:color w:val="auto"/>
              </w:rPr>
            </w:pPr>
            <w:r>
              <w:rPr>
                <w:rFonts w:ascii="Times New Roman" w:cs="Times New Roman" w:eastAsia="Times New Roman" w:hAnsi="Times New Roman"/>
                <w:sz w:val="18"/>
                <w:szCs w:val="18"/>
                <w:color w:val="auto"/>
              </w:rPr>
              <w:t>$85 - $100 million</w:t>
            </w: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$85 - $100 million</w:t>
            </w:r>
          </w:p>
        </w:tc>
      </w:tr>
      <w:tr>
        <w:trPr>
          <w:trHeight w:val="229"/>
        </w:trPr>
        <w:tc>
          <w:tcPr>
            <w:tcW w:w="40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Diluted EPS</w:t>
            </w:r>
            <w:r>
              <w:rPr>
                <w:rFonts w:ascii="Times New Roman" w:cs="Times New Roman" w:eastAsia="Times New Roman" w:hAnsi="Times New Roman"/>
                <w:sz w:val="23"/>
                <w:szCs w:val="23"/>
                <w:color w:val="auto"/>
                <w:vertAlign w:val="superscript"/>
              </w:rPr>
              <w:t>1</w:t>
            </w:r>
          </w:p>
        </w:tc>
        <w:tc>
          <w:tcPr>
            <w:tcW w:w="3700" w:type="dxa"/>
            <w:vAlign w:val="bottom"/>
            <w:gridSpan w:val="2"/>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$0.65 - $0.77</w:t>
            </w:r>
          </w:p>
        </w:tc>
        <w:tc>
          <w:tcPr>
            <w:tcW w:w="2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$0.65 - $0.77</w:t>
            </w:r>
          </w:p>
        </w:tc>
      </w:tr>
      <w:tr>
        <w:trPr>
          <w:trHeight w:val="230"/>
        </w:trPr>
        <w:tc>
          <w:tcPr>
            <w:tcW w:w="40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3"/>
                <w:szCs w:val="23"/>
                <w:color w:val="auto"/>
                <w:vertAlign w:val="superscript"/>
              </w:rPr>
              <w:t>2</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$103 million</w:t>
            </w: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~$103 million</w:t>
            </w:r>
          </w:p>
        </w:tc>
      </w:tr>
      <w:tr>
        <w:trPr>
          <w:trHeight w:val="229"/>
        </w:trPr>
        <w:tc>
          <w:tcPr>
            <w:tcW w:w="40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Interest</w:t>
            </w:r>
            <w:r>
              <w:rPr>
                <w:rFonts w:ascii="Times New Roman" w:cs="Times New Roman" w:eastAsia="Times New Roman" w:hAnsi="Times New Roman"/>
                <w:sz w:val="23"/>
                <w:szCs w:val="23"/>
                <w:color w:val="auto"/>
                <w:vertAlign w:val="superscript"/>
              </w:rPr>
              <w:t>3</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$15 million</w:t>
            </w:r>
          </w:p>
        </w:tc>
        <w:tc>
          <w:tcPr>
            <w:tcW w:w="2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~$17 - $18 million</w:t>
            </w:r>
          </w:p>
        </w:tc>
      </w:tr>
      <w:tr>
        <w:trPr>
          <w:trHeight w:val="230"/>
        </w:trPr>
        <w:tc>
          <w:tcPr>
            <w:tcW w:w="40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Tax Rate</w:t>
            </w:r>
            <w:r>
              <w:rPr>
                <w:rFonts w:ascii="Times New Roman" w:cs="Times New Roman" w:eastAsia="Times New Roman" w:hAnsi="Times New Roman"/>
                <w:sz w:val="23"/>
                <w:szCs w:val="23"/>
                <w:color w:val="auto"/>
                <w:vertAlign w:val="superscript"/>
              </w:rPr>
              <w:t>4</w:t>
            </w:r>
          </w:p>
        </w:tc>
        <w:tc>
          <w:tcPr>
            <w:tcW w:w="3700" w:type="dxa"/>
            <w:vAlign w:val="bottom"/>
            <w:gridSpan w:val="2"/>
          </w:tcPr>
          <w:p>
            <w:pPr>
              <w:jc w:val="right"/>
              <w:ind w:right="1090"/>
              <w:spacing w:after="0"/>
              <w:rPr>
                <w:sz w:val="20"/>
                <w:szCs w:val="20"/>
                <w:color w:val="auto"/>
              </w:rPr>
            </w:pPr>
            <w:r>
              <w:rPr>
                <w:rFonts w:ascii="Times New Roman" w:cs="Times New Roman" w:eastAsia="Times New Roman" w:hAnsi="Times New Roman"/>
                <w:sz w:val="18"/>
                <w:szCs w:val="18"/>
                <w:color w:val="auto"/>
              </w:rPr>
              <w:t>26% - 27%</w:t>
            </w: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26% - 27%</w:t>
            </w: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$115 million</w:t>
            </w:r>
          </w:p>
        </w:tc>
        <w:tc>
          <w:tcPr>
            <w:tcW w:w="2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$110 - $115 million</w:t>
            </w:r>
          </w:p>
        </w:tc>
      </w:tr>
    </w:tbl>
    <w:p>
      <w:pPr>
        <w:spacing w:after="0" w:line="268" w:lineRule="exact"/>
        <w:rPr>
          <w:sz w:val="20"/>
          <w:szCs w:val="20"/>
          <w:color w:val="auto"/>
        </w:rPr>
      </w:pPr>
    </w:p>
    <w:p>
      <w:pPr>
        <w:ind w:left="280" w:right="480"/>
        <w:spacing w:after="0" w:line="250" w:lineRule="auto"/>
        <w:rPr>
          <w:sz w:val="20"/>
          <w:szCs w:val="20"/>
          <w:color w:val="auto"/>
        </w:rPr>
      </w:pPr>
      <w:r>
        <w:rPr>
          <w:rFonts w:ascii="Times New Roman" w:cs="Times New Roman" w:eastAsia="Times New Roman" w:hAnsi="Times New Roman"/>
          <w:sz w:val="16"/>
          <w:szCs w:val="16"/>
          <w:i w:val="1"/>
          <w:iCs w:val="1"/>
          <w:color w:val="auto"/>
        </w:rPr>
        <w:t>1 - Assumes 80.1 million shares, and does not include 12.9 million shares attributable to the 2025 Notes as they are anticipated to be anti-dilutive to earnings per share for fiscal year 2022</w:t>
      </w:r>
    </w:p>
    <w:p>
      <w:pPr>
        <w:ind w:left="280"/>
        <w:spacing w:after="0" w:line="212" w:lineRule="auto"/>
        <w:rPr>
          <w:sz w:val="20"/>
          <w:szCs w:val="20"/>
          <w:color w:val="auto"/>
        </w:rPr>
      </w:pPr>
      <w:r>
        <w:rPr>
          <w:rFonts w:ascii="Times New Roman" w:cs="Times New Roman" w:eastAsia="Times New Roman" w:hAnsi="Times New Roman"/>
          <w:sz w:val="16"/>
          <w:szCs w:val="16"/>
          <w:i w:val="1"/>
          <w:iCs w:val="1"/>
          <w:color w:val="auto"/>
        </w:rPr>
        <w:t>2 - Includes amortization of acquisition intangibles of approximately $7.5 million, which is excluded in the definition of Adjusted Operating Income</w:t>
      </w:r>
    </w:p>
    <w:p>
      <w:pPr>
        <w:ind w:left="280"/>
        <w:spacing w:after="0" w:line="212" w:lineRule="auto"/>
        <w:rPr>
          <w:sz w:val="20"/>
          <w:szCs w:val="20"/>
          <w:color w:val="auto"/>
        </w:rPr>
      </w:pPr>
      <w:r>
        <w:rPr>
          <w:rFonts w:ascii="Times New Roman" w:cs="Times New Roman" w:eastAsia="Times New Roman" w:hAnsi="Times New Roman"/>
          <w:sz w:val="16"/>
          <w:szCs w:val="16"/>
          <w:i w:val="1"/>
          <w:iCs w:val="1"/>
          <w:color w:val="auto"/>
        </w:rPr>
        <w:t>3 - Before the impact of gains or losses related to hedge ineffectiveness and charges related to amortization of debt discounts and deferred financing costs</w:t>
      </w:r>
    </w:p>
    <w:p>
      <w:pPr>
        <w:ind w:left="280"/>
        <w:spacing w:after="0"/>
        <w:rPr>
          <w:sz w:val="20"/>
          <w:szCs w:val="20"/>
          <w:color w:val="auto"/>
        </w:rPr>
      </w:pPr>
      <w:r>
        <w:rPr>
          <w:rFonts w:ascii="Times New Roman" w:cs="Times New Roman" w:eastAsia="Times New Roman" w:hAnsi="Times New Roman"/>
          <w:sz w:val="16"/>
          <w:szCs w:val="16"/>
          <w:i w:val="1"/>
          <w:iCs w:val="1"/>
          <w:color w:val="auto"/>
        </w:rPr>
        <w:t>4 - Excluding the impact of stock option exercises</w:t>
      </w:r>
    </w:p>
    <w:p>
      <w:pPr>
        <w:spacing w:after="0" w:line="200" w:lineRule="exact"/>
        <w:rPr>
          <w:sz w:val="20"/>
          <w:szCs w:val="20"/>
          <w:color w:val="auto"/>
        </w:rPr>
      </w:pPr>
    </w:p>
    <w:p>
      <w:pPr>
        <w:spacing w:after="0" w:line="3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The fiscal 2022 outlook information provided above includes Adjusted Operating Income and Adjusted Diluted EPS guidance, which are non-GAAP financial measures management uses in measuring performance. The Company is not able to reconcile these forward-looking non-GAAP measures to GAAP without unreasonable efforts because it is not possible to predict with a reasonable degree of certainty the actual impact of certain items and unanticipated events, including taxes and non-recurring items, which would be included in GAAP results. The impact of such items and unanticipated events could be potentially significant.</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fiscal 2022 outlook is forward-looking, subject to significant business, economic, regulatory and competitive uncertainties and contingencies, many of which are beyond the control of the Company and its management, and based upon assumptions with respect to future decisions, which are subject to change. Actual results may vary and those variations may be material. As such, the Company’s results may not fall within the ranges contained in its fiscal 2022 outlook. The Company uses these forward looking measures internally to assess and benchmark its results and strategic plans.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Details</w:t>
      </w:r>
    </w:p>
    <w:p>
      <w:pPr>
        <w:spacing w:after="0" w:line="20" w:lineRule="exact"/>
        <w:rPr>
          <w:sz w:val="20"/>
          <w:szCs w:val="20"/>
          <w:color w:val="auto"/>
        </w:rPr>
      </w:pPr>
    </w:p>
    <w:p>
      <w:pPr>
        <w:ind w:right="240"/>
        <w:spacing w:after="0" w:line="241" w:lineRule="auto"/>
        <w:rPr>
          <w:sz w:val="20"/>
          <w:szCs w:val="20"/>
          <w:color w:val="auto"/>
        </w:rPr>
      </w:pPr>
      <w:r>
        <w:rPr>
          <w:rFonts w:ascii="Times New Roman" w:cs="Times New Roman" w:eastAsia="Times New Roman" w:hAnsi="Times New Roman"/>
          <w:sz w:val="18"/>
          <w:szCs w:val="18"/>
          <w:color w:val="auto"/>
        </w:rPr>
        <w:t>A conference call to discuss the third quarter 2022 financial results is scheduled for today, November 10, 2022, at 10:00 a.m. Eastern Time. Please click here to pre-register for the conference call and obtain a dial-in number and passcode. A live audio webcast of the conference call will be available on the</w:t>
      </w:r>
    </w:p>
    <w:p>
      <w:pPr>
        <w:spacing w:after="0" w:line="222" w:lineRule="auto"/>
        <w:rPr>
          <w:sz w:val="20"/>
          <w:szCs w:val="20"/>
          <w:color w:val="auto"/>
        </w:rPr>
      </w:pPr>
      <w:r>
        <w:rPr>
          <w:rFonts w:ascii="Times New Roman" w:cs="Times New Roman" w:eastAsia="Times New Roman" w:hAnsi="Times New Roman"/>
          <w:sz w:val="18"/>
          <w:szCs w:val="18"/>
          <w:color w:val="auto"/>
        </w:rPr>
        <w:t xml:space="preserve">“Investors” section of the Company’s website </w:t>
      </w:r>
      <w:r>
        <w:rPr>
          <w:rFonts w:ascii="Times New Roman" w:cs="Times New Roman" w:eastAsia="Times New Roman" w:hAnsi="Times New Roman"/>
          <w:sz w:val="18"/>
          <w:szCs w:val="18"/>
          <w:u w:val="single" w:color="auto"/>
          <w:color w:val="0E32E1"/>
        </w:rPr>
        <w:t>www.nationalvision.com/investors</w:t>
      </w:r>
      <w:r>
        <w:rPr>
          <w:rFonts w:ascii="Times New Roman" w:cs="Times New Roman" w:eastAsia="Times New Roman" w:hAnsi="Times New Roman"/>
          <w:sz w:val="18"/>
          <w:szCs w:val="18"/>
          <w:color w:val="auto"/>
          <w:highlight w:val="white"/>
        </w:rPr>
        <w:t>, where presentation materials will be posted prior to the conference call.</w:t>
      </w:r>
    </w:p>
    <w:p>
      <w:pPr>
        <w:spacing w:after="0"/>
        <w:rPr>
          <w:sz w:val="20"/>
          <w:szCs w:val="20"/>
          <w:color w:val="auto"/>
        </w:rPr>
      </w:pPr>
      <w:r>
        <w:rPr>
          <w:rFonts w:ascii="Times New Roman" w:cs="Times New Roman" w:eastAsia="Times New Roman" w:hAnsi="Times New Roman"/>
          <w:sz w:val="18"/>
          <w:szCs w:val="18"/>
          <w:color w:val="auto"/>
          <w:highlight w:val="white"/>
        </w:rPr>
        <w:t>A replay of the audio webcast will also be archived on the “Investors” section of the Company’s website.</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National Vision Holdings, Inc.</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National Vision Holdings, Inc. is the second largest optical retail company in the United States (by sales) with more than 1,300 retail stores in 44 states and Puerto Rico. With a mission of helping people by making quality eye care and eyewear more affordable and accessible, the Company operates five retail brands: America’s Best Contacts &amp; Eyeglasses, Eyeglass World, Vision Centers inside select Walmart stores, and Vista Opticals inside select Fred Meyer stores and on select military bases, and several e-commerce websites, offering a variety of products and services for customers’ eye care needs.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27A of the Securities Act of 1933, as amended (the “Securities Act”) and Section 21E of the Securities Exchange Act of 1934. These statements include, but are not limited to, statements contained under “Fiscal 2022 Outlook” as well as other statements related to our</w:t>
      </w:r>
    </w:p>
    <w:p>
      <w:pPr>
        <w:sectPr>
          <w:pgSz w:w="11900" w:h="16838" w:orient="portrait"/>
          <w:cols w:equalWidth="0" w:num="1">
            <w:col w:w="11240"/>
          </w:cols>
          <w:pgMar w:left="320" w:top="891" w:right="339" w:bottom="1440" w:gutter="0" w:footer="0" w:header="0"/>
        </w:sectPr>
      </w:pPr>
    </w:p>
    <w:bookmarkStart w:id="7" w:name="page8"/>
    <w:bookmarkEnd w:id="7"/>
    <w:p>
      <w:pPr>
        <w:jc w:val="both"/>
        <w:spacing w:after="0" w:line="251" w:lineRule="auto"/>
        <w:rPr>
          <w:sz w:val="20"/>
          <w:szCs w:val="20"/>
          <w:color w:val="auto"/>
        </w:rPr>
      </w:pPr>
      <w:r>
        <w:rPr>
          <w:rFonts w:ascii="Times New Roman" w:cs="Times New Roman" w:eastAsia="Times New Roman" w:hAnsi="Times New Roman"/>
          <w:sz w:val="18"/>
          <w:szCs w:val="18"/>
          <w:color w:val="auto"/>
        </w:rPr>
        <w:t>current beliefs and expectations regarding the performance of our industry, the Company’s strategic direction, market position, prospects and future results. You can identify these forward-looking statements by the use of words such as “outlook,” “guidance,” “believes,” “expects,” “potential,” “continues,” “may,” “will,” “should,” “could,” “seeks,” “projects,” “predicts,” “intends,” “plans,” “estimates,” “anticipates” or the negative version of these words or other comparable words. Caution should be taken not to place undue reliance on any forward-looking statement as such statements speak only as of the date when made. We undertake no obligation to publicly update or review any forward-looking statement, whether as a result of new information, future developments or otherwise, except as required by law. Forward-looking statements are not guarantees and are subject to various risks and uncertainties, which may cause actual results to differ materially from those implied in forward-looking statements. Such factors include, but are not limited to, the COVID-19 pandemic and its resurgence and variants, and the impact of evolving federal, state, and local governmental actions in response thereto, including risks stemming from vaccination and testing programs and mandates; customer behavior in response to the continuing pandemic and its more recent outbreaks of variants, including the impact of such behavior on in-store traffic and sales; overall decline in the health of the economy and other factors impacting consumer spending, including inflation, rising interest rates, and geopolitical instability; our ability to open and operate new stores in a timely and cost-effective manner, or keep stores safely open in light of the continuing COVID-19 pandemic, and to successfully enter new markets; our ability to recruit and retain vision care professionals for our stores in general and in light of the pandemic; our ability to develop, maintain and extend relationships with managed vision care companies, vision insurance providers and other third-party payors; our ability to maintain the performance of our Host and Legacy brands and our current operating relationships with our Host and Legacy partners; our ability to adhere to extensive state, local and federal vision care and healthcare laws and regulations; our compliance with managed vision care laws and regulations; our ability to maintain sufficient levels of cash flow from our operations to execute or sustain our growth strategy or obtain additional financing at satisfactory terms or at all; the loss of, or disruption in the operations of, one or more of our distribution centers and/or optical laboratories, resulting in the inability to fulfill customer orders and deliver our products in a timely manner; risks associated with vendors from whom our products are sourced, including our dependence on a limited number of suppliers; our ability to compete successfully; our ability to effectively operate our information technology systems and prevent interruption or security breach; the impact of wage rate increases, inflation, cost increases and increases in raw material prices and energy prices; our growth strategy straining our existing resources and causing the performance of our existing stores to suffer; our ability to successfully and efficiently implement our marketing, advertising and promotional efforts; risks associated with leasing substantial amounts of space, including future increases in occupancy costs; the impact of certain technological advances, and the greater availability of, or increased consumer preferences for, vision correction alternatives to prescription eyeglasses or contact lenses, and future drug development for the correction of vision-related problems; our ability to retain our existing senior management team and attract qualified new personnel; our ability to manage our inventory; seasonal fluctuations in our operating results and inventory levels; our reliance on third-party coverage and reimbursement, including government programs, for an increasing portion of our revenues; risks associated with our e-commerce and omni-channel business; product liability, product recall or personal injury issues; our failure to comply with, or changes in, laws, regulations, enforcement activities and other requirements; the impact of any adverse litigation judgments or settlements resulting from legal proceedings relating to our business operations; risk of losses arising from our investments in technological innovators in the optical retail industry; our ability to adequately protect our intellectual property; risks associated with environmental, social and governance issues, including climate change; our significant amount of indebtedness and our ability to generate sufficient cash flow to satisfy our debt obligations; a change in interest rates as well as changes in benchmark rates and uncertainty related to the foregoing; restrictions in our credit agreement that limits our flexibility in operating our business; potential dilution to existing stockholders upon the conversion of our convertible notes; and risks related to owning our common stock, including our ability to comply with requirements to design and implement and maintain effective internal controls. Additional information about these and other factors that could cause National Vision’s results to differ materially from those described in the forward-looking statements can be found in filings by National Vision with the Securities and Exchange Commission (“SEC”), including our latest Annual Report on Form 10-K, our Quarterly Report on Form 10-Q filed on November 10, 2022, and subsequently filed reports, which are accessible on the SEC’s website at www.sec.gov. These factors should not be construed as exhaustive and should be read in conjunction with the other cautionary statements that are included in this release and in our filings with the SEC.</w:t>
      </w:r>
    </w:p>
    <w:p>
      <w:pPr>
        <w:sectPr>
          <w:pgSz w:w="11900" w:h="16838" w:orient="portrait"/>
          <w:cols w:equalWidth="0" w:num="1">
            <w:col w:w="11240"/>
          </w:cols>
          <w:pgMar w:left="320" w:top="89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supplement the Company’s financial information presented in accordance with GAAP and aid understanding of the Company’s business performance, the Company uses certain non-GAAP financial measures, namely “EBITDA,” “Adjusted Operating Income,” “Adjusted Operating Margin,” “Adjusted EBITDA,” “Adjusted EBITDA Margin,” “Adjusted Diluted EPS,” “Adjusted Comparable Stores Sales Growth,” “Adjusted SG&amp;A,” and “Adjusted SG&amp;A Percent of Net Revenue.” We believe EBITDA, Adjusted Operating Income, Adjusted Operating Margin, Adjusted EBITDA, Adjusted EBITDA Margin, Adjusted Diluted EPS, Adjusted SG&amp;A and Adjusted SG&amp;A Percent of Net Revenue assist investors and analysts in comparing our operating performance across reporting periods on a consistent basis by excluding items that we do not believe are indicative of our core operating performance. Management believes these non-GAAP financial measures are useful to investors in highlighting trends in our operating performance, while other measures can differ significantly depending on long-term strategic decisions regarding capital structure, the tax jurisdictions in which we operate and capital investments. Management uses these non-GAAP financial measures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spacing w:after="0" w:line="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supplement the Company’s comparable store sales growth presented in accordance with GAAP, the Company provides “Adjusted Comparable Store Sales Growth,” which is a non-GAAP financial measure we believe is useful because it provides timely and accurate information relating to the two core metrics of retail sales: number of transactions and value of transactions. Management uses Adjusted Comparable Store Sales Growth as the basis for key operating decisions, such as allocation of advertising to particular markets and implementation of special marketing programs. Accordingly, we believe that Adjusted Comparable Store Sales Growth provides timely and accurate information relating to the operational health and overall performance of each brand. We also believe that, for the same reasons, investors find our calculation of Adjusted Comparable Store Sales Growth to be meaningful.</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EBITDA: </w:t>
      </w:r>
      <w:r>
        <w:rPr>
          <w:rFonts w:ascii="Times New Roman" w:cs="Times New Roman" w:eastAsia="Times New Roman" w:hAnsi="Times New Roman"/>
          <w:sz w:val="18"/>
          <w:szCs w:val="18"/>
          <w:color w:val="auto"/>
        </w:rPr>
        <w:t>We define EBITDA as net income, plus interest expense (income), net, income tax provision (benefit) and depreciation and amortization.</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Operating Income: </w:t>
      </w:r>
      <w:r>
        <w:rPr>
          <w:rFonts w:ascii="Times New Roman" w:cs="Times New Roman" w:eastAsia="Times New Roman" w:hAnsi="Times New Roman"/>
          <w:sz w:val="18"/>
          <w:szCs w:val="18"/>
          <w:color w:val="auto"/>
        </w:rPr>
        <w:t>We define Adjusted Operating Income as net income, plus interest expense (income), net and income tax provision (benefit),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further adjusted to exclude stock compensation expense, loss on extinguishment of debt, asset impairment, litigation settlement, secondary offering expenses, management realignment expenses, long-term incentive plan expenses, amortization of acquisition intangibles, and certain other expenses.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Adjusted Operating Margin: </w:t>
      </w:r>
      <w:r>
        <w:rPr>
          <w:rFonts w:ascii="Times New Roman" w:cs="Times New Roman" w:eastAsia="Times New Roman" w:hAnsi="Times New Roman"/>
          <w:sz w:val="18"/>
          <w:szCs w:val="18"/>
          <w:color w:val="auto"/>
        </w:rPr>
        <w:t>We define Adjusted Operating Margin as Adjusted Operating Income as a percentage of net revenue.</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EBITDA: </w:t>
      </w:r>
      <w:r>
        <w:rPr>
          <w:rFonts w:ascii="Times New Roman" w:cs="Times New Roman" w:eastAsia="Times New Roman" w:hAnsi="Times New Roman"/>
          <w:sz w:val="18"/>
          <w:szCs w:val="18"/>
          <w:color w:val="auto"/>
        </w:rPr>
        <w:t>We define Adjusted EBITDA as net income, plus interest expense (income), net, income tax provision (benefit) and depreciation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amortization, further adjusted to exclude stock compensation expense, loss on extinguishment of debt, asset impairment, litigation settlement, secondary offering expenses, management realignment expenses, long-term incentive plan expenses, and certain other expenses.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Adjusted EBITDA Margin: </w:t>
      </w:r>
      <w:r>
        <w:rPr>
          <w:rFonts w:ascii="Times New Roman" w:cs="Times New Roman" w:eastAsia="Times New Roman" w:hAnsi="Times New Roman"/>
          <w:sz w:val="18"/>
          <w:szCs w:val="18"/>
          <w:color w:val="auto"/>
        </w:rPr>
        <w:t>We define Adjusted EBITDA Margin as Adjusted EBITDA as a percentage of net revenue.</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Diluted EPS: </w:t>
      </w:r>
      <w:r>
        <w:rPr>
          <w:rFonts w:ascii="Times New Roman" w:cs="Times New Roman" w:eastAsia="Times New Roman" w:hAnsi="Times New Roman"/>
          <w:sz w:val="18"/>
          <w:szCs w:val="18"/>
          <w:color w:val="auto"/>
        </w:rPr>
        <w:t>We define Adjusted Diluted EPS as diluted earnings per share, adjusted for the per share impact of stock compensation expense,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loss on extinguishment of debt, asset impairment, litigation settlement, secondary offering expenses, management realignment expenses, long-term incentive plan expenses, amortization of acquisition intangibles, amortization of debt discounts and deferred financing costs of the term loan borrowings, amortization of the conversion feature and deferred financing costs related to the 2025 Notes when not required under U.S. GAAP to be added back for diluted earnings per share, losses (gains) on change in fair value of derivatives, certain other expenses, and tax benefit of stock option exercises, less the tax effect of these adjustments. We adjust for amortization of costs related to the 2025 Notes only when adjustment for these costs is not required in the calculation of diluted earnings per share according to U.S. GAAP.</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SG&amp;A: </w:t>
      </w:r>
      <w:r>
        <w:rPr>
          <w:rFonts w:ascii="Times New Roman" w:cs="Times New Roman" w:eastAsia="Times New Roman" w:hAnsi="Times New Roman"/>
          <w:sz w:val="18"/>
          <w:szCs w:val="18"/>
          <w:color w:val="auto"/>
        </w:rPr>
        <w:t>We define Adjusted SG&amp;A as SG&amp;A, adjusted to exclude stock compensation expense, litigation settlement, secondary offering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expenses, management realignment expenses, long-term incentive plan expense, and certain other expenses.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Adjusted SG&amp;A Percent of Net Revenue: </w:t>
      </w:r>
      <w:r>
        <w:rPr>
          <w:rFonts w:ascii="Times New Roman" w:cs="Times New Roman" w:eastAsia="Times New Roman" w:hAnsi="Times New Roman"/>
          <w:sz w:val="18"/>
          <w:szCs w:val="18"/>
          <w:color w:val="auto"/>
        </w:rPr>
        <w:t>We define Adjusted SG&amp;A Percent of Net Revenue as Adjusted SG&amp;A as a percentage of net revenue.</w:t>
      </w:r>
    </w:p>
    <w:p>
      <w:pPr>
        <w:sectPr>
          <w:pgSz w:w="11900" w:h="16838" w:orient="portrait"/>
          <w:cols w:equalWidth="0" w:num="1">
            <w:col w:w="11240"/>
          </w:cols>
          <w:pgMar w:left="320" w:top="887" w:right="339" w:bottom="1440" w:gutter="0" w:footer="0" w:header="0"/>
        </w:sectPr>
      </w:pPr>
    </w:p>
    <w:bookmarkStart w:id="9" w:name="page10"/>
    <w:bookmarkEnd w:id="9"/>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Comparable Store Sales Growth: </w:t>
      </w:r>
      <w:r>
        <w:rPr>
          <w:rFonts w:ascii="Times New Roman" w:cs="Times New Roman" w:eastAsia="Times New Roman" w:hAnsi="Times New Roman"/>
          <w:sz w:val="18"/>
          <w:szCs w:val="18"/>
          <w:color w:val="auto"/>
        </w:rPr>
        <w:t>We measure Adjusted Comparable Store Sales Growth as the increase or decrease in sales recorded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comparable store base in any reporting period, compared to sales recorded by the comparable store base in the prior reporting period, which we calculate as follows: (i) sales are recorded on a cash basis (i.e. when the order is placed and paid for or submitted to a managed care payor, compared to when the order is delivered), utilizing cash basis point of sale information from stores; (ii) stores are added to the calculation during the 13th full fiscal month following the store’s opening; (iii) closed stores are removed from the calculation for time periods that are not comparable; (iv) sales from partial months of operation are excluded when stores do not open or close on the first day of the month; and (v) when applicable, we adjust for the effect of the 53rd week. Quarterly, year-to-date and annual adjusted comparable store sales are aggregated using only sales from all whole months of operation included in both the current reporting period and the prior reporting period. When a partial month is excluded from the calculation, the corresponding month in the subsequent period is also excluded from the calculation. There may be variations in the way in which some of our competitors and other retailers calculate comparable store sales. As a result, our adjusted comparable store sales may not be comparable to similar data made available by other retailers.</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EBITDA, Adjusted Operating Income, Adjusted Operating Margin, Adjusted EBITDA, Adjusted EBITDA Margin, Adjusted Diluted EPS, Adjusted SG&amp;A, Adjusted SG&amp;A Percent of Net Revenue and Adjusted Comparable Store Sales Growth are not recognized terms under U.S. GAAP and should not be considered as an alternative to net income or the ratio of net income to net revenue as a measure of financial performance, SG&amp;A, the ratio of SG&amp;A to net revenue as a measure of financial performance, cash flows provided by operating activities as a measure of liquidity, comparable store sales growth as a measure of operating performance, or any other performance measure derived in accordance with U.S. GAAP. Additionally, these measures are not intended to be a measure of free cash flow available for management’s discretionary use as they do not consider certain cash requirements such as interest payments, tax payments and debt service requirements. The presentations of these measures have limitations as analytical tools and should not be considered in isolation, or as a substitute for analysis of our results as reported under U.S. GAAP. Because not all companies use identical calculations, the presentations of these measures may not be comparable to other similarly titled measures of other companies and can differ significantly from company to company.</w:t>
      </w:r>
    </w:p>
    <w:p>
      <w:pPr>
        <w:spacing w:after="0" w:line="8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Please see “Reconciliation of Non-GAAP to GAAP Financial Measures” below for reconciliations of non-GAAP financial measures used in this release to their most directly comparable GAAP financial measures.</w:t>
      </w:r>
    </w:p>
    <w:p>
      <w:pPr>
        <w:sectPr>
          <w:pgSz w:w="11900" w:h="16838" w:orient="portrait"/>
          <w:cols w:equalWidth="0" w:num="1">
            <w:col w:w="11240"/>
          </w:cols>
          <w:pgMar w:left="320" w:top="88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Par Value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As of</w:t>
            </w:r>
          </w:p>
        </w:tc>
        <w:tc>
          <w:tcPr>
            <w:tcW w:w="260" w:type="dxa"/>
            <w:vAlign w:val="bottom"/>
          </w:tcPr>
          <w:p>
            <w:pPr>
              <w:spacing w:after="0"/>
              <w:rPr>
                <w:sz w:val="17"/>
                <w:szCs w:val="17"/>
                <w:color w:val="auto"/>
              </w:rPr>
            </w:pPr>
          </w:p>
        </w:tc>
        <w:tc>
          <w:tcPr>
            <w:tcW w:w="172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As of</w:t>
            </w:r>
          </w:p>
        </w:tc>
      </w:tr>
      <w:tr>
        <w:trPr>
          <w:trHeight w:val="239"/>
        </w:trPr>
        <w:tc>
          <w:tcPr>
            <w:tcW w:w="7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October 1, 2022</w:t>
            </w:r>
          </w:p>
        </w:tc>
        <w:tc>
          <w:tcPr>
            <w:tcW w:w="260" w:type="dxa"/>
            <w:vAlign w:val="bottom"/>
          </w:tcPr>
          <w:p>
            <w:pPr>
              <w:spacing w:after="0"/>
              <w:rPr>
                <w:sz w:val="20"/>
                <w:szCs w:val="20"/>
                <w:color w:val="auto"/>
              </w:rPr>
            </w:pPr>
          </w:p>
        </w:tc>
        <w:tc>
          <w:tcPr>
            <w:tcW w:w="17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January 1, 2022</w:t>
            </w:r>
          </w:p>
        </w:tc>
      </w:tr>
      <w:tr>
        <w:trPr>
          <w:trHeight w:val="214"/>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r>
      <w:tr>
        <w:trPr>
          <w:trHeight w:val="22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30"/>
        </w:trPr>
        <w:tc>
          <w:tcPr>
            <w:tcW w:w="7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305,800</w:t>
            </w:r>
          </w:p>
        </w:tc>
      </w:tr>
      <w:tr>
        <w:trPr>
          <w:trHeight w:val="229"/>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55,697</w:t>
            </w:r>
          </w:p>
        </w:tc>
      </w:tr>
      <w:tr>
        <w:trPr>
          <w:trHeight w:val="229"/>
        </w:trPr>
        <w:tc>
          <w:tcPr>
            <w:tcW w:w="7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123,669</w:t>
            </w:r>
          </w:p>
        </w:tc>
      </w:tr>
      <w:tr>
        <w:trPr>
          <w:trHeight w:val="230"/>
        </w:trPr>
        <w:tc>
          <w:tcPr>
            <w:tcW w:w="7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34,999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29,410</w:t>
            </w:r>
          </w:p>
        </w:tc>
      </w:tr>
      <w:tr>
        <w:trPr>
          <w:trHeight w:val="223"/>
        </w:trPr>
        <w:tc>
          <w:tcPr>
            <w:tcW w:w="7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477,063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514,576</w:t>
            </w:r>
          </w:p>
        </w:tc>
      </w:tr>
      <w:tr>
        <w:trPr>
          <w:trHeight w:val="216"/>
        </w:trPr>
        <w:tc>
          <w:tcPr>
            <w:tcW w:w="7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29"/>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358,599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346,436</w:t>
            </w:r>
          </w:p>
        </w:tc>
      </w:tr>
      <w:tr>
        <w:trPr>
          <w:trHeight w:val="230"/>
        </w:trPr>
        <w:tc>
          <w:tcPr>
            <w:tcW w:w="7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777,613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777,613</w:t>
            </w:r>
          </w:p>
        </w:tc>
      </w:tr>
      <w:tr>
        <w:trPr>
          <w:trHeight w:val="229"/>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240,547</w:t>
            </w:r>
          </w:p>
        </w:tc>
      </w:tr>
      <w:tr>
        <w:trPr>
          <w:trHeight w:val="229"/>
        </w:trPr>
        <w:tc>
          <w:tcPr>
            <w:tcW w:w="7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42,020</w:t>
            </w:r>
          </w:p>
        </w:tc>
      </w:tr>
      <w:tr>
        <w:trPr>
          <w:trHeight w:val="230"/>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Right of use assets</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379,668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354,900</w:t>
            </w:r>
          </w:p>
        </w:tc>
      </w:tr>
      <w:tr>
        <w:trPr>
          <w:trHeight w:val="229"/>
        </w:trPr>
        <w:tc>
          <w:tcPr>
            <w:tcW w:w="7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16,999</w:t>
            </w:r>
          </w:p>
        </w:tc>
      </w:tr>
      <w:tr>
        <w:trPr>
          <w:trHeight w:val="223"/>
        </w:trPr>
        <w:tc>
          <w:tcPr>
            <w:tcW w:w="71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non-current assets</w:t>
            </w: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1,814,673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1,778,515</w:t>
            </w:r>
          </w:p>
        </w:tc>
      </w:tr>
      <w:tr>
        <w:trPr>
          <w:trHeight w:val="248"/>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2,291,736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2,293,091</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7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20" w:type="dxa"/>
            <w:vAlign w:val="bottom"/>
          </w:tcPr>
          <w:p>
            <w:pPr>
              <w:spacing w:after="0"/>
              <w:rPr>
                <w:sz w:val="9"/>
                <w:szCs w:val="9"/>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2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30"/>
        </w:trPr>
        <w:tc>
          <w:tcPr>
            <w:tcW w:w="7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64,331</w:t>
            </w:r>
          </w:p>
        </w:tc>
      </w:tr>
      <w:tr>
        <w:trPr>
          <w:trHeight w:val="229"/>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payables and accrued expenses</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119,323</w:t>
            </w:r>
          </w:p>
        </w:tc>
      </w:tr>
      <w:tr>
        <w:trPr>
          <w:trHeight w:val="230"/>
        </w:trPr>
        <w:tc>
          <w:tcPr>
            <w:tcW w:w="7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Unearned revenue</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29,895</w:t>
            </w:r>
          </w:p>
        </w:tc>
      </w:tr>
      <w:tr>
        <w:trPr>
          <w:trHeight w:val="230"/>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65,325</w:t>
            </w:r>
          </w:p>
        </w:tc>
      </w:tr>
      <w:tr>
        <w:trPr>
          <w:trHeight w:val="230"/>
        </w:trPr>
        <w:tc>
          <w:tcPr>
            <w:tcW w:w="7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Current maturities of long-term debt and finance lease obligations</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3,999</w:t>
            </w:r>
          </w:p>
        </w:tc>
      </w:tr>
      <w:tr>
        <w:trPr>
          <w:trHeight w:val="229"/>
        </w:trPr>
        <w:tc>
          <w:tcPr>
            <w:tcW w:w="7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Current operating lease obligations</w:t>
            </w: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66,227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60,930</w:t>
            </w:r>
          </w:p>
        </w:tc>
      </w:tr>
      <w:tr>
        <w:trPr>
          <w:trHeight w:val="223"/>
        </w:trPr>
        <w:tc>
          <w:tcPr>
            <w:tcW w:w="7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336,625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343,803</w:t>
            </w:r>
          </w:p>
        </w:tc>
      </w:tr>
      <w:tr>
        <w:trPr>
          <w:trHeight w:val="162"/>
        </w:trPr>
        <w:tc>
          <w:tcPr>
            <w:tcW w:w="7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30"/>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Long-term debt and finance lease obligations, less current portion and debt discount</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564,180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566,081</w:t>
            </w:r>
          </w:p>
        </w:tc>
      </w:tr>
      <w:tr>
        <w:trPr>
          <w:trHeight w:val="230"/>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Non-current operating lease obligations</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342,241</w:t>
            </w:r>
          </w:p>
        </w:tc>
      </w:tr>
      <w:tr>
        <w:trPr>
          <w:trHeight w:val="229"/>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23,166</w:t>
            </w:r>
          </w:p>
        </w:tc>
      </w:tr>
      <w:tr>
        <w:trPr>
          <w:trHeight w:val="230"/>
        </w:trPr>
        <w:tc>
          <w:tcPr>
            <w:tcW w:w="7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8,974</w:t>
            </w:r>
          </w:p>
        </w:tc>
      </w:tr>
      <w:tr>
        <w:trPr>
          <w:trHeight w:val="230"/>
        </w:trPr>
        <w:tc>
          <w:tcPr>
            <w:tcW w:w="7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87,693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82,846</w:t>
            </w:r>
          </w:p>
        </w:tc>
      </w:tr>
      <w:tr>
        <w:trPr>
          <w:trHeight w:val="223"/>
        </w:trPr>
        <w:tc>
          <w:tcPr>
            <w:tcW w:w="7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1,048,186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1,023,308</w:t>
            </w: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175"/>
        </w:trPr>
        <w:tc>
          <w:tcPr>
            <w:tcW w:w="718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Common stock, $0.01 par value; 200,000 shares authorized; 84,173 and 83,840 shares issued as</w:t>
            </w:r>
          </w:p>
        </w:tc>
        <w:tc>
          <w:tcPr>
            <w:tcW w:w="2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75"/>
        </w:trPr>
        <w:tc>
          <w:tcPr>
            <w:tcW w:w="718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of October 1, 2022 and January 1, 2022, respectively; 78,910 and 81,405 shares outstanding as</w:t>
            </w:r>
          </w:p>
        </w:tc>
        <w:tc>
          <w:tcPr>
            <w:tcW w:w="2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43"/>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of October 1, 2022 and January 1, 2022, respectively</w:t>
            </w:r>
          </w:p>
        </w:tc>
        <w:tc>
          <w:tcPr>
            <w:tcW w:w="26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w:t>
            </w:r>
          </w:p>
        </w:tc>
      </w:tr>
      <w:tr>
        <w:trPr>
          <w:trHeight w:val="230"/>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763,166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750,478</w:t>
            </w:r>
          </w:p>
        </w:tc>
      </w:tr>
      <w:tr>
        <w:trPr>
          <w:trHeight w:val="230"/>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w:t>
            </w:r>
          </w:p>
        </w:tc>
      </w:tr>
      <w:tr>
        <w:trPr>
          <w:trHeight w:val="229"/>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278,395</w:t>
            </w:r>
          </w:p>
        </w:tc>
      </w:tr>
      <w:tr>
        <w:trPr>
          <w:trHeight w:val="175"/>
        </w:trPr>
        <w:tc>
          <w:tcPr>
            <w:tcW w:w="718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Treasury stock, at cost; 5,263 and 2,435 shares as of October 1, 2022 and January 1, 2022,</w:t>
            </w:r>
          </w:p>
        </w:tc>
        <w:tc>
          <w:tcPr>
            <w:tcW w:w="2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43"/>
        </w:trPr>
        <w:tc>
          <w:tcPr>
            <w:tcW w:w="7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respectively</w:t>
            </w:r>
          </w:p>
        </w:tc>
        <w:tc>
          <w:tcPr>
            <w:tcW w:w="2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(185,488)</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(101,791)</w:t>
            </w:r>
          </w:p>
        </w:tc>
      </w:tr>
      <w:tr>
        <w:trPr>
          <w:trHeight w:val="223"/>
        </w:trPr>
        <w:tc>
          <w:tcPr>
            <w:tcW w:w="7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906,925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925,980</w:t>
            </w:r>
          </w:p>
        </w:tc>
      </w:tr>
      <w:tr>
        <w:trPr>
          <w:trHeight w:val="22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2,291,736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2,293,091</w:t>
            </w:r>
          </w:p>
        </w:tc>
      </w:tr>
      <w:tr>
        <w:trPr>
          <w:trHeight w:val="20"/>
        </w:trPr>
        <w:tc>
          <w:tcPr>
            <w:tcW w:w="7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765"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Earnings Per Share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60" w:type="dxa"/>
            <w:vAlign w:val="bottom"/>
            <w:gridSpan w:val="5"/>
          </w:tcPr>
          <w:p>
            <w:pPr>
              <w:ind w:left="680"/>
              <w:spacing w:after="0"/>
              <w:rPr>
                <w:sz w:val="20"/>
                <w:szCs w:val="20"/>
                <w:color w:val="auto"/>
              </w:rPr>
            </w:pPr>
            <w:r>
              <w:rPr>
                <w:rFonts w:ascii="Times New Roman" w:cs="Times New Roman" w:eastAsia="Times New Roman" w:hAnsi="Times New Roman"/>
                <w:sz w:val="16"/>
                <w:szCs w:val="16"/>
                <w:color w:val="auto"/>
              </w:rPr>
              <w:t>Three Months Ended</w:t>
            </w:r>
          </w:p>
        </w:tc>
        <w:tc>
          <w:tcPr>
            <w:tcW w:w="140" w:type="dxa"/>
            <w:vAlign w:val="bottom"/>
          </w:tcPr>
          <w:p>
            <w:pPr>
              <w:spacing w:after="0"/>
              <w:rPr>
                <w:sz w:val="18"/>
                <w:szCs w:val="18"/>
                <w:color w:val="auto"/>
              </w:rPr>
            </w:pPr>
          </w:p>
        </w:tc>
        <w:tc>
          <w:tcPr>
            <w:tcW w:w="2880" w:type="dxa"/>
            <w:vAlign w:val="bottom"/>
            <w:gridSpan w:val="4"/>
          </w:tcPr>
          <w:p>
            <w:pPr>
              <w:jc w:val="right"/>
              <w:ind w:right="779"/>
              <w:spacing w:after="0"/>
              <w:rPr>
                <w:sz w:val="20"/>
                <w:szCs w:val="20"/>
                <w:color w:val="auto"/>
              </w:rPr>
            </w:pPr>
            <w:r>
              <w:rPr>
                <w:rFonts w:ascii="Times New Roman" w:cs="Times New Roman" w:eastAsia="Times New Roman" w:hAnsi="Times New Roman"/>
                <w:sz w:val="16"/>
                <w:szCs w:val="16"/>
                <w:color w:val="auto"/>
              </w:rPr>
              <w:t>Nine Months Ended</w:t>
            </w:r>
          </w:p>
        </w:tc>
      </w:tr>
      <w:tr>
        <w:trPr>
          <w:trHeight w:val="210"/>
        </w:trPr>
        <w:tc>
          <w:tcPr>
            <w:tcW w:w="5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October 1, 2022</w:t>
            </w: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October 2, 2021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October 1, 2022</w:t>
            </w: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October 2, 2021</w:t>
            </w:r>
          </w:p>
        </w:tc>
      </w:tr>
      <w:tr>
        <w:trPr>
          <w:trHeight w:val="199"/>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4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r>
      <w:tr>
        <w:trPr>
          <w:trHeight w:val="213"/>
        </w:trPr>
        <w:tc>
          <w:tcPr>
            <w:tcW w:w="51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product sales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410,701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425,594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1,265,554</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1,326,867</w:t>
            </w:r>
          </w:p>
        </w:tc>
      </w:tr>
      <w:tr>
        <w:trPr>
          <w:trHeight w:val="219"/>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sales of services and plans</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88,506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92,411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270,919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274,807</w:t>
            </w:r>
          </w:p>
        </w:tc>
      </w:tr>
      <w:tr>
        <w:trPr>
          <w:trHeight w:val="207"/>
        </w:trPr>
        <w:tc>
          <w:tcPr>
            <w:tcW w:w="51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net revenue</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499,207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518,005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1,536,473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1,601,674</w:t>
            </w:r>
          </w:p>
        </w:tc>
      </w:tr>
      <w:tr>
        <w:trPr>
          <w:trHeight w:val="21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Costs applicable to revenue (exclusive of depreciation and amortization):</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3"/>
        </w:trPr>
        <w:tc>
          <w:tcPr>
            <w:tcW w:w="51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Products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160,645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158,371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488,225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485,090</w:t>
            </w:r>
          </w:p>
        </w:tc>
      </w:tr>
      <w:tr>
        <w:trPr>
          <w:trHeight w:val="219"/>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Services and plans</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72,155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68,087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215,179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202,004</w:t>
            </w:r>
          </w:p>
        </w:tc>
      </w:tr>
      <w:tr>
        <w:trPr>
          <w:trHeight w:val="207"/>
        </w:trPr>
        <w:tc>
          <w:tcPr>
            <w:tcW w:w="51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costs applicable to revenue</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232,800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226,458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703,404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687,094</w:t>
            </w:r>
          </w:p>
        </w:tc>
      </w:tr>
      <w:tr>
        <w:trPr>
          <w:trHeight w:val="21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3"/>
        </w:trPr>
        <w:tc>
          <w:tcPr>
            <w:tcW w:w="51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225,028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218,214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681,411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676,042</w:t>
            </w:r>
          </w:p>
        </w:tc>
      </w:tr>
      <w:tr>
        <w:trPr>
          <w:trHeight w:val="219"/>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75,248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72,639</w:t>
            </w:r>
          </w:p>
        </w:tc>
      </w:tr>
      <w:tr>
        <w:trPr>
          <w:trHeight w:val="213"/>
        </w:trPr>
        <w:tc>
          <w:tcPr>
            <w:tcW w:w="51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Asset impairment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1,478</w:t>
            </w:r>
          </w:p>
        </w:tc>
      </w:tr>
      <w:tr>
        <w:trPr>
          <w:trHeight w:val="219"/>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expense (income), net</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(2,567)</w:t>
            </w:r>
          </w:p>
        </w:tc>
      </w:tr>
      <w:tr>
        <w:trPr>
          <w:trHeight w:val="207"/>
        </w:trPr>
        <w:tc>
          <w:tcPr>
            <w:tcW w:w="51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251,048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240,836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762,007</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747,592</w:t>
            </w:r>
          </w:p>
        </w:tc>
      </w:tr>
      <w:tr>
        <w:trPr>
          <w:trHeight w:val="21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15,359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71,062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166,988</w:t>
            </w:r>
          </w:p>
        </w:tc>
      </w:tr>
      <w:tr>
        <w:trPr>
          <w:trHeight w:val="213"/>
        </w:trPr>
        <w:tc>
          <w:tcPr>
            <w:tcW w:w="5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Interest expense (income), net</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5,743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(2,158)</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22,261</w:t>
            </w:r>
          </w:p>
        </w:tc>
      </w:tr>
      <w:tr>
        <w:trPr>
          <w:trHeight w:val="21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17,336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73,220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144,727</w:t>
            </w:r>
          </w:p>
        </w:tc>
      </w:tr>
      <w:tr>
        <w:trPr>
          <w:trHeight w:val="213"/>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5,834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21,837</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22,702</w:t>
            </w:r>
          </w:p>
        </w:tc>
      </w:tr>
      <w:tr>
        <w:trPr>
          <w:trHeight w:val="237"/>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40,992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51,383</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122,025</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share:</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3"/>
        </w:trPr>
        <w:tc>
          <w:tcPr>
            <w:tcW w:w="51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0.64</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r>
      <w:tr>
        <w:trPr>
          <w:trHeight w:val="219"/>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r>
      <w:tr>
        <w:trPr>
          <w:trHeight w:val="214"/>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shares outstanding:</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8"/>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82,290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80,133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81,729</w:t>
            </w:r>
          </w:p>
        </w:tc>
      </w:tr>
      <w:tr>
        <w:trPr>
          <w:trHeight w:val="213"/>
        </w:trPr>
        <w:tc>
          <w:tcPr>
            <w:tcW w:w="51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93,477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96,193</w:t>
            </w:r>
          </w:p>
        </w:tc>
      </w:tr>
      <w:tr>
        <w:trPr>
          <w:trHeight w:val="273"/>
        </w:trPr>
        <w:tc>
          <w:tcPr>
            <w:tcW w:w="5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14"/>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8"/>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40,992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51,383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122,025</w:t>
            </w:r>
          </w:p>
        </w:tc>
      </w:tr>
      <w:tr>
        <w:trPr>
          <w:trHeight w:val="213"/>
        </w:trPr>
        <w:tc>
          <w:tcPr>
            <w:tcW w:w="51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Unrealized gain on hedge instruments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4,949</w:t>
            </w:r>
          </w:p>
        </w:tc>
      </w:tr>
      <w:tr>
        <w:trPr>
          <w:trHeight w:val="216"/>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Tax provision of unrealized gain on hedge instruments</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3,389</w:t>
            </w:r>
          </w:p>
        </w:tc>
      </w:tr>
      <w:tr>
        <w:trPr>
          <w:trHeight w:val="212"/>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11,692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41,245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51,951</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123,585</w:t>
            </w:r>
          </w:p>
        </w:tc>
      </w:tr>
      <w:tr>
        <w:trPr>
          <w:trHeight w:val="20"/>
        </w:trPr>
        <w:tc>
          <w:tcPr>
            <w:tcW w:w="5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The 2025 Notes were antidilutive for the three months ended October 1, 2022 and, therefore, excluded from the computation of the weighted average shares for diluted EPS.</w:t>
      </w:r>
    </w:p>
    <w:p>
      <w:pPr>
        <w:sectPr>
          <w:pgSz w:w="11900" w:h="16838" w:orient="portrait"/>
          <w:cols w:equalWidth="0" w:num="1">
            <w:col w:w="11240"/>
          </w:cols>
          <w:pgMar w:left="320" w:top="765"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799"/>
              <w:spacing w:after="0"/>
              <w:rPr>
                <w:sz w:val="20"/>
                <w:szCs w:val="20"/>
                <w:color w:val="auto"/>
              </w:rPr>
            </w:pPr>
            <w:r>
              <w:rPr>
                <w:rFonts w:ascii="Times New Roman" w:cs="Times New Roman" w:eastAsia="Times New Roman" w:hAnsi="Times New Roman"/>
                <w:sz w:val="16"/>
                <w:szCs w:val="16"/>
                <w:color w:val="auto"/>
              </w:rPr>
              <w:t>Nine Months Ended</w:t>
            </w:r>
          </w:p>
        </w:tc>
      </w:tr>
      <w:tr>
        <w:trPr>
          <w:trHeight w:val="210"/>
        </w:trPr>
        <w:tc>
          <w:tcPr>
            <w:tcW w:w="8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October 1, 2022</w:t>
            </w:r>
          </w:p>
        </w:tc>
        <w:tc>
          <w:tcPr>
            <w:tcW w:w="160" w:type="dxa"/>
            <w:vAlign w:val="bottom"/>
          </w:tcPr>
          <w:p>
            <w:pPr>
              <w:spacing w:after="0"/>
              <w:rPr>
                <w:sz w:val="18"/>
                <w:szCs w:val="18"/>
                <w:color w:val="auto"/>
              </w:rPr>
            </w:pPr>
          </w:p>
        </w:tc>
        <w:tc>
          <w:tcPr>
            <w:tcW w:w="1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October 2, 2021</w:t>
            </w:r>
          </w:p>
        </w:tc>
      </w:tr>
      <w:tr>
        <w:trPr>
          <w:trHeight w:val="199"/>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51,383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122,025</w:t>
            </w: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3"/>
        </w:trPr>
        <w:tc>
          <w:tcPr>
            <w:tcW w:w="8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72,639</w:t>
            </w:r>
          </w:p>
        </w:tc>
      </w:tr>
      <w:tr>
        <w:trPr>
          <w:trHeight w:val="219"/>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debt discount and deferred financing costs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3,140</w:t>
            </w:r>
          </w:p>
        </w:tc>
      </w:tr>
      <w:tr>
        <w:trPr>
          <w:trHeight w:val="213"/>
        </w:trPr>
        <w:tc>
          <w:tcPr>
            <w:tcW w:w="8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Asset impairment</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1,478</w:t>
            </w:r>
          </w:p>
        </w:tc>
      </w:tr>
      <w:tr>
        <w:trPr>
          <w:trHeight w:val="219"/>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income tax expense</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23,585</w:t>
            </w:r>
          </w:p>
        </w:tc>
      </w:tr>
      <w:tr>
        <w:trPr>
          <w:trHeight w:val="213"/>
        </w:trPr>
        <w:tc>
          <w:tcPr>
            <w:tcW w:w="8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 based compensation expense</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13,866</w:t>
            </w:r>
          </w:p>
        </w:tc>
      </w:tr>
      <w:tr>
        <w:trPr>
          <w:trHeight w:val="219"/>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Losses (gains) on change in fair value of derivatives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w:t>
            </w:r>
          </w:p>
        </w:tc>
      </w:tr>
      <w:tr>
        <w:trPr>
          <w:trHeight w:val="213"/>
        </w:trPr>
        <w:tc>
          <w:tcPr>
            <w:tcW w:w="8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Inventory adjustments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1,546</w:t>
            </w:r>
          </w:p>
        </w:tc>
      </w:tr>
      <w:tr>
        <w:trPr>
          <w:trHeight w:val="219"/>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9"/>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2,746</w:t>
            </w:r>
          </w:p>
        </w:tc>
      </w:tr>
      <w:tr>
        <w:trPr>
          <w:trHeight w:val="213"/>
        </w:trPr>
        <w:tc>
          <w:tcPr>
            <w:tcW w:w="8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Inventories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(14,909)</w:t>
            </w:r>
          </w:p>
        </w:tc>
      </w:tr>
      <w:tr>
        <w:trPr>
          <w:trHeight w:val="219"/>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lease right of use assets and lease liabilities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w:t>
            </w:r>
          </w:p>
        </w:tc>
      </w:tr>
      <w:tr>
        <w:trPr>
          <w:trHeight w:val="213"/>
        </w:trPr>
        <w:tc>
          <w:tcPr>
            <w:tcW w:w="8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assets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(6,813)</w:t>
            </w:r>
          </w:p>
        </w:tc>
      </w:tr>
      <w:tr>
        <w:trPr>
          <w:trHeight w:val="219"/>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11,263</w:t>
            </w:r>
          </w:p>
        </w:tc>
      </w:tr>
      <w:tr>
        <w:trPr>
          <w:trHeight w:val="213"/>
        </w:trPr>
        <w:tc>
          <w:tcPr>
            <w:tcW w:w="8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and unearned revenue</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15,699</w:t>
            </w:r>
          </w:p>
        </w:tc>
      </w:tr>
      <w:tr>
        <w:trPr>
          <w:trHeight w:val="219"/>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(16,399)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(11,339)</w:t>
            </w:r>
          </w:p>
        </w:tc>
      </w:tr>
      <w:tr>
        <w:trPr>
          <w:trHeight w:val="207"/>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121,337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233,807</w:t>
            </w:r>
          </w:p>
        </w:tc>
      </w:tr>
      <w:tr>
        <w:trPr>
          <w:trHeight w:val="19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13"/>
        </w:trPr>
        <w:tc>
          <w:tcPr>
            <w:tcW w:w="8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(58,920)</w:t>
            </w:r>
          </w:p>
        </w:tc>
      </w:tr>
      <w:tr>
        <w:trPr>
          <w:trHeight w:val="219"/>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2,475</w:t>
            </w:r>
          </w:p>
        </w:tc>
      </w:tr>
      <w:tr>
        <w:trPr>
          <w:trHeight w:val="207"/>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for investing activities</w:t>
            </w: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(86,067)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(56,445)</w:t>
            </w:r>
          </w:p>
        </w:tc>
      </w:tr>
      <w:tr>
        <w:trPr>
          <w:trHeight w:val="19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13"/>
        </w:trPr>
        <w:tc>
          <w:tcPr>
            <w:tcW w:w="8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Repayments on long-term debt</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(117,375)</w:t>
            </w:r>
          </w:p>
        </w:tc>
      </w:tr>
      <w:tr>
        <w:trPr>
          <w:trHeight w:val="219"/>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issuance of common stock</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11,170</w:t>
            </w:r>
          </w:p>
        </w:tc>
      </w:tr>
      <w:tr>
        <w:trPr>
          <w:trHeight w:val="213"/>
        </w:trPr>
        <w:tc>
          <w:tcPr>
            <w:tcW w:w="8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(1,414)</w:t>
            </w:r>
          </w:p>
        </w:tc>
      </w:tr>
      <w:tr>
        <w:trPr>
          <w:trHeight w:val="219"/>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of debt issuance costs</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w:t>
            </w:r>
          </w:p>
        </w:tc>
      </w:tr>
      <w:tr>
        <w:trPr>
          <w:trHeight w:val="213"/>
        </w:trPr>
        <w:tc>
          <w:tcPr>
            <w:tcW w:w="8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Payments on finance lease obligations</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(3,546)</w:t>
            </w:r>
          </w:p>
        </w:tc>
      </w:tr>
      <w:tr>
        <w:trPr>
          <w:trHeight w:val="21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for financing activities</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(84,624)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(112,065)</w:t>
            </w:r>
          </w:p>
        </w:tc>
      </w:tr>
      <w:tr>
        <w:trPr>
          <w:trHeight w:val="207"/>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(49,354)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65,297</w:t>
            </w: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year</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306,876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375,159</w:t>
            </w:r>
          </w:p>
        </w:tc>
      </w:tr>
      <w:tr>
        <w:trPr>
          <w:trHeight w:val="212"/>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257,522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440,456</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29"/>
        </w:trPr>
        <w:tc>
          <w:tcPr>
            <w:tcW w:w="8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r>
      <w:tr>
        <w:trPr>
          <w:trHeight w:val="214"/>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disclosure information:</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interest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17,316</w:t>
            </w: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taxes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9,293</w:t>
            </w: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 expenditures accrued at the end of the period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10,455</w:t>
            </w:r>
          </w:p>
        </w:tc>
      </w:tr>
    </w:tbl>
    <w:p>
      <w:pPr>
        <w:sectPr>
          <w:pgSz w:w="11900" w:h="16838" w:orient="portrait"/>
          <w:cols w:equalWidth="0" w:num="1">
            <w:col w:w="11240"/>
          </w:cols>
          <w:pgMar w:left="320" w:top="873"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to GAAP Financial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Per Share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Adjusted Operating Income to Net Income</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5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40" w:type="dxa"/>
            <w:vAlign w:val="bottom"/>
            <w:gridSpan w:val="5"/>
          </w:tcPr>
          <w:p>
            <w:pPr>
              <w:ind w:left="660"/>
              <w:spacing w:after="0"/>
              <w:rPr>
                <w:sz w:val="20"/>
                <w:szCs w:val="20"/>
                <w:color w:val="auto"/>
              </w:rPr>
            </w:pPr>
            <w:r>
              <w:rPr>
                <w:rFonts w:ascii="Times New Roman" w:cs="Times New Roman" w:eastAsia="Times New Roman" w:hAnsi="Times New Roman"/>
                <w:sz w:val="16"/>
                <w:szCs w:val="16"/>
                <w:color w:val="auto"/>
              </w:rPr>
              <w:t>Three Months Ended</w:t>
            </w:r>
          </w:p>
        </w:tc>
        <w:tc>
          <w:tcPr>
            <w:tcW w:w="140" w:type="dxa"/>
            <w:vAlign w:val="bottom"/>
          </w:tcPr>
          <w:p>
            <w:pPr>
              <w:spacing w:after="0"/>
              <w:rPr>
                <w:sz w:val="18"/>
                <w:szCs w:val="18"/>
                <w:color w:val="auto"/>
              </w:rPr>
            </w:pPr>
          </w:p>
        </w:tc>
        <w:tc>
          <w:tcPr>
            <w:tcW w:w="2840" w:type="dxa"/>
            <w:vAlign w:val="bottom"/>
            <w:gridSpan w:val="4"/>
          </w:tcPr>
          <w:p>
            <w:pPr>
              <w:jc w:val="right"/>
              <w:ind w:right="759"/>
              <w:spacing w:after="0"/>
              <w:rPr>
                <w:sz w:val="20"/>
                <w:szCs w:val="20"/>
                <w:color w:val="auto"/>
              </w:rPr>
            </w:pPr>
            <w:r>
              <w:rPr>
                <w:rFonts w:ascii="Times New Roman" w:cs="Times New Roman" w:eastAsia="Times New Roman" w:hAnsi="Times New Roman"/>
                <w:sz w:val="16"/>
                <w:szCs w:val="16"/>
                <w:color w:val="auto"/>
              </w:rPr>
              <w:t>Nine Months Ended</w:t>
            </w:r>
          </w:p>
        </w:tc>
      </w:tr>
      <w:tr>
        <w:trPr>
          <w:trHeight w:val="21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October 1, 2022</w:t>
            </w: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October 2, 2021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October 1, 2022</w:t>
            </w: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October 2, 2021</w:t>
            </w:r>
          </w:p>
        </w:tc>
      </w:tr>
      <w:tr>
        <w:trPr>
          <w:trHeight w:val="212"/>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11,502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40,992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51,383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122,025</w:t>
            </w:r>
          </w:p>
        </w:tc>
      </w:tr>
      <w:tr>
        <w:trPr>
          <w:trHeight w:val="21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(income)</w:t>
            </w:r>
          </w:p>
        </w:tc>
        <w:tc>
          <w:tcPr>
            <w:tcW w:w="140" w:type="dxa"/>
            <w:vAlign w:val="bottom"/>
          </w:tcPr>
          <w:p>
            <w:pPr>
              <w:spacing w:after="0"/>
              <w:rPr>
                <w:sz w:val="18"/>
                <w:szCs w:val="18"/>
                <w:color w:val="auto"/>
              </w:rPr>
            </w:pPr>
          </w:p>
        </w:tc>
        <w:tc>
          <w:tcPr>
            <w:tcW w:w="1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(1,977)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5,743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(2,158)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22,261</w:t>
            </w:r>
          </w:p>
        </w:tc>
      </w:tr>
      <w:tr>
        <w:trPr>
          <w:trHeight w:val="21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5,834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3,976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21,837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22,702</w:t>
            </w:r>
          </w:p>
        </w:tc>
      </w:tr>
      <w:tr>
        <w:trPr>
          <w:trHeight w:val="216"/>
        </w:trPr>
        <w:tc>
          <w:tcPr>
            <w:tcW w:w="51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Stock compensation expense </w:t>
            </w:r>
            <w:r>
              <w:rPr>
                <w:rFonts w:ascii="Times New Roman" w:cs="Times New Roman" w:eastAsia="Times New Roman" w:hAnsi="Times New Roman"/>
                <w:sz w:val="21"/>
                <w:szCs w:val="21"/>
                <w:color w:val="auto"/>
                <w:vertAlign w:val="superscript"/>
              </w:rPr>
              <w:t>(a)</w:t>
            </w:r>
          </w:p>
        </w:tc>
        <w:tc>
          <w:tcPr>
            <w:tcW w:w="14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3,168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3,665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10,540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13,866</w:t>
            </w:r>
          </w:p>
        </w:tc>
      </w:tr>
      <w:tr>
        <w:trPr>
          <w:trHeight w:val="216"/>
        </w:trPr>
        <w:tc>
          <w:tcPr>
            <w:tcW w:w="51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Asset impairment </w:t>
            </w:r>
            <w:r>
              <w:rPr>
                <w:rFonts w:ascii="Times New Roman" w:cs="Times New Roman" w:eastAsia="Times New Roman" w:hAnsi="Times New Roman"/>
                <w:sz w:val="21"/>
                <w:szCs w:val="21"/>
                <w:color w:val="auto"/>
                <w:vertAlign w:val="superscript"/>
              </w:rPr>
              <w:t>(b)</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1,263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5,178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1,478</w:t>
            </w:r>
          </w:p>
        </w:tc>
      </w:tr>
      <w:tr>
        <w:trPr>
          <w:trHeight w:val="216"/>
        </w:trPr>
        <w:tc>
          <w:tcPr>
            <w:tcW w:w="51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Amortization of acquisition intangibles </w:t>
            </w:r>
            <w:r>
              <w:rPr>
                <w:rFonts w:ascii="Times New Roman" w:cs="Times New Roman" w:eastAsia="Times New Roman" w:hAnsi="Times New Roman"/>
                <w:sz w:val="21"/>
                <w:szCs w:val="21"/>
                <w:color w:val="auto"/>
                <w:vertAlign w:val="superscript"/>
              </w:rPr>
              <w:t>(c)</w:t>
            </w:r>
          </w:p>
        </w:tc>
        <w:tc>
          <w:tcPr>
            <w:tcW w:w="14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5,616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5,616</w:t>
            </w:r>
          </w:p>
        </w:tc>
      </w:tr>
      <w:tr>
        <w:trPr>
          <w:trHeight w:val="216"/>
        </w:trPr>
        <w:tc>
          <w:tcPr>
            <w:tcW w:w="51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(f)</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(1,512)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2,151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w:t>
            </w:r>
          </w:p>
        </w:tc>
      </w:tr>
      <w:tr>
        <w:trPr>
          <w:trHeight w:val="209"/>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Adjusted Operating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21,463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54,736</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94,547</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187,985</w:t>
            </w: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29"/>
        </w:trPr>
        <w:tc>
          <w:tcPr>
            <w:tcW w:w="5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r>
      <w:tr>
        <w:trPr>
          <w:trHeight w:val="214"/>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Net income margin</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7.6 %</w:t>
            </w:r>
          </w:p>
        </w:tc>
      </w:tr>
      <w:tr>
        <w:trPr>
          <w:trHeight w:val="218"/>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Adjusted Operating Margin</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11.7 %</w:t>
            </w:r>
          </w:p>
        </w:tc>
      </w:tr>
      <w:tr>
        <w:trPr>
          <w:trHeight w:val="188"/>
        </w:trPr>
        <w:tc>
          <w:tcPr>
            <w:tcW w:w="53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Note: Percentages reflect line item as a percentage of net revenue, adjusted for rounding</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589"/>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EBITDA and Adjusted EBITDA to Net Income</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16"/>
        </w:trPr>
        <w:tc>
          <w:tcPr>
            <w:tcW w:w="5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40" w:type="dxa"/>
            <w:vAlign w:val="bottom"/>
            <w:gridSpan w:val="5"/>
          </w:tcPr>
          <w:p>
            <w:pPr>
              <w:ind w:left="660"/>
              <w:spacing w:after="0"/>
              <w:rPr>
                <w:sz w:val="20"/>
                <w:szCs w:val="20"/>
                <w:color w:val="auto"/>
              </w:rPr>
            </w:pPr>
            <w:r>
              <w:rPr>
                <w:rFonts w:ascii="Times New Roman" w:cs="Times New Roman" w:eastAsia="Times New Roman" w:hAnsi="Times New Roman"/>
                <w:sz w:val="16"/>
                <w:szCs w:val="16"/>
                <w:color w:val="auto"/>
              </w:rPr>
              <w:t>Three Months Ended</w:t>
            </w:r>
          </w:p>
        </w:tc>
        <w:tc>
          <w:tcPr>
            <w:tcW w:w="140" w:type="dxa"/>
            <w:vAlign w:val="bottom"/>
          </w:tcPr>
          <w:p>
            <w:pPr>
              <w:spacing w:after="0"/>
              <w:rPr>
                <w:sz w:val="18"/>
                <w:szCs w:val="18"/>
                <w:color w:val="auto"/>
              </w:rPr>
            </w:pPr>
          </w:p>
        </w:tc>
        <w:tc>
          <w:tcPr>
            <w:tcW w:w="2840" w:type="dxa"/>
            <w:vAlign w:val="bottom"/>
            <w:gridSpan w:val="4"/>
          </w:tcPr>
          <w:p>
            <w:pPr>
              <w:jc w:val="right"/>
              <w:ind w:right="759"/>
              <w:spacing w:after="0"/>
              <w:rPr>
                <w:sz w:val="20"/>
                <w:szCs w:val="20"/>
                <w:color w:val="auto"/>
              </w:rPr>
            </w:pPr>
            <w:r>
              <w:rPr>
                <w:rFonts w:ascii="Times New Roman" w:cs="Times New Roman" w:eastAsia="Times New Roman" w:hAnsi="Times New Roman"/>
                <w:sz w:val="16"/>
                <w:szCs w:val="16"/>
                <w:color w:val="auto"/>
              </w:rPr>
              <w:t>Nine Months Ended</w:t>
            </w:r>
          </w:p>
        </w:tc>
      </w:tr>
      <w:tr>
        <w:trPr>
          <w:trHeight w:val="21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October 1, 2022</w:t>
            </w: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October 2, 2021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October 1, 2022</w:t>
            </w: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October 2, 2021</w:t>
            </w:r>
          </w:p>
        </w:tc>
      </w:tr>
      <w:tr>
        <w:trPr>
          <w:trHeight w:val="212"/>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11,502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40,992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51,383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122,025</w:t>
            </w:r>
          </w:p>
        </w:tc>
      </w:tr>
      <w:tr>
        <w:trPr>
          <w:trHeight w:val="21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(income)</w:t>
            </w:r>
          </w:p>
        </w:tc>
        <w:tc>
          <w:tcPr>
            <w:tcW w:w="140" w:type="dxa"/>
            <w:vAlign w:val="bottom"/>
          </w:tcPr>
          <w:p>
            <w:pPr>
              <w:spacing w:after="0"/>
              <w:rPr>
                <w:sz w:val="18"/>
                <w:szCs w:val="18"/>
                <w:color w:val="auto"/>
              </w:rPr>
            </w:pPr>
          </w:p>
        </w:tc>
        <w:tc>
          <w:tcPr>
            <w:tcW w:w="1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(1,977)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5,743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(2,158)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22,261</w:t>
            </w:r>
          </w:p>
        </w:tc>
      </w:tr>
      <w:tr>
        <w:trPr>
          <w:trHeight w:val="21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5,834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3,976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21,837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22,702</w:t>
            </w:r>
          </w:p>
        </w:tc>
      </w:tr>
      <w:tr>
        <w:trPr>
          <w:trHeight w:val="213"/>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24,852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25,059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75,248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72,639</w:t>
            </w:r>
          </w:p>
        </w:tc>
      </w:tr>
      <w:tr>
        <w:trPr>
          <w:trHeight w:val="212"/>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EBITDA</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40,211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75,770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146,310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239,627</w:t>
            </w:r>
          </w:p>
        </w:tc>
      </w:tr>
      <w:tr>
        <w:trPr>
          <w:trHeight w:val="162"/>
        </w:trPr>
        <w:tc>
          <w:tcPr>
            <w:tcW w:w="5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16"/>
        </w:trPr>
        <w:tc>
          <w:tcPr>
            <w:tcW w:w="51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Stock compensation expense </w:t>
            </w:r>
            <w:r>
              <w:rPr>
                <w:rFonts w:ascii="Times New Roman" w:cs="Times New Roman" w:eastAsia="Times New Roman" w:hAnsi="Times New Roman"/>
                <w:sz w:val="21"/>
                <w:szCs w:val="21"/>
                <w:color w:val="auto"/>
                <w:vertAlign w:val="superscript"/>
              </w:rPr>
              <w:t>(a)</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3,168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3,665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10,540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13,866</w:t>
            </w:r>
          </w:p>
        </w:tc>
      </w:tr>
      <w:tr>
        <w:trPr>
          <w:trHeight w:val="216"/>
        </w:trPr>
        <w:tc>
          <w:tcPr>
            <w:tcW w:w="51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Asset impairment </w:t>
            </w:r>
            <w:r>
              <w:rPr>
                <w:rFonts w:ascii="Times New Roman" w:cs="Times New Roman" w:eastAsia="Times New Roman" w:hAnsi="Times New Roman"/>
                <w:sz w:val="21"/>
                <w:szCs w:val="21"/>
                <w:color w:val="auto"/>
                <w:vertAlign w:val="superscript"/>
              </w:rPr>
              <w:t>(b)</w:t>
            </w:r>
          </w:p>
        </w:tc>
        <w:tc>
          <w:tcPr>
            <w:tcW w:w="14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1,263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5,178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1,478</w:t>
            </w:r>
          </w:p>
        </w:tc>
      </w:tr>
      <w:tr>
        <w:trPr>
          <w:trHeight w:val="216"/>
        </w:trPr>
        <w:tc>
          <w:tcPr>
            <w:tcW w:w="51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(f)</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(1,512)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2,151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w:t>
            </w:r>
          </w:p>
        </w:tc>
      </w:tr>
      <w:tr>
        <w:trPr>
          <w:trHeight w:val="210"/>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44,443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77,923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164,179</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255,008</w:t>
            </w: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29"/>
        </w:trPr>
        <w:tc>
          <w:tcPr>
            <w:tcW w:w="5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r>
      <w:tr>
        <w:trPr>
          <w:trHeight w:val="214"/>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Net income margin</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7.6 %</w:t>
            </w:r>
          </w:p>
        </w:tc>
      </w:tr>
      <w:tr>
        <w:trPr>
          <w:trHeight w:val="218"/>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Adjusted EBITDA Margin</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15.9 %</w:t>
            </w:r>
          </w:p>
        </w:tc>
      </w:tr>
    </w:tbl>
    <w:p>
      <w:pPr>
        <w:ind w:left="140"/>
        <w:spacing w:after="0"/>
        <w:rPr>
          <w:sz w:val="20"/>
          <w:szCs w:val="20"/>
          <w:color w:val="auto"/>
        </w:rPr>
      </w:pPr>
      <w:r>
        <w:rPr>
          <w:rFonts w:ascii="Times New Roman" w:cs="Times New Roman" w:eastAsia="Times New Roman" w:hAnsi="Times New Roman"/>
          <w:sz w:val="14"/>
          <w:szCs w:val="14"/>
          <w:color w:val="auto"/>
        </w:rPr>
        <w:t>Note: Percentages reflect line item as a percentage of net revenue, adjusted for rounding</w:t>
      </w:r>
    </w:p>
    <w:p>
      <w:pPr>
        <w:sectPr>
          <w:pgSz w:w="11900" w:h="16838" w:orient="portrait"/>
          <w:cols w:equalWidth="0" w:num="1">
            <w:col w:w="11240"/>
          </w:cols>
          <w:pgMar w:left="320" w:top="887"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2"/>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Adjusted Diluted EPS to Diluted EPS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6"/>
          </w:tcPr>
          <w:p>
            <w:pPr>
              <w:jc w:val="right"/>
              <w:ind w:right="319"/>
              <w:spacing w:after="0"/>
              <w:rPr>
                <w:sz w:val="20"/>
                <w:szCs w:val="20"/>
                <w:color w:val="auto"/>
              </w:rPr>
            </w:pPr>
            <w:r>
              <w:rPr>
                <w:rFonts w:ascii="Times New Roman" w:cs="Times New Roman" w:eastAsia="Times New Roman" w:hAnsi="Times New Roman"/>
                <w:sz w:val="16"/>
                <w:szCs w:val="16"/>
                <w:color w:val="auto"/>
              </w:rPr>
              <w:t>Three Months Ended</w:t>
            </w: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6"/>
          </w:tcPr>
          <w:p>
            <w:pPr>
              <w:jc w:val="right"/>
              <w:ind w:right="699"/>
              <w:spacing w:after="0"/>
              <w:rPr>
                <w:sz w:val="20"/>
                <w:szCs w:val="20"/>
                <w:color w:val="auto"/>
              </w:rPr>
            </w:pPr>
            <w:r>
              <w:rPr>
                <w:rFonts w:ascii="Times New Roman" w:cs="Times New Roman" w:eastAsia="Times New Roman" w:hAnsi="Times New Roman"/>
                <w:sz w:val="16"/>
                <w:szCs w:val="16"/>
                <w:color w:val="auto"/>
              </w:rPr>
              <w:t>Nine Months Ended</w:t>
            </w:r>
          </w:p>
        </w:tc>
        <w:tc>
          <w:tcPr>
            <w:tcW w:w="0" w:type="dxa"/>
            <w:vAlign w:val="bottom"/>
          </w:tcPr>
          <w:p>
            <w:pPr>
              <w:spacing w:after="0"/>
              <w:rPr>
                <w:sz w:val="1"/>
                <w:szCs w:val="1"/>
                <w:color w:val="auto"/>
              </w:rPr>
            </w:pPr>
          </w:p>
        </w:tc>
      </w:tr>
      <w:tr>
        <w:trPr>
          <w:trHeight w:val="213"/>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amounts</w:t>
            </w:r>
          </w:p>
        </w:tc>
        <w:tc>
          <w:tcPr>
            <w:tcW w:w="3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4"/>
          </w:tcPr>
          <w:p>
            <w:pPr>
              <w:jc w:val="right"/>
              <w:ind w:right="99"/>
              <w:spacing w:after="0"/>
              <w:rPr>
                <w:sz w:val="20"/>
                <w:szCs w:val="20"/>
                <w:color w:val="auto"/>
              </w:rPr>
            </w:pPr>
            <w:r>
              <w:rPr>
                <w:rFonts w:ascii="Times New Roman" w:cs="Times New Roman" w:eastAsia="Times New Roman" w:hAnsi="Times New Roman"/>
                <w:sz w:val="16"/>
                <w:szCs w:val="16"/>
                <w:color w:val="auto"/>
              </w:rPr>
              <w:t>October 1, 2022</w:t>
            </w: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4"/>
          </w:tcPr>
          <w:p>
            <w:pPr>
              <w:jc w:val="right"/>
              <w:ind w:right="79"/>
              <w:spacing w:after="0"/>
              <w:rPr>
                <w:sz w:val="20"/>
                <w:szCs w:val="20"/>
                <w:color w:val="auto"/>
              </w:rPr>
            </w:pPr>
            <w:r>
              <w:rPr>
                <w:rFonts w:ascii="Times New Roman" w:cs="Times New Roman" w:eastAsia="Times New Roman" w:hAnsi="Times New Roman"/>
                <w:sz w:val="16"/>
                <w:szCs w:val="16"/>
                <w:color w:val="auto"/>
              </w:rPr>
              <w:t>October 2, 2021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October 1, 2022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October 2, 2021</w:t>
            </w:r>
          </w:p>
        </w:tc>
        <w:tc>
          <w:tcPr>
            <w:tcW w:w="0" w:type="dxa"/>
            <w:vAlign w:val="bottom"/>
          </w:tcPr>
          <w:p>
            <w:pPr>
              <w:spacing w:after="0"/>
              <w:rPr>
                <w:sz w:val="1"/>
                <w:szCs w:val="1"/>
                <w:color w:val="auto"/>
              </w:rPr>
            </w:pPr>
          </w:p>
        </w:tc>
      </w:tr>
      <w:tr>
        <w:trPr>
          <w:trHeight w:val="212"/>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Diluted EPS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1120" w:type="dxa"/>
            <w:vAlign w:val="bottom"/>
            <w:gridSpan w:val="2"/>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2"/>
              </w:rPr>
              <w:t>0.45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0.63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0" w:type="dxa"/>
            <w:vAlign w:val="bottom"/>
          </w:tcPr>
          <w:p>
            <w:pPr>
              <w:spacing w:after="0"/>
              <w:rPr>
                <w:sz w:val="1"/>
                <w:szCs w:val="1"/>
                <w:color w:val="auto"/>
              </w:rPr>
            </w:pPr>
          </w:p>
        </w:tc>
      </w:tr>
      <w:tr>
        <w:trPr>
          <w:trHeight w:val="216"/>
        </w:trPr>
        <w:tc>
          <w:tcPr>
            <w:tcW w:w="50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Stock compensation expense </w:t>
            </w:r>
            <w:r>
              <w:rPr>
                <w:rFonts w:ascii="Times New Roman" w:cs="Times New Roman" w:eastAsia="Times New Roman" w:hAnsi="Times New Roman"/>
                <w:sz w:val="21"/>
                <w:szCs w:val="21"/>
                <w:color w:val="auto"/>
                <w:vertAlign w:val="superscript"/>
              </w:rPr>
              <w:t>(a)</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w w:val="92"/>
              </w:rPr>
              <w:t>0.04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Asset impairment </w:t>
            </w:r>
            <w:r>
              <w:rPr>
                <w:rFonts w:ascii="Times New Roman" w:cs="Times New Roman" w:eastAsia="Times New Roman" w:hAnsi="Times New Roman"/>
                <w:sz w:val="21"/>
                <w:szCs w:val="21"/>
                <w:color w:val="auto"/>
                <w:vertAlign w:val="superscript"/>
              </w:rPr>
              <w:t>(b)</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0.06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0" w:type="dxa"/>
            <w:vAlign w:val="bottom"/>
          </w:tcPr>
          <w:p>
            <w:pPr>
              <w:spacing w:after="0"/>
              <w:rPr>
                <w:sz w:val="1"/>
                <w:szCs w:val="1"/>
                <w:color w:val="auto"/>
              </w:rPr>
            </w:pPr>
          </w:p>
        </w:tc>
      </w:tr>
      <w:tr>
        <w:trPr>
          <w:trHeight w:val="216"/>
        </w:trPr>
        <w:tc>
          <w:tcPr>
            <w:tcW w:w="50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Amortization of acquisition intangibles </w:t>
            </w:r>
            <w:r>
              <w:rPr>
                <w:rFonts w:ascii="Times New Roman" w:cs="Times New Roman" w:eastAsia="Times New Roman" w:hAnsi="Times New Roman"/>
                <w:sz w:val="21"/>
                <w:szCs w:val="21"/>
                <w:color w:val="auto"/>
                <w:vertAlign w:val="superscript"/>
              </w:rPr>
              <w:t>(c)</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w w:val="92"/>
              </w:rPr>
              <w:t>0.02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0.06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Amortization of debt discount and deferred financing costs </w:t>
            </w:r>
            <w:r>
              <w:rPr>
                <w:rFonts w:ascii="Times New Roman" w:cs="Times New Roman" w:eastAsia="Times New Roman" w:hAnsi="Times New Roman"/>
                <w:sz w:val="21"/>
                <w:szCs w:val="21"/>
                <w:color w:val="auto"/>
                <w:vertAlign w:val="superscript"/>
              </w:rPr>
              <w:t>(d)</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2"/>
              </w:rPr>
              <w:t>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0" w:type="dxa"/>
            <w:vAlign w:val="bottom"/>
          </w:tcPr>
          <w:p>
            <w:pPr>
              <w:spacing w:after="0"/>
              <w:rPr>
                <w:sz w:val="1"/>
                <w:szCs w:val="1"/>
                <w:color w:val="auto"/>
              </w:rPr>
            </w:pPr>
          </w:p>
        </w:tc>
      </w:tr>
      <w:tr>
        <w:trPr>
          <w:trHeight w:val="216"/>
        </w:trPr>
        <w:tc>
          <w:tcPr>
            <w:tcW w:w="50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Losses (gains) on change in fair value of derivatives </w:t>
            </w:r>
            <w:r>
              <w:rPr>
                <w:rFonts w:ascii="Times New Roman" w:cs="Times New Roman" w:eastAsia="Times New Roman" w:hAnsi="Times New Roman"/>
                <w:sz w:val="21"/>
                <w:szCs w:val="21"/>
                <w:color w:val="auto"/>
                <w:vertAlign w:val="superscript"/>
              </w:rPr>
              <w:t>(e)</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w w:val="98"/>
              </w:rPr>
              <w:t>(0.08)</w:t>
            </w:r>
          </w:p>
        </w:tc>
        <w:tc>
          <w:tcPr>
            <w:tcW w:w="148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(0.18)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(j)</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14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0.02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0" w:type="dxa"/>
            <w:vAlign w:val="bottom"/>
          </w:tcPr>
          <w:p>
            <w:pPr>
              <w:spacing w:after="0"/>
              <w:rPr>
                <w:sz w:val="1"/>
                <w:szCs w:val="1"/>
                <w:color w:val="auto"/>
              </w:rPr>
            </w:pPr>
          </w:p>
        </w:tc>
      </w:tr>
      <w:tr>
        <w:trPr>
          <w:trHeight w:val="216"/>
        </w:trPr>
        <w:tc>
          <w:tcPr>
            <w:tcW w:w="50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Tax benefit of stock option exercises </w:t>
            </w:r>
            <w:r>
              <w:rPr>
                <w:rFonts w:ascii="Times New Roman" w:cs="Times New Roman" w:eastAsia="Times New Roman" w:hAnsi="Times New Roman"/>
                <w:sz w:val="21"/>
                <w:szCs w:val="21"/>
                <w:color w:val="auto"/>
                <w:vertAlign w:val="superscript"/>
              </w:rPr>
              <w:t>(g)</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148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Tax effect of total adjustments </w:t>
            </w:r>
            <w:r>
              <w:rPr>
                <w:rFonts w:ascii="Times New Roman" w:cs="Times New Roman" w:eastAsia="Times New Roman" w:hAnsi="Times New Roman"/>
                <w:sz w:val="21"/>
                <w:szCs w:val="21"/>
                <w:color w:val="auto"/>
                <w:vertAlign w:val="superscript"/>
              </w:rPr>
              <w:t>(h)</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14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(0.02)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0" w:type="dxa"/>
            <w:vAlign w:val="bottom"/>
          </w:tcPr>
          <w:p>
            <w:pPr>
              <w:spacing w:after="0"/>
              <w:rPr>
                <w:sz w:val="1"/>
                <w:szCs w:val="1"/>
                <w:color w:val="auto"/>
              </w:rPr>
            </w:pPr>
          </w:p>
        </w:tc>
      </w:tr>
      <w:tr>
        <w:trPr>
          <w:trHeight w:val="209"/>
        </w:trPr>
        <w:tc>
          <w:tcPr>
            <w:tcW w:w="50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Adjusted Diluted EPS</w:t>
            </w:r>
          </w:p>
        </w:tc>
        <w:tc>
          <w:tcPr>
            <w:tcW w:w="3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10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w w:val="92"/>
              </w:rPr>
              <w:t>0.38</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0.69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0" w:type="dxa"/>
            <w:vAlign w:val="bottom"/>
          </w:tcPr>
          <w:p>
            <w:pPr>
              <w:spacing w:after="0"/>
              <w:rPr>
                <w:sz w:val="1"/>
                <w:szCs w:val="1"/>
                <w:color w:val="auto"/>
              </w:rPr>
            </w:pPr>
          </w:p>
        </w:tc>
      </w:tr>
      <w:tr>
        <w:trPr>
          <w:trHeight w:val="21"/>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diluted shares outstanding</w:t>
            </w: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3"/>
        </w:trPr>
        <w:tc>
          <w:tcPr>
            <w:tcW w:w="50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79,304</w:t>
            </w:r>
          </w:p>
        </w:tc>
        <w:tc>
          <w:tcPr>
            <w:tcW w:w="148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96,508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93,477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96,193</w:t>
            </w:r>
          </w:p>
        </w:tc>
        <w:tc>
          <w:tcPr>
            <w:tcW w:w="0" w:type="dxa"/>
            <w:vAlign w:val="bottom"/>
          </w:tcPr>
          <w:p>
            <w:pPr>
              <w:spacing w:after="0"/>
              <w:rPr>
                <w:sz w:val="1"/>
                <w:szCs w:val="1"/>
                <w:color w:val="auto"/>
              </w:rPr>
            </w:pPr>
          </w:p>
        </w:tc>
      </w:tr>
      <w:tr>
        <w:trPr>
          <w:trHeight w:val="188"/>
        </w:trPr>
        <w:tc>
          <w:tcPr>
            <w:tcW w:w="5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Note: Some of the totals in the table above do not foot due to rounding differences</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98"/>
        </w:trPr>
        <w:tc>
          <w:tcPr>
            <w:tcW w:w="634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Adjusted SG&amp;A and Adjusted SG&amp;A Percent of Net Revenue to SG&amp;A</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6"/>
          </w:tcPr>
          <w:p>
            <w:pPr>
              <w:jc w:val="right"/>
              <w:ind w:right="559"/>
              <w:spacing w:after="0"/>
              <w:rPr>
                <w:sz w:val="20"/>
                <w:szCs w:val="20"/>
                <w:color w:val="auto"/>
              </w:rPr>
            </w:pPr>
            <w:r>
              <w:rPr>
                <w:rFonts w:ascii="Times New Roman" w:cs="Times New Roman" w:eastAsia="Times New Roman" w:hAnsi="Times New Roman"/>
                <w:sz w:val="16"/>
                <w:szCs w:val="16"/>
                <w:color w:val="auto"/>
              </w:rPr>
              <w:t>Three Months Ended</w:t>
            </w:r>
          </w:p>
        </w:tc>
        <w:tc>
          <w:tcPr>
            <w:tcW w:w="2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6"/>
          </w:tcPr>
          <w:p>
            <w:pPr>
              <w:jc w:val="right"/>
              <w:ind w:right="799"/>
              <w:spacing w:after="0"/>
              <w:rPr>
                <w:sz w:val="20"/>
                <w:szCs w:val="20"/>
                <w:color w:val="auto"/>
              </w:rPr>
            </w:pPr>
            <w:r>
              <w:rPr>
                <w:rFonts w:ascii="Times New Roman" w:cs="Times New Roman" w:eastAsia="Times New Roman" w:hAnsi="Times New Roman"/>
                <w:sz w:val="16"/>
                <w:szCs w:val="16"/>
                <w:color w:val="auto"/>
              </w:rPr>
              <w:t>Nine Months Ended</w:t>
            </w: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October 1, 2022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October 2, 2021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October 1, 2022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October 2, 2021</w:t>
            </w:r>
          </w:p>
        </w:tc>
        <w:tc>
          <w:tcPr>
            <w:tcW w:w="0" w:type="dxa"/>
            <w:vAlign w:val="bottom"/>
          </w:tcPr>
          <w:p>
            <w:pPr>
              <w:spacing w:after="0"/>
              <w:rPr>
                <w:sz w:val="1"/>
                <w:szCs w:val="1"/>
                <w:color w:val="auto"/>
              </w:rPr>
            </w:pPr>
          </w:p>
        </w:tc>
      </w:tr>
      <w:tr>
        <w:trPr>
          <w:trHeight w:val="212"/>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SG&amp;A</w:t>
            </w:r>
          </w:p>
        </w:tc>
        <w:tc>
          <w:tcPr>
            <w:tcW w:w="32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225,028</w:t>
            </w: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218,214</w:t>
            </w:r>
          </w:p>
        </w:tc>
        <w:tc>
          <w:tcPr>
            <w:tcW w:w="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681,411</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676,042</w:t>
            </w:r>
          </w:p>
        </w:tc>
        <w:tc>
          <w:tcPr>
            <w:tcW w:w="0" w:type="dxa"/>
            <w:vAlign w:val="bottom"/>
          </w:tcPr>
          <w:p>
            <w:pPr>
              <w:spacing w:after="0"/>
              <w:rPr>
                <w:sz w:val="1"/>
                <w:szCs w:val="1"/>
                <w:color w:val="auto"/>
              </w:rPr>
            </w:pPr>
          </w:p>
        </w:tc>
      </w:tr>
      <w:tr>
        <w:trPr>
          <w:trHeight w:val="216"/>
        </w:trPr>
        <w:tc>
          <w:tcPr>
            <w:tcW w:w="50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Stock compensation expense </w:t>
            </w:r>
            <w:r>
              <w:rPr>
                <w:rFonts w:ascii="Times New Roman" w:cs="Times New Roman" w:eastAsia="Times New Roman" w:hAnsi="Times New Roman"/>
                <w:sz w:val="21"/>
                <w:szCs w:val="21"/>
                <w:color w:val="auto"/>
                <w:vertAlign w:val="superscript"/>
              </w:rPr>
              <w:t>(a)</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3,665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10,540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13,866</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(i)</w:t>
            </w:r>
          </w:p>
        </w:tc>
        <w:tc>
          <w:tcPr>
            <w:tcW w:w="3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w:t>
            </w:r>
          </w:p>
        </w:tc>
        <w:tc>
          <w:tcPr>
            <w:tcW w:w="20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1,896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2,484</w:t>
            </w:r>
          </w:p>
        </w:tc>
        <w:tc>
          <w:tcPr>
            <w:tcW w:w="0" w:type="dxa"/>
            <w:vAlign w:val="bottom"/>
          </w:tcPr>
          <w:p>
            <w:pPr>
              <w:spacing w:after="0"/>
              <w:rPr>
                <w:sz w:val="1"/>
                <w:szCs w:val="1"/>
                <w:color w:val="auto"/>
              </w:rPr>
            </w:pPr>
          </w:p>
        </w:tc>
      </w:tr>
      <w:tr>
        <w:trPr>
          <w:trHeight w:val="209"/>
        </w:trPr>
        <w:tc>
          <w:tcPr>
            <w:tcW w:w="50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Adjusted SG&amp;A</w:t>
            </w:r>
          </w:p>
        </w:tc>
        <w:tc>
          <w:tcPr>
            <w:tcW w:w="3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222,059</w:t>
            </w:r>
          </w:p>
        </w:tc>
        <w:tc>
          <w:tcPr>
            <w:tcW w:w="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213,706</w:t>
            </w:r>
          </w:p>
        </w:tc>
        <w:tc>
          <w:tcPr>
            <w:tcW w:w="2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668,975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659,692</w:t>
            </w:r>
          </w:p>
        </w:tc>
        <w:tc>
          <w:tcPr>
            <w:tcW w:w="0" w:type="dxa"/>
            <w:vAlign w:val="bottom"/>
          </w:tcPr>
          <w:p>
            <w:pPr>
              <w:spacing w:after="0"/>
              <w:rPr>
                <w:sz w:val="1"/>
                <w:szCs w:val="1"/>
                <w:color w:val="auto"/>
              </w:rPr>
            </w:pP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0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50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SG&amp;A Percent of Net Revenue</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45.1 %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42.1 %</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44.3 %</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42.2 %</w:t>
            </w:r>
          </w:p>
        </w:tc>
        <w:tc>
          <w:tcPr>
            <w:tcW w:w="0" w:type="dxa"/>
            <w:vAlign w:val="bottom"/>
          </w:tcPr>
          <w:p>
            <w:pPr>
              <w:spacing w:after="0"/>
              <w:rPr>
                <w:sz w:val="1"/>
                <w:szCs w:val="1"/>
                <w:color w:val="auto"/>
              </w:rPr>
            </w:pPr>
          </w:p>
        </w:tc>
      </w:tr>
      <w:tr>
        <w:trPr>
          <w:trHeight w:val="218"/>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Adjusted SG&amp;A Percent of Net Revenue</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41.3 %</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43.5 %</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41.2 %</w:t>
            </w:r>
          </w:p>
        </w:tc>
        <w:tc>
          <w:tcPr>
            <w:tcW w:w="0" w:type="dxa"/>
            <w:vAlign w:val="bottom"/>
          </w:tcPr>
          <w:p>
            <w:pPr>
              <w:spacing w:after="0"/>
              <w:rPr>
                <w:sz w:val="1"/>
                <w:szCs w:val="1"/>
                <w:color w:val="auto"/>
              </w:rPr>
            </w:pPr>
          </w:p>
        </w:tc>
      </w:tr>
      <w:tr>
        <w:trPr>
          <w:trHeight w:val="188"/>
        </w:trPr>
        <w:tc>
          <w:tcPr>
            <w:tcW w:w="5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Note: Percentages reflect line item as a percentage of net revenue</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Non-cash charges related to stock-based compensation programs, which vary from period to period depending on the timing of awards and performance vesting conditions.</w:t>
      </w:r>
    </w:p>
    <w:p>
      <w:pPr>
        <w:spacing w:after="0" w:line="27"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write-off of property, equipment and lease-related assets on closed or underperforming stores.</w:t>
      </w:r>
    </w:p>
    <w:p>
      <w:pPr>
        <w:spacing w:after="0" w:line="14" w:lineRule="exact"/>
        <w:rPr>
          <w:rFonts w:ascii="Times New Roman" w:cs="Times New Roman" w:eastAsia="Times New Roman" w:hAnsi="Times New Roman"/>
          <w:sz w:val="14"/>
          <w:szCs w:val="14"/>
          <w:color w:val="auto"/>
        </w:rPr>
      </w:pPr>
    </w:p>
    <w:p>
      <w:pPr>
        <w:ind w:left="660" w:right="660" w:hanging="328"/>
        <w:spacing w:after="0" w:line="261" w:lineRule="auto"/>
        <w:tabs>
          <w:tab w:leader="none" w:pos="657"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Amortization of the increase in carrying values of finite-lived intangible assets resulting from the application of purchase accounting following the acquisition of the Company by affiliates of KKR &amp; Co. Inc.</w:t>
      </w:r>
    </w:p>
    <w:p>
      <w:pPr>
        <w:ind w:left="660" w:right="660" w:hanging="328"/>
        <w:spacing w:after="0" w:line="251" w:lineRule="auto"/>
        <w:tabs>
          <w:tab w:leader="none" w:pos="652"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Amortization of deferred financing costs and other non-cash charges related to our long-term debt. We adjust for amortization of deferred financing costs related to the 2025 Notes only when adjustment for these costs is not required in the calculation of diluted earnings per share under U.S. GAAP.</w:t>
      </w:r>
    </w:p>
    <w:p>
      <w:pPr>
        <w:ind w:left="660" w:hanging="328"/>
        <w:spacing w:after="0"/>
        <w:tabs>
          <w:tab w:leader="none" w:pos="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losses (gains) recognized in interest expense (income), net on change in fair value of de-designated hedges.</w:t>
      </w:r>
    </w:p>
    <w:p>
      <w:pPr>
        <w:spacing w:after="0" w:line="14" w:lineRule="exact"/>
        <w:rPr>
          <w:rFonts w:ascii="Times New Roman" w:cs="Times New Roman" w:eastAsia="Times New Roman" w:hAnsi="Times New Roman"/>
          <w:sz w:val="14"/>
          <w:szCs w:val="14"/>
          <w:color w:val="auto"/>
        </w:rPr>
      </w:pPr>
    </w:p>
    <w:p>
      <w:pPr>
        <w:jc w:val="both"/>
        <w:ind w:left="660" w:right="640" w:hanging="328"/>
        <w:spacing w:after="0" w:line="256" w:lineRule="auto"/>
        <w:tabs>
          <w:tab w:leader="none" w:pos="655"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adjustments include amounts that management believes are not representative of our operating performance (amounts in brackets represent reductions in Adjusted Operating Income, Adjusted Diluted EPS and Adjusted EBITDA), which are primarily related to excess payroll taxes on stock option exercises, executive severance and relocation and other expenses and adjustments, including our share of (gains) losses on equity method investments of $(2.4) million for each of the three and nine months ended October 2, 2021, and losses on other investments of $0.3 million for the nine months ended October 1, 2022.</w:t>
      </w:r>
    </w:p>
    <w:p>
      <w:pPr>
        <w:spacing w:after="0" w:line="1" w:lineRule="exact"/>
        <w:rPr>
          <w:rFonts w:ascii="Times New Roman" w:cs="Times New Roman" w:eastAsia="Times New Roman" w:hAnsi="Times New Roman"/>
          <w:sz w:val="14"/>
          <w:szCs w:val="14"/>
          <w:color w:val="auto"/>
        </w:rPr>
      </w:pPr>
    </w:p>
    <w:p>
      <w:pPr>
        <w:ind w:left="660" w:right="660" w:hanging="328"/>
        <w:spacing w:after="0" w:line="261" w:lineRule="auto"/>
        <w:tabs>
          <w:tab w:leader="none" w:pos="652"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benefit associated with accounting guidance requiring excess tax benefits related to stock option exercises to be recorded in earnings as discrete items in the reporting period in which they occur.</w:t>
      </w:r>
    </w:p>
    <w:p>
      <w:pPr>
        <w:ind w:left="640" w:hanging="308"/>
        <w:spacing w:after="0"/>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income tax effect of the total adjustments at our combined statutory federal and state income tax rates.</w:t>
      </w:r>
    </w:p>
    <w:p>
      <w:pPr>
        <w:spacing w:after="0" w:line="4" w:lineRule="exact"/>
        <w:rPr>
          <w:rFonts w:ascii="Times New Roman" w:cs="Times New Roman" w:eastAsia="Times New Roman" w:hAnsi="Times New Roman"/>
          <w:sz w:val="14"/>
          <w:szCs w:val="14"/>
          <w:color w:val="auto"/>
        </w:rPr>
      </w:pPr>
    </w:p>
    <w:p>
      <w:pPr>
        <w:ind w:left="660" w:right="660" w:hanging="328"/>
        <w:spacing w:after="0" w:line="259" w:lineRule="auto"/>
        <w:tabs>
          <w:tab w:leader="none" w:pos="647"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other expenses in (f) above, except for our share of (gains) losses on equity method investments of $(2.4) million for each of the three and nine months ended October 2, 2021, and losses on other investments of $0.3 million for the nine months ended October 1, 2022, and other immaterial adjustments in 2021.</w:t>
      </w:r>
    </w:p>
    <w:p>
      <w:pPr>
        <w:ind w:left="660" w:right="660" w:hanging="328"/>
        <w:spacing w:after="0" w:line="283" w:lineRule="auto"/>
        <w:tabs>
          <w:tab w:leader="none" w:pos="647"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other expenses in (f) above, including the impact of stranded tax effect of $(2.1) million for the nine months ended October 2, 2021 associated with our interest rate swaps that matured in 2021, and $0.1 million debt issuance costs for the nine months ended October 2, 2021.</w:t>
      </w:r>
    </w:p>
    <w:p>
      <w:pPr>
        <w:sectPr>
          <w:pgSz w:w="11900" w:h="16838" w:orient="portrait"/>
          <w:cols w:equalWidth="0" w:num="1">
            <w:col w:w="11240"/>
          </w:cols>
          <w:pgMar w:left="320" w:top="934"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0"/>
        </w:trPr>
        <w:tc>
          <w:tcPr>
            <w:tcW w:w="77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w w:val="99"/>
              </w:rPr>
              <w:t>Reconciliation of Adjusted Comparable Store Sales Growth to Total Comparable Store Sales Growth</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180" w:type="dxa"/>
            <w:vAlign w:val="bottom"/>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20" w:type="dxa"/>
            <w:vAlign w:val="bottom"/>
            <w:tcBorders>
              <w:bottom w:val="single" w:sz="8" w:color="auto"/>
            </w:tcBorders>
            <w:gridSpan w:val="6"/>
          </w:tcPr>
          <w:p>
            <w:pPr>
              <w:jc w:val="center"/>
              <w:ind w:right="120"/>
              <w:spacing w:after="0" w:line="237" w:lineRule="exact"/>
              <w:rPr>
                <w:sz w:val="20"/>
                <w:szCs w:val="20"/>
                <w:color w:val="auto"/>
              </w:rPr>
            </w:pPr>
            <w:r>
              <w:rPr>
                <w:rFonts w:ascii="Times New Roman" w:cs="Times New Roman" w:eastAsia="Times New Roman" w:hAnsi="Times New Roman"/>
                <w:sz w:val="18"/>
                <w:szCs w:val="18"/>
                <w:color w:val="auto"/>
                <w:w w:val="97"/>
              </w:rPr>
              <w:t xml:space="preserve">Comparable store sales growth </w:t>
            </w:r>
            <w:r>
              <w:rPr>
                <w:rFonts w:ascii="Times New Roman" w:cs="Times New Roman" w:eastAsia="Times New Roman" w:hAnsi="Times New Roman"/>
                <w:sz w:val="23"/>
                <w:szCs w:val="23"/>
                <w:color w:val="auto"/>
                <w:w w:val="97"/>
                <w:vertAlign w:val="superscript"/>
              </w:rPr>
              <w:t>(a)</w:t>
            </w:r>
          </w:p>
        </w:tc>
        <w:tc>
          <w:tcPr>
            <w:tcW w:w="14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180" w:type="dxa"/>
            <w:vAlign w:val="bottom"/>
          </w:tcPr>
          <w:p>
            <w:pPr>
              <w:spacing w:after="0"/>
              <w:rPr>
                <w:sz w:val="14"/>
                <w:szCs w:val="14"/>
                <w:color w:val="auto"/>
              </w:rPr>
            </w:pPr>
          </w:p>
        </w:tc>
        <w:tc>
          <w:tcPr>
            <w:tcW w:w="1500" w:type="dxa"/>
            <w:vAlign w:val="bottom"/>
            <w:gridSpan w:val="2"/>
          </w:tcPr>
          <w:p>
            <w:pPr>
              <w:jc w:val="center"/>
              <w:ind w:right="120"/>
              <w:spacing w:after="0" w:line="169" w:lineRule="exact"/>
              <w:rPr>
                <w:sz w:val="20"/>
                <w:szCs w:val="20"/>
                <w:color w:val="auto"/>
              </w:rPr>
            </w:pPr>
            <w:r>
              <w:rPr>
                <w:rFonts w:ascii="Times New Roman" w:cs="Times New Roman" w:eastAsia="Times New Roman" w:hAnsi="Times New Roman"/>
                <w:sz w:val="18"/>
                <w:szCs w:val="18"/>
                <w:color w:val="auto"/>
              </w:rPr>
              <w:t>Three Months</w:t>
            </w:r>
          </w:p>
        </w:tc>
        <w:tc>
          <w:tcPr>
            <w:tcW w:w="1540" w:type="dxa"/>
            <w:vAlign w:val="bottom"/>
            <w:gridSpan w:val="2"/>
          </w:tcPr>
          <w:p>
            <w:pPr>
              <w:jc w:val="center"/>
              <w:ind w:right="100"/>
              <w:spacing w:after="0" w:line="169" w:lineRule="exact"/>
              <w:rPr>
                <w:sz w:val="20"/>
                <w:szCs w:val="20"/>
                <w:color w:val="auto"/>
              </w:rPr>
            </w:pPr>
            <w:r>
              <w:rPr>
                <w:rFonts w:ascii="Times New Roman" w:cs="Times New Roman" w:eastAsia="Times New Roman" w:hAnsi="Times New Roman"/>
                <w:sz w:val="18"/>
                <w:szCs w:val="18"/>
                <w:color w:val="auto"/>
                <w:w w:val="98"/>
              </w:rPr>
              <w:t>Three Months</w:t>
            </w:r>
          </w:p>
        </w:tc>
        <w:tc>
          <w:tcPr>
            <w:tcW w:w="1540" w:type="dxa"/>
            <w:vAlign w:val="bottom"/>
            <w:gridSpan w:val="2"/>
          </w:tcPr>
          <w:p>
            <w:pPr>
              <w:jc w:val="center"/>
              <w:ind w:right="120"/>
              <w:spacing w:after="0" w:line="169" w:lineRule="exact"/>
              <w:rPr>
                <w:sz w:val="20"/>
                <w:szCs w:val="20"/>
                <w:color w:val="auto"/>
              </w:rPr>
            </w:pPr>
            <w:r>
              <w:rPr>
                <w:rFonts w:ascii="Times New Roman" w:cs="Times New Roman" w:eastAsia="Times New Roman" w:hAnsi="Times New Roman"/>
                <w:sz w:val="18"/>
                <w:szCs w:val="18"/>
                <w:color w:val="auto"/>
                <w:w w:val="99"/>
              </w:rPr>
              <w:t>Nine Months</w:t>
            </w:r>
          </w:p>
        </w:tc>
        <w:tc>
          <w:tcPr>
            <w:tcW w:w="1540" w:type="dxa"/>
            <w:vAlign w:val="bottom"/>
            <w:gridSpan w:val="2"/>
          </w:tcPr>
          <w:p>
            <w:pPr>
              <w:jc w:val="center"/>
              <w:ind w:right="120"/>
              <w:spacing w:after="0" w:line="169" w:lineRule="exact"/>
              <w:rPr>
                <w:sz w:val="20"/>
                <w:szCs w:val="20"/>
                <w:color w:val="auto"/>
              </w:rPr>
            </w:pPr>
            <w:r>
              <w:rPr>
                <w:rFonts w:ascii="Times New Roman" w:cs="Times New Roman" w:eastAsia="Times New Roman" w:hAnsi="Times New Roman"/>
                <w:sz w:val="18"/>
                <w:szCs w:val="18"/>
                <w:color w:val="auto"/>
                <w:w w:val="99"/>
              </w:rPr>
              <w:t>Nine Months</w:t>
            </w: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180" w:type="dxa"/>
            <w:vAlign w:val="bottom"/>
          </w:tcPr>
          <w:p>
            <w:pPr>
              <w:spacing w:after="0"/>
              <w:rPr>
                <w:sz w:val="15"/>
                <w:szCs w:val="15"/>
                <w:color w:val="auto"/>
              </w:rPr>
            </w:pPr>
          </w:p>
        </w:tc>
        <w:tc>
          <w:tcPr>
            <w:tcW w:w="150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Ended October 1,</w:t>
            </w:r>
          </w:p>
        </w:tc>
        <w:tc>
          <w:tcPr>
            <w:tcW w:w="154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Ended October 2,</w:t>
            </w:r>
          </w:p>
        </w:tc>
        <w:tc>
          <w:tcPr>
            <w:tcW w:w="154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Ended October 1,</w:t>
            </w:r>
          </w:p>
        </w:tc>
        <w:tc>
          <w:tcPr>
            <w:tcW w:w="154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Ended October 2,</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80" w:type="dxa"/>
            <w:vAlign w:val="bottom"/>
            <w:tcBorders>
              <w:bottom w:val="single" w:sz="8" w:color="CCEEFF"/>
            </w:tcBorders>
          </w:tcPr>
          <w:p>
            <w:pPr>
              <w:spacing w:after="0"/>
              <w:rPr>
                <w:sz w:val="21"/>
                <w:szCs w:val="21"/>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0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0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Borders>
              <w:bottom w:val="single" w:sz="8" w:color="CCEEFF"/>
            </w:tcBorders>
          </w:tcPr>
          <w:p>
            <w:pPr>
              <w:spacing w:after="0"/>
              <w:rPr>
                <w:sz w:val="21"/>
                <w:szCs w:val="21"/>
                <w:color w:val="auto"/>
              </w:rPr>
            </w:pPr>
          </w:p>
        </w:tc>
        <w:tc>
          <w:tcPr>
            <w:tcW w:w="14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2022 Outlook</w:t>
            </w: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Owned &amp; Host segment</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America’s Best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31.8 %</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Eyeglass World</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Military</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22.6 %</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Fred Meyer</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Legacy segment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25.5 %</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1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Total comparable store sales growth</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 (5.5%)</w:t>
            </w:r>
          </w:p>
        </w:tc>
        <w:tc>
          <w:tcPr>
            <w:tcW w:w="0" w:type="dxa"/>
            <w:vAlign w:val="bottom"/>
          </w:tcPr>
          <w:p>
            <w:pPr>
              <w:spacing w:after="0"/>
              <w:rPr>
                <w:sz w:val="1"/>
                <w:szCs w:val="1"/>
                <w:color w:val="auto"/>
              </w:rPr>
            </w:pPr>
          </w:p>
        </w:tc>
      </w:tr>
      <w:tr>
        <w:trPr>
          <w:trHeight w:val="176"/>
        </w:trPr>
        <w:tc>
          <w:tcPr>
            <w:tcW w:w="31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Adjusted Comparable Store Sales Growth</w:t>
            </w: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31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(b)</w:t>
            </w:r>
          </w:p>
        </w:tc>
        <w:tc>
          <w:tcPr>
            <w:tcW w:w="1400" w:type="dxa"/>
            <w:vAlign w:val="bottom"/>
            <w:vMerge w:val="restart"/>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0"/>
                <w:szCs w:val="10"/>
                <w:color w:val="auto"/>
              </w:rPr>
            </w:pPr>
          </w:p>
        </w:tc>
        <w:tc>
          <w:tcPr>
            <w:tcW w:w="1440" w:type="dxa"/>
            <w:vAlign w:val="bottom"/>
            <w:vMerge w:val="restart"/>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0.2 %</w:t>
            </w:r>
          </w:p>
        </w:tc>
        <w:tc>
          <w:tcPr>
            <w:tcW w:w="100" w:type="dxa"/>
            <w:vAlign w:val="bottom"/>
            <w:shd w:val="clear" w:color="auto" w:fill="CCEEFF"/>
          </w:tcPr>
          <w:p>
            <w:pPr>
              <w:spacing w:after="0"/>
              <w:rPr>
                <w:sz w:val="10"/>
                <w:szCs w:val="10"/>
                <w:color w:val="auto"/>
              </w:rPr>
            </w:pPr>
          </w:p>
        </w:tc>
        <w:tc>
          <w:tcPr>
            <w:tcW w:w="1440" w:type="dxa"/>
            <w:vAlign w:val="bottom"/>
            <w:vMerge w:val="restart"/>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0"/>
                <w:szCs w:val="10"/>
                <w:color w:val="auto"/>
              </w:rPr>
            </w:pPr>
          </w:p>
        </w:tc>
        <w:tc>
          <w:tcPr>
            <w:tcW w:w="1440" w:type="dxa"/>
            <w:vAlign w:val="bottom"/>
            <w:vMerge w:val="restart"/>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31.1 %</w:t>
            </w:r>
          </w:p>
        </w:tc>
        <w:tc>
          <w:tcPr>
            <w:tcW w:w="100" w:type="dxa"/>
            <w:vAlign w:val="bottom"/>
            <w:shd w:val="clear" w:color="auto" w:fill="CCEEFF"/>
          </w:tcPr>
          <w:p>
            <w:pPr>
              <w:spacing w:after="0"/>
              <w:rPr>
                <w:sz w:val="10"/>
                <w:szCs w:val="10"/>
                <w:color w:val="auto"/>
              </w:rPr>
            </w:pPr>
          </w:p>
        </w:tc>
        <w:tc>
          <w:tcPr>
            <w:tcW w:w="1400" w:type="dxa"/>
            <w:vAlign w:val="bottom"/>
            <w:vMerge w:val="restart"/>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 - (6.5%)</w:t>
            </w:r>
          </w:p>
        </w:tc>
        <w:tc>
          <w:tcPr>
            <w:tcW w:w="0" w:type="dxa"/>
            <w:vAlign w:val="bottom"/>
          </w:tcPr>
          <w:p>
            <w:pPr>
              <w:spacing w:after="0"/>
              <w:rPr>
                <w:sz w:val="1"/>
                <w:szCs w:val="1"/>
                <w:color w:val="auto"/>
              </w:rPr>
            </w:pPr>
          </w:p>
        </w:tc>
      </w:tr>
      <w:tr>
        <w:trPr>
          <w:trHeight w:val="54"/>
        </w:trPr>
        <w:tc>
          <w:tcPr>
            <w:tcW w:w="3180" w:type="dxa"/>
            <w:vAlign w:val="bottom"/>
            <w:shd w:val="clear" w:color="auto" w:fill="CCEEFF"/>
          </w:tcPr>
          <w:p>
            <w:pPr>
              <w:spacing w:after="0"/>
              <w:rPr>
                <w:sz w:val="4"/>
                <w:szCs w:val="4"/>
                <w:color w:val="auto"/>
              </w:rPr>
            </w:pPr>
          </w:p>
        </w:tc>
        <w:tc>
          <w:tcPr>
            <w:tcW w:w="140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44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44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44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40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ind w:left="380" w:right="400" w:hanging="328"/>
        <w:spacing w:after="0" w:line="271" w:lineRule="auto"/>
        <w:tabs>
          <w:tab w:leader="none" w:pos="377"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comparable store sales based on consolidated net revenue excluding the impact of (i) Corporate/Other segment net revenue, (ii) sales from stores opened less than 13 months, (iii) stores closed in the periods presented, (iv) sales from partial months of operation when stores do not open or close on the first day of the month and (v) if applicable, the impact of a 53rd week in a fiscal year. Brand-level comparable store sales growth is calculated based on cash basis revenues consistent with what the CODM reviews, and consistent with reportable segment revenues presented in Note 10. “Segment Reporting” in our unaudited condensed consolidated financial statements included in Part I. Item 1. in our Quarterly Report on Form 10-Q, with the exception of the Legacy segment, which is adjusted as noted in clause (b) (ii) below.</w:t>
      </w:r>
    </w:p>
    <w:p>
      <w:pPr>
        <w:spacing w:after="0" w:line="63" w:lineRule="exact"/>
        <w:rPr>
          <w:rFonts w:ascii="Times New Roman" w:cs="Times New Roman" w:eastAsia="Times New Roman" w:hAnsi="Times New Roman"/>
          <w:sz w:val="14"/>
          <w:szCs w:val="14"/>
          <w:color w:val="auto"/>
        </w:rPr>
      </w:pPr>
    </w:p>
    <w:p>
      <w:pPr>
        <w:jc w:val="both"/>
        <w:ind w:left="380" w:right="380" w:hanging="328"/>
        <w:spacing w:after="0" w:line="261" w:lineRule="auto"/>
        <w:tabs>
          <w:tab w:leader="none" w:pos="372"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two differences between total comparable store sales growth based on consolidated net revenue and Adjusted Comparable Store Sales Growth: (i) Adjusted Comparable Store Sales Growth includes the effect of deferred and unearned revenue as if such revenues were earned at the point of sale, resulting in the following changes from total comparable store sales growth based on consolidated net revenue: a decrease of 3.0% for the three months ended October 2, 2021, and a decrease of 1.0% and an increase of 0.9% for the nine months ended October 1, 2022 and October 2, 2021, respectively; and (ii) Adjusted Comparable Store Sales Growth includes retail sales to the Legacy partner’s customers (rather than the revenues recognized consistent with the management &amp; services agreement with the Legacy partner), resulting in the following changes from total comparable store sales growth based on consolidated net revenue: a decrease of 0.1% and a decrease of 0.2% for the three months ended October 1, 2022 and October 2, 2021, respectively, and a decrease of 0.1% and a decrease of 0.1% for the nine months ended October 1, 2022 and October 2, 2021, respectively; (iii) with respect to the Company’s 2022 Outlook, Adjusted Comparable Store Sales Growth includes an estimated 1.0% impact for the effect of deferred and unearned revenue as if such revenues were earned at the point of sale and retail sales to the Legacy partner’s customers (rather than the revenues recognized consistent with the management &amp; services agreement).</w:t>
      </w:r>
    </w:p>
    <w:p>
      <w:pPr>
        <w:sectPr>
          <w:pgSz w:w="11900" w:h="16838" w:orient="portrait"/>
          <w:cols w:equalWidth="0" w:num="1">
            <w:col w:w="10700"/>
          </w:cols>
          <w:pgMar w:left="600" w:top="1022" w:right="5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Mann, CFA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Senior Vice President of Investor Relations</w:t>
      </w:r>
    </w:p>
    <w:p>
      <w:pPr>
        <w:spacing w:after="0" w:line="21" w:lineRule="exact"/>
        <w:rPr>
          <w:sz w:val="20"/>
          <w:szCs w:val="20"/>
          <w:color w:val="auto"/>
        </w:rPr>
      </w:pPr>
    </w:p>
    <w:p>
      <w:pPr>
        <w:ind w:right="7359" w:firstLine="8"/>
        <w:spacing w:after="0" w:line="290" w:lineRule="auto"/>
        <w:tabs>
          <w:tab w:leader="none" w:pos="43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448-2448 investor.relations@nationalvision.com</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Racheal Peters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Manager of External Communications</w:t>
      </w:r>
    </w:p>
    <w:p>
      <w:pPr>
        <w:spacing w:after="0" w:line="9" w:lineRule="exact"/>
        <w:rPr>
          <w:sz w:val="20"/>
          <w:szCs w:val="20"/>
          <w:color w:val="auto"/>
        </w:rPr>
      </w:pPr>
    </w:p>
    <w:p>
      <w:pPr>
        <w:ind w:right="8159" w:firstLine="8"/>
        <w:spacing w:after="0" w:line="290" w:lineRule="auto"/>
        <w:tabs>
          <w:tab w:leader="none" w:pos="43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448-2303 media@nationalvision.com</w:t>
      </w:r>
    </w:p>
    <w:sectPr>
      <w:pgSz w:w="11900" w:h="16838" w:orient="portrait"/>
      <w:cols w:equalWidth="0" w:num="1">
        <w:col w:w="10139"/>
      </w:cols>
      <w:pgMar w:left="320" w:top="122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Letter"/>
      <w:start w:val="4"/>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decimal"/>
      <w:start w:val="470"/>
    </w:lvl>
  </w:abstractNum>
  <w:abstractNum w:abstractNumId="10">
    <w:nsid w:val="1F16E9E8"/>
    <w:multiLevelType w:val="hybridMultilevel"/>
    <w:lvl w:ilvl="0">
      <w:lvlJc w:val="left"/>
      <w:lvlText w:val="(%1)"/>
      <w:numFmt w:val="decimal"/>
      <w:start w:val="47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2022-11-10T06:03:29Z</dcterms:created>
  <dcterms:modified xsi:type="dcterms:W3CDTF">2022-11-10T06:03:29Z</dcterms:modified>
</cp:coreProperties>
</file>