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4"/>
          <w:szCs w:val="24"/>
          <w:color w:val="auto"/>
        </w:rPr>
      </w:pPr>
    </w:p>
    <w:p>
      <w:pPr>
        <w:ind w:left="1881"/>
        <w:spacing w:after="0"/>
        <w:rPr>
          <w:sz w:val="20"/>
          <w:szCs w:val="20"/>
          <w:color w:val="auto"/>
        </w:rPr>
      </w:pPr>
      <w:r>
        <w:rPr>
          <w:rFonts w:ascii="Arial" w:cs="Arial" w:eastAsia="Arial" w:hAnsi="Arial"/>
          <w:sz w:val="17"/>
          <w:szCs w:val="17"/>
          <w:b w:val="1"/>
          <w:bCs w:val="1"/>
          <w:color w:val="auto"/>
        </w:rPr>
        <w:t>As filed with the Securities and Exchange Commission on October 6, 2017</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333-220719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66040</wp:posOffset>
            </wp:positionV>
            <wp:extent cx="5860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041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jc w:val="center"/>
        <w:spacing w:after="0" w:line="204" w:lineRule="auto"/>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79375</wp:posOffset>
            </wp:positionV>
            <wp:extent cx="99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w:t>
      </w:r>
    </w:p>
    <w:p>
      <w:pPr>
        <w:jc w:val="center"/>
        <w:spacing w:after="0" w:line="204" w:lineRule="auto"/>
        <w:rPr>
          <w:sz w:val="20"/>
          <w:szCs w:val="20"/>
          <w:color w:val="auto"/>
        </w:rPr>
      </w:pPr>
      <w:r>
        <w:rPr>
          <w:rFonts w:ascii="Arial" w:cs="Arial" w:eastAsia="Arial" w:hAnsi="Arial"/>
          <w:sz w:val="16"/>
          <w:szCs w:val="16"/>
          <w:b w:val="1"/>
          <w:bCs w:val="1"/>
          <w:color w:val="auto"/>
        </w:rPr>
        <w:t>To</w:t>
      </w:r>
    </w:p>
    <w:p>
      <w:pPr>
        <w:jc w:val="center"/>
        <w:spacing w:after="0" w:line="204" w:lineRule="auto"/>
        <w:rPr>
          <w:sz w:val="20"/>
          <w:szCs w:val="20"/>
          <w:color w:val="auto"/>
        </w:rPr>
      </w:pPr>
      <w:r>
        <w:rPr>
          <w:rFonts w:ascii="Arial" w:cs="Arial" w:eastAsia="Arial" w:hAnsi="Arial"/>
          <w:sz w:val="16"/>
          <w:szCs w:val="16"/>
          <w:b w:val="1"/>
          <w:bCs w:val="1"/>
          <w:color w:val="auto"/>
        </w:rPr>
        <w:t>FORM S-1</w:t>
      </w:r>
    </w:p>
    <w:p>
      <w:pPr>
        <w:jc w:val="center"/>
        <w:spacing w:after="0" w:line="204" w:lineRule="auto"/>
        <w:rPr>
          <w:sz w:val="20"/>
          <w:szCs w:val="20"/>
          <w:color w:val="auto"/>
        </w:rPr>
      </w:pPr>
      <w:r>
        <w:rPr>
          <w:rFonts w:ascii="Arial" w:cs="Arial" w:eastAsia="Arial" w:hAnsi="Arial"/>
          <w:sz w:val="16"/>
          <w:szCs w:val="16"/>
          <w:b w:val="1"/>
          <w:bCs w:val="1"/>
          <w:color w:val="auto"/>
        </w:rPr>
        <w:t>REGISTRATION STATEMENT</w:t>
      </w:r>
    </w:p>
    <w:p>
      <w:pPr>
        <w:jc w:val="center"/>
        <w:spacing w:after="0" w:line="204"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95885</wp:posOffset>
            </wp:positionV>
            <wp:extent cx="99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National Vision Holdings, Inc.</w:t>
      </w: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95885</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9" w:lineRule="exact"/>
        <w:rPr>
          <w:sz w:val="24"/>
          <w:szCs w:val="24"/>
          <w:color w:val="auto"/>
        </w:rPr>
      </w:pPr>
    </w:p>
    <w:tbl>
      <w:tblPr>
        <w:tblLayout w:type="fixed"/>
        <w:tblInd w:w="441" w:type="dxa"/>
        <w:tblCellMar>
          <w:top w:w="0" w:type="dxa"/>
          <w:left w:w="0" w:type="dxa"/>
          <w:bottom w:w="0" w:type="dxa"/>
          <w:right w:w="0" w:type="dxa"/>
        </w:tblCellMar>
      </w:tblPr>
      <w:tr>
        <w:trPr>
          <w:trHeight w:val="203"/>
        </w:trPr>
        <w:tc>
          <w:tcPr>
            <w:tcW w:w="2600" w:type="dxa"/>
            <w:vAlign w:val="bottom"/>
          </w:tcPr>
          <w:p>
            <w:pPr>
              <w:jc w:val="center"/>
              <w:ind w:right="542"/>
              <w:spacing w:after="0"/>
              <w:rPr>
                <w:sz w:val="20"/>
                <w:szCs w:val="20"/>
                <w:color w:val="auto"/>
              </w:rPr>
            </w:pPr>
            <w:r>
              <w:rPr>
                <w:rFonts w:ascii="Arial" w:cs="Arial" w:eastAsia="Arial" w:hAnsi="Arial"/>
                <w:sz w:val="16"/>
                <w:szCs w:val="16"/>
                <w:b w:val="1"/>
                <w:bCs w:val="1"/>
                <w:color w:val="auto"/>
                <w:w w:val="88"/>
              </w:rPr>
              <w:t>Delaware</w:t>
            </w:r>
          </w:p>
        </w:tc>
        <w:tc>
          <w:tcPr>
            <w:tcW w:w="3200" w:type="dxa"/>
            <w:vAlign w:val="bottom"/>
          </w:tcPr>
          <w:p>
            <w:pPr>
              <w:jc w:val="center"/>
              <w:ind w:right="142"/>
              <w:spacing w:after="0"/>
              <w:rPr>
                <w:sz w:val="20"/>
                <w:szCs w:val="20"/>
                <w:color w:val="auto"/>
              </w:rPr>
            </w:pPr>
            <w:r>
              <w:rPr>
                <w:rFonts w:ascii="Arial" w:cs="Arial" w:eastAsia="Arial" w:hAnsi="Arial"/>
                <w:sz w:val="16"/>
                <w:szCs w:val="16"/>
                <w:b w:val="1"/>
                <w:bCs w:val="1"/>
                <w:color w:val="auto"/>
                <w:w w:val="84"/>
              </w:rPr>
              <w:t>3851</w:t>
            </w:r>
          </w:p>
        </w:tc>
        <w:tc>
          <w:tcPr>
            <w:tcW w:w="2260" w:type="dxa"/>
            <w:vAlign w:val="bottom"/>
          </w:tcPr>
          <w:p>
            <w:pPr>
              <w:jc w:val="center"/>
              <w:ind w:left="622"/>
              <w:spacing w:after="0"/>
              <w:rPr>
                <w:sz w:val="20"/>
                <w:szCs w:val="20"/>
                <w:color w:val="auto"/>
              </w:rPr>
            </w:pPr>
            <w:r>
              <w:rPr>
                <w:rFonts w:ascii="Arial" w:cs="Arial" w:eastAsia="Arial" w:hAnsi="Arial"/>
                <w:sz w:val="16"/>
                <w:szCs w:val="16"/>
                <w:b w:val="1"/>
                <w:bCs w:val="1"/>
                <w:color w:val="auto"/>
                <w:w w:val="88"/>
              </w:rPr>
              <w:t>46-4841717</w:t>
            </w:r>
          </w:p>
        </w:tc>
      </w:tr>
      <w:tr>
        <w:trPr>
          <w:trHeight w:val="214"/>
        </w:trPr>
        <w:tc>
          <w:tcPr>
            <w:tcW w:w="2600" w:type="dxa"/>
            <w:vAlign w:val="bottom"/>
          </w:tcPr>
          <w:p>
            <w:pPr>
              <w:jc w:val="center"/>
              <w:ind w:right="562"/>
              <w:spacing w:after="0"/>
              <w:rPr>
                <w:sz w:val="20"/>
                <w:szCs w:val="20"/>
                <w:color w:val="auto"/>
              </w:rPr>
            </w:pPr>
            <w:r>
              <w:rPr>
                <w:rFonts w:ascii="Arial" w:cs="Arial" w:eastAsia="Arial" w:hAnsi="Arial"/>
                <w:sz w:val="16"/>
                <w:szCs w:val="16"/>
                <w:b w:val="1"/>
                <w:bCs w:val="1"/>
                <w:color w:val="auto"/>
                <w:w w:val="89"/>
              </w:rPr>
              <w:t>(State or other jurisdiction of</w:t>
            </w:r>
          </w:p>
        </w:tc>
        <w:tc>
          <w:tcPr>
            <w:tcW w:w="3200" w:type="dxa"/>
            <w:vAlign w:val="bottom"/>
          </w:tcPr>
          <w:p>
            <w:pPr>
              <w:jc w:val="center"/>
              <w:ind w:right="142"/>
              <w:spacing w:after="0"/>
              <w:rPr>
                <w:sz w:val="20"/>
                <w:szCs w:val="20"/>
                <w:color w:val="auto"/>
              </w:rPr>
            </w:pPr>
            <w:r>
              <w:rPr>
                <w:rFonts w:ascii="Arial" w:cs="Arial" w:eastAsia="Arial" w:hAnsi="Arial"/>
                <w:sz w:val="16"/>
                <w:szCs w:val="16"/>
                <w:b w:val="1"/>
                <w:bCs w:val="1"/>
                <w:color w:val="auto"/>
                <w:w w:val="91"/>
              </w:rPr>
              <w:t>(Primary Standard Industrial</w:t>
            </w:r>
          </w:p>
        </w:tc>
        <w:tc>
          <w:tcPr>
            <w:tcW w:w="2260" w:type="dxa"/>
            <w:vAlign w:val="bottom"/>
          </w:tcPr>
          <w:p>
            <w:pPr>
              <w:jc w:val="center"/>
              <w:ind w:left="622"/>
              <w:spacing w:after="0"/>
              <w:rPr>
                <w:sz w:val="20"/>
                <w:szCs w:val="20"/>
                <w:color w:val="auto"/>
              </w:rPr>
            </w:pPr>
            <w:r>
              <w:rPr>
                <w:rFonts w:ascii="Arial" w:cs="Arial" w:eastAsia="Arial" w:hAnsi="Arial"/>
                <w:sz w:val="16"/>
                <w:szCs w:val="16"/>
                <w:b w:val="1"/>
                <w:bCs w:val="1"/>
                <w:color w:val="auto"/>
                <w:w w:val="91"/>
              </w:rPr>
              <w:t>(I.R.S. Employer</w:t>
            </w:r>
          </w:p>
        </w:tc>
      </w:tr>
      <w:tr>
        <w:trPr>
          <w:trHeight w:val="203"/>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incorporation or organization)</w:t>
            </w:r>
          </w:p>
        </w:tc>
        <w:tc>
          <w:tcPr>
            <w:tcW w:w="320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Classification Code Number)</w:t>
            </w:r>
          </w:p>
        </w:tc>
        <w:tc>
          <w:tcPr>
            <w:tcW w:w="2260" w:type="dxa"/>
            <w:vAlign w:val="bottom"/>
          </w:tcPr>
          <w:p>
            <w:pPr>
              <w:jc w:val="center"/>
              <w:ind w:left="622"/>
              <w:spacing w:after="0"/>
              <w:rPr>
                <w:sz w:val="20"/>
                <w:szCs w:val="20"/>
                <w:color w:val="auto"/>
              </w:rPr>
            </w:pPr>
            <w:r>
              <w:rPr>
                <w:rFonts w:ascii="Arial" w:cs="Arial" w:eastAsia="Arial" w:hAnsi="Arial"/>
                <w:sz w:val="16"/>
                <w:szCs w:val="16"/>
                <w:b w:val="1"/>
                <w:bCs w:val="1"/>
                <w:color w:val="auto"/>
                <w:w w:val="91"/>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111760</wp:posOffset>
            </wp:positionV>
            <wp:extent cx="99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2435 Commerce Avenue</w:t>
      </w:r>
    </w:p>
    <w:p>
      <w:pPr>
        <w:jc w:val="center"/>
        <w:spacing w:after="0" w:line="204" w:lineRule="auto"/>
        <w:rPr>
          <w:sz w:val="20"/>
          <w:szCs w:val="20"/>
          <w:color w:val="auto"/>
        </w:rPr>
      </w:pPr>
      <w:r>
        <w:rPr>
          <w:rFonts w:ascii="Arial" w:cs="Arial" w:eastAsia="Arial" w:hAnsi="Arial"/>
          <w:sz w:val="16"/>
          <w:szCs w:val="16"/>
          <w:b w:val="1"/>
          <w:bCs w:val="1"/>
          <w:color w:val="auto"/>
        </w:rPr>
        <w:t>Bldg. 2200</w:t>
      </w:r>
    </w:p>
    <w:p>
      <w:pPr>
        <w:jc w:val="center"/>
        <w:spacing w:after="0" w:line="204" w:lineRule="auto"/>
        <w:rPr>
          <w:sz w:val="20"/>
          <w:szCs w:val="20"/>
          <w:color w:val="auto"/>
        </w:rPr>
      </w:pPr>
      <w:r>
        <w:rPr>
          <w:rFonts w:ascii="Arial" w:cs="Arial" w:eastAsia="Arial" w:hAnsi="Arial"/>
          <w:sz w:val="16"/>
          <w:szCs w:val="16"/>
          <w:b w:val="1"/>
          <w:bCs w:val="1"/>
          <w:color w:val="auto"/>
        </w:rPr>
        <w:t>Duluth, Georgia 30096-4980</w:t>
      </w:r>
    </w:p>
    <w:p>
      <w:pPr>
        <w:jc w:val="center"/>
        <w:spacing w:after="0" w:line="204" w:lineRule="auto"/>
        <w:rPr>
          <w:sz w:val="20"/>
          <w:szCs w:val="20"/>
          <w:color w:val="auto"/>
        </w:rPr>
      </w:pPr>
      <w:r>
        <w:rPr>
          <w:rFonts w:ascii="Arial" w:cs="Arial" w:eastAsia="Arial" w:hAnsi="Arial"/>
          <w:sz w:val="16"/>
          <w:szCs w:val="16"/>
          <w:b w:val="1"/>
          <w:bCs w:val="1"/>
          <w:color w:val="auto"/>
        </w:rPr>
        <w:t>Telephone: 770-822-3600</w:t>
      </w: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46355</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Mitchell Goodman, Esq.</w:t>
      </w:r>
    </w:p>
    <w:p>
      <w:pPr>
        <w:jc w:val="center"/>
        <w:spacing w:after="0" w:line="204" w:lineRule="auto"/>
        <w:rPr>
          <w:sz w:val="20"/>
          <w:szCs w:val="20"/>
          <w:color w:val="auto"/>
        </w:rPr>
      </w:pPr>
      <w:r>
        <w:rPr>
          <w:rFonts w:ascii="Arial" w:cs="Arial" w:eastAsia="Arial" w:hAnsi="Arial"/>
          <w:sz w:val="16"/>
          <w:szCs w:val="16"/>
          <w:b w:val="1"/>
          <w:bCs w:val="1"/>
          <w:color w:val="auto"/>
        </w:rPr>
        <w:t>Senior Vice President, General Counsel and Secretary</w:t>
      </w:r>
    </w:p>
    <w:p>
      <w:pPr>
        <w:jc w:val="center"/>
        <w:spacing w:after="0" w:line="204" w:lineRule="auto"/>
        <w:rPr>
          <w:sz w:val="20"/>
          <w:szCs w:val="20"/>
          <w:color w:val="auto"/>
        </w:rPr>
      </w:pPr>
      <w:r>
        <w:rPr>
          <w:rFonts w:ascii="Arial" w:cs="Arial" w:eastAsia="Arial" w:hAnsi="Arial"/>
          <w:sz w:val="16"/>
          <w:szCs w:val="16"/>
          <w:b w:val="1"/>
          <w:bCs w:val="1"/>
          <w:color w:val="auto"/>
        </w:rPr>
        <w:t>2435 Commerce Avenue</w:t>
      </w:r>
    </w:p>
    <w:p>
      <w:pPr>
        <w:jc w:val="center"/>
        <w:spacing w:after="0" w:line="204" w:lineRule="auto"/>
        <w:rPr>
          <w:sz w:val="20"/>
          <w:szCs w:val="20"/>
          <w:color w:val="auto"/>
        </w:rPr>
      </w:pPr>
      <w:r>
        <w:rPr>
          <w:rFonts w:ascii="Arial" w:cs="Arial" w:eastAsia="Arial" w:hAnsi="Arial"/>
          <w:sz w:val="16"/>
          <w:szCs w:val="16"/>
          <w:b w:val="1"/>
          <w:bCs w:val="1"/>
          <w:color w:val="auto"/>
        </w:rPr>
        <w:t>Bldg. 2200</w:t>
      </w:r>
    </w:p>
    <w:p>
      <w:pPr>
        <w:jc w:val="center"/>
        <w:spacing w:after="0" w:line="204" w:lineRule="auto"/>
        <w:rPr>
          <w:sz w:val="20"/>
          <w:szCs w:val="20"/>
          <w:color w:val="auto"/>
        </w:rPr>
      </w:pPr>
      <w:r>
        <w:rPr>
          <w:rFonts w:ascii="Arial" w:cs="Arial" w:eastAsia="Arial" w:hAnsi="Arial"/>
          <w:sz w:val="16"/>
          <w:szCs w:val="16"/>
          <w:b w:val="1"/>
          <w:bCs w:val="1"/>
          <w:color w:val="auto"/>
        </w:rPr>
        <w:t>Duluth, Georgia 30096-4980</w:t>
      </w:r>
    </w:p>
    <w:p>
      <w:pPr>
        <w:jc w:val="center"/>
        <w:spacing w:after="0" w:line="204" w:lineRule="auto"/>
        <w:rPr>
          <w:sz w:val="20"/>
          <w:szCs w:val="20"/>
          <w:color w:val="auto"/>
        </w:rPr>
      </w:pPr>
      <w:r>
        <w:rPr>
          <w:rFonts w:ascii="Arial" w:cs="Arial" w:eastAsia="Arial" w:hAnsi="Arial"/>
          <w:sz w:val="16"/>
          <w:szCs w:val="16"/>
          <w:b w:val="1"/>
          <w:bCs w:val="1"/>
          <w:color w:val="auto"/>
        </w:rPr>
        <w:t>Telephone: 770-822-4208</w:t>
      </w: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46355</wp:posOffset>
            </wp:positionV>
            <wp:extent cx="99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73" w:lineRule="exact"/>
        <w:rPr>
          <w:sz w:val="24"/>
          <w:szCs w:val="24"/>
          <w:color w:val="auto"/>
        </w:rPr>
      </w:pPr>
    </w:p>
    <w:tbl>
      <w:tblPr>
        <w:tblLayout w:type="fixed"/>
        <w:tblInd w:w="1161" w:type="dxa"/>
        <w:tblCellMar>
          <w:top w:w="0" w:type="dxa"/>
          <w:left w:w="0" w:type="dxa"/>
          <w:bottom w:w="0" w:type="dxa"/>
          <w:right w:w="0" w:type="dxa"/>
        </w:tblCellMar>
      </w:tblPr>
      <w:tr>
        <w:trPr>
          <w:trHeight w:val="199"/>
        </w:trPr>
        <w:tc>
          <w:tcPr>
            <w:tcW w:w="2620" w:type="dxa"/>
            <w:vAlign w:val="bottom"/>
          </w:tcPr>
          <w:p>
            <w:pPr>
              <w:spacing w:after="0"/>
              <w:rPr>
                <w:sz w:val="17"/>
                <w:szCs w:val="17"/>
                <w:color w:val="auto"/>
              </w:rPr>
            </w:pPr>
          </w:p>
        </w:tc>
        <w:tc>
          <w:tcPr>
            <w:tcW w:w="424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With copies to:</w:t>
            </w:r>
          </w:p>
        </w:tc>
      </w:tr>
      <w:tr>
        <w:trPr>
          <w:trHeight w:val="253"/>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Joseph H. Kaufman, Esq.</w:t>
            </w:r>
          </w:p>
        </w:tc>
        <w:tc>
          <w:tcPr>
            <w:tcW w:w="4240" w:type="dxa"/>
            <w:vAlign w:val="bottom"/>
          </w:tcPr>
          <w:p>
            <w:pPr>
              <w:jc w:val="center"/>
              <w:ind w:left="1982"/>
              <w:spacing w:after="0"/>
              <w:rPr>
                <w:sz w:val="20"/>
                <w:szCs w:val="20"/>
                <w:color w:val="auto"/>
              </w:rPr>
            </w:pPr>
            <w:r>
              <w:rPr>
                <w:rFonts w:ascii="Arial" w:cs="Arial" w:eastAsia="Arial" w:hAnsi="Arial"/>
                <w:sz w:val="16"/>
                <w:szCs w:val="16"/>
                <w:b w:val="1"/>
                <w:bCs w:val="1"/>
                <w:color w:val="auto"/>
                <w:w w:val="91"/>
              </w:rPr>
              <w:t>Marc D. Jaffe, Esq.</w:t>
            </w:r>
          </w:p>
        </w:tc>
      </w:tr>
      <w:tr>
        <w:trPr>
          <w:trHeight w:val="196"/>
        </w:trPr>
        <w:tc>
          <w:tcPr>
            <w:tcW w:w="2620" w:type="dxa"/>
            <w:vAlign w:val="bottom"/>
          </w:tcPr>
          <w:p>
            <w:pPr>
              <w:jc w:val="center"/>
              <w:ind w:right="282"/>
              <w:spacing w:after="0"/>
              <w:rPr>
                <w:sz w:val="20"/>
                <w:szCs w:val="20"/>
                <w:color w:val="auto"/>
              </w:rPr>
            </w:pPr>
            <w:r>
              <w:rPr>
                <w:rFonts w:ascii="Arial" w:cs="Arial" w:eastAsia="Arial" w:hAnsi="Arial"/>
                <w:sz w:val="16"/>
                <w:szCs w:val="16"/>
                <w:b w:val="1"/>
                <w:bCs w:val="1"/>
                <w:color w:val="auto"/>
                <w:w w:val="92"/>
              </w:rPr>
              <w:t>Simpson Thacher &amp; Bartlett LLP</w:t>
            </w:r>
          </w:p>
        </w:tc>
        <w:tc>
          <w:tcPr>
            <w:tcW w:w="4240" w:type="dxa"/>
            <w:vAlign w:val="bottom"/>
          </w:tcPr>
          <w:p>
            <w:pPr>
              <w:jc w:val="center"/>
              <w:ind w:left="1982"/>
              <w:spacing w:after="0"/>
              <w:rPr>
                <w:sz w:val="20"/>
                <w:szCs w:val="20"/>
                <w:color w:val="auto"/>
              </w:rPr>
            </w:pPr>
            <w:r>
              <w:rPr>
                <w:rFonts w:ascii="Arial" w:cs="Arial" w:eastAsia="Arial" w:hAnsi="Arial"/>
                <w:sz w:val="16"/>
                <w:szCs w:val="16"/>
                <w:b w:val="1"/>
                <w:bCs w:val="1"/>
                <w:color w:val="auto"/>
                <w:w w:val="89"/>
              </w:rPr>
              <w:t>Ian D. Schuman, Esq.</w:t>
            </w:r>
          </w:p>
        </w:tc>
      </w:tr>
      <w:tr>
        <w:trPr>
          <w:trHeight w:val="184"/>
        </w:trPr>
        <w:tc>
          <w:tcPr>
            <w:tcW w:w="2620" w:type="dxa"/>
            <w:vAlign w:val="bottom"/>
          </w:tcPr>
          <w:p>
            <w:pPr>
              <w:jc w:val="center"/>
              <w:ind w:right="302"/>
              <w:spacing w:after="0"/>
              <w:rPr>
                <w:sz w:val="20"/>
                <w:szCs w:val="20"/>
                <w:color w:val="auto"/>
              </w:rPr>
            </w:pPr>
            <w:r>
              <w:rPr>
                <w:rFonts w:ascii="Arial" w:cs="Arial" w:eastAsia="Arial" w:hAnsi="Arial"/>
                <w:sz w:val="16"/>
                <w:szCs w:val="16"/>
                <w:b w:val="1"/>
                <w:bCs w:val="1"/>
                <w:color w:val="auto"/>
                <w:w w:val="87"/>
              </w:rPr>
              <w:t>425 Lexington Avenue</w:t>
            </w:r>
          </w:p>
        </w:tc>
        <w:tc>
          <w:tcPr>
            <w:tcW w:w="4240" w:type="dxa"/>
            <w:vAlign w:val="bottom"/>
          </w:tcPr>
          <w:p>
            <w:pPr>
              <w:jc w:val="center"/>
              <w:ind w:left="1962"/>
              <w:spacing w:after="0"/>
              <w:rPr>
                <w:sz w:val="20"/>
                <w:szCs w:val="20"/>
                <w:color w:val="auto"/>
              </w:rPr>
            </w:pPr>
            <w:r>
              <w:rPr>
                <w:rFonts w:ascii="Arial" w:cs="Arial" w:eastAsia="Arial" w:hAnsi="Arial"/>
                <w:sz w:val="16"/>
                <w:szCs w:val="16"/>
                <w:b w:val="1"/>
                <w:bCs w:val="1"/>
                <w:color w:val="auto"/>
                <w:w w:val="94"/>
              </w:rPr>
              <w:t>Latham &amp; Watkins LLP</w:t>
            </w:r>
          </w:p>
        </w:tc>
      </w:tr>
      <w:tr>
        <w:trPr>
          <w:trHeight w:val="207"/>
        </w:trPr>
        <w:tc>
          <w:tcPr>
            <w:tcW w:w="2620" w:type="dxa"/>
            <w:vAlign w:val="bottom"/>
          </w:tcPr>
          <w:p>
            <w:pPr>
              <w:jc w:val="center"/>
              <w:ind w:right="302"/>
              <w:spacing w:after="0"/>
              <w:rPr>
                <w:sz w:val="20"/>
                <w:szCs w:val="20"/>
                <w:color w:val="auto"/>
              </w:rPr>
            </w:pPr>
            <w:r>
              <w:rPr>
                <w:rFonts w:ascii="Arial" w:cs="Arial" w:eastAsia="Arial" w:hAnsi="Arial"/>
                <w:sz w:val="16"/>
                <w:szCs w:val="16"/>
                <w:b w:val="1"/>
                <w:bCs w:val="1"/>
                <w:color w:val="auto"/>
                <w:w w:val="89"/>
              </w:rPr>
              <w:t>New York, New York 10017-3954</w:t>
            </w:r>
          </w:p>
        </w:tc>
        <w:tc>
          <w:tcPr>
            <w:tcW w:w="4240" w:type="dxa"/>
            <w:vAlign w:val="bottom"/>
          </w:tcPr>
          <w:p>
            <w:pPr>
              <w:jc w:val="center"/>
              <w:ind w:left="1982"/>
              <w:spacing w:after="0" w:line="207" w:lineRule="exact"/>
              <w:rPr>
                <w:sz w:val="20"/>
                <w:szCs w:val="20"/>
                <w:color w:val="auto"/>
              </w:rPr>
            </w:pPr>
            <w:r>
              <w:rPr>
                <w:rFonts w:ascii="Arial" w:cs="Arial" w:eastAsia="Arial" w:hAnsi="Arial"/>
                <w:sz w:val="15"/>
                <w:szCs w:val="15"/>
                <w:b w:val="1"/>
                <w:bCs w:val="1"/>
                <w:color w:val="auto"/>
                <w:w w:val="91"/>
              </w:rPr>
              <w:t>885 3</w:t>
            </w:r>
            <w:r>
              <w:rPr>
                <w:rFonts w:ascii="Arial" w:cs="Arial" w:eastAsia="Arial" w:hAnsi="Arial"/>
                <w:sz w:val="24"/>
                <w:szCs w:val="24"/>
                <w:b w:val="1"/>
                <w:bCs w:val="1"/>
                <w:color w:val="auto"/>
                <w:w w:val="91"/>
                <w:vertAlign w:val="superscript"/>
              </w:rPr>
              <w:t>rd</w:t>
            </w:r>
            <w:r>
              <w:rPr>
                <w:rFonts w:ascii="Arial" w:cs="Arial" w:eastAsia="Arial" w:hAnsi="Arial"/>
                <w:sz w:val="15"/>
                <w:szCs w:val="15"/>
                <w:b w:val="1"/>
                <w:bCs w:val="1"/>
                <w:color w:val="auto"/>
                <w:w w:val="91"/>
              </w:rPr>
              <w:t xml:space="preserve"> Avenue</w:t>
            </w:r>
          </w:p>
        </w:tc>
      </w:tr>
      <w:tr>
        <w:trPr>
          <w:trHeight w:val="196"/>
        </w:trPr>
        <w:tc>
          <w:tcPr>
            <w:tcW w:w="2620" w:type="dxa"/>
            <w:vAlign w:val="bottom"/>
          </w:tcPr>
          <w:p>
            <w:pPr>
              <w:jc w:val="center"/>
              <w:ind w:right="282"/>
              <w:spacing w:after="0"/>
              <w:rPr>
                <w:sz w:val="20"/>
                <w:szCs w:val="20"/>
                <w:color w:val="auto"/>
              </w:rPr>
            </w:pPr>
            <w:r>
              <w:rPr>
                <w:rFonts w:ascii="Arial" w:cs="Arial" w:eastAsia="Arial" w:hAnsi="Arial"/>
                <w:sz w:val="16"/>
                <w:szCs w:val="16"/>
                <w:b w:val="1"/>
                <w:bCs w:val="1"/>
                <w:color w:val="auto"/>
                <w:w w:val="89"/>
              </w:rPr>
              <w:t>(212) 455-2000</w:t>
            </w:r>
          </w:p>
        </w:tc>
        <w:tc>
          <w:tcPr>
            <w:tcW w:w="4240" w:type="dxa"/>
            <w:vAlign w:val="bottom"/>
          </w:tcPr>
          <w:p>
            <w:pPr>
              <w:jc w:val="center"/>
              <w:ind w:left="1962"/>
              <w:spacing w:after="0"/>
              <w:rPr>
                <w:sz w:val="20"/>
                <w:szCs w:val="20"/>
                <w:color w:val="auto"/>
              </w:rPr>
            </w:pPr>
            <w:r>
              <w:rPr>
                <w:rFonts w:ascii="Arial" w:cs="Arial" w:eastAsia="Arial" w:hAnsi="Arial"/>
                <w:sz w:val="16"/>
                <w:szCs w:val="16"/>
                <w:b w:val="1"/>
                <w:bCs w:val="1"/>
                <w:color w:val="auto"/>
                <w:w w:val="89"/>
              </w:rPr>
              <w:t>New York, New York 10022-4834</w:t>
            </w:r>
          </w:p>
        </w:tc>
      </w:tr>
      <w:tr>
        <w:trPr>
          <w:trHeight w:val="203"/>
        </w:trPr>
        <w:tc>
          <w:tcPr>
            <w:tcW w:w="2620" w:type="dxa"/>
            <w:vAlign w:val="bottom"/>
          </w:tcPr>
          <w:p>
            <w:pPr>
              <w:spacing w:after="0"/>
              <w:rPr>
                <w:sz w:val="17"/>
                <w:szCs w:val="17"/>
                <w:color w:val="auto"/>
              </w:rPr>
            </w:pPr>
          </w:p>
        </w:tc>
        <w:tc>
          <w:tcPr>
            <w:tcW w:w="4240" w:type="dxa"/>
            <w:vAlign w:val="bottom"/>
          </w:tcPr>
          <w:p>
            <w:pPr>
              <w:jc w:val="center"/>
              <w:ind w:left="1982"/>
              <w:spacing w:after="0"/>
              <w:rPr>
                <w:sz w:val="20"/>
                <w:szCs w:val="20"/>
                <w:color w:val="auto"/>
              </w:rPr>
            </w:pPr>
            <w:r>
              <w:rPr>
                <w:rFonts w:ascii="Arial" w:cs="Arial" w:eastAsia="Arial" w:hAnsi="Arial"/>
                <w:sz w:val="16"/>
                <w:szCs w:val="16"/>
                <w:b w:val="1"/>
                <w:bCs w:val="1"/>
                <w:color w:val="auto"/>
                <w:w w:val="89"/>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120015</wp:posOffset>
            </wp:positionV>
            <wp:extent cx="993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311" w:lineRule="exact"/>
        <w:rPr>
          <w:sz w:val="24"/>
          <w:szCs w:val="24"/>
          <w:color w:val="auto"/>
        </w:rPr>
      </w:pPr>
    </w:p>
    <w:p>
      <w:pPr>
        <w:ind w:left="1" w:right="160" w:firstLine="347"/>
        <w:spacing w:after="0" w:line="215"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1" w:lineRule="exact"/>
        <w:rPr>
          <w:sz w:val="24"/>
          <w:szCs w:val="24"/>
          <w:color w:val="auto"/>
        </w:rPr>
      </w:pPr>
    </w:p>
    <w:p>
      <w:pPr>
        <w:ind w:left="1" w:right="480" w:firstLine="347"/>
        <w:spacing w:after="0" w:line="204"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ind w:left="1" w:right="460" w:firstLine="347"/>
        <w:spacing w:after="0" w:line="251"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ind w:left="1" w:right="500" w:firstLine="347"/>
        <w:spacing w:after="0" w:line="217"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1" w:right="480" w:firstLine="347"/>
        <w:spacing w:after="0" w:line="217"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1" w:right="200" w:firstLine="347"/>
        <w:spacing w:after="0" w:line="21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1" w:type="dxa"/>
        <w:tblCellMar>
          <w:top w:w="0" w:type="dxa"/>
          <w:left w:w="0" w:type="dxa"/>
          <w:bottom w:w="0" w:type="dxa"/>
          <w:right w:w="0" w:type="dxa"/>
        </w:tblCellMar>
      </w:tblPr>
      <w:tr>
        <w:trPr>
          <w:trHeight w:val="194"/>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60" w:type="dxa"/>
            <w:vAlign w:val="bottom"/>
          </w:tcPr>
          <w:p>
            <w:pPr>
              <w:ind w:left="280"/>
              <w:spacing w:after="0"/>
              <w:rPr>
                <w:sz w:val="20"/>
                <w:szCs w:val="20"/>
                <w:color w:val="auto"/>
              </w:rPr>
            </w:pPr>
            <w:r>
              <w:rPr>
                <w:rFonts w:ascii="Arial" w:cs="Arial" w:eastAsia="Arial" w:hAnsi="Arial"/>
                <w:sz w:val="16"/>
                <w:szCs w:val="16"/>
                <w:color w:val="auto"/>
              </w:rPr>
              <w:t>o</w:t>
            </w:r>
          </w:p>
        </w:tc>
        <w:tc>
          <w:tcPr>
            <w:tcW w:w="250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245"/>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376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50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175"/>
        </w:trPr>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500" w:type="dxa"/>
            <w:vAlign w:val="bottom"/>
          </w:tcPr>
          <w:p>
            <w:pPr>
              <w:ind w:left="400"/>
              <w:spacing w:after="0" w:line="175" w:lineRule="exact"/>
              <w:rPr>
                <w:sz w:val="20"/>
                <w:szCs w:val="20"/>
                <w:color w:val="auto"/>
              </w:rPr>
            </w:pPr>
            <w:r>
              <w:rPr>
                <w:rFonts w:ascii="Arial" w:cs="Arial" w:eastAsia="Arial" w:hAnsi="Arial"/>
                <w:sz w:val="16"/>
                <w:szCs w:val="16"/>
                <w:color w:val="auto"/>
              </w:rPr>
              <w:t>Emerging growth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bl>
    <w:p>
      <w:pPr>
        <w:ind w:left="1" w:right="140" w:firstLine="347"/>
        <w:spacing w:after="0" w:line="237"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71120</wp:posOffset>
            </wp:positionV>
            <wp:extent cx="99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19" w:lineRule="exact"/>
        <w:rPr>
          <w:sz w:val="24"/>
          <w:szCs w:val="24"/>
          <w:color w:val="auto"/>
        </w:rPr>
      </w:pPr>
    </w:p>
    <w:tbl>
      <w:tblPr>
        <w:tblLayout w:type="fixed"/>
        <w:tblInd w:w="1" w:type="dxa"/>
        <w:tblCellMar>
          <w:top w:w="0" w:type="dxa"/>
          <w:left w:w="0" w:type="dxa"/>
          <w:bottom w:w="0" w:type="dxa"/>
          <w:right w:w="0" w:type="dxa"/>
        </w:tblCellMar>
      </w:tblPr>
      <w:tr>
        <w:trPr>
          <w:trHeight w:val="145"/>
        </w:trPr>
        <w:tc>
          <w:tcPr>
            <w:tcW w:w="4080" w:type="dxa"/>
            <w:vAlign w:val="bottom"/>
            <w:tcBorders>
              <w:top w:val="single" w:sz="8" w:color="auto"/>
              <w:right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300" w:type="dxa"/>
            <w:vAlign w:val="bottom"/>
            <w:tcBorders>
              <w:top w:val="single" w:sz="8" w:color="auto"/>
              <w:right w:val="single" w:sz="8" w:color="auto"/>
            </w:tcBorders>
          </w:tcPr>
          <w:p>
            <w:pPr>
              <w:jc w:val="center"/>
              <w:ind w:right="228"/>
              <w:spacing w:after="0" w:line="145" w:lineRule="exact"/>
              <w:rPr>
                <w:sz w:val="20"/>
                <w:szCs w:val="20"/>
                <w:color w:val="auto"/>
              </w:rPr>
            </w:pPr>
            <w:r>
              <w:rPr>
                <w:rFonts w:ascii="Arial" w:cs="Arial" w:eastAsia="Arial" w:hAnsi="Arial"/>
                <w:sz w:val="14"/>
                <w:szCs w:val="14"/>
                <w:b w:val="1"/>
                <w:bCs w:val="1"/>
                <w:color w:val="auto"/>
                <w:w w:val="90"/>
              </w:rPr>
              <w:t>Proposed Maximum</w:t>
            </w:r>
          </w:p>
        </w:tc>
        <w:tc>
          <w:tcPr>
            <w:tcW w:w="4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328"/>
              <w:spacing w:after="0" w:line="145" w:lineRule="exact"/>
              <w:rPr>
                <w:sz w:val="20"/>
                <w:szCs w:val="20"/>
                <w:color w:val="auto"/>
              </w:rPr>
            </w:pPr>
            <w:r>
              <w:rPr>
                <w:rFonts w:ascii="Arial" w:cs="Arial" w:eastAsia="Arial" w:hAnsi="Arial"/>
                <w:sz w:val="14"/>
                <w:szCs w:val="14"/>
                <w:b w:val="1"/>
                <w:bCs w:val="1"/>
                <w:color w:val="auto"/>
                <w:w w:val="88"/>
              </w:rPr>
              <w:t>Amount of</w:t>
            </w:r>
          </w:p>
        </w:tc>
      </w:tr>
      <w:tr>
        <w:trPr>
          <w:trHeight w:val="193"/>
        </w:trPr>
        <w:tc>
          <w:tcPr>
            <w:tcW w:w="40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center"/>
              <w:ind w:right="228"/>
              <w:spacing w:after="0" w:line="193" w:lineRule="exact"/>
              <w:rPr>
                <w:sz w:val="20"/>
                <w:szCs w:val="20"/>
                <w:color w:val="auto"/>
              </w:rPr>
            </w:pPr>
            <w:r>
              <w:rPr>
                <w:rFonts w:ascii="Arial" w:cs="Arial" w:eastAsia="Arial" w:hAnsi="Arial"/>
                <w:sz w:val="13"/>
                <w:szCs w:val="13"/>
                <w:b w:val="1"/>
                <w:bCs w:val="1"/>
                <w:color w:val="auto"/>
                <w:w w:val="92"/>
              </w:rPr>
              <w:t>Aggregate Offering Price</w:t>
            </w:r>
            <w:r>
              <w:rPr>
                <w:rFonts w:ascii="Arial" w:cs="Arial" w:eastAsia="Arial" w:hAnsi="Arial"/>
                <w:sz w:val="22"/>
                <w:szCs w:val="22"/>
                <w:b w:val="1"/>
                <w:bCs w:val="1"/>
                <w:color w:val="auto"/>
                <w:w w:val="92"/>
                <w:vertAlign w:val="superscript"/>
              </w:rPr>
              <w:t>(1)(2)</w:t>
            </w: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328"/>
              <w:spacing w:after="0" w:line="193"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2"/>
                <w:szCs w:val="22"/>
                <w:b w:val="1"/>
                <w:bCs w:val="1"/>
                <w:color w:val="auto"/>
                <w:w w:val="91"/>
                <w:vertAlign w:val="superscript"/>
              </w:rPr>
              <w:t>(3)</w:t>
            </w:r>
          </w:p>
        </w:tc>
      </w:tr>
      <w:tr>
        <w:trPr>
          <w:trHeight w:val="208"/>
        </w:trPr>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 par value $0.01 per share</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6"/>
                <w:szCs w:val="16"/>
                <w:color w:val="auto"/>
              </w:rPr>
              <w:t>100,000,000</w:t>
            </w:r>
          </w:p>
        </w:tc>
        <w:tc>
          <w:tcPr>
            <w:tcW w:w="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11,590</w:t>
            </w:r>
          </w:p>
        </w:tc>
      </w:tr>
      <w:tr>
        <w:trPr>
          <w:trHeight w:val="65"/>
        </w:trPr>
        <w:tc>
          <w:tcPr>
            <w:tcW w:w="40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bl>
    <w:p>
      <w:pPr>
        <w:spacing w:after="0" w:line="190" w:lineRule="exact"/>
        <w:rPr>
          <w:sz w:val="24"/>
          <w:szCs w:val="24"/>
          <w:color w:val="auto"/>
        </w:rPr>
      </w:pPr>
    </w:p>
    <w:p>
      <w:pPr>
        <w:ind w:left="341" w:hanging="341"/>
        <w:spacing w:after="0"/>
        <w:tabs>
          <w:tab w:leader="none" w:pos="341"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457(o) under the Securities Act of 1933, as amended.</w:t>
      </w:r>
    </w:p>
    <w:p>
      <w:pPr>
        <w:spacing w:after="0" w:line="111" w:lineRule="exact"/>
        <w:rPr>
          <w:rFonts w:ascii="Arial" w:cs="Arial" w:eastAsia="Arial" w:hAnsi="Arial"/>
          <w:sz w:val="13"/>
          <w:szCs w:val="13"/>
          <w:color w:val="auto"/>
        </w:rPr>
      </w:pPr>
    </w:p>
    <w:p>
      <w:pPr>
        <w:ind w:left="341" w:hanging="341"/>
        <w:spacing w:after="0"/>
        <w:tabs>
          <w:tab w:leader="none" w:pos="341"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aggregate offering price of shares of common stock that the underwriters have the option to purchase. See “Underwriting (Conflicts of Interest).”</w:t>
      </w:r>
    </w:p>
    <w:p>
      <w:pPr>
        <w:spacing w:after="0" w:line="122" w:lineRule="exact"/>
        <w:rPr>
          <w:rFonts w:ascii="Arial" w:cs="Arial" w:eastAsia="Arial" w:hAnsi="Arial"/>
          <w:sz w:val="12"/>
          <w:szCs w:val="12"/>
          <w:color w:val="auto"/>
        </w:rPr>
      </w:pPr>
    </w:p>
    <w:p>
      <w:pPr>
        <w:ind w:left="341" w:hanging="341"/>
        <w:spacing w:after="0"/>
        <w:tabs>
          <w:tab w:leader="none" w:pos="341"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99695</wp:posOffset>
            </wp:positionV>
            <wp:extent cx="993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0" w:lineRule="exact"/>
        <w:rPr>
          <w:sz w:val="24"/>
          <w:szCs w:val="24"/>
          <w:color w:val="auto"/>
        </w:rPr>
      </w:pPr>
    </w:p>
    <w:p>
      <w:pPr>
        <w:jc w:val="both"/>
        <w:ind w:left="1" w:right="40" w:firstLine="347"/>
        <w:spacing w:after="0" w:line="27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5860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146685</wp:posOffset>
            </wp:positionV>
            <wp:extent cx="586041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445135</wp:posOffset>
            </wp:positionV>
            <wp:extent cx="58604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34" w:right="1339" w:bottom="1087" w:gutter="0" w:footer="0" w:header="0"/>
        </w:sectPr>
      </w:pPr>
    </w:p>
    <w:bookmarkStart w:id="1" w:name="page2"/>
    <w:bookmarkEnd w:id="1"/>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ind w:left="1"/>
        <w:spacing w:after="0" w:line="227" w:lineRule="auto"/>
        <w:rPr>
          <w:sz w:val="20"/>
          <w:szCs w:val="20"/>
          <w:color w:val="auto"/>
        </w:rPr>
      </w:pPr>
      <w:r>
        <w:rPr>
          <w:rFonts w:ascii="Arial" w:cs="Arial" w:eastAsia="Arial" w:hAnsi="Arial"/>
          <w:sz w:val="17"/>
          <w:szCs w:val="17"/>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C0014"/>
        </w:rPr>
        <w:t>Subject to Completion, dated October 6, 2017.</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PRELIMINARY PROSPECTUS</w:t>
      </w:r>
    </w:p>
    <w:p>
      <w:pPr>
        <w:spacing w:after="0" w:line="47" w:lineRule="exact"/>
        <w:rPr>
          <w:sz w:val="20"/>
          <w:szCs w:val="20"/>
          <w:color w:val="auto"/>
        </w:rPr>
      </w:pPr>
    </w:p>
    <w:p>
      <w:pPr>
        <w:ind w:left="4561"/>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87630</wp:posOffset>
            </wp:positionV>
            <wp:extent cx="1043305" cy="802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330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National Vision Holdings,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147320</wp:posOffset>
            </wp:positionV>
            <wp:extent cx="993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p>
      <w:pPr>
        <w:spacing w:after="0" w:line="389"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This is an initial public offering of shares of common stock of National Vision Holdings, Inc. We are offering our common stock.</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shares of</w:t>
      </w:r>
    </w:p>
    <w:p>
      <w:pPr>
        <w:spacing w:after="0" w:line="349" w:lineRule="exact"/>
        <w:rPr>
          <w:sz w:val="20"/>
          <w:szCs w:val="20"/>
          <w:color w:val="auto"/>
        </w:rPr>
      </w:pPr>
    </w:p>
    <w:p>
      <w:pPr>
        <w:sectPr>
          <w:pgSz w:w="11900" w:h="16838" w:orient="portrait"/>
          <w:cols w:equalWidth="0" w:num="2">
            <w:col w:w="7941" w:space="480"/>
            <w:col w:w="800"/>
          </w:cols>
          <w:pgMar w:left="1339" w:top="273" w:right="1339" w:bottom="1440" w:gutter="0" w:footer="0" w:header="0"/>
          <w:type w:val="continuous"/>
        </w:sectPr>
      </w:pPr>
    </w:p>
    <w:p>
      <w:pPr>
        <w:ind w:left="1" w:firstLine="347"/>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We currently expect that the initial public offering price of our common stock will be between $ and $ per share. We have applied to have our common stock approved for listing on the NASDAQ Global Select Market, or NASDAQ, under the symbol “EYE.”</w:t>
      </w:r>
    </w:p>
    <w:p>
      <w:pPr>
        <w:spacing w:after="0" w:line="68" w:lineRule="exact"/>
        <w:rPr>
          <w:sz w:val="20"/>
          <w:szCs w:val="20"/>
          <w:color w:val="auto"/>
        </w:rPr>
      </w:pPr>
    </w:p>
    <w:p>
      <w:pPr>
        <w:ind w:left="1" w:right="40" w:firstLine="347"/>
        <w:spacing w:after="0" w:line="296" w:lineRule="auto"/>
        <w:rPr>
          <w:sz w:val="20"/>
          <w:szCs w:val="20"/>
          <w:color w:val="auto"/>
        </w:rPr>
      </w:pPr>
      <w:r>
        <w:rPr>
          <w:rFonts w:ascii="Arial" w:cs="Arial" w:eastAsia="Arial" w:hAnsi="Arial"/>
          <w:sz w:val="16"/>
          <w:szCs w:val="16"/>
          <w:color w:val="auto"/>
        </w:rPr>
        <w:t>After the completion of this offering, affiliates of Kohlberg Kravis Roberts &amp; Co. L.P., or KKR Sponsor, and private equity funds managed by Berkshire Partners LLC, or Berkshire, will continue to own a majority of the voting power of our common stock. As a result, we will be a “controlled company” within the meaning of NASDAQ rules. See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97155</wp:posOffset>
            </wp:positionV>
            <wp:extent cx="993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0" w:lineRule="exact"/>
        <w:rPr>
          <w:sz w:val="20"/>
          <w:szCs w:val="20"/>
          <w:color w:val="auto"/>
        </w:rPr>
      </w:pPr>
    </w:p>
    <w:p>
      <w:pPr>
        <w:ind w:left="1" w:right="300" w:firstLine="347"/>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32">
        <w:r>
          <w:rPr>
            <w:rFonts w:ascii="Arial" w:cs="Arial" w:eastAsia="Arial" w:hAnsi="Arial"/>
            <w:sz w:val="17"/>
            <w:szCs w:val="17"/>
            <w:b w:val="1"/>
            <w:bCs w:val="1"/>
            <w:i w:val="1"/>
            <w:iCs w:val="1"/>
            <w:u w:val="single" w:color="auto"/>
            <w:color w:val="0000EE"/>
          </w:rPr>
          <w:t>20</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100330</wp:posOffset>
            </wp:positionV>
            <wp:extent cx="993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9" w:lineRule="exact"/>
        <w:rPr>
          <w:sz w:val="20"/>
          <w:szCs w:val="20"/>
          <w:color w:val="auto"/>
        </w:rPr>
      </w:pPr>
    </w:p>
    <w:p>
      <w:pPr>
        <w:ind w:left="1" w:right="360" w:firstLine="347"/>
        <w:spacing w:after="0" w:line="275" w:lineRule="auto"/>
        <w:rPr>
          <w:sz w:val="20"/>
          <w:szCs w:val="20"/>
          <w:color w:val="auto"/>
        </w:rPr>
      </w:pPr>
      <w:r>
        <w:rPr>
          <w:rFonts w:ascii="Arial" w:cs="Arial" w:eastAsia="Arial" w:hAnsi="Arial"/>
          <w:sz w:val="17"/>
          <w:szCs w:val="17"/>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35"/>
        </w:trPr>
        <w:tc>
          <w:tcPr>
            <w:tcW w:w="380" w:type="dxa"/>
            <w:vAlign w:val="bottom"/>
          </w:tcPr>
          <w:p>
            <w:pPr>
              <w:spacing w:after="0"/>
              <w:rPr>
                <w:sz w:val="20"/>
                <w:szCs w:val="20"/>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2660" w:type="dxa"/>
            <w:vAlign w:val="bottom"/>
            <w:gridSpan w:val="2"/>
            <w:shd w:val="clear" w:color="auto" w:fill="CCEEFF"/>
          </w:tcPr>
          <w:p>
            <w:pPr>
              <w:jc w:val="right"/>
              <w:ind w:right="101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r>
        <w:trPr>
          <w:trHeight w:val="221"/>
        </w:trPr>
        <w:tc>
          <w:tcPr>
            <w:tcW w:w="4740" w:type="dxa"/>
            <w:vAlign w:val="bottom"/>
            <w:gridSpan w:val="3"/>
          </w:tcPr>
          <w:p>
            <w:pPr>
              <w:ind w:left="380"/>
              <w:spacing w:after="0"/>
              <w:rPr>
                <w:sz w:val="20"/>
                <w:szCs w:val="20"/>
                <w:color w:val="auto"/>
              </w:rPr>
            </w:pPr>
            <w:r>
              <w:rPr>
                <w:rFonts w:ascii="Arial" w:cs="Arial" w:eastAsia="Arial" w:hAnsi="Arial"/>
                <w:sz w:val="17"/>
                <w:szCs w:val="17"/>
                <w:color w:val="auto"/>
              </w:rPr>
              <w:t>Underwriting discounts and commissions</w:t>
            </w:r>
          </w:p>
        </w:tc>
        <w:tc>
          <w:tcPr>
            <w:tcW w:w="2660" w:type="dxa"/>
            <w:vAlign w:val="bottom"/>
            <w:gridSpan w:val="2"/>
          </w:tcPr>
          <w:p>
            <w:pPr>
              <w:jc w:val="right"/>
              <w:ind w:right="101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8"/>
        </w:trPr>
        <w:tc>
          <w:tcPr>
            <w:tcW w:w="380" w:type="dxa"/>
            <w:vAlign w:val="bottom"/>
          </w:tcPr>
          <w:p>
            <w:pPr>
              <w:spacing w:after="0"/>
              <w:rPr>
                <w:sz w:val="21"/>
                <w:szCs w:val="21"/>
                <w:color w:val="auto"/>
              </w:rPr>
            </w:pPr>
          </w:p>
        </w:tc>
        <w:tc>
          <w:tcPr>
            <w:tcW w:w="4360" w:type="dxa"/>
            <w:vAlign w:val="bottom"/>
            <w:gridSpan w:val="2"/>
            <w:shd w:val="clear" w:color="auto" w:fill="CCEEFF"/>
          </w:tcPr>
          <w:p>
            <w:pPr>
              <w:spacing w:after="0" w:line="247" w:lineRule="exact"/>
              <w:rPr>
                <w:sz w:val="20"/>
                <w:szCs w:val="20"/>
                <w:color w:val="auto"/>
              </w:rPr>
            </w:pPr>
            <w:r>
              <w:rPr>
                <w:rFonts w:ascii="Arial" w:cs="Arial" w:eastAsia="Arial" w:hAnsi="Arial"/>
                <w:sz w:val="17"/>
                <w:szCs w:val="17"/>
                <w:color w:val="auto"/>
              </w:rPr>
              <w:t>Proceeds, before expenses, to us</w:t>
            </w:r>
            <w:r>
              <w:rPr>
                <w:rFonts w:ascii="Arial" w:cs="Arial" w:eastAsia="Arial" w:hAnsi="Arial"/>
                <w:sz w:val="28"/>
                <w:szCs w:val="28"/>
                <w:color w:val="auto"/>
                <w:vertAlign w:val="superscript"/>
              </w:rPr>
              <w:t>(1)</w:t>
            </w:r>
          </w:p>
        </w:tc>
        <w:tc>
          <w:tcPr>
            <w:tcW w:w="2660" w:type="dxa"/>
            <w:vAlign w:val="bottom"/>
            <w:gridSpan w:val="2"/>
            <w:shd w:val="clear" w:color="auto" w:fill="CCEEFF"/>
          </w:tcPr>
          <w:p>
            <w:pPr>
              <w:jc w:val="right"/>
              <w:ind w:right="101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r>
      <w:tr>
        <w:trPr>
          <w:trHeight w:val="183"/>
        </w:trPr>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the offering. See “Underwriting (Conflicts of Interest).”</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3840" w:type="dxa"/>
            <w:vAlign w:val="bottom"/>
            <w:gridSpan w:val="2"/>
          </w:tcPr>
          <w:p>
            <w:pPr>
              <w:ind w:left="340"/>
              <w:spacing w:after="0"/>
              <w:rPr>
                <w:sz w:val="20"/>
                <w:szCs w:val="20"/>
                <w:color w:val="auto"/>
              </w:rPr>
            </w:pPr>
            <w:r>
              <w:rPr>
                <w:rFonts w:ascii="Arial" w:cs="Arial" w:eastAsia="Arial" w:hAnsi="Arial"/>
                <w:sz w:val="17"/>
                <w:szCs w:val="17"/>
                <w:color w:val="auto"/>
                <w:w w:val="93"/>
              </w:rPr>
              <w:t>To the extent that the underwriters sell more than</w:t>
            </w:r>
          </w:p>
        </w:tc>
        <w:tc>
          <w:tcPr>
            <w:tcW w:w="5380" w:type="dxa"/>
            <w:vAlign w:val="bottom"/>
            <w:gridSpan w:val="5"/>
          </w:tcPr>
          <w:p>
            <w:pPr>
              <w:jc w:val="right"/>
              <w:spacing w:after="0"/>
              <w:rPr>
                <w:sz w:val="20"/>
                <w:szCs w:val="20"/>
                <w:color w:val="auto"/>
              </w:rPr>
            </w:pPr>
            <w:r>
              <w:rPr>
                <w:rFonts w:ascii="Arial" w:cs="Arial" w:eastAsia="Arial" w:hAnsi="Arial"/>
                <w:sz w:val="17"/>
                <w:szCs w:val="17"/>
                <w:color w:val="auto"/>
              </w:rPr>
              <w:t>shares of our common stock, the underwriters have the option to</w:t>
            </w:r>
          </w:p>
        </w:tc>
      </w:tr>
      <w:tr>
        <w:trPr>
          <w:trHeight w:val="209"/>
        </w:trPr>
        <w:tc>
          <w:tcPr>
            <w:tcW w:w="2120" w:type="dxa"/>
            <w:vAlign w:val="bottom"/>
          </w:tcPr>
          <w:p>
            <w:pPr>
              <w:spacing w:after="0"/>
              <w:rPr>
                <w:sz w:val="20"/>
                <w:szCs w:val="20"/>
                <w:color w:val="auto"/>
              </w:rPr>
            </w:pPr>
            <w:r>
              <w:rPr>
                <w:rFonts w:ascii="Arial" w:cs="Arial" w:eastAsia="Arial" w:hAnsi="Arial"/>
                <w:sz w:val="17"/>
                <w:szCs w:val="17"/>
                <w:color w:val="auto"/>
                <w:w w:val="98"/>
              </w:rPr>
              <w:t>purchase up to an additional</w:t>
            </w:r>
          </w:p>
        </w:tc>
        <w:tc>
          <w:tcPr>
            <w:tcW w:w="7100" w:type="dxa"/>
            <w:vAlign w:val="bottom"/>
            <w:gridSpan w:val="6"/>
          </w:tcPr>
          <w:p>
            <w:pPr>
              <w:jc w:val="right"/>
              <w:ind w:right="444"/>
              <w:spacing w:after="0"/>
              <w:rPr>
                <w:sz w:val="20"/>
                <w:szCs w:val="20"/>
                <w:color w:val="auto"/>
              </w:rPr>
            </w:pPr>
            <w:r>
              <w:rPr>
                <w:rFonts w:ascii="Arial" w:cs="Arial" w:eastAsia="Arial" w:hAnsi="Arial"/>
                <w:sz w:val="17"/>
                <w:szCs w:val="17"/>
                <w:color w:val="auto"/>
              </w:rPr>
              <w:t>shares from us at the initial public offering price, less the underwriting discounts and</w:t>
            </w:r>
          </w:p>
        </w:tc>
      </w:tr>
      <w:tr>
        <w:trPr>
          <w:trHeight w:val="221"/>
        </w:trPr>
        <w:tc>
          <w:tcPr>
            <w:tcW w:w="5160" w:type="dxa"/>
            <w:vAlign w:val="bottom"/>
            <w:gridSpan w:val="3"/>
          </w:tcPr>
          <w:p>
            <w:pPr>
              <w:spacing w:after="0"/>
              <w:rPr>
                <w:sz w:val="20"/>
                <w:szCs w:val="20"/>
                <w:color w:val="auto"/>
              </w:rPr>
            </w:pPr>
            <w:r>
              <w:rPr>
                <w:rFonts w:ascii="Arial" w:cs="Arial" w:eastAsia="Arial" w:hAnsi="Arial"/>
                <w:sz w:val="17"/>
                <w:szCs w:val="17"/>
                <w:color w:val="auto"/>
              </w:rPr>
              <w:t>commissions, within 30 days of the date of this prospectus.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13"/>
        </w:trPr>
        <w:tc>
          <w:tcPr>
            <w:tcW w:w="7600" w:type="dxa"/>
            <w:vAlign w:val="bottom"/>
            <w:gridSpan w:val="6"/>
          </w:tcPr>
          <w:p>
            <w:pPr>
              <w:ind w:left="340"/>
              <w:spacing w:after="0"/>
              <w:rPr>
                <w:sz w:val="20"/>
                <w:szCs w:val="20"/>
                <w:color w:val="auto"/>
              </w:rPr>
            </w:pPr>
            <w:r>
              <w:rPr>
                <w:rFonts w:ascii="Arial" w:cs="Arial" w:eastAsia="Arial" w:hAnsi="Arial"/>
                <w:sz w:val="17"/>
                <w:szCs w:val="17"/>
                <w:color w:val="auto"/>
                <w:w w:val="97"/>
              </w:rPr>
              <w:t>The underwriters expect to deliver the shares against payment in New York, New York on or about</w:t>
            </w:r>
          </w:p>
        </w:tc>
        <w:tc>
          <w:tcPr>
            <w:tcW w:w="1620" w:type="dxa"/>
            <w:vAlign w:val="bottom"/>
          </w:tcPr>
          <w:p>
            <w:pPr>
              <w:jc w:val="right"/>
              <w:ind w:right="1004"/>
              <w:spacing w:after="0"/>
              <w:rPr>
                <w:sz w:val="20"/>
                <w:szCs w:val="20"/>
                <w:color w:val="auto"/>
              </w:rPr>
            </w:pPr>
            <w:r>
              <w:rPr>
                <w:rFonts w:ascii="Arial" w:cs="Arial" w:eastAsia="Arial" w:hAnsi="Arial"/>
                <w:sz w:val="17"/>
                <w:szCs w:val="17"/>
                <w:color w:val="auto"/>
                <w:w w:val="96"/>
              </w:rPr>
              <w:t>, 2017.</w:t>
            </w:r>
          </w:p>
        </w:tc>
      </w:tr>
      <w:tr>
        <w:trPr>
          <w:trHeight w:val="209"/>
        </w:trPr>
        <w:tc>
          <w:tcPr>
            <w:tcW w:w="2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814"/>
        </w:trPr>
        <w:tc>
          <w:tcPr>
            <w:tcW w:w="2120" w:type="dxa"/>
            <w:vAlign w:val="bottom"/>
          </w:tcPr>
          <w:p>
            <w:pPr>
              <w:spacing w:after="0"/>
              <w:rPr>
                <w:sz w:val="24"/>
                <w:szCs w:val="24"/>
                <w:color w:val="auto"/>
              </w:rPr>
            </w:pPr>
          </w:p>
        </w:tc>
        <w:tc>
          <w:tcPr>
            <w:tcW w:w="4120" w:type="dxa"/>
            <w:vAlign w:val="bottom"/>
            <w:gridSpan w:val="4"/>
          </w:tcPr>
          <w:p>
            <w:pPr>
              <w:jc w:val="center"/>
              <w:ind w:left="764"/>
              <w:spacing w:after="0"/>
              <w:rPr>
                <w:sz w:val="20"/>
                <w:szCs w:val="20"/>
                <w:color w:val="auto"/>
              </w:rPr>
            </w:pPr>
            <w:r>
              <w:rPr>
                <w:rFonts w:ascii="Arial" w:cs="Arial" w:eastAsia="Arial" w:hAnsi="Arial"/>
                <w:sz w:val="17"/>
                <w:szCs w:val="17"/>
                <w:b w:val="1"/>
                <w:bCs w:val="1"/>
                <w:i w:val="1"/>
                <w:iCs w:val="1"/>
                <w:color w:val="auto"/>
                <w:w w:val="91"/>
              </w:rPr>
              <w:t>Joint Book-Running Managers</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9"/>
        </w:trPr>
        <w:tc>
          <w:tcPr>
            <w:tcW w:w="2120" w:type="dxa"/>
            <w:vAlign w:val="bottom"/>
          </w:tcPr>
          <w:p>
            <w:pPr>
              <w:spacing w:after="0"/>
              <w:rPr>
                <w:sz w:val="20"/>
                <w:szCs w:val="20"/>
                <w:color w:val="auto"/>
              </w:rPr>
            </w:pPr>
            <w:r>
              <w:rPr>
                <w:rFonts w:ascii="Arial" w:cs="Arial" w:eastAsia="Arial" w:hAnsi="Arial"/>
                <w:sz w:val="23"/>
                <w:szCs w:val="23"/>
                <w:b w:val="1"/>
                <w:bCs w:val="1"/>
                <w:color w:val="auto"/>
              </w:rPr>
              <w:t>BofA Merrill Lynch</w:t>
            </w:r>
          </w:p>
        </w:tc>
        <w:tc>
          <w:tcPr>
            <w:tcW w:w="4120" w:type="dxa"/>
            <w:vAlign w:val="bottom"/>
            <w:gridSpan w:val="4"/>
          </w:tcPr>
          <w:p>
            <w:pPr>
              <w:jc w:val="right"/>
              <w:ind w:right="640"/>
              <w:spacing w:after="0"/>
              <w:rPr>
                <w:sz w:val="20"/>
                <w:szCs w:val="20"/>
                <w:color w:val="auto"/>
              </w:rPr>
            </w:pPr>
            <w:r>
              <w:rPr>
                <w:rFonts w:ascii="Arial" w:cs="Arial" w:eastAsia="Arial" w:hAnsi="Arial"/>
                <w:sz w:val="23"/>
                <w:szCs w:val="23"/>
                <w:b w:val="1"/>
                <w:bCs w:val="1"/>
                <w:color w:val="auto"/>
              </w:rPr>
              <w:t>Goldman Sachs &amp; Co. LLC</w:t>
            </w:r>
          </w:p>
        </w:tc>
        <w:tc>
          <w:tcPr>
            <w:tcW w:w="1360" w:type="dxa"/>
            <w:vAlign w:val="bottom"/>
          </w:tcPr>
          <w:p>
            <w:pPr>
              <w:ind w:left="380"/>
              <w:spacing w:after="0"/>
              <w:rPr>
                <w:sz w:val="20"/>
                <w:szCs w:val="20"/>
                <w:color w:val="auto"/>
              </w:rPr>
            </w:pPr>
            <w:r>
              <w:rPr>
                <w:rFonts w:ascii="Arial" w:cs="Arial" w:eastAsia="Arial" w:hAnsi="Arial"/>
                <w:sz w:val="23"/>
                <w:szCs w:val="23"/>
                <w:b w:val="1"/>
                <w:bCs w:val="1"/>
                <w:color w:val="auto"/>
                <w:w w:val="93"/>
              </w:rPr>
              <w:t>Citigroup</w:t>
            </w:r>
          </w:p>
        </w:tc>
        <w:tc>
          <w:tcPr>
            <w:tcW w:w="1620" w:type="dxa"/>
            <w:vAlign w:val="bottom"/>
          </w:tcPr>
          <w:p>
            <w:pPr>
              <w:jc w:val="right"/>
              <w:ind w:right="44"/>
              <w:spacing w:after="0"/>
              <w:rPr>
                <w:sz w:val="20"/>
                <w:szCs w:val="20"/>
                <w:color w:val="auto"/>
              </w:rPr>
            </w:pPr>
            <w:r>
              <w:rPr>
                <w:rFonts w:ascii="Arial" w:cs="Arial" w:eastAsia="Arial" w:hAnsi="Arial"/>
                <w:sz w:val="23"/>
                <w:szCs w:val="23"/>
                <w:b w:val="1"/>
                <w:bCs w:val="1"/>
                <w:color w:val="auto"/>
              </w:rPr>
              <w:t>KKR</w:t>
            </w:r>
          </w:p>
        </w:tc>
      </w:tr>
      <w:tr>
        <w:trPr>
          <w:trHeight w:val="320"/>
        </w:trPr>
        <w:tc>
          <w:tcPr>
            <w:tcW w:w="2120" w:type="dxa"/>
            <w:vAlign w:val="bottom"/>
          </w:tcPr>
          <w:p>
            <w:pPr>
              <w:spacing w:after="0"/>
              <w:rPr>
                <w:sz w:val="20"/>
                <w:szCs w:val="20"/>
                <w:color w:val="auto"/>
              </w:rPr>
            </w:pPr>
            <w:r>
              <w:rPr>
                <w:rFonts w:ascii="Arial" w:cs="Arial" w:eastAsia="Arial" w:hAnsi="Arial"/>
                <w:sz w:val="21"/>
                <w:szCs w:val="21"/>
                <w:b w:val="1"/>
                <w:bCs w:val="1"/>
                <w:color w:val="auto"/>
              </w:rPr>
              <w:t>Morgan Stanley</w:t>
            </w:r>
          </w:p>
        </w:tc>
        <w:tc>
          <w:tcPr>
            <w:tcW w:w="1720" w:type="dxa"/>
            <w:vAlign w:val="bottom"/>
          </w:tcPr>
          <w:p>
            <w:pPr>
              <w:ind w:left="160"/>
              <w:spacing w:after="0"/>
              <w:rPr>
                <w:sz w:val="20"/>
                <w:szCs w:val="20"/>
                <w:color w:val="auto"/>
              </w:rPr>
            </w:pPr>
            <w:r>
              <w:rPr>
                <w:rFonts w:ascii="Arial" w:cs="Arial" w:eastAsia="Arial" w:hAnsi="Arial"/>
                <w:sz w:val="21"/>
                <w:szCs w:val="21"/>
                <w:b w:val="1"/>
                <w:bCs w:val="1"/>
                <w:color w:val="auto"/>
              </w:rPr>
              <w:t>Jefferies</w:t>
            </w:r>
          </w:p>
        </w:tc>
        <w:tc>
          <w:tcPr>
            <w:tcW w:w="2400" w:type="dxa"/>
            <w:vAlign w:val="bottom"/>
            <w:gridSpan w:val="3"/>
          </w:tcPr>
          <w:p>
            <w:pPr>
              <w:jc w:val="right"/>
              <w:ind w:right="380"/>
              <w:spacing w:after="0"/>
              <w:rPr>
                <w:sz w:val="20"/>
                <w:szCs w:val="20"/>
                <w:color w:val="auto"/>
              </w:rPr>
            </w:pPr>
            <w:r>
              <w:rPr>
                <w:rFonts w:ascii="Arial" w:cs="Arial" w:eastAsia="Arial" w:hAnsi="Arial"/>
                <w:sz w:val="21"/>
                <w:szCs w:val="21"/>
                <w:b w:val="1"/>
                <w:bCs w:val="1"/>
                <w:color w:val="auto"/>
                <w:w w:val="91"/>
              </w:rPr>
              <w:t>UBS Investment Bank</w:t>
            </w:r>
          </w:p>
        </w:tc>
        <w:tc>
          <w:tcPr>
            <w:tcW w:w="2980" w:type="dxa"/>
            <w:vAlign w:val="bottom"/>
            <w:gridSpan w:val="2"/>
          </w:tcPr>
          <w:p>
            <w:pPr>
              <w:jc w:val="right"/>
              <w:ind w:right="364"/>
              <w:spacing w:after="0"/>
              <w:rPr>
                <w:sz w:val="20"/>
                <w:szCs w:val="20"/>
                <w:color w:val="auto"/>
              </w:rPr>
            </w:pPr>
            <w:r>
              <w:rPr>
                <w:rFonts w:ascii="Arial" w:cs="Arial" w:eastAsia="Arial" w:hAnsi="Arial"/>
                <w:sz w:val="21"/>
                <w:szCs w:val="21"/>
                <w:b w:val="1"/>
                <w:bCs w:val="1"/>
                <w:color w:val="auto"/>
              </w:rPr>
              <w:t>Wells Fargo Securities</w:t>
            </w:r>
          </w:p>
        </w:tc>
      </w:tr>
      <w:tr>
        <w:trPr>
          <w:trHeight w:val="316"/>
        </w:trPr>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jc w:val="center"/>
              <w:ind w:left="129"/>
              <w:spacing w:after="0"/>
              <w:rPr>
                <w:sz w:val="20"/>
                <w:szCs w:val="20"/>
                <w:color w:val="auto"/>
              </w:rPr>
            </w:pPr>
            <w:r>
              <w:rPr>
                <w:rFonts w:ascii="Arial" w:cs="Arial" w:eastAsia="Arial" w:hAnsi="Arial"/>
                <w:sz w:val="17"/>
                <w:szCs w:val="17"/>
                <w:b w:val="1"/>
                <w:bCs w:val="1"/>
                <w:i w:val="1"/>
                <w:iCs w:val="1"/>
                <w:color w:val="auto"/>
                <w:w w:val="90"/>
              </w:rPr>
              <w:t>Co-Managers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4"/>
        </w:trPr>
        <w:tc>
          <w:tcPr>
            <w:tcW w:w="2120" w:type="dxa"/>
            <w:vAlign w:val="bottom"/>
          </w:tcPr>
          <w:p>
            <w:pPr>
              <w:spacing w:after="0"/>
              <w:rPr>
                <w:sz w:val="20"/>
                <w:szCs w:val="20"/>
                <w:color w:val="auto"/>
              </w:rPr>
            </w:pPr>
            <w:r>
              <w:rPr>
                <w:rFonts w:ascii="Arial" w:cs="Arial" w:eastAsia="Arial" w:hAnsi="Arial"/>
                <w:sz w:val="17"/>
                <w:szCs w:val="17"/>
                <w:b w:val="1"/>
                <w:bCs w:val="1"/>
                <w:color w:val="auto"/>
              </w:rPr>
              <w:t>Guggenheim Securities</w:t>
            </w:r>
          </w:p>
        </w:tc>
        <w:tc>
          <w:tcPr>
            <w:tcW w:w="1720" w:type="dxa"/>
            <w:vAlign w:val="bottom"/>
          </w:tcPr>
          <w:p>
            <w:pPr>
              <w:spacing w:after="0"/>
              <w:rPr>
                <w:sz w:val="23"/>
                <w:szCs w:val="23"/>
                <w:color w:val="auto"/>
              </w:rPr>
            </w:pPr>
          </w:p>
        </w:tc>
        <w:tc>
          <w:tcPr>
            <w:tcW w:w="2400" w:type="dxa"/>
            <w:vAlign w:val="bottom"/>
            <w:gridSpan w:val="3"/>
          </w:tcPr>
          <w:p>
            <w:pPr>
              <w:jc w:val="center"/>
              <w:ind w:right="860"/>
              <w:spacing w:after="0"/>
              <w:rPr>
                <w:sz w:val="20"/>
                <w:szCs w:val="20"/>
                <w:color w:val="auto"/>
              </w:rPr>
            </w:pPr>
            <w:r>
              <w:rPr>
                <w:rFonts w:ascii="Arial" w:cs="Arial" w:eastAsia="Arial" w:hAnsi="Arial"/>
                <w:sz w:val="17"/>
                <w:szCs w:val="17"/>
                <w:b w:val="1"/>
                <w:bCs w:val="1"/>
                <w:color w:val="auto"/>
                <w:w w:val="92"/>
              </w:rPr>
              <w:t>Mizuho Securities</w:t>
            </w:r>
          </w:p>
        </w:tc>
        <w:tc>
          <w:tcPr>
            <w:tcW w:w="13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Macquarie Capital</w:t>
            </w:r>
          </w:p>
        </w:tc>
      </w:tr>
      <w:tr>
        <w:trPr>
          <w:trHeight w:val="430"/>
        </w:trPr>
        <w:tc>
          <w:tcPr>
            <w:tcW w:w="2120" w:type="dxa"/>
            <w:vAlign w:val="bottom"/>
          </w:tcPr>
          <w:p>
            <w:pPr>
              <w:spacing w:after="0"/>
              <w:rPr>
                <w:sz w:val="24"/>
                <w:szCs w:val="24"/>
                <w:color w:val="auto"/>
              </w:rPr>
            </w:pPr>
          </w:p>
        </w:tc>
        <w:tc>
          <w:tcPr>
            <w:tcW w:w="3040" w:type="dxa"/>
            <w:vAlign w:val="bottom"/>
            <w:gridSpan w:val="2"/>
          </w:tcPr>
          <w:p>
            <w:pPr>
              <w:ind w:left="1400"/>
              <w:spacing w:after="0"/>
              <w:rPr>
                <w:sz w:val="20"/>
                <w:szCs w:val="20"/>
                <w:color w:val="auto"/>
              </w:rPr>
            </w:pPr>
            <w:r>
              <w:rPr>
                <w:rFonts w:ascii="Arial" w:cs="Arial" w:eastAsia="Arial" w:hAnsi="Arial"/>
                <w:sz w:val="17"/>
                <w:szCs w:val="17"/>
                <w:b w:val="1"/>
                <w:bCs w:val="1"/>
                <w:color w:val="auto"/>
              </w:rPr>
              <w:t>Prospectus dated</w:t>
            </w:r>
          </w:p>
        </w:tc>
        <w:tc>
          <w:tcPr>
            <w:tcW w:w="10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w w:val="99"/>
              </w:rPr>
              <w:t>, 2017.</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0"/>
        </w:trPr>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5"/>
        </w:trPr>
        <w:tc>
          <w:tcPr>
            <w:tcW w:w="212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3" w:right="133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617335" cy="9196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7335" cy="919670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984875" cy="8409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4875" cy="8409940"/>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960110" cy="8401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0110" cy="840168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158865" cy="6729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8865" cy="6729730"/>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that we authorize to be delivered to you.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these securities only in jurisdictions where offers and sales are permitted. The information contained in this prospectus is accurate only as of the date of this prospectus, regardless of the time of delivery of this prospectus or of any sale of the securities. Our business, financial condition, results of operations and prospects may have changed since that date.</w:t>
      </w:r>
    </w:p>
    <w:p>
      <w:pPr>
        <w:spacing w:after="0" w:line="56"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b w:val="1"/>
          <w:bCs w:val="1"/>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114300</wp:posOffset>
            </wp:positionV>
            <wp:extent cx="1109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5"/>
          </w:tcPr>
          <w:p>
            <w:pPr>
              <w:ind w:left="20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Market, Ranking, and Other Industry Data</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iii</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Trademarks, Service Marks and Tradenames</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4"/>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iii</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Basis of Presentation</w:t>
              </w:r>
            </w:hyperlink>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iii</w:t>
              </w:r>
            </w:hyperlink>
          </w:p>
        </w:tc>
      </w:tr>
      <w:tr>
        <w:trPr>
          <w:trHeight w:val="183"/>
        </w:trPr>
        <w:tc>
          <w:tcPr>
            <w:tcW w:w="1460" w:type="dxa"/>
            <w:vAlign w:val="bottom"/>
            <w:tcBorders>
              <w:top w:val="single" w:sz="8" w:color="0000EE"/>
            </w:tcBorders>
            <w:gridSpan w:val="10"/>
          </w:tcPr>
          <w:p>
            <w:pPr>
              <w:spacing w:after="0" w:line="183" w:lineRule="exact"/>
              <w:rPr>
                <w:rFonts w:ascii="Arial" w:cs="Arial" w:eastAsia="Arial" w:hAnsi="Arial"/>
                <w:sz w:val="17"/>
                <w:szCs w:val="17"/>
                <w:color w:val="0000EE"/>
              </w:rPr>
            </w:pPr>
            <w:hyperlink w:anchor="page9">
              <w:r>
                <w:rPr>
                  <w:rFonts w:ascii="Arial" w:cs="Arial" w:eastAsia="Arial" w:hAnsi="Arial"/>
                  <w:sz w:val="17"/>
                  <w:szCs w:val="17"/>
                  <w:color w:val="0000EE"/>
                </w:rPr>
                <w:t>Glossary</w:t>
              </w:r>
            </w:hyperlink>
          </w:p>
        </w:tc>
        <w:tc>
          <w:tcPr>
            <w:tcW w:w="7420" w:type="dxa"/>
            <w:vAlign w:val="bottom"/>
            <w:tcBorders>
              <w:top w:val="single" w:sz="8" w:color="CCEEFF"/>
            </w:tcBorders>
            <w:gridSpan w:val="21"/>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0000EE"/>
            </w:tcBorders>
            <w:gridSpan w:val="2"/>
          </w:tcPr>
          <w:p>
            <w:pPr>
              <w:jc w:val="right"/>
              <w:spacing w:after="0" w:line="183" w:lineRule="exact"/>
              <w:rPr>
                <w:rFonts w:ascii="Arial" w:cs="Arial" w:eastAsia="Arial" w:hAnsi="Arial"/>
                <w:sz w:val="17"/>
                <w:szCs w:val="17"/>
                <w:color w:val="0000EE"/>
                <w:w w:val="97"/>
              </w:rPr>
            </w:pPr>
            <w:hyperlink w:anchor="page9">
              <w:r>
                <w:rPr>
                  <w:rFonts w:ascii="Arial" w:cs="Arial" w:eastAsia="Arial" w:hAnsi="Arial"/>
                  <w:sz w:val="17"/>
                  <w:szCs w:val="17"/>
                  <w:color w:val="0000EE"/>
                  <w:w w:val="97"/>
                </w:rPr>
                <w:t>iv</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0">
              <w:r>
                <w:rPr>
                  <w:rFonts w:ascii="Arial" w:cs="Arial" w:eastAsia="Arial" w:hAnsi="Arial"/>
                  <w:sz w:val="17"/>
                  <w:szCs w:val="17"/>
                  <w:color w:val="0000EE"/>
                </w:rPr>
                <w:t>Non-GAAP Financial Measures</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80"/>
              <w:spacing w:after="0" w:line="183" w:lineRule="exact"/>
              <w:rPr>
                <w:rFonts w:ascii="Arial" w:cs="Arial" w:eastAsia="Arial" w:hAnsi="Arial"/>
                <w:sz w:val="17"/>
                <w:szCs w:val="17"/>
                <w:color w:val="0000EE"/>
              </w:rPr>
            </w:pPr>
            <w:hyperlink w:anchor="page10">
              <w:r>
                <w:rPr>
                  <w:rFonts w:ascii="Arial" w:cs="Arial" w:eastAsia="Arial" w:hAnsi="Arial"/>
                  <w:sz w:val="17"/>
                  <w:szCs w:val="17"/>
                  <w:color w:val="0000EE"/>
                </w:rPr>
                <w:t>v</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2220" w:type="dxa"/>
            <w:vAlign w:val="bottom"/>
            <w:gridSpan w:val="18"/>
          </w:tcPr>
          <w:p>
            <w:pPr>
              <w:spacing w:after="0" w:line="183" w:lineRule="exact"/>
              <w:rPr>
                <w:rFonts w:ascii="Arial" w:cs="Arial" w:eastAsia="Arial" w:hAnsi="Arial"/>
                <w:sz w:val="17"/>
                <w:szCs w:val="17"/>
                <w:color w:val="0000EE"/>
              </w:rPr>
            </w:pPr>
            <w:hyperlink w:anchor="page11">
              <w:r>
                <w:rPr>
                  <w:rFonts w:ascii="Arial" w:cs="Arial" w:eastAsia="Arial" w:hAnsi="Arial"/>
                  <w:sz w:val="17"/>
                  <w:szCs w:val="17"/>
                  <w:color w:val="0000EE"/>
                </w:rPr>
                <w:t>Letter From Our CEO</w:t>
              </w:r>
            </w:hyperlink>
          </w:p>
        </w:tc>
        <w:tc>
          <w:tcPr>
            <w:tcW w:w="666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3"/>
          </w:tcPr>
          <w:p>
            <w:pPr>
              <w:jc w:val="right"/>
              <w:ind w:right="80"/>
              <w:spacing w:after="0" w:line="183" w:lineRule="exact"/>
              <w:rPr>
                <w:rFonts w:ascii="Arial" w:cs="Arial" w:eastAsia="Arial" w:hAnsi="Arial"/>
                <w:sz w:val="17"/>
                <w:szCs w:val="17"/>
                <w:color w:val="0000EE"/>
                <w:w w:val="97"/>
              </w:rPr>
            </w:pPr>
            <w:hyperlink w:anchor="page11">
              <w:r>
                <w:rPr>
                  <w:rFonts w:ascii="Arial" w:cs="Arial" w:eastAsia="Arial" w:hAnsi="Arial"/>
                  <w:sz w:val="17"/>
                  <w:szCs w:val="17"/>
                  <w:color w:val="0000EE"/>
                  <w:w w:val="97"/>
                </w:rPr>
                <w:t>vi</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480" w:type="dxa"/>
            <w:vAlign w:val="bottom"/>
            <w:gridSpan w:val="11"/>
            <w:shd w:val="clear" w:color="auto" w:fill="CCEEFF"/>
          </w:tcPr>
          <w:p>
            <w:pPr>
              <w:spacing w:after="0" w:line="183" w:lineRule="exact"/>
              <w:rPr>
                <w:rFonts w:ascii="Arial" w:cs="Arial" w:eastAsia="Arial" w:hAnsi="Arial"/>
                <w:sz w:val="17"/>
                <w:szCs w:val="17"/>
                <w:color w:val="0000EE"/>
                <w:w w:val="89"/>
              </w:rPr>
            </w:pPr>
            <w:hyperlink w:anchor="page13">
              <w:r>
                <w:rPr>
                  <w:rFonts w:ascii="Arial" w:cs="Arial" w:eastAsia="Arial" w:hAnsi="Arial"/>
                  <w:sz w:val="17"/>
                  <w:szCs w:val="17"/>
                  <w:color w:val="0000EE"/>
                  <w:w w:val="89"/>
                </w:rPr>
                <w:t>Prospectus Summary</w:t>
              </w:r>
            </w:hyperlink>
          </w:p>
        </w:tc>
        <w:tc>
          <w:tcPr>
            <w:tcW w:w="7400" w:type="dxa"/>
            <w:vAlign w:val="bottom"/>
            <w:gridSpan w:val="20"/>
            <w:shd w:val="clear" w:color="auto" w:fill="CCEEFF"/>
          </w:tcPr>
          <w:p>
            <w:pPr>
              <w:spacing w:after="0"/>
              <w:rPr>
                <w:sz w:val="15"/>
                <w:szCs w:val="15"/>
                <w:color w:val="auto"/>
              </w:rPr>
            </w:pPr>
          </w:p>
        </w:tc>
        <w:tc>
          <w:tcPr>
            <w:tcW w:w="340" w:type="dxa"/>
            <w:vAlign w:val="bottom"/>
            <w:gridSpan w:val="6"/>
            <w:shd w:val="clear" w:color="auto" w:fill="CCEEFF"/>
          </w:tcPr>
          <w:p>
            <w:pPr>
              <w:jc w:val="right"/>
              <w:ind w:right="80"/>
              <w:spacing w:after="0" w:line="183" w:lineRule="exact"/>
              <w:rPr>
                <w:rFonts w:ascii="Arial" w:cs="Arial" w:eastAsia="Arial" w:hAnsi="Arial"/>
                <w:sz w:val="17"/>
                <w:szCs w:val="17"/>
                <w:color w:val="0000EE"/>
              </w:rPr>
            </w:pPr>
            <w:hyperlink w:anchor="page13">
              <w:r>
                <w:rPr>
                  <w:rFonts w:ascii="Arial" w:cs="Arial" w:eastAsia="Arial" w:hAnsi="Arial"/>
                  <w:sz w:val="17"/>
                  <w:szCs w:val="17"/>
                  <w:color w:val="0000EE"/>
                </w:rPr>
                <w:t>1</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80" w:type="dxa"/>
            <w:vAlign w:val="bottom"/>
            <w:gridSpan w:val="11"/>
          </w:tcPr>
          <w:p>
            <w:pPr>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Risk Factors</w:t>
              </w:r>
            </w:hyperlink>
          </w:p>
        </w:tc>
        <w:tc>
          <w:tcPr>
            <w:tcW w:w="7400" w:type="dxa"/>
            <w:vAlign w:val="bottom"/>
            <w:gridSpan w:val="20"/>
          </w:tcPr>
          <w:p>
            <w:pPr>
              <w:spacing w:after="0"/>
              <w:rPr>
                <w:sz w:val="15"/>
                <w:szCs w:val="15"/>
                <w:color w:val="auto"/>
              </w:rPr>
            </w:pPr>
          </w:p>
        </w:tc>
        <w:tc>
          <w:tcPr>
            <w:tcW w:w="260" w:type="dxa"/>
            <w:vAlign w:val="bottom"/>
            <w:gridSpan w:val="5"/>
          </w:tcPr>
          <w:p>
            <w:pPr>
              <w:jc w:val="right"/>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20</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760" w:type="dxa"/>
            <w:vAlign w:val="bottom"/>
            <w:tcBorders>
              <w:bottom w:val="single" w:sz="8" w:color="0000EE"/>
            </w:tcBorders>
            <w:gridSpan w:val="26"/>
            <w:shd w:val="clear" w:color="auto" w:fill="CCEEFF"/>
          </w:tcPr>
          <w:p>
            <w:pPr>
              <w:spacing w:after="0" w:line="183" w:lineRule="exact"/>
              <w:rPr>
                <w:rFonts w:ascii="Arial" w:cs="Arial" w:eastAsia="Arial" w:hAnsi="Arial"/>
                <w:sz w:val="17"/>
                <w:szCs w:val="17"/>
                <w:color w:val="0000EE"/>
                <w:w w:val="92"/>
              </w:rPr>
            </w:pPr>
            <w:hyperlink w:anchor="page57">
              <w:r>
                <w:rPr>
                  <w:rFonts w:ascii="Arial" w:cs="Arial" w:eastAsia="Arial" w:hAnsi="Arial"/>
                  <w:sz w:val="17"/>
                  <w:szCs w:val="17"/>
                  <w:color w:val="0000EE"/>
                  <w:w w:val="92"/>
                </w:rPr>
                <w:t>Special Note Regarding Forward-Looking Statements</w:t>
              </w:r>
            </w:hyperlink>
          </w:p>
        </w:tc>
        <w:tc>
          <w:tcPr>
            <w:tcW w:w="5120" w:type="dxa"/>
            <w:vAlign w:val="bottom"/>
            <w:tcBorders>
              <w:bottom w:val="single" w:sz="8" w:color="CCEEFF"/>
            </w:tcBorders>
            <w:gridSpan w:val="5"/>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3" w:lineRule="exact"/>
              <w:rPr>
                <w:rFonts w:ascii="Arial" w:cs="Arial" w:eastAsia="Arial" w:hAnsi="Arial"/>
                <w:sz w:val="17"/>
                <w:szCs w:val="17"/>
                <w:color w:val="0000EE"/>
                <w:w w:val="84"/>
              </w:rPr>
            </w:pPr>
            <w:hyperlink w:anchor="page57">
              <w:r>
                <w:rPr>
                  <w:rFonts w:ascii="Arial" w:cs="Arial" w:eastAsia="Arial" w:hAnsi="Arial"/>
                  <w:sz w:val="17"/>
                  <w:szCs w:val="17"/>
                  <w:color w:val="0000EE"/>
                  <w:w w:val="84"/>
                </w:rPr>
                <w:t>45</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Use of Proceeds</w:t>
              </w:r>
            </w:hyperlink>
          </w:p>
        </w:tc>
        <w:tc>
          <w:tcPr>
            <w:tcW w:w="260" w:type="dxa"/>
            <w:vAlign w:val="bottom"/>
            <w:gridSpan w:val="5"/>
          </w:tcPr>
          <w:p>
            <w:pPr>
              <w:jc w:val="right"/>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47</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140" w:type="dxa"/>
            <w:vAlign w:val="bottom"/>
            <w:tcBorders>
              <w:bottom w:val="single" w:sz="8" w:color="0000EE"/>
            </w:tcBorders>
            <w:gridSpan w:val="9"/>
            <w:shd w:val="clear" w:color="auto" w:fill="CCEEFF"/>
          </w:tcPr>
          <w:p>
            <w:pPr>
              <w:spacing w:after="0" w:line="183" w:lineRule="exact"/>
              <w:rPr>
                <w:rFonts w:ascii="Arial" w:cs="Arial" w:eastAsia="Arial" w:hAnsi="Arial"/>
                <w:sz w:val="17"/>
                <w:szCs w:val="17"/>
                <w:color w:val="0000EE"/>
                <w:w w:val="96"/>
              </w:rPr>
            </w:pPr>
            <w:hyperlink w:anchor="page60">
              <w:r>
                <w:rPr>
                  <w:rFonts w:ascii="Arial" w:cs="Arial" w:eastAsia="Arial" w:hAnsi="Arial"/>
                  <w:sz w:val="17"/>
                  <w:szCs w:val="17"/>
                  <w:color w:val="0000EE"/>
                  <w:w w:val="96"/>
                </w:rPr>
                <w:t>Dividend Policy</w:t>
              </w:r>
            </w:hyperlink>
          </w:p>
        </w:tc>
        <w:tc>
          <w:tcPr>
            <w:tcW w:w="7740" w:type="dxa"/>
            <w:vAlign w:val="bottom"/>
            <w:tcBorders>
              <w:bottom w:val="single" w:sz="8" w:color="CCEEFF"/>
            </w:tcBorders>
            <w:gridSpan w:val="22"/>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3" w:lineRule="exact"/>
              <w:rPr>
                <w:rFonts w:ascii="Arial" w:cs="Arial" w:eastAsia="Arial" w:hAnsi="Arial"/>
                <w:sz w:val="17"/>
                <w:szCs w:val="17"/>
                <w:color w:val="0000EE"/>
                <w:w w:val="84"/>
              </w:rPr>
            </w:pPr>
            <w:hyperlink w:anchor="page60">
              <w:r>
                <w:rPr>
                  <w:rFonts w:ascii="Arial" w:cs="Arial" w:eastAsia="Arial" w:hAnsi="Arial"/>
                  <w:sz w:val="17"/>
                  <w:szCs w:val="17"/>
                  <w:color w:val="0000EE"/>
                  <w:w w:val="84"/>
                </w:rPr>
                <w:t>48</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61">
              <w:r>
                <w:rPr>
                  <w:rFonts w:ascii="Arial" w:cs="Arial" w:eastAsia="Arial" w:hAnsi="Arial"/>
                  <w:sz w:val="17"/>
                  <w:szCs w:val="17"/>
                  <w:color w:val="0000EE"/>
                </w:rPr>
                <w:t>Dilution</w:t>
              </w:r>
            </w:hyperlink>
          </w:p>
        </w:tc>
        <w:tc>
          <w:tcPr>
            <w:tcW w:w="260" w:type="dxa"/>
            <w:vAlign w:val="bottom"/>
            <w:gridSpan w:val="5"/>
          </w:tcPr>
          <w:p>
            <w:pPr>
              <w:jc w:val="right"/>
              <w:spacing w:after="0" w:line="183" w:lineRule="exact"/>
              <w:rPr>
                <w:rFonts w:ascii="Arial" w:cs="Arial" w:eastAsia="Arial" w:hAnsi="Arial"/>
                <w:sz w:val="17"/>
                <w:szCs w:val="17"/>
                <w:color w:val="0000EE"/>
              </w:rPr>
            </w:pPr>
            <w:hyperlink w:anchor="page61">
              <w:r>
                <w:rPr>
                  <w:rFonts w:ascii="Arial" w:cs="Arial" w:eastAsia="Arial" w:hAnsi="Arial"/>
                  <w:sz w:val="17"/>
                  <w:szCs w:val="17"/>
                  <w:color w:val="0000EE"/>
                </w:rPr>
                <w:t>49</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980" w:type="dxa"/>
            <w:vAlign w:val="bottom"/>
            <w:tcBorders>
              <w:bottom w:val="single" w:sz="8" w:color="0000EE"/>
            </w:tcBorders>
            <w:gridSpan w:val="7"/>
            <w:shd w:val="clear" w:color="auto" w:fill="CCEEFF"/>
          </w:tcPr>
          <w:p>
            <w:pPr>
              <w:spacing w:after="0" w:line="183"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Capitalization</w:t>
              </w:r>
            </w:hyperlink>
          </w:p>
        </w:tc>
        <w:tc>
          <w:tcPr>
            <w:tcW w:w="7900" w:type="dxa"/>
            <w:vAlign w:val="bottom"/>
            <w:tcBorders>
              <w:bottom w:val="single" w:sz="8" w:color="CCEEFF"/>
            </w:tcBorders>
            <w:gridSpan w:val="24"/>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3"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51</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Unaudited Pro Forma Consolidated Financial Information</w:t>
              </w:r>
            </w:hyperlink>
          </w:p>
        </w:tc>
        <w:tc>
          <w:tcPr>
            <w:tcW w:w="260" w:type="dxa"/>
            <w:vAlign w:val="bottom"/>
            <w:gridSpan w:val="5"/>
          </w:tcPr>
          <w:p>
            <w:pPr>
              <w:jc w:val="right"/>
              <w:spacing w:after="0" w:line="183" w:lineRule="exact"/>
              <w:rPr>
                <w:rFonts w:ascii="Arial" w:cs="Arial" w:eastAsia="Arial" w:hAnsi="Arial"/>
                <w:sz w:val="17"/>
                <w:szCs w:val="17"/>
                <w:color w:val="0000EE"/>
              </w:rPr>
            </w:pPr>
            <w:hyperlink w:anchor="page65">
              <w:r>
                <w:rPr>
                  <w:rFonts w:ascii="Arial" w:cs="Arial" w:eastAsia="Arial" w:hAnsi="Arial"/>
                  <w:sz w:val="17"/>
                  <w:szCs w:val="17"/>
                  <w:color w:val="0000EE"/>
                </w:rPr>
                <w:t>53</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340" w:type="dxa"/>
            <w:vAlign w:val="bottom"/>
            <w:tcBorders>
              <w:bottom w:val="single" w:sz="8" w:color="0000EE"/>
            </w:tcBorders>
            <w:gridSpan w:val="23"/>
            <w:shd w:val="clear" w:color="auto" w:fill="CCEEFF"/>
          </w:tcPr>
          <w:p>
            <w:pPr>
              <w:spacing w:after="0" w:line="183" w:lineRule="exact"/>
              <w:rPr>
                <w:rFonts w:ascii="Arial" w:cs="Arial" w:eastAsia="Arial" w:hAnsi="Arial"/>
                <w:sz w:val="17"/>
                <w:szCs w:val="17"/>
                <w:color w:val="0000EE"/>
                <w:w w:val="92"/>
              </w:rPr>
            </w:pPr>
            <w:hyperlink w:anchor="page71">
              <w:r>
                <w:rPr>
                  <w:rFonts w:ascii="Arial" w:cs="Arial" w:eastAsia="Arial" w:hAnsi="Arial"/>
                  <w:sz w:val="17"/>
                  <w:szCs w:val="17"/>
                  <w:color w:val="0000EE"/>
                  <w:w w:val="92"/>
                </w:rPr>
                <w:t>Selected Historical Consolidated Financial Data</w:t>
              </w:r>
            </w:hyperlink>
          </w:p>
        </w:tc>
        <w:tc>
          <w:tcPr>
            <w:tcW w:w="5540" w:type="dxa"/>
            <w:vAlign w:val="bottom"/>
            <w:tcBorders>
              <w:bottom w:val="single" w:sz="8" w:color="CCEEFF"/>
            </w:tcBorders>
            <w:gridSpan w:val="8"/>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3" w:lineRule="exact"/>
              <w:rPr>
                <w:rFonts w:ascii="Arial" w:cs="Arial" w:eastAsia="Arial" w:hAnsi="Arial"/>
                <w:sz w:val="17"/>
                <w:szCs w:val="17"/>
                <w:color w:val="0000EE"/>
                <w:w w:val="84"/>
              </w:rPr>
            </w:pPr>
            <w:hyperlink w:anchor="page71">
              <w:r>
                <w:rPr>
                  <w:rFonts w:ascii="Arial" w:cs="Arial" w:eastAsia="Arial" w:hAnsi="Arial"/>
                  <w:sz w:val="17"/>
                  <w:szCs w:val="17"/>
                  <w:color w:val="0000EE"/>
                  <w:w w:val="84"/>
                </w:rPr>
                <w:t>59</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73">
              <w:r>
                <w:rPr>
                  <w:rFonts w:ascii="Arial" w:cs="Arial" w:eastAsia="Arial" w:hAnsi="Arial"/>
                  <w:sz w:val="17"/>
                  <w:szCs w:val="17"/>
                  <w:color w:val="0000EE"/>
                </w:rPr>
                <w:t>Management’s Discussion and Analysis of Financial Condition and Results of Operations</w:t>
              </w:r>
            </w:hyperlink>
          </w:p>
        </w:tc>
        <w:tc>
          <w:tcPr>
            <w:tcW w:w="260" w:type="dxa"/>
            <w:vAlign w:val="bottom"/>
            <w:gridSpan w:val="5"/>
          </w:tcPr>
          <w:p>
            <w:pPr>
              <w:jc w:val="right"/>
              <w:spacing w:after="0" w:line="183" w:lineRule="exact"/>
              <w:rPr>
                <w:rFonts w:ascii="Arial" w:cs="Arial" w:eastAsia="Arial" w:hAnsi="Arial"/>
                <w:sz w:val="17"/>
                <w:szCs w:val="17"/>
                <w:color w:val="0000EE"/>
              </w:rPr>
            </w:pPr>
            <w:hyperlink w:anchor="page73">
              <w:r>
                <w:rPr>
                  <w:rFonts w:ascii="Arial" w:cs="Arial" w:eastAsia="Arial" w:hAnsi="Arial"/>
                  <w:sz w:val="17"/>
                  <w:szCs w:val="17"/>
                  <w:color w:val="0000EE"/>
                </w:rPr>
                <w:t>61</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620" w:type="dxa"/>
            <w:vAlign w:val="bottom"/>
            <w:tcBorders>
              <w:bottom w:val="single" w:sz="8" w:color="0000EE"/>
            </w:tcBorders>
            <w:gridSpan w:val="3"/>
            <w:shd w:val="clear" w:color="auto" w:fill="CCEEFF"/>
          </w:tcPr>
          <w:p>
            <w:pPr>
              <w:spacing w:after="0" w:line="183" w:lineRule="exact"/>
              <w:rPr>
                <w:rFonts w:ascii="Arial" w:cs="Arial" w:eastAsia="Arial" w:hAnsi="Arial"/>
                <w:sz w:val="17"/>
                <w:szCs w:val="17"/>
                <w:color w:val="0000EE"/>
                <w:w w:val="86"/>
              </w:rPr>
            </w:pPr>
            <w:hyperlink w:anchor="page106">
              <w:r>
                <w:rPr>
                  <w:rFonts w:ascii="Arial" w:cs="Arial" w:eastAsia="Arial" w:hAnsi="Arial"/>
                  <w:sz w:val="17"/>
                  <w:szCs w:val="17"/>
                  <w:color w:val="0000EE"/>
                  <w:w w:val="86"/>
                </w:rPr>
                <w:t>Business</w:t>
              </w:r>
            </w:hyperlink>
          </w:p>
        </w:tc>
        <w:tc>
          <w:tcPr>
            <w:tcW w:w="8260" w:type="dxa"/>
            <w:vAlign w:val="bottom"/>
            <w:tcBorders>
              <w:bottom w:val="single" w:sz="8" w:color="CCEEFF"/>
            </w:tcBorders>
            <w:gridSpan w:val="28"/>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3" w:lineRule="exact"/>
              <w:rPr>
                <w:rFonts w:ascii="Arial" w:cs="Arial" w:eastAsia="Arial" w:hAnsi="Arial"/>
                <w:sz w:val="17"/>
                <w:szCs w:val="17"/>
                <w:color w:val="0000EE"/>
                <w:w w:val="84"/>
              </w:rPr>
            </w:pPr>
            <w:hyperlink w:anchor="page106">
              <w:r>
                <w:rPr>
                  <w:rFonts w:ascii="Arial" w:cs="Arial" w:eastAsia="Arial" w:hAnsi="Arial"/>
                  <w:sz w:val="17"/>
                  <w:szCs w:val="17"/>
                  <w:color w:val="0000EE"/>
                  <w:w w:val="84"/>
                </w:rPr>
                <w:t>94</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33">
              <w:r>
                <w:rPr>
                  <w:rFonts w:ascii="Arial" w:cs="Arial" w:eastAsia="Arial" w:hAnsi="Arial"/>
                  <w:sz w:val="17"/>
                  <w:szCs w:val="17"/>
                  <w:color w:val="0000EE"/>
                </w:rPr>
                <w:t>Management</w:t>
              </w:r>
            </w:hyperlink>
          </w:p>
        </w:tc>
        <w:tc>
          <w:tcPr>
            <w:tcW w:w="340" w:type="dxa"/>
            <w:vAlign w:val="bottom"/>
            <w:gridSpan w:val="6"/>
          </w:tcPr>
          <w:p>
            <w:pPr>
              <w:jc w:val="right"/>
              <w:ind w:right="80"/>
              <w:spacing w:after="0" w:line="183" w:lineRule="exact"/>
              <w:rPr>
                <w:rFonts w:ascii="Arial" w:cs="Arial" w:eastAsia="Arial" w:hAnsi="Arial"/>
                <w:sz w:val="17"/>
                <w:szCs w:val="17"/>
                <w:color w:val="0000EE"/>
                <w:w w:val="84"/>
              </w:rPr>
            </w:pPr>
            <w:hyperlink w:anchor="page133">
              <w:r>
                <w:rPr>
                  <w:rFonts w:ascii="Arial" w:cs="Arial" w:eastAsia="Arial" w:hAnsi="Arial"/>
                  <w:sz w:val="17"/>
                  <w:szCs w:val="17"/>
                  <w:color w:val="0000EE"/>
                  <w:w w:val="84"/>
                </w:rPr>
                <w:t>121</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580" w:type="dxa"/>
            <w:vAlign w:val="bottom"/>
            <w:tcBorders>
              <w:bottom w:val="single" w:sz="8" w:color="0000EE"/>
            </w:tcBorders>
            <w:gridSpan w:val="13"/>
            <w:shd w:val="clear" w:color="auto" w:fill="CCEEFF"/>
          </w:tcPr>
          <w:p>
            <w:pPr>
              <w:spacing w:after="0" w:line="183" w:lineRule="exact"/>
              <w:rPr>
                <w:rFonts w:ascii="Arial" w:cs="Arial" w:eastAsia="Arial" w:hAnsi="Arial"/>
                <w:sz w:val="17"/>
                <w:szCs w:val="17"/>
                <w:color w:val="0000EE"/>
                <w:w w:val="92"/>
              </w:rPr>
            </w:pPr>
            <w:hyperlink w:anchor="page158">
              <w:r>
                <w:rPr>
                  <w:rFonts w:ascii="Arial" w:cs="Arial" w:eastAsia="Arial" w:hAnsi="Arial"/>
                  <w:sz w:val="17"/>
                  <w:szCs w:val="17"/>
                  <w:color w:val="0000EE"/>
                  <w:w w:val="92"/>
                </w:rPr>
                <w:t>Principal Stockholders</w:t>
              </w:r>
            </w:hyperlink>
          </w:p>
        </w:tc>
        <w:tc>
          <w:tcPr>
            <w:tcW w:w="7300" w:type="dxa"/>
            <w:vAlign w:val="bottom"/>
            <w:tcBorders>
              <w:bottom w:val="single" w:sz="8" w:color="CCEEFF"/>
            </w:tcBorders>
            <w:gridSpan w:val="18"/>
            <w:shd w:val="clear" w:color="auto" w:fill="CCEEFF"/>
          </w:tcPr>
          <w:p>
            <w:pPr>
              <w:spacing w:after="0"/>
              <w:rPr>
                <w:sz w:val="18"/>
                <w:szCs w:val="18"/>
                <w:color w:val="auto"/>
              </w:rPr>
            </w:pPr>
          </w:p>
        </w:tc>
        <w:tc>
          <w:tcPr>
            <w:tcW w:w="260" w:type="dxa"/>
            <w:vAlign w:val="bottom"/>
            <w:tcBorders>
              <w:bottom w:val="single" w:sz="8" w:color="0000EE"/>
            </w:tcBorders>
            <w:gridSpan w:val="5"/>
            <w:shd w:val="clear" w:color="auto" w:fill="CCEEFF"/>
          </w:tcPr>
          <w:p>
            <w:pPr>
              <w:jc w:val="right"/>
              <w:spacing w:after="0" w:line="183" w:lineRule="exact"/>
              <w:rPr>
                <w:rFonts w:ascii="Arial" w:cs="Arial" w:eastAsia="Arial" w:hAnsi="Arial"/>
                <w:sz w:val="17"/>
                <w:szCs w:val="17"/>
                <w:color w:val="0000EE"/>
                <w:w w:val="84"/>
              </w:rPr>
            </w:pPr>
            <w:hyperlink w:anchor="page158">
              <w:r>
                <w:rPr>
                  <w:rFonts w:ascii="Arial" w:cs="Arial" w:eastAsia="Arial" w:hAnsi="Arial"/>
                  <w:sz w:val="17"/>
                  <w:szCs w:val="17"/>
                  <w:color w:val="0000EE"/>
                  <w:w w:val="84"/>
                </w:rPr>
                <w:t>146</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60">
              <w:r>
                <w:rPr>
                  <w:rFonts w:ascii="Arial" w:cs="Arial" w:eastAsia="Arial" w:hAnsi="Arial"/>
                  <w:sz w:val="17"/>
                  <w:szCs w:val="17"/>
                  <w:color w:val="0000EE"/>
                </w:rPr>
                <w:t>Certain Relationships and Related Party Transactions</w:t>
              </w:r>
            </w:hyperlink>
          </w:p>
        </w:tc>
        <w:tc>
          <w:tcPr>
            <w:tcW w:w="340" w:type="dxa"/>
            <w:vAlign w:val="bottom"/>
            <w:gridSpan w:val="6"/>
          </w:tcPr>
          <w:p>
            <w:pPr>
              <w:jc w:val="right"/>
              <w:ind w:right="80"/>
              <w:spacing w:after="0" w:line="183" w:lineRule="exact"/>
              <w:rPr>
                <w:rFonts w:ascii="Arial" w:cs="Arial" w:eastAsia="Arial" w:hAnsi="Arial"/>
                <w:sz w:val="17"/>
                <w:szCs w:val="17"/>
                <w:color w:val="0000EE"/>
                <w:w w:val="84"/>
              </w:rPr>
            </w:pPr>
            <w:hyperlink w:anchor="page160">
              <w:r>
                <w:rPr>
                  <w:rFonts w:ascii="Arial" w:cs="Arial" w:eastAsia="Arial" w:hAnsi="Arial"/>
                  <w:sz w:val="17"/>
                  <w:szCs w:val="17"/>
                  <w:color w:val="0000EE"/>
                  <w:w w:val="84"/>
                </w:rPr>
                <w:t>148</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63">
              <w:r>
                <w:rPr>
                  <w:rFonts w:ascii="Arial" w:cs="Arial" w:eastAsia="Arial" w:hAnsi="Arial"/>
                  <w:sz w:val="17"/>
                  <w:szCs w:val="17"/>
                  <w:color w:val="0000EE"/>
                </w:rPr>
                <w:t>Description of Indebtedness</w:t>
              </w:r>
            </w:hyperlink>
          </w:p>
        </w:tc>
        <w:tc>
          <w:tcPr>
            <w:tcW w:w="340" w:type="dxa"/>
            <w:vAlign w:val="bottom"/>
            <w:gridSpan w:val="6"/>
            <w:shd w:val="clear" w:color="auto" w:fill="CCEEFF"/>
          </w:tcPr>
          <w:p>
            <w:pPr>
              <w:jc w:val="right"/>
              <w:ind w:right="80"/>
              <w:spacing w:after="0" w:line="183" w:lineRule="exact"/>
              <w:rPr>
                <w:rFonts w:ascii="Arial" w:cs="Arial" w:eastAsia="Arial" w:hAnsi="Arial"/>
                <w:sz w:val="17"/>
                <w:szCs w:val="17"/>
                <w:color w:val="0000EE"/>
                <w:w w:val="84"/>
              </w:rPr>
            </w:pPr>
            <w:hyperlink w:anchor="page163">
              <w:r>
                <w:rPr>
                  <w:rFonts w:ascii="Arial" w:cs="Arial" w:eastAsia="Arial" w:hAnsi="Arial"/>
                  <w:sz w:val="17"/>
                  <w:szCs w:val="17"/>
                  <w:color w:val="0000EE"/>
                  <w:w w:val="84"/>
                </w:rPr>
                <w:t>151</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67">
              <w:r>
                <w:rPr>
                  <w:rFonts w:ascii="Arial" w:cs="Arial" w:eastAsia="Arial" w:hAnsi="Arial"/>
                  <w:sz w:val="17"/>
                  <w:szCs w:val="17"/>
                  <w:color w:val="0000EE"/>
                </w:rPr>
                <w:t>Description of Capital Stock</w:t>
              </w:r>
            </w:hyperlink>
          </w:p>
        </w:tc>
        <w:tc>
          <w:tcPr>
            <w:tcW w:w="340" w:type="dxa"/>
            <w:vAlign w:val="bottom"/>
            <w:gridSpan w:val="6"/>
          </w:tcPr>
          <w:p>
            <w:pPr>
              <w:jc w:val="right"/>
              <w:ind w:right="80"/>
              <w:spacing w:after="0" w:line="183"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155</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74">
              <w:r>
                <w:rPr>
                  <w:rFonts w:ascii="Arial" w:cs="Arial" w:eastAsia="Arial" w:hAnsi="Arial"/>
                  <w:sz w:val="17"/>
                  <w:szCs w:val="17"/>
                  <w:color w:val="0000EE"/>
                </w:rPr>
                <w:t>Shares Eligible for Future Sale</w:t>
              </w:r>
            </w:hyperlink>
          </w:p>
        </w:tc>
        <w:tc>
          <w:tcPr>
            <w:tcW w:w="340" w:type="dxa"/>
            <w:vAlign w:val="bottom"/>
            <w:gridSpan w:val="6"/>
            <w:shd w:val="clear" w:color="auto" w:fill="CCEEFF"/>
          </w:tcPr>
          <w:p>
            <w:pPr>
              <w:jc w:val="right"/>
              <w:ind w:right="80"/>
              <w:spacing w:after="0" w:line="183"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162</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76">
              <w:r>
                <w:rPr>
                  <w:rFonts w:ascii="Arial" w:cs="Arial" w:eastAsia="Arial" w:hAnsi="Arial"/>
                  <w:sz w:val="17"/>
                  <w:szCs w:val="17"/>
                  <w:color w:val="0000EE"/>
                </w:rPr>
                <w:t>Material United States Federal Income and Estate Tax Consequences to Non-U.S. Holders</w:t>
              </w:r>
            </w:hyperlink>
          </w:p>
        </w:tc>
        <w:tc>
          <w:tcPr>
            <w:tcW w:w="340" w:type="dxa"/>
            <w:vAlign w:val="bottom"/>
            <w:gridSpan w:val="6"/>
          </w:tcPr>
          <w:p>
            <w:pPr>
              <w:jc w:val="right"/>
              <w:ind w:right="80"/>
              <w:spacing w:after="0" w:line="183"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164</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79">
              <w:r>
                <w:rPr>
                  <w:rFonts w:ascii="Arial" w:cs="Arial" w:eastAsia="Arial" w:hAnsi="Arial"/>
                  <w:sz w:val="17"/>
                  <w:szCs w:val="17"/>
                  <w:color w:val="0000EE"/>
                </w:rPr>
                <w:t>Underwriting (Conflicts of Interest)</w:t>
              </w:r>
            </w:hyperlink>
          </w:p>
        </w:tc>
        <w:tc>
          <w:tcPr>
            <w:tcW w:w="340" w:type="dxa"/>
            <w:vAlign w:val="bottom"/>
            <w:gridSpan w:val="6"/>
            <w:shd w:val="clear" w:color="auto" w:fill="CCEEFF"/>
          </w:tcPr>
          <w:p>
            <w:pPr>
              <w:jc w:val="right"/>
              <w:ind w:right="80"/>
              <w:spacing w:after="0" w:line="183"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167</w:t>
              </w:r>
            </w:hyperlink>
          </w:p>
        </w:tc>
      </w:tr>
      <w:tr>
        <w:trPr>
          <w:trHeight w:val="183"/>
        </w:trPr>
        <w:tc>
          <w:tcPr>
            <w:tcW w:w="2480" w:type="dxa"/>
            <w:vAlign w:val="bottom"/>
            <w:tcBorders>
              <w:top w:val="single" w:sz="8" w:color="0000EE"/>
            </w:tcBorders>
            <w:gridSpan w:val="19"/>
          </w:tcPr>
          <w:p>
            <w:pPr>
              <w:spacing w:after="0" w:line="183" w:lineRule="exact"/>
              <w:rPr>
                <w:rFonts w:ascii="Arial" w:cs="Arial" w:eastAsia="Arial" w:hAnsi="Arial"/>
                <w:sz w:val="17"/>
                <w:szCs w:val="17"/>
                <w:color w:val="0000EE"/>
              </w:rPr>
            </w:pPr>
            <w:hyperlink w:anchor="page186">
              <w:r>
                <w:rPr>
                  <w:rFonts w:ascii="Arial" w:cs="Arial" w:eastAsia="Arial" w:hAnsi="Arial"/>
                  <w:sz w:val="17"/>
                  <w:szCs w:val="17"/>
                  <w:color w:val="0000EE"/>
                </w:rPr>
                <w:t>Legal Matters</w:t>
              </w:r>
            </w:hyperlink>
          </w:p>
        </w:tc>
        <w:tc>
          <w:tcPr>
            <w:tcW w:w="6400" w:type="dxa"/>
            <w:vAlign w:val="bottom"/>
            <w:tcBorders>
              <w:top w:val="single" w:sz="8" w:color="CCEEFF"/>
            </w:tcBorders>
            <w:gridSpan w:val="12"/>
          </w:tcPr>
          <w:p>
            <w:pPr>
              <w:spacing w:after="0"/>
              <w:rPr>
                <w:sz w:val="15"/>
                <w:szCs w:val="15"/>
                <w:color w:val="auto"/>
              </w:rPr>
            </w:pPr>
          </w:p>
        </w:tc>
        <w:tc>
          <w:tcPr>
            <w:tcW w:w="260" w:type="dxa"/>
            <w:vAlign w:val="bottom"/>
            <w:tcBorders>
              <w:top w:val="single" w:sz="8" w:color="0000EE"/>
            </w:tcBorders>
            <w:gridSpan w:val="5"/>
          </w:tcPr>
          <w:p>
            <w:pPr>
              <w:jc w:val="right"/>
              <w:spacing w:after="0" w:line="183"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174</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6">
              <w:r>
                <w:rPr>
                  <w:rFonts w:ascii="Arial" w:cs="Arial" w:eastAsia="Arial" w:hAnsi="Arial"/>
                  <w:sz w:val="17"/>
                  <w:szCs w:val="17"/>
                  <w:color w:val="0000EE"/>
                </w:rPr>
                <w:t>Experts</w:t>
              </w:r>
            </w:hyperlink>
          </w:p>
        </w:tc>
        <w:tc>
          <w:tcPr>
            <w:tcW w:w="340" w:type="dxa"/>
            <w:vAlign w:val="bottom"/>
            <w:gridSpan w:val="6"/>
            <w:shd w:val="clear" w:color="auto" w:fill="CCEEFF"/>
          </w:tcPr>
          <w:p>
            <w:pPr>
              <w:jc w:val="right"/>
              <w:ind w:right="80"/>
              <w:spacing w:after="0" w:line="183"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174</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86">
              <w:r>
                <w:rPr>
                  <w:rFonts w:ascii="Arial" w:cs="Arial" w:eastAsia="Arial" w:hAnsi="Arial"/>
                  <w:sz w:val="17"/>
                  <w:szCs w:val="17"/>
                  <w:color w:val="0000EE"/>
                </w:rPr>
                <w:t>Where You Can Find More Information</w:t>
              </w:r>
            </w:hyperlink>
          </w:p>
        </w:tc>
        <w:tc>
          <w:tcPr>
            <w:tcW w:w="340" w:type="dxa"/>
            <w:vAlign w:val="bottom"/>
            <w:gridSpan w:val="6"/>
          </w:tcPr>
          <w:p>
            <w:pPr>
              <w:jc w:val="right"/>
              <w:ind w:right="80"/>
              <w:spacing w:after="0" w:line="183"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174</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7">
              <w:r>
                <w:rPr>
                  <w:rFonts w:ascii="Arial" w:cs="Arial" w:eastAsia="Arial" w:hAnsi="Arial"/>
                  <w:sz w:val="17"/>
                  <w:szCs w:val="17"/>
                  <w:color w:val="0000EE"/>
                </w:rPr>
                <w:t>Index to Financial Statements</w:t>
              </w:r>
            </w:hyperlink>
          </w:p>
        </w:tc>
        <w:tc>
          <w:tcPr>
            <w:tcW w:w="340" w:type="dxa"/>
            <w:vAlign w:val="bottom"/>
            <w:gridSpan w:val="6"/>
            <w:shd w:val="clear" w:color="auto" w:fill="CCEEFF"/>
          </w:tcPr>
          <w:p>
            <w:pPr>
              <w:jc w:val="right"/>
              <w:ind w:right="80"/>
              <w:spacing w:after="0" w:line="183" w:lineRule="exact"/>
              <w:rPr>
                <w:rFonts w:ascii="Arial" w:cs="Arial" w:eastAsia="Arial" w:hAnsi="Arial"/>
                <w:sz w:val="17"/>
                <w:szCs w:val="17"/>
                <w:color w:val="0000EE"/>
                <w:w w:val="93"/>
              </w:rPr>
            </w:pPr>
            <w:hyperlink w:anchor="page187">
              <w:r>
                <w:rPr>
                  <w:rFonts w:ascii="Arial" w:cs="Arial" w:eastAsia="Arial" w:hAnsi="Arial"/>
                  <w:sz w:val="17"/>
                  <w:szCs w:val="17"/>
                  <w:color w:val="0000EE"/>
                  <w:w w:val="93"/>
                </w:rPr>
                <w:t>F-1</w:t>
              </w:r>
            </w:hyperlink>
          </w:p>
        </w:tc>
      </w:tr>
      <w:tr>
        <w:trPr>
          <w:trHeight w:val="196"/>
        </w:trPr>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1460" w:type="dxa"/>
            <w:vAlign w:val="bottom"/>
            <w:tcBorders>
              <w:top w:val="single" w:sz="8" w:color="CCEEFF"/>
              <w:bottom w:val="single" w:sz="8" w:color="auto"/>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 w:name="page8"/>
    <w:bookmarkEnd w:id="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RANKING, AND OTHER INDUSTRY DATA</w:t>
      </w:r>
    </w:p>
    <w:p>
      <w:pPr>
        <w:spacing w:after="0" w:line="123" w:lineRule="exact"/>
        <w:rPr>
          <w:sz w:val="20"/>
          <w:szCs w:val="20"/>
          <w:color w:val="auto"/>
        </w:rPr>
      </w:pPr>
    </w:p>
    <w:p>
      <w:pPr>
        <w:ind w:left="1" w:firstLine="347"/>
        <w:spacing w:after="0" w:line="293" w:lineRule="auto"/>
        <w:rPr>
          <w:sz w:val="20"/>
          <w:szCs w:val="20"/>
          <w:color w:val="auto"/>
        </w:rPr>
      </w:pPr>
      <w:r>
        <w:rPr>
          <w:rFonts w:ascii="Arial" w:cs="Arial" w:eastAsia="Arial" w:hAnsi="Arial"/>
          <w:sz w:val="15"/>
          <w:szCs w:val="15"/>
          <w:color w:val="auto"/>
        </w:rPr>
        <w:t>The data included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 this prospectus, and we believe these estimates to be accurate as of the date of this prospectus or such other date stated in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 SERVICE MARKS AND TRADENAMES</w:t>
      </w:r>
    </w:p>
    <w:p>
      <w:pPr>
        <w:spacing w:after="0" w:line="123" w:lineRule="exact"/>
        <w:rPr>
          <w:sz w:val="20"/>
          <w:szCs w:val="20"/>
          <w:color w:val="auto"/>
        </w:rPr>
      </w:pPr>
    </w:p>
    <w:p>
      <w:pPr>
        <w:ind w:left="1" w:firstLine="347"/>
        <w:spacing w:after="0" w:line="293" w:lineRule="auto"/>
        <w:rPr>
          <w:sz w:val="20"/>
          <w:szCs w:val="20"/>
          <w:color w:val="auto"/>
        </w:rPr>
      </w:pPr>
      <w:r>
        <w:rPr>
          <w:rFonts w:ascii="Arial" w:cs="Arial" w:eastAsia="Arial" w:hAnsi="Arial"/>
          <w:sz w:val="15"/>
          <w:szCs w:val="15"/>
          <w:color w:val="auto"/>
        </w:rPr>
        <w:t>We own a number of registered and common law trademarks and pending applications for trademark registrations in the United States, primarily through our subsidiaries,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w:t>
      </w:r>
    </w:p>
    <w:p>
      <w:pPr>
        <w:spacing w:after="0" w:line="2" w:lineRule="exact"/>
        <w:rPr>
          <w:sz w:val="20"/>
          <w:szCs w:val="20"/>
          <w:color w:val="auto"/>
        </w:rPr>
      </w:pPr>
    </w:p>
    <w:p>
      <w:pPr>
        <w:ind w:left="1" w:hanging="1"/>
        <w:spacing w:after="0" w:line="265" w:lineRule="auto"/>
        <w:tabs>
          <w:tab w:leader="none" w:pos="179"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Design. Solely for convenience, the trademarks, service marks and tradenames referred to in this prospectus are presented without the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w:t>
      </w:r>
      <w:r>
        <w:rPr>
          <w:rFonts w:ascii="Arial" w:cs="Arial" w:eastAsia="Arial" w:hAnsi="Arial"/>
          <w:sz w:val="22"/>
          <w:szCs w:val="22"/>
          <w:b w:val="1"/>
          <w:bCs w:val="1"/>
          <w:color w:val="auto"/>
          <w:vertAlign w:val="superscript"/>
        </w:rPr>
        <w:t>SM</w:t>
      </w:r>
      <w:r>
        <w:rPr>
          <w:rFonts w:ascii="Arial" w:cs="Arial" w:eastAsia="Arial" w:hAnsi="Arial"/>
          <w:sz w:val="15"/>
          <w:szCs w:val="15"/>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are the property of their respective owners.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BASIS OF PRESENTATION</w:t>
      </w:r>
    </w:p>
    <w:p>
      <w:pPr>
        <w:spacing w:after="0" w:line="123" w:lineRule="exact"/>
        <w:rPr>
          <w:sz w:val="20"/>
          <w:szCs w:val="20"/>
          <w:color w:val="auto"/>
        </w:rPr>
      </w:pPr>
    </w:p>
    <w:p>
      <w:pPr>
        <w:ind w:left="1" w:right="80" w:firstLine="347"/>
        <w:spacing w:after="0" w:line="284" w:lineRule="auto"/>
        <w:rPr>
          <w:sz w:val="20"/>
          <w:szCs w:val="20"/>
          <w:color w:val="auto"/>
        </w:rPr>
      </w:pPr>
      <w:r>
        <w:rPr>
          <w:rFonts w:ascii="Arial" w:cs="Arial" w:eastAsia="Arial" w:hAnsi="Arial"/>
          <w:sz w:val="16"/>
          <w:szCs w:val="16"/>
          <w:color w:val="auto"/>
        </w:rPr>
        <w:t>Unless otherwise indicated or the context otherwise requires, financial data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59" w:lineRule="exact"/>
        <w:rPr>
          <w:sz w:val="20"/>
          <w:szCs w:val="20"/>
          <w:color w:val="auto"/>
        </w:rPr>
      </w:pPr>
    </w:p>
    <w:p>
      <w:pPr>
        <w:ind w:left="1" w:right="200" w:firstLine="347"/>
        <w:spacing w:after="0" w:line="271"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68" w:lineRule="exact"/>
        <w:rPr>
          <w:sz w:val="20"/>
          <w:szCs w:val="20"/>
          <w:color w:val="auto"/>
        </w:rPr>
      </w:pPr>
    </w:p>
    <w:p>
      <w:pPr>
        <w:ind w:left="1" w:right="40" w:firstLine="347"/>
        <w:spacing w:after="0" w:line="281" w:lineRule="auto"/>
        <w:rPr>
          <w:sz w:val="20"/>
          <w:szCs w:val="20"/>
          <w:color w:val="auto"/>
        </w:rPr>
      </w:pPr>
      <w:r>
        <w:rPr>
          <w:rFonts w:ascii="Arial" w:cs="Arial" w:eastAsia="Arial" w:hAnsi="Arial"/>
          <w:sz w:val="16"/>
          <w:szCs w:val="16"/>
          <w:color w:val="auto"/>
        </w:rPr>
        <w:t>For the purpose of discussing our financial results, we refer to ourselves as the “Successor” in the periods following the KKR Acquisition (defined below) and the “Predecessor” during the periods preceding the KKR Acquisition. 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“fiscal year 2012,” “fiscal year 2013,” “fiscal year 2015” and “fiscal year 2016” relate to our fiscal year ended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2012, our fiscal year ended December 28, 2013, our fiscal year ended January 2, 2016 and our fiscal year ended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respectively.</w:t>
      </w:r>
    </w:p>
    <w:p>
      <w:pPr>
        <w:spacing w:after="0" w:line="105" w:lineRule="exact"/>
        <w:rPr>
          <w:sz w:val="20"/>
          <w:szCs w:val="20"/>
          <w:color w:val="auto"/>
        </w:rPr>
      </w:pPr>
    </w:p>
    <w:p>
      <w:pPr>
        <w:ind w:right="120" w:firstLine="347"/>
        <w:spacing w:after="0" w:line="288" w:lineRule="auto"/>
        <w:rPr>
          <w:sz w:val="20"/>
          <w:szCs w:val="20"/>
          <w:color w:val="auto"/>
        </w:rPr>
      </w:pPr>
      <w:r>
        <w:rPr>
          <w:rFonts w:ascii="Arial" w:cs="Arial" w:eastAsia="Arial" w:hAnsi="Arial"/>
          <w:sz w:val="16"/>
          <w:szCs w:val="16"/>
          <w:color w:val="auto"/>
        </w:rPr>
        <w:t>Amounts in this prospectus and the consolidated financial statements included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contained elsewhere in this prospectus have been consistently applied to all periods presented.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GLOSSARY</w:t>
      </w:r>
    </w:p>
    <w:p>
      <w:pPr>
        <w:spacing w:after="0" w:line="12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17" w:lineRule="exact"/>
        <w:rPr>
          <w:sz w:val="20"/>
          <w:szCs w:val="20"/>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 Lens” means Arlington Contact Lens Service, Inc., our wholly-owned subsidiary.</w:t>
      </w:r>
    </w:p>
    <w:p>
      <w:pPr>
        <w:spacing w:after="0" w:line="117"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53" w:lineRule="exact"/>
        <w:rPr>
          <w:rFonts w:ascii="Arial" w:cs="Arial" w:eastAsia="Arial" w:hAnsi="Arial"/>
          <w:sz w:val="17"/>
          <w:szCs w:val="17"/>
          <w:color w:val="auto"/>
        </w:rPr>
      </w:pPr>
    </w:p>
    <w:p>
      <w:pPr>
        <w:ind w:left="680" w:hanging="342"/>
        <w:spacing w:after="0" w:line="323"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3" w:lineRule="exact"/>
        <w:rPr>
          <w:rFonts w:ascii="Arial" w:cs="Arial" w:eastAsia="Arial" w:hAnsi="Arial"/>
          <w:sz w:val="15"/>
          <w:szCs w:val="15"/>
          <w:color w:val="auto"/>
        </w:rPr>
      </w:pPr>
    </w:p>
    <w:p>
      <w:pPr>
        <w:ind w:left="680" w:right="140" w:hanging="342"/>
        <w:spacing w:after="0" w:line="35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8" w:lineRule="exact"/>
        <w:rPr>
          <w:rFonts w:ascii="Arial" w:cs="Arial" w:eastAsia="Arial" w:hAnsi="Arial"/>
          <w:sz w:val="15"/>
          <w:szCs w:val="15"/>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“Eye care practitioners” means optometrists and ophthalmologists.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“FirstSight” means FirstSight Vision Services, Inc., our wholly-owned subsidiary.</w:t>
      </w:r>
    </w:p>
    <w:p>
      <w:pPr>
        <w:spacing w:after="0" w:line="117" w:lineRule="exact"/>
        <w:rPr>
          <w:rFonts w:ascii="Arial" w:cs="Arial" w:eastAsia="Arial" w:hAnsi="Arial"/>
          <w:sz w:val="17"/>
          <w:szCs w:val="17"/>
          <w:color w:val="auto"/>
        </w:rPr>
      </w:pPr>
    </w:p>
    <w:p>
      <w:pPr>
        <w:ind w:left="680" w:right="100" w:hanging="342"/>
        <w:spacing w:after="0" w:line="28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“Host brands” means the Vista Optical brands we operate in Fred Meyer stores and on U.S. Army and Air Force military bases.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“Host partners” means Fred Meyer, Inc., or Fred Meyer, and the U.S. Army and Air Force Exchange Service.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“KKR Acquisition” means the acquisition of the Company by affiliates of KKR Sponsor in March 2014.</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brand” means the Vision Center brand we operate in Walmart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partner” means Walmart.</w:t>
      </w:r>
    </w:p>
    <w:p>
      <w:pPr>
        <w:spacing w:after="0" w:line="117" w:lineRule="exact"/>
        <w:rPr>
          <w:rFonts w:ascii="Arial" w:cs="Arial" w:eastAsia="Arial" w:hAnsi="Arial"/>
          <w:sz w:val="17"/>
          <w:szCs w:val="17"/>
          <w:color w:val="auto"/>
        </w:rPr>
      </w:pPr>
    </w:p>
    <w:p>
      <w:pPr>
        <w:ind w:left="680" w:right="60" w:hanging="342"/>
        <w:spacing w:after="0" w:line="266"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1"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“Mature stores” means stores that have been in operation for longer than five years.</w:t>
      </w:r>
    </w:p>
    <w:p>
      <w:pPr>
        <w:spacing w:after="0" w:line="117" w:lineRule="exact"/>
        <w:rPr>
          <w:rFonts w:ascii="Arial" w:cs="Arial" w:eastAsia="Arial" w:hAnsi="Arial"/>
          <w:sz w:val="17"/>
          <w:szCs w:val="17"/>
          <w:color w:val="auto"/>
        </w:rPr>
      </w:pPr>
    </w:p>
    <w:p>
      <w:pPr>
        <w:ind w:left="680" w:right="160" w:hanging="342"/>
        <w:spacing w:after="0" w:line="263"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July 1, 2017, our omni-channel platform serves our America’s Best Contacts &amp; Eyeglasses, or America’s Best, stores, Eyeglass World stores and Vista Optical operations on U.S. Army and Air Force military bases.</w:t>
      </w:r>
    </w:p>
    <w:p>
      <w:pPr>
        <w:spacing w:after="0" w:line="76"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“Owned brands” or “owned stores” mean our America’s Best and Eyeglass World brands or stores, as applicable.</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“Partner brands” means our host and legacy brands, collectively.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“Sponsors” means affiliates of KKR Sponsor and private equity funds managed by Berkshire.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740" w:hanging="342"/>
        <w:spacing w:after="0" w:line="287"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“Value segment” or “value segment of the U.S. optical retail industry” consist of the Company, Walmart, Costco Wholesale and Eyemart Express, Ltd.</w:t>
      </w:r>
    </w:p>
    <w:p>
      <w:pPr>
        <w:spacing w:after="0" w:line="53"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“Vision care professionals” means optometrists (including optometrists employed by us or by professional corporations owned by eye care practitioners with which we have arrangements) and opticians.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This prospectus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 In order to facilitate a discussion of certain results of operations across periods, we have presented the results for the full year 2014 on a combined basis, which is comprised of the results for the 2014 Predecessor period and the 2014 Successor period. This combination is not a presentation made in accordance with GAAP.</w:t>
      </w:r>
    </w:p>
    <w:p>
      <w:pPr>
        <w:spacing w:after="0" w:line="49"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 FROM OUR CEO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Dear Potential Shareholders</w:t>
      </w:r>
      <w:r>
        <w:rPr>
          <w:rFonts w:ascii="Arial" w:cs="Arial" w:eastAsia="Arial" w:hAnsi="Arial"/>
          <w:sz w:val="17"/>
          <w:szCs w:val="17"/>
          <w:color w:val="auto"/>
        </w:rPr>
        <w:t>:</w:t>
      </w:r>
    </w:p>
    <w:p>
      <w:pPr>
        <w:spacing w:after="0" w:line="110" w:lineRule="exact"/>
        <w:rPr>
          <w:sz w:val="20"/>
          <w:szCs w:val="20"/>
          <w:color w:val="auto"/>
        </w:rPr>
      </w:pPr>
    </w:p>
    <w:p>
      <w:pPr>
        <w:ind w:right="60" w:firstLine="347"/>
        <w:spacing w:after="0" w:line="233" w:lineRule="auto"/>
        <w:rPr>
          <w:sz w:val="20"/>
          <w:szCs w:val="20"/>
          <w:color w:val="auto"/>
        </w:rPr>
      </w:pPr>
      <w:r>
        <w:rPr>
          <w:rFonts w:ascii="Arial" w:cs="Arial" w:eastAsia="Arial" w:hAnsi="Arial"/>
          <w:sz w:val="17"/>
          <w:szCs w:val="17"/>
          <w:color w:val="auto"/>
        </w:rPr>
        <w:t>Since our founding 27 years ago, National Vision has been helping make eye exams, eyeglasses and contact lenses more affordable and therefore more accessible to low-income and cost-conscious consumers. Having started out operating Vision Centers inside Walmart, today National Vision is one of the largest and fastest growing optical retailers in the United States and a leader in the attractive value segment of the U.S. optical retail industry, serving customers through a diverse portfolio of 980 retail stores across five brand banners and 19 consumer websites.</w:t>
      </w:r>
    </w:p>
    <w:p>
      <w:pPr>
        <w:spacing w:after="0" w:line="68" w:lineRule="exact"/>
        <w:rPr>
          <w:sz w:val="20"/>
          <w:szCs w:val="20"/>
          <w:color w:val="auto"/>
        </w:rPr>
      </w:pPr>
    </w:p>
    <w:p>
      <w:pPr>
        <w:ind w:right="80" w:firstLine="347"/>
        <w:spacing w:after="0" w:line="255" w:lineRule="auto"/>
        <w:rPr>
          <w:sz w:val="20"/>
          <w:szCs w:val="20"/>
          <w:color w:val="auto"/>
        </w:rPr>
      </w:pPr>
      <w:r>
        <w:rPr>
          <w:rFonts w:ascii="Arial" w:cs="Arial" w:eastAsia="Arial" w:hAnsi="Arial"/>
          <w:sz w:val="17"/>
          <w:szCs w:val="17"/>
          <w:color w:val="auto"/>
        </w:rPr>
        <w:t>Eye exams and eyeglasses are illogically and needlessly expensive. While not an issue for wealthier people, this is an issue for blue-collar and lower-income Americans — an issue with broad implications.</w:t>
      </w:r>
    </w:p>
    <w:p>
      <w:pPr>
        <w:spacing w:after="0" w:line="54" w:lineRule="exact"/>
        <w:rPr>
          <w:sz w:val="20"/>
          <w:szCs w:val="20"/>
          <w:color w:val="auto"/>
        </w:rPr>
      </w:pPr>
    </w:p>
    <w:p>
      <w:pPr>
        <w:ind w:firstLine="347"/>
        <w:spacing w:after="0" w:line="250" w:lineRule="auto"/>
        <w:rPr>
          <w:sz w:val="20"/>
          <w:szCs w:val="20"/>
          <w:color w:val="auto"/>
        </w:rPr>
      </w:pPr>
      <w:r>
        <w:rPr>
          <w:rFonts w:ascii="Arial" w:cs="Arial" w:eastAsia="Arial" w:hAnsi="Arial"/>
          <w:sz w:val="16"/>
          <w:szCs w:val="16"/>
          <w:color w:val="auto"/>
        </w:rPr>
        <w:t>As people age, their eyesight diminishes. This tendency is exacerbated by such factors as diabetes, increased screen usage, poor diet and generally less healthy lifestyles. Eye exams, beyond providing a prescription for eyeglasses and contact lenses, can detect hundreds of potential health concerns, ranging from eye diseases, to general health, to life threatening conditions such as brain tumors and aneurysms. This is why regular eye exams are so important. But for many people, especially the lower-income and the uninsured, eye exams are an expensive, unfamiliar and intimidating experience.</w:t>
      </w:r>
    </w:p>
    <w:p>
      <w:pPr>
        <w:spacing w:after="0" w:line="59" w:lineRule="exact"/>
        <w:rPr>
          <w:sz w:val="20"/>
          <w:szCs w:val="20"/>
          <w:color w:val="auto"/>
        </w:rPr>
      </w:pPr>
    </w:p>
    <w:p>
      <w:pPr>
        <w:ind w:right="20" w:firstLine="347"/>
        <w:spacing w:after="0" w:line="245" w:lineRule="auto"/>
        <w:rPr>
          <w:sz w:val="20"/>
          <w:szCs w:val="20"/>
          <w:color w:val="auto"/>
        </w:rPr>
      </w:pPr>
      <w:r>
        <w:rPr>
          <w:rFonts w:ascii="Arial" w:cs="Arial" w:eastAsia="Arial" w:hAnsi="Arial"/>
          <w:sz w:val="16"/>
          <w:szCs w:val="16"/>
          <w:color w:val="auto"/>
        </w:rPr>
        <w:t>Eyeglasses themselves provide a life-changing benefit — allowing people to work, to learn, to drive safely and to appreciate the world around them. For the approximately 76% of adult Americans who require some form of vision correction, their eyeglasses or contacts are vital to their day-to-day existence. Most people simply cannot function without them.</w:t>
      </w:r>
    </w:p>
    <w:p>
      <w:pPr>
        <w:spacing w:after="0" w:line="49" w:lineRule="exact"/>
        <w:rPr>
          <w:sz w:val="20"/>
          <w:szCs w:val="20"/>
          <w:color w:val="auto"/>
        </w:rPr>
      </w:pPr>
    </w:p>
    <w:p>
      <w:pPr>
        <w:ind w:right="140" w:firstLine="347"/>
        <w:spacing w:after="0" w:line="245" w:lineRule="auto"/>
        <w:rPr>
          <w:sz w:val="20"/>
          <w:szCs w:val="20"/>
          <w:color w:val="auto"/>
        </w:rPr>
      </w:pPr>
      <w:r>
        <w:rPr>
          <w:rFonts w:ascii="Arial" w:cs="Arial" w:eastAsia="Arial" w:hAnsi="Arial"/>
          <w:sz w:val="15"/>
          <w:szCs w:val="15"/>
          <w:color w:val="auto"/>
        </w:rPr>
        <w:t>Eyeglasses are a 730-year-old technology involving two small pieces of cut plastic that are held in front of the eyes by three small pieces of plastic or metal. They can no longer be regarded as “new technology.” That is why their tremendous expense today</w:t>
      </w:r>
    </w:p>
    <w:p>
      <w:pPr>
        <w:spacing w:after="0" w:line="1" w:lineRule="exact"/>
        <w:rPr>
          <w:sz w:val="20"/>
          <w:szCs w:val="20"/>
          <w:color w:val="auto"/>
        </w:rPr>
      </w:pPr>
    </w:p>
    <w:p>
      <w:pPr>
        <w:ind w:left="340" w:right="2180" w:hanging="347"/>
        <w:spacing w:after="0" w:line="359" w:lineRule="auto"/>
        <w:rPr>
          <w:sz w:val="20"/>
          <w:szCs w:val="20"/>
          <w:color w:val="auto"/>
        </w:rPr>
      </w:pPr>
      <w:r>
        <w:rPr>
          <w:rFonts w:ascii="Arial" w:cs="Arial" w:eastAsia="Arial" w:hAnsi="Arial"/>
          <w:sz w:val="17"/>
          <w:szCs w:val="17"/>
          <w:color w:val="auto"/>
        </w:rPr>
        <w:t>— often $300 to $1,000 or more for a single pair (and increasing annually) — is completely illogical. That’s where National Vision comes 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We exist to make eye care and eyewear more affordable and accessible.</w:t>
      </w:r>
    </w:p>
    <w:p>
      <w:pPr>
        <w:spacing w:after="0" w:line="104" w:lineRule="exact"/>
        <w:rPr>
          <w:sz w:val="20"/>
          <w:szCs w:val="20"/>
          <w:color w:val="auto"/>
        </w:rPr>
      </w:pPr>
    </w:p>
    <w:p>
      <w:pPr>
        <w:jc w:val="both"/>
        <w:ind w:right="100" w:firstLine="347"/>
        <w:spacing w:after="0" w:line="229" w:lineRule="auto"/>
        <w:rPr>
          <w:sz w:val="20"/>
          <w:szCs w:val="20"/>
          <w:color w:val="auto"/>
        </w:rPr>
      </w:pPr>
      <w:r>
        <w:rPr>
          <w:rFonts w:ascii="Arial" w:cs="Arial" w:eastAsia="Arial" w:hAnsi="Arial"/>
          <w:sz w:val="17"/>
          <w:szCs w:val="17"/>
          <w:color w:val="auto"/>
        </w:rPr>
        <w:t>We strive to provide the best value for eye exams, eyeglasses and contact lenses. We believe that budget-conscious consumers with perfect knowledge of the category will pick National Vision for their basic vision needs. Our various offerings make us one of the lowest cost providers of this non-discretionary and ongoing medical necessity.</w:t>
      </w:r>
    </w:p>
    <w:p>
      <w:pPr>
        <w:spacing w:after="0" w:line="53" w:lineRule="exact"/>
        <w:rPr>
          <w:sz w:val="20"/>
          <w:szCs w:val="20"/>
          <w:color w:val="auto"/>
        </w:rPr>
      </w:pPr>
    </w:p>
    <w:p>
      <w:pPr>
        <w:ind w:right="80" w:firstLine="347"/>
        <w:spacing w:after="0" w:line="217" w:lineRule="auto"/>
        <w:rPr>
          <w:sz w:val="20"/>
          <w:szCs w:val="20"/>
          <w:color w:val="auto"/>
        </w:rPr>
      </w:pPr>
      <w:r>
        <w:rPr>
          <w:rFonts w:ascii="Arial" w:cs="Arial" w:eastAsia="Arial" w:hAnsi="Arial"/>
          <w:sz w:val="17"/>
          <w:szCs w:val="17"/>
          <w:color w:val="auto"/>
        </w:rPr>
        <w:t>The size and scale of our portfolio of brands provide us high proximity to customers and allow us to engage them across a variety of sales channels. We believe these brands collectively constitute a portfolio that combines attractive economics with significant growth potential. While we continue to proudly operate several hundred Walmart Vision Centers along with various supply chain and e-commerce offerings for both Walmart and Sam’s Club, our growth in recent years has been driven by the expansion of our two owned brands, America’s Best Contacts &amp; Eyeglasses (America’s Best) and Eyeglass World. Based on our analysis, conducted with a third-party real estate firm, we believe that these brands can grow to at least 1,000 America’s Best stores and at least 850 Eyeglass World stores.</w:t>
      </w:r>
    </w:p>
    <w:p>
      <w:pPr>
        <w:spacing w:after="0" w:line="53" w:lineRule="exact"/>
        <w:rPr>
          <w:sz w:val="20"/>
          <w:szCs w:val="20"/>
          <w:color w:val="auto"/>
        </w:rPr>
      </w:pPr>
    </w:p>
    <w:p>
      <w:pPr>
        <w:ind w:firstLine="347"/>
        <w:spacing w:after="0" w:line="223" w:lineRule="auto"/>
        <w:rPr>
          <w:sz w:val="20"/>
          <w:szCs w:val="20"/>
          <w:color w:val="auto"/>
        </w:rPr>
      </w:pPr>
      <w:r>
        <w:rPr>
          <w:rFonts w:ascii="Arial" w:cs="Arial" w:eastAsia="Arial" w:hAnsi="Arial"/>
          <w:sz w:val="17"/>
          <w:szCs w:val="17"/>
          <w:color w:val="auto"/>
        </w:rPr>
        <w:t>America’s Best operates 559 stores located in high-traffic strip centers next to other well-known, off-price retailers, such as TJ Maxx and Marshalls. For the past 20 years, America’s Best has led with a signature offer of an eye exam and two pairs of eyeglasses for $69.95. We believe there is no better value in the marketplace and that this affordability and convenience has driven ongoing traffic growth and high customer loyalty along with increased market share.</w:t>
      </w:r>
    </w:p>
    <w:p>
      <w:pPr>
        <w:spacing w:after="0" w:line="56" w:lineRule="exact"/>
        <w:rPr>
          <w:sz w:val="20"/>
          <w:szCs w:val="20"/>
          <w:color w:val="auto"/>
        </w:rPr>
      </w:pPr>
    </w:p>
    <w:p>
      <w:pPr>
        <w:ind w:right="100" w:firstLine="347"/>
        <w:spacing w:after="0" w:line="229" w:lineRule="auto"/>
        <w:rPr>
          <w:sz w:val="20"/>
          <w:szCs w:val="20"/>
          <w:color w:val="auto"/>
        </w:rPr>
      </w:pPr>
      <w:r>
        <w:rPr>
          <w:rFonts w:ascii="Arial" w:cs="Arial" w:eastAsia="Arial" w:hAnsi="Arial"/>
          <w:sz w:val="17"/>
          <w:szCs w:val="17"/>
          <w:color w:val="auto"/>
        </w:rPr>
        <w:t>Eyeglass World operates 108 stores — all with in-store lens-grinding laboratories. Eyeglass Worlds are bigger stores with a wider selection of brands and price points. Eyeglasses from Eyeglass World start at two pairs for $78.00. Because this brand has an on-site laboratory, customers can get their eyes examined and walk out with glasses in the same day.</w:t>
      </w:r>
    </w:p>
    <w:p>
      <w:pPr>
        <w:spacing w:after="0" w:line="53" w:lineRule="exact"/>
        <w:rPr>
          <w:sz w:val="20"/>
          <w:szCs w:val="20"/>
          <w:color w:val="auto"/>
        </w:rPr>
      </w:pPr>
    </w:p>
    <w:p>
      <w:pPr>
        <w:ind w:right="460" w:firstLine="347"/>
        <w:spacing w:after="0" w:line="239" w:lineRule="auto"/>
        <w:rPr>
          <w:sz w:val="20"/>
          <w:szCs w:val="20"/>
          <w:color w:val="auto"/>
        </w:rPr>
      </w:pPr>
      <w:r>
        <w:rPr>
          <w:rFonts w:ascii="Arial" w:cs="Arial" w:eastAsia="Arial" w:hAnsi="Arial"/>
          <w:sz w:val="17"/>
          <w:szCs w:val="17"/>
          <w:color w:val="auto"/>
        </w:rPr>
        <w:t>Over the last five years, National Vision has been one of the fastest growing U.S. optical retail chains with sales having a compounded annual growth rate of 14%, three times the industry average growth rate.</w:t>
      </w:r>
    </w:p>
    <w:p>
      <w:pPr>
        <w:spacing w:after="0" w:line="54" w:lineRule="exact"/>
        <w:rPr>
          <w:sz w:val="20"/>
          <w:szCs w:val="20"/>
          <w:color w:val="auto"/>
        </w:rPr>
      </w:pPr>
    </w:p>
    <w:p>
      <w:pPr>
        <w:ind w:right="160" w:firstLine="347"/>
        <w:spacing w:after="0" w:line="229" w:lineRule="auto"/>
        <w:rPr>
          <w:sz w:val="20"/>
          <w:szCs w:val="20"/>
          <w:color w:val="auto"/>
        </w:rPr>
      </w:pPr>
      <w:r>
        <w:rPr>
          <w:rFonts w:ascii="Arial" w:cs="Arial" w:eastAsia="Arial" w:hAnsi="Arial"/>
          <w:sz w:val="17"/>
          <w:szCs w:val="17"/>
          <w:color w:val="auto"/>
        </w:rPr>
        <w:t>We are a company that is all about consistency — consistency of management, consistency of host, legacy and supplier partnerships, and consistency of growth and business results. For the past 15 years, National Vision has been led by essentially the same collection of 20± year-career optical retailing professionals. Together we have:</w:t>
      </w:r>
    </w:p>
    <w:p>
      <w:pPr>
        <w:spacing w:after="0" w:line="66" w:lineRule="exact"/>
        <w:rPr>
          <w:sz w:val="20"/>
          <w:szCs w:val="20"/>
          <w:color w:val="auto"/>
        </w:rPr>
      </w:pPr>
    </w:p>
    <w:p>
      <w:pPr>
        <w:ind w:left="680" w:right="200" w:hanging="342"/>
        <w:spacing w:after="0" w:line="26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Delivered </w:t>
      </w:r>
      <w:r>
        <w:rPr>
          <w:rFonts w:ascii="Arial" w:cs="Arial" w:eastAsia="Arial" w:hAnsi="Arial"/>
          <w:sz w:val="17"/>
          <w:szCs w:val="17"/>
          <w:u w:val="single" w:color="auto"/>
          <w:color w:val="auto"/>
        </w:rPr>
        <w:t>62 consecutive quarters</w:t>
      </w:r>
      <w:r>
        <w:rPr>
          <w:rFonts w:ascii="Arial" w:cs="Arial" w:eastAsia="Arial" w:hAnsi="Arial"/>
          <w:sz w:val="17"/>
          <w:szCs w:val="17"/>
          <w:color w:val="auto"/>
        </w:rPr>
        <w:t xml:space="preserve"> of positive comparable store sales (with a simple long-term average of approximately 5% growth per quarter and with most of this growth coming from an increase in the number of customers as opposed to average ticket amount), which we believe is a category record. The team leading National Vision today has never experienced a negative comp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Steadily grown sales from $245 million (in 2002 when the current team formed) to $1.2 billion (in 2016).</w:t>
      </w:r>
    </w:p>
    <w:p>
      <w:pPr>
        <w:spacing w:after="0" w:line="117"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Opened 458 stores on a net basis (opened 512 new stores and closed 54 stores) — an average of 45 per year — over the past ten years and accelerated new store openings to approximately 75 per annum.</w:t>
      </w:r>
    </w:p>
    <w:p>
      <w:pPr>
        <w:spacing w:after="0" w:line="53" w:lineRule="exact"/>
        <w:rPr>
          <w:rFonts w:ascii="Arial" w:cs="Arial" w:eastAsia="Arial" w:hAnsi="Arial"/>
          <w:sz w:val="17"/>
          <w:szCs w:val="17"/>
          <w:color w:val="auto"/>
        </w:rPr>
      </w:pPr>
    </w:p>
    <w:p>
      <w:pPr>
        <w:ind w:left="680" w:right="28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Maintained strong and consistent partnerships with Walmart (27+ years), the U.S. military (18+ years) and Fred Meyer (18+ years).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acquired, integrated and expanded three optical platforms.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Created over 5,000 new jobs.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Made several early stage venture investments in eye exam, virtual try-on and 3D eyeglass printing start-ups.</w:t>
      </w:r>
    </w:p>
    <w:p>
      <w:pPr>
        <w:spacing w:after="0" w:line="104" w:lineRule="exact"/>
        <w:rPr>
          <w:sz w:val="20"/>
          <w:szCs w:val="20"/>
          <w:color w:val="auto"/>
        </w:rPr>
      </w:pPr>
    </w:p>
    <w:p>
      <w:pPr>
        <w:ind w:right="120" w:firstLine="347"/>
        <w:spacing w:after="0" w:line="255" w:lineRule="auto"/>
        <w:rPr>
          <w:sz w:val="20"/>
          <w:szCs w:val="20"/>
          <w:color w:val="auto"/>
        </w:rPr>
      </w:pPr>
      <w:r>
        <w:rPr>
          <w:rFonts w:ascii="Arial" w:cs="Arial" w:eastAsia="Arial" w:hAnsi="Arial"/>
          <w:sz w:val="17"/>
          <w:szCs w:val="17"/>
          <w:color w:val="auto"/>
        </w:rPr>
        <w:t>National Vision’s strategy has been in place for over a decade and is founded on a commitment to a relatively simple business model. It is to do the following:</w:t>
      </w:r>
    </w:p>
    <w:p>
      <w:pPr>
        <w:spacing w:after="0" w:line="67" w:lineRule="exact"/>
        <w:rPr>
          <w:sz w:val="20"/>
          <w:szCs w:val="20"/>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exceptional price and convenience to customers, enabled by our low-cost operating platform.</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Americans what they want and need — access to America’s Best and Eyeglass World stores — by growing our footprint throughout the United States.</w:t>
      </w:r>
    </w:p>
    <w:p>
      <w:pPr>
        <w:spacing w:after="0" w:line="53"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Continually improve our in-store shopping experience and enhance our solutions-based service approach to increase the volume of customer traffic to our stores.</w:t>
      </w:r>
    </w:p>
    <w:p>
      <w:pPr>
        <w:spacing w:after="0" w:line="53"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strong, long-term partnerships with Walmart, Fred Meyer and the U.S. military by providing affordable and easily accessible optical services to their respective customers.</w:t>
      </w:r>
    </w:p>
    <w:p>
      <w:pPr>
        <w:spacing w:after="0" w:line="53" w:lineRule="exact"/>
        <w:rPr>
          <w:rFonts w:ascii="Arial" w:cs="Arial" w:eastAsia="Arial" w:hAnsi="Arial"/>
          <w:sz w:val="17"/>
          <w:szCs w:val="17"/>
          <w:color w:val="auto"/>
        </w:rPr>
      </w:pPr>
    </w:p>
    <w:p>
      <w:pPr>
        <w:ind w:left="680" w:right="42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Cultivate strong, long-term mutually beneficial relationships throughout the optical industry — our intent is to be the friendly, nimble folks that industry players most want to work with.</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Energize our offerings with meaningful omni-channel and technology offerings.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Strive to be the most rewarding and fulfilling place for optometrists and optical associates to spend their careers.</w:t>
      </w:r>
    </w:p>
    <w:p>
      <w:pPr>
        <w:spacing w:after="0" w:line="117" w:lineRule="exact"/>
        <w:rPr>
          <w:rFonts w:ascii="Arial" w:cs="Arial" w:eastAsia="Arial" w:hAnsi="Arial"/>
          <w:sz w:val="17"/>
          <w:szCs w:val="17"/>
          <w:color w:val="auto"/>
        </w:rPr>
      </w:pPr>
    </w:p>
    <w:p>
      <w:pPr>
        <w:ind w:left="680" w:right="160" w:hanging="342"/>
        <w:spacing w:after="0" w:line="27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 the best at helping the world to see by getting eyeglasses to those who would not have them otherwise via a powerful innovative social mission and an eco-system of like-minded partners operating in the United States and in various low-income countries around the world.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 in the way we approach it — optical retail is a noble profession.</w:t>
      </w:r>
    </w:p>
    <w:p>
      <w:pPr>
        <w:spacing w:after="0" w:line="117" w:lineRule="exact"/>
        <w:rPr>
          <w:sz w:val="20"/>
          <w:szCs w:val="20"/>
          <w:color w:val="auto"/>
        </w:rPr>
      </w:pPr>
    </w:p>
    <w:p>
      <w:pPr>
        <w:ind w:left="680" w:right="140" w:hanging="342"/>
        <w:spacing w:after="0" w:line="271"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that the optometrists practicing in our various settings play a primary entry point and gate-keeping role in America’s health care system by making eye exams more affordable and accessible and thereby increasing the frequency of eye exams and disease detection for lower-income Americans.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our growth provides fulfilling careers for both optometrists and optical associates.</w:t>
      </w:r>
    </w:p>
    <w:p>
      <w:pPr>
        <w:spacing w:after="0" w:line="117" w:lineRule="exact"/>
        <w:rPr>
          <w:rFonts w:ascii="Arial" w:cs="Arial" w:eastAsia="Arial" w:hAnsi="Arial"/>
          <w:sz w:val="17"/>
          <w:szCs w:val="17"/>
          <w:color w:val="auto"/>
        </w:rPr>
      </w:pPr>
    </w:p>
    <w:p>
      <w:pPr>
        <w:ind w:left="680" w:right="120" w:hanging="342"/>
        <w:spacing w:after="0" w:line="287"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we improve lives by saving millions of Americans a significant amount of money on a product that they need to both function and enjoy their life.</w:t>
      </w:r>
    </w:p>
    <w:p>
      <w:pPr>
        <w:spacing w:after="0" w:line="41" w:lineRule="exact"/>
        <w:rPr>
          <w:sz w:val="20"/>
          <w:szCs w:val="20"/>
          <w:color w:val="auto"/>
        </w:rPr>
      </w:pPr>
    </w:p>
    <w:p>
      <w:pPr>
        <w:ind w:firstLine="347"/>
        <w:spacing w:after="0" w:line="239" w:lineRule="auto"/>
        <w:rPr>
          <w:sz w:val="20"/>
          <w:szCs w:val="20"/>
          <w:color w:val="auto"/>
        </w:rPr>
      </w:pPr>
      <w:r>
        <w:rPr>
          <w:rFonts w:ascii="Arial" w:cs="Arial" w:eastAsia="Arial" w:hAnsi="Arial"/>
          <w:sz w:val="17"/>
          <w:szCs w:val="17"/>
          <w:color w:val="auto"/>
        </w:rPr>
        <w:t>We think of ourselves as a fast-growing business engine that, in turn, also fuels a fast-growing philanthropic mission. We play a role in dramatically improving the quality of life for millions of lower-income people in America and abroad both through our business offerings and through our various philanthropic outreach efforts.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invite you to join us on this most fulfilling and important journey of service, enablement and growth.</w:t>
      </w:r>
    </w:p>
    <w:p>
      <w:pPr>
        <w:spacing w:after="0" w:line="7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33020</wp:posOffset>
            </wp:positionV>
            <wp:extent cx="1854200" cy="662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420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Reade Fahs</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355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9625" cy="735520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PROSPECTUS SUMMARY</w:t>
      </w:r>
    </w:p>
    <w:p>
      <w:pPr>
        <w:spacing w:after="0" w:line="123" w:lineRule="exact"/>
        <w:rPr>
          <w:sz w:val="20"/>
          <w:szCs w:val="20"/>
          <w:color w:val="auto"/>
        </w:rPr>
      </w:pPr>
    </w:p>
    <w:p>
      <w:pPr>
        <w:ind w:left="100" w:right="320" w:firstLine="348"/>
        <w:spacing w:after="0" w:line="246"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“Special Note Regarding Forward-Looking Statements” and the consolidated financial statements and the notes thereto, before making an investment decision. This summary contains forward-looking statements that involve risks and uncertainties.</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100" w:right="20" w:firstLine="348"/>
        <w:spacing w:after="0" w:line="24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3" w:lineRule="exact"/>
        <w:rPr>
          <w:sz w:val="20"/>
          <w:szCs w:val="20"/>
          <w:color w:val="auto"/>
        </w:rPr>
      </w:pPr>
    </w:p>
    <w:p>
      <w:pPr>
        <w:ind w:left="100" w:firstLine="348"/>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through our wholly-owned subsidiary, FirstSight, we arrange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July 1, 2017. SKU figures refer to eyeglass frame SKUs. ODs are Doctors of Optometry.</w:t>
      </w:r>
    </w:p>
    <w:p>
      <w:pPr>
        <w:spacing w:after="0" w:line="100" w:lineRule="exact"/>
        <w:rPr>
          <w:sz w:val="20"/>
          <w:szCs w:val="20"/>
          <w:color w:val="auto"/>
        </w:rPr>
      </w:pPr>
    </w:p>
    <w:p>
      <w:pPr>
        <w:ind w:left="440" w:hanging="331"/>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227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9625" cy="5227955"/>
                    </a:xfrm>
                    <a:prstGeom prst="rect">
                      <a:avLst/>
                    </a:prstGeom>
                    <a:noFill/>
                  </pic:spPr>
                </pic:pic>
              </a:graphicData>
            </a:graphic>
          </wp:anchor>
        </w:drawing>
      </w:r>
    </w:p>
    <w:p>
      <w:pPr>
        <w:spacing w:after="0" w:line="233" w:lineRule="exact"/>
        <w:rPr>
          <w:sz w:val="20"/>
          <w:szCs w:val="20"/>
          <w:color w:val="auto"/>
        </w:rPr>
      </w:pPr>
    </w:p>
    <w:p>
      <w:pPr>
        <w:ind w:left="100" w:right="20" w:firstLine="348"/>
        <w:spacing w:after="0" w:line="284"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700,000 individuals to see and have indirectly helped improve the vision of approximately 11.5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9" w:lineRule="exact"/>
        <w:rPr>
          <w:sz w:val="20"/>
          <w:szCs w:val="20"/>
          <w:color w:val="auto"/>
        </w:rPr>
      </w:pPr>
    </w:p>
    <w:p>
      <w:pPr>
        <w:jc w:val="both"/>
        <w:ind w:left="100" w:right="60" w:firstLine="348"/>
        <w:spacing w:after="0" w:line="296"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49" w:lineRule="exact"/>
        <w:rPr>
          <w:sz w:val="20"/>
          <w:szCs w:val="20"/>
          <w:color w:val="auto"/>
        </w:rPr>
      </w:pPr>
    </w:p>
    <w:p>
      <w:pPr>
        <w:ind w:left="780" w:hanging="332"/>
        <w:spacing w:after="0" w:line="261"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Differentiated and Defensible Value Proposition. </w:t>
      </w:r>
      <w:r>
        <w:rPr>
          <w:rFonts w:ascii="Arial" w:cs="Arial" w:eastAsia="Arial" w:hAnsi="Arial"/>
          <w:sz w:val="17"/>
          <w:szCs w:val="17"/>
          <w:color w:val="auto"/>
        </w:rPr>
        <w:t>We believe our success is driven by our low prices, convenient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w:t>
      </w:r>
    </w:p>
    <w:p>
      <w:pPr>
        <w:spacing w:after="0" w:line="76" w:lineRule="exact"/>
        <w:rPr>
          <w:rFonts w:ascii="Arial" w:cs="Arial" w:eastAsia="Arial" w:hAnsi="Arial"/>
          <w:sz w:val="17"/>
          <w:szCs w:val="17"/>
          <w:color w:val="auto"/>
        </w:rPr>
      </w:pPr>
    </w:p>
    <w:p>
      <w:pPr>
        <w:ind w:left="780" w:right="60" w:hanging="332"/>
        <w:spacing w:after="0" w:line="262"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75" w:lineRule="exact"/>
        <w:rPr>
          <w:rFonts w:ascii="Arial" w:cs="Arial" w:eastAsia="Arial" w:hAnsi="Arial"/>
          <w:sz w:val="17"/>
          <w:szCs w:val="17"/>
          <w:color w:val="auto"/>
        </w:rPr>
      </w:pPr>
    </w:p>
    <w:p>
      <w:pPr>
        <w:ind w:left="780" w:right="40" w:hanging="332"/>
        <w:spacing w:after="0" w:line="296"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Attractive Store Economics and Embedded Earnings Growth. </w:t>
      </w:r>
      <w:r>
        <w:rPr>
          <w:rFonts w:ascii="Arial" w:cs="Arial" w:eastAsia="Arial" w:hAnsi="Arial"/>
          <w:sz w:val="15"/>
          <w:szCs w:val="15"/>
          <w:color w:val="auto"/>
        </w:rPr>
        <w:t>Our store economics are based on low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steady ramping of sales in new locations, low operating costs and consistent sales volume and earnings growth in mature stores, which result in attractive returns on capital.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59" w:lineRule="exact"/>
        <w:rPr>
          <w:sz w:val="20"/>
          <w:szCs w:val="20"/>
          <w:color w:val="auto"/>
        </w:rPr>
      </w:pPr>
    </w:p>
    <w:p>
      <w:pPr>
        <w:ind w:left="100" w:right="20" w:firstLine="348"/>
        <w:spacing w:after="0" w:line="271" w:lineRule="auto"/>
        <w:rPr>
          <w:sz w:val="20"/>
          <w:szCs w:val="20"/>
          <w:color w:val="auto"/>
        </w:rPr>
      </w:pPr>
      <w:r>
        <w:rPr>
          <w:rFonts w:ascii="Arial" w:cs="Arial" w:eastAsia="Arial" w:hAnsi="Arial"/>
          <w:sz w:val="17"/>
          <w:szCs w:val="17"/>
          <w:color w:val="auto"/>
        </w:rPr>
        <w:t>By targeting the high-growth value segment, we have grown revenue at three times the rate of the U.S. optical retail industry over the past five years, gained significant market share and generated a record 62 consecutive quarters of positive comparable store sales growth.</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990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9625"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 w:right="100" w:hanging="331"/>
        <w:spacing w:after="0" w:line="258" w:lineRule="auto"/>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71" w:lineRule="exact"/>
        <w:rPr>
          <w:rFonts w:ascii="Arial" w:cs="Arial" w:eastAsia="Arial" w:hAnsi="Arial"/>
          <w:sz w:val="14"/>
          <w:szCs w:val="14"/>
          <w:color w:val="auto"/>
        </w:rPr>
      </w:pPr>
    </w:p>
    <w:p>
      <w:pPr>
        <w:ind w:left="440" w:right="40" w:hanging="331"/>
        <w:spacing w:after="0" w:line="258" w:lineRule="auto"/>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64" w:lineRule="exact"/>
        <w:rPr>
          <w:sz w:val="20"/>
          <w:szCs w:val="20"/>
          <w:color w:val="auto"/>
        </w:rPr>
      </w:pPr>
    </w:p>
    <w:p>
      <w:pPr>
        <w:ind w:left="100" w:right="20" w:firstLine="348"/>
        <w:spacing w:after="0" w:line="278" w:lineRule="auto"/>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 million, $840 million, $933 million, $1.1 billion and $1.2 billion, respectively, representing a compound annual growth rate, or CAGR, of approximately 14% from fiscal year 2012 to fiscal year 2016. Our net income (loss) for these same periods was $0.7 million, $14 million, $(24) million, $4 million and $15 million, respectively. Our Adjusted EBITDA for these same periods was $80 million, $89 million, $82 million, $113 million and $138 million, respectively, representing a CAGR of approximately 15% from fiscal year 2012 to fiscal year 2016. Our Adjusted Net Income for these same periods was $9 million, $19 million, $9 million, $26 million and $33 million, respectively, representing a CAGR of approximately 40% from fiscal year 2012 to fiscal year 2016. For definitions of Adjusted EBITDA and Adjusted Net Income and a reconciliation of Adjusted EBITDA and Adjusted Net Income to net income (loss), see “―Summary Historical Consolidated Financial and Other Data.”</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Industry</w:t>
      </w:r>
    </w:p>
    <w:p>
      <w:pPr>
        <w:spacing w:after="0" w:line="123" w:lineRule="exact"/>
        <w:rPr>
          <w:sz w:val="20"/>
          <w:szCs w:val="20"/>
          <w:color w:val="auto"/>
        </w:rPr>
      </w:pPr>
    </w:p>
    <w:p>
      <w:pPr>
        <w:ind w:left="100" w:firstLine="348"/>
        <w:spacing w:after="0" w:line="278"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082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9625" cy="7082155"/>
                    </a:xfrm>
                    <a:prstGeom prst="rect">
                      <a:avLst/>
                    </a:prstGeom>
                    <a:noFill/>
                  </pic:spPr>
                </pic:pic>
              </a:graphicData>
            </a:graphic>
          </wp:anchor>
        </w:drawing>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U.S. optical retail industry:</w:t>
      </w:r>
    </w:p>
    <w:p>
      <w:pPr>
        <w:spacing w:after="0" w:line="105" w:lineRule="exact"/>
        <w:rPr>
          <w:sz w:val="20"/>
          <w:szCs w:val="20"/>
          <w:color w:val="auto"/>
        </w:rPr>
      </w:pPr>
    </w:p>
    <w:p>
      <w:pPr>
        <w:ind w:left="780" w:hanging="332"/>
        <w:spacing w:after="0" w:line="259"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Aging Population. </w:t>
      </w:r>
      <w:r>
        <w:rPr>
          <w:rFonts w:ascii="Arial" w:cs="Arial" w:eastAsia="Arial" w:hAnsi="Arial"/>
          <w:sz w:val="17"/>
          <w:szCs w:val="17"/>
          <w:color w:val="auto"/>
        </w:rPr>
        <w:t>According to The Vision Council, approximately 76% of adults in the United States used some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0" w:lineRule="exact"/>
        <w:rPr>
          <w:rFonts w:ascii="Arial" w:cs="Arial" w:eastAsia="Arial" w:hAnsi="Arial"/>
          <w:sz w:val="17"/>
          <w:szCs w:val="17"/>
          <w:color w:val="auto"/>
        </w:rPr>
      </w:pPr>
    </w:p>
    <w:p>
      <w:pPr>
        <w:ind w:left="780" w:right="20" w:hanging="332"/>
        <w:spacing w:after="0" w:line="278"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Frequent Replacement Cycle. </w:t>
      </w:r>
      <w:r>
        <w:rPr>
          <w:rFonts w:ascii="Arial" w:cs="Arial" w:eastAsia="Arial" w:hAnsi="Arial"/>
          <w:sz w:val="16"/>
          <w:szCs w:val="16"/>
          <w:color w:val="auto"/>
        </w:rPr>
        <w:t>The repetitive and predictable nature of customer behavior results in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67" w:lineRule="exact"/>
        <w:rPr>
          <w:rFonts w:ascii="Arial" w:cs="Arial" w:eastAsia="Arial" w:hAnsi="Arial"/>
          <w:sz w:val="16"/>
          <w:szCs w:val="16"/>
          <w:color w:val="auto"/>
        </w:rPr>
      </w:pPr>
    </w:p>
    <w:p>
      <w:pPr>
        <w:ind w:left="780" w:right="220" w:hanging="332"/>
        <w:spacing w:after="0" w:line="30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Increased Usage of Computer and Mobile Screens. </w:t>
      </w:r>
      <w:r>
        <w:rPr>
          <w:rFonts w:ascii="Arial" w:cs="Arial" w:eastAsia="Arial" w:hAnsi="Arial"/>
          <w:sz w:val="15"/>
          <w:szCs w:val="15"/>
          <w:color w:val="auto"/>
        </w:rPr>
        <w:t>Due to the proliferation of smartphones, laptops and tablets,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43" w:lineRule="exact"/>
        <w:rPr>
          <w:rFonts w:ascii="Arial" w:cs="Arial" w:eastAsia="Arial" w:hAnsi="Arial"/>
          <w:sz w:val="15"/>
          <w:szCs w:val="15"/>
          <w:color w:val="auto"/>
        </w:rPr>
      </w:pPr>
    </w:p>
    <w:p>
      <w:pPr>
        <w:ind w:left="780" w:right="20" w:hanging="332"/>
        <w:spacing w:after="0" w:line="280"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Focus on Health and Wellness. </w:t>
      </w:r>
      <w:r>
        <w:rPr>
          <w:rFonts w:ascii="Arial" w:cs="Arial" w:eastAsia="Arial" w:hAnsi="Arial"/>
          <w:sz w:val="16"/>
          <w:szCs w:val="16"/>
          <w:color w:val="auto"/>
        </w:rPr>
        <w:t>The optical retail industry is poised to benefit from expansive trends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underlying 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485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9625" cy="6485890"/>
                    </a:xfrm>
                    <a:prstGeom prst="rect">
                      <a:avLst/>
                    </a:prstGeom>
                    <a:noFill/>
                  </pic:spPr>
                </pic:pic>
              </a:graphicData>
            </a:graphic>
          </wp:anchor>
        </w:drawing>
      </w:r>
    </w:p>
    <w:p>
      <w:pPr>
        <w:spacing w:after="0" w:line="129" w:lineRule="exact"/>
        <w:rPr>
          <w:sz w:val="20"/>
          <w:szCs w:val="20"/>
          <w:color w:val="auto"/>
        </w:rPr>
      </w:pPr>
    </w:p>
    <w:p>
      <w:pPr>
        <w:jc w:val="both"/>
        <w:ind w:left="800" w:right="160"/>
        <w:spacing w:after="0" w:line="271" w:lineRule="auto"/>
        <w:rPr>
          <w:sz w:val="20"/>
          <w:szCs w:val="20"/>
          <w:color w:val="auto"/>
        </w:rPr>
      </w:pPr>
      <w:r>
        <w:rPr>
          <w:rFonts w:ascii="Arial" w:cs="Arial" w:eastAsia="Arial" w:hAnsi="Arial"/>
          <w:sz w:val="17"/>
          <w:szCs w:val="17"/>
          <w:color w:val="auto"/>
        </w:rPr>
        <w:t>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3" w:lineRule="exact"/>
        <w:rPr>
          <w:sz w:val="20"/>
          <w:szCs w:val="20"/>
          <w:color w:val="auto"/>
        </w:rPr>
      </w:pPr>
    </w:p>
    <w:p>
      <w:pPr>
        <w:ind w:left="100" w:firstLine="348"/>
        <w:spacing w:after="0" w:line="278"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 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780" w:right="40" w:hanging="332"/>
        <w:spacing w:after="0" w:line="303"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Optical Retail Chains Gaining Market Share From Independents. </w:t>
      </w:r>
      <w:r>
        <w:rPr>
          <w:rFonts w:ascii="Arial" w:cs="Arial" w:eastAsia="Arial" w:hAnsi="Arial"/>
          <w:sz w:val="15"/>
          <w:szCs w:val="15"/>
          <w:color w:val="auto"/>
        </w:rPr>
        <w:t>As a result of customers’ desire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convenience of a one-stop shop with a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49" w:lineRule="exact"/>
        <w:rPr>
          <w:rFonts w:ascii="Arial" w:cs="Arial" w:eastAsia="Arial" w:hAnsi="Arial"/>
          <w:sz w:val="15"/>
          <w:szCs w:val="15"/>
          <w:color w:val="auto"/>
        </w:rPr>
      </w:pPr>
    </w:p>
    <w:p>
      <w:pPr>
        <w:ind w:left="780" w:right="200" w:hanging="332"/>
        <w:spacing w:after="0" w:line="263"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2016,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76" w:lineRule="exact"/>
        <w:rPr>
          <w:rFonts w:ascii="Arial" w:cs="Arial" w:eastAsia="Arial" w:hAnsi="Arial"/>
          <w:sz w:val="17"/>
          <w:szCs w:val="17"/>
          <w:color w:val="auto"/>
        </w:rPr>
      </w:pPr>
    </w:p>
    <w:p>
      <w:pPr>
        <w:ind w:left="780" w:right="160" w:hanging="332"/>
        <w:spacing w:after="0" w:line="284"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The optical retail industry is currently underpenetrated in the e-commerce channel relative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categories of 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Competitive Advantages</w:t>
      </w:r>
    </w:p>
    <w:p>
      <w:pPr>
        <w:spacing w:after="0" w:line="123" w:lineRule="exact"/>
        <w:rPr>
          <w:sz w:val="20"/>
          <w:szCs w:val="20"/>
          <w:color w:val="auto"/>
        </w:rPr>
      </w:pPr>
    </w:p>
    <w:p>
      <w:pPr>
        <w:ind w:left="100" w:right="180" w:firstLine="348"/>
        <w:spacing w:after="0" w:line="271"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62" w:lineRule="exact"/>
        <w:rPr>
          <w:sz w:val="20"/>
          <w:szCs w:val="20"/>
          <w:color w:val="auto"/>
        </w:rPr>
      </w:pPr>
    </w:p>
    <w:p>
      <w:pPr>
        <w:ind w:left="780" w:right="100" w:hanging="332"/>
        <w:spacing w:after="0" w:line="279"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Highly-differentiated and Defensible Value Proposition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21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9625" cy="7214235"/>
                    </a:xfrm>
                    <a:prstGeom prst="rect">
                      <a:avLst/>
                    </a:prstGeom>
                    <a:noFill/>
                  </pic:spPr>
                </pic:pic>
              </a:graphicData>
            </a:graphic>
          </wp:anchor>
        </w:drawing>
      </w:r>
    </w:p>
    <w:p>
      <w:pPr>
        <w:spacing w:after="0" w:line="129" w:lineRule="exact"/>
        <w:rPr>
          <w:sz w:val="20"/>
          <w:szCs w:val="20"/>
          <w:color w:val="auto"/>
        </w:rPr>
      </w:pPr>
    </w:p>
    <w:p>
      <w:pPr>
        <w:jc w:val="both"/>
        <w:ind w:left="800"/>
        <w:spacing w:after="0" w:line="271" w:lineRule="auto"/>
        <w:rPr>
          <w:sz w:val="20"/>
          <w:szCs w:val="20"/>
          <w:color w:val="auto"/>
        </w:rPr>
      </w:pPr>
      <w:r>
        <w:rPr>
          <w:rFonts w:ascii="Arial" w:cs="Arial" w:eastAsia="Arial" w:hAnsi="Arial"/>
          <w:sz w:val="17"/>
          <w:szCs w:val="17"/>
          <w:color w:val="auto"/>
        </w:rPr>
        <w:t>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80"/>
        <w:spacing w:after="0" w:line="258"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45" w:lineRule="exact"/>
        <w:rPr>
          <w:sz w:val="20"/>
          <w:szCs w:val="20"/>
          <w:color w:val="auto"/>
        </w:rPr>
      </w:pPr>
    </w:p>
    <w:p>
      <w:pPr>
        <w:ind w:left="800" w:right="40"/>
        <w:spacing w:after="0" w:line="263" w:lineRule="auto"/>
        <w:rPr>
          <w:sz w:val="20"/>
          <w:szCs w:val="20"/>
          <w:color w:val="auto"/>
        </w:rPr>
      </w:pPr>
      <w:r>
        <w:rPr>
          <w:rFonts w:ascii="Arial" w:cs="Arial" w:eastAsia="Arial" w:hAnsi="Arial"/>
          <w:sz w:val="17"/>
          <w:szCs w:val="17"/>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128" w:lineRule="exact"/>
        <w:rPr>
          <w:sz w:val="20"/>
          <w:szCs w:val="20"/>
          <w:color w:val="auto"/>
        </w:rPr>
      </w:pPr>
    </w:p>
    <w:p>
      <w:pPr>
        <w:ind w:left="800" w:right="40"/>
        <w:spacing w:after="0" w:line="280" w:lineRule="auto"/>
        <w:rPr>
          <w:sz w:val="20"/>
          <w:szCs w:val="20"/>
          <w:color w:val="auto"/>
        </w:rPr>
      </w:pPr>
      <w:r>
        <w:rPr>
          <w:rFonts w:ascii="Arial" w:cs="Arial" w:eastAsia="Arial" w:hAnsi="Arial"/>
          <w:sz w:val="16"/>
          <w:szCs w:val="16"/>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56" w:lineRule="exact"/>
        <w:rPr>
          <w:sz w:val="20"/>
          <w:szCs w:val="20"/>
          <w:color w:val="auto"/>
        </w:rPr>
      </w:pPr>
    </w:p>
    <w:p>
      <w:pPr>
        <w:ind w:left="780" w:right="220" w:hanging="332"/>
        <w:spacing w:after="0" w:line="263"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low-cost structure allows us to maintain our low prices to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121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9625" cy="6121400"/>
                    </a:xfrm>
                    <a:prstGeom prst="rect">
                      <a:avLst/>
                    </a:prstGeom>
                    <a:noFill/>
                  </pic:spPr>
                </pic:pic>
              </a:graphicData>
            </a:graphic>
          </wp:anchor>
        </w:drawing>
      </w:r>
    </w:p>
    <w:p>
      <w:pPr>
        <w:spacing w:after="0" w:line="129" w:lineRule="exact"/>
        <w:rPr>
          <w:sz w:val="20"/>
          <w:szCs w:val="20"/>
          <w:color w:val="auto"/>
        </w:rPr>
      </w:pPr>
    </w:p>
    <w:p>
      <w:pPr>
        <w:ind w:left="800" w:right="160"/>
        <w:spacing w:after="0" w:line="271" w:lineRule="auto"/>
        <w:rPr>
          <w:sz w:val="20"/>
          <w:szCs w:val="20"/>
          <w:color w:val="auto"/>
        </w:rPr>
      </w:pPr>
      <w:r>
        <w:rPr>
          <w:rFonts w:ascii="Arial" w:cs="Arial" w:eastAsia="Arial" w:hAnsi="Arial"/>
          <w:sz w:val="17"/>
          <w:szCs w:val="17"/>
          <w:color w:val="auto"/>
        </w:rPr>
        <w:t>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20" w:lineRule="exact"/>
        <w:rPr>
          <w:sz w:val="20"/>
          <w:szCs w:val="20"/>
          <w:color w:val="auto"/>
        </w:rPr>
      </w:pPr>
    </w:p>
    <w:p>
      <w:pPr>
        <w:jc w:val="both"/>
        <w:ind w:left="800" w:right="60"/>
        <w:spacing w:after="0" w:line="271" w:lineRule="auto"/>
        <w:rPr>
          <w:sz w:val="20"/>
          <w:szCs w:val="20"/>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68" w:lineRule="exact"/>
        <w:rPr>
          <w:sz w:val="20"/>
          <w:szCs w:val="20"/>
          <w:color w:val="auto"/>
        </w:rPr>
      </w:pPr>
    </w:p>
    <w:p>
      <w:pPr>
        <w:ind w:left="780" w:right="60" w:hanging="332"/>
        <w:spacing w:after="0" w:line="277"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Best-in-class Management Team with Deep Optical Experience. </w:t>
      </w:r>
      <w:r>
        <w:rPr>
          <w:rFonts w:ascii="Arial" w:cs="Arial" w:eastAsia="Arial" w:hAnsi="Arial"/>
          <w:sz w:val="16"/>
          <w:szCs w:val="16"/>
          <w:color w:val="auto"/>
        </w:rPr>
        <w:t>Our company is led by a highly-accomplished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proven 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6" w:lineRule="exact"/>
        <w:rPr>
          <w:rFonts w:ascii="Arial" w:cs="Arial" w:eastAsia="Arial" w:hAnsi="Arial"/>
          <w:sz w:val="16"/>
          <w:szCs w:val="16"/>
          <w:color w:val="auto"/>
        </w:rPr>
      </w:pPr>
    </w:p>
    <w:p>
      <w:pPr>
        <w:ind w:left="780" w:right="40" w:hanging="332"/>
        <w:spacing w:after="0" w:line="278"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Diverse Portfolio of Attractive Brands. </w:t>
      </w:r>
      <w:r>
        <w:rPr>
          <w:rFonts w:ascii="Arial" w:cs="Arial" w:eastAsia="Arial" w:hAnsi="Arial"/>
          <w:sz w:val="16"/>
          <w:szCs w:val="16"/>
          <w:color w:val="auto"/>
        </w:rPr>
        <w:t>We have a differentiated collection of five complementary brands, four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67" w:lineRule="exact"/>
        <w:rPr>
          <w:rFonts w:ascii="Arial" w:cs="Arial" w:eastAsia="Arial" w:hAnsi="Arial"/>
          <w:sz w:val="16"/>
          <w:szCs w:val="16"/>
          <w:color w:val="auto"/>
        </w:rPr>
      </w:pPr>
    </w:p>
    <w:p>
      <w:pPr>
        <w:ind w:left="780" w:hanging="332"/>
        <w:spacing w:after="0" w:line="280"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Real Estate Site Selection Process. </w:t>
      </w:r>
      <w:r>
        <w:rPr>
          <w:rFonts w:ascii="Arial" w:cs="Arial" w:eastAsia="Arial" w:hAnsi="Arial"/>
          <w:sz w:val="16"/>
          <w:szCs w:val="16"/>
          <w:color w:val="auto"/>
        </w:rPr>
        <w:t>We locate our owned stores in highly-desirable retail developments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1" w:lineRule="exact"/>
        <w:rPr>
          <w:rFonts w:ascii="Arial" w:cs="Arial" w:eastAsia="Arial" w:hAnsi="Arial"/>
          <w:sz w:val="16"/>
          <w:szCs w:val="16"/>
          <w:color w:val="auto"/>
        </w:rPr>
      </w:pPr>
    </w:p>
    <w:p>
      <w:pPr>
        <w:ind w:left="780" w:right="20" w:hanging="332"/>
        <w:spacing w:after="0" w:line="276"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Partnerships with Retail Partners and Vendors. </w:t>
      </w:r>
      <w:r>
        <w:rPr>
          <w:rFonts w:ascii="Arial" w:cs="Arial" w:eastAsia="Arial" w:hAnsi="Arial"/>
          <w:sz w:val="16"/>
          <w:szCs w:val="16"/>
          <w:color w:val="auto"/>
        </w:rPr>
        <w:t>We have developed extensive and long-term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frame and lens suppliers, our host and legacy partners and managed vision care companies.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584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9625" cy="6584950"/>
                    </a:xfrm>
                    <a:prstGeom prst="rect">
                      <a:avLst/>
                    </a:prstGeom>
                    <a:noFill/>
                  </pic:spPr>
                </pic:pic>
              </a:graphicData>
            </a:graphic>
          </wp:anchor>
        </w:drawing>
      </w:r>
    </w:p>
    <w:p>
      <w:pPr>
        <w:spacing w:after="0" w:line="233" w:lineRule="exact"/>
        <w:rPr>
          <w:sz w:val="20"/>
          <w:szCs w:val="20"/>
          <w:color w:val="auto"/>
        </w:rPr>
      </w:pPr>
    </w:p>
    <w:p>
      <w:pPr>
        <w:ind w:left="780" w:hanging="332"/>
        <w:spacing w:after="0" w:line="261"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Experience with the Regulatory Complexity of the Optical Industry. </w:t>
      </w:r>
      <w:r>
        <w:rPr>
          <w:rFonts w:ascii="Arial" w:cs="Arial" w:eastAsia="Arial" w:hAnsi="Arial"/>
          <w:sz w:val="17"/>
          <w:szCs w:val="17"/>
          <w:color w:val="auto"/>
        </w:rPr>
        <w:t>There are extensive and diverse sets of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Growth Strategies</w:t>
      </w:r>
    </w:p>
    <w:p>
      <w:pPr>
        <w:spacing w:after="0" w:line="228" w:lineRule="exact"/>
        <w:rPr>
          <w:sz w:val="20"/>
          <w:szCs w:val="20"/>
          <w:color w:val="auto"/>
        </w:rPr>
      </w:pPr>
    </w:p>
    <w:p>
      <w:pPr>
        <w:ind w:left="100" w:right="260" w:firstLine="348"/>
        <w:spacing w:after="0" w:line="287" w:lineRule="auto"/>
        <w:rPr>
          <w:sz w:val="20"/>
          <w:szCs w:val="20"/>
          <w:color w:val="auto"/>
        </w:rPr>
      </w:pPr>
      <w:r>
        <w:rPr>
          <w:rFonts w:ascii="Arial" w:cs="Arial" w:eastAsia="Arial" w:hAnsi="Arial"/>
          <w:sz w:val="17"/>
          <w:szCs w:val="17"/>
          <w:color w:val="auto"/>
        </w:rPr>
        <w:t>We believe that we have the right strategy and execution capabilities to capitalize on the substantial growth opportunities afforded by our business model. We intend to further drive growth from five distinct sources:</w:t>
      </w:r>
    </w:p>
    <w:p>
      <w:pPr>
        <w:spacing w:after="0" w:line="48" w:lineRule="exact"/>
        <w:rPr>
          <w:sz w:val="20"/>
          <w:szCs w:val="20"/>
          <w:color w:val="auto"/>
        </w:rPr>
      </w:pPr>
    </w:p>
    <w:p>
      <w:pPr>
        <w:ind w:left="780" w:hanging="332"/>
        <w:spacing w:after="0" w:line="27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458 stores on a net basis (opened 512 new stores and closed 54 stores) over the last decade and, in the past three years, we have increased our new store growth to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75 stores per annum is sustainable for the foreseeable future.</w:t>
      </w:r>
    </w:p>
    <w:p>
      <w:pPr>
        <w:spacing w:after="0" w:line="62" w:lineRule="exact"/>
        <w:rPr>
          <w:rFonts w:ascii="Arial" w:cs="Arial" w:eastAsia="Arial" w:hAnsi="Arial"/>
          <w:sz w:val="16"/>
          <w:szCs w:val="16"/>
          <w:color w:val="auto"/>
        </w:rPr>
      </w:pPr>
    </w:p>
    <w:p>
      <w:pPr>
        <w:ind w:left="780" w:right="40" w:hanging="332"/>
        <w:spacing w:after="0" w:line="299"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Drive Comparable Store Sales Growth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that our value proposition will generate profitable comparable store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47" w:lineRule="exact"/>
        <w:rPr>
          <w:rFonts w:ascii="Arial" w:cs="Arial" w:eastAsia="Arial" w:hAnsi="Arial"/>
          <w:sz w:val="15"/>
          <w:szCs w:val="15"/>
          <w:color w:val="auto"/>
        </w:rPr>
      </w:pPr>
    </w:p>
    <w:p>
      <w:pPr>
        <w:ind w:left="780" w:right="40" w:hanging="332"/>
        <w:spacing w:after="0" w:line="280"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61" w:lineRule="exact"/>
        <w:rPr>
          <w:rFonts w:ascii="Arial" w:cs="Arial" w:eastAsia="Arial" w:hAnsi="Arial"/>
          <w:sz w:val="16"/>
          <w:szCs w:val="16"/>
          <w:color w:val="auto"/>
        </w:rPr>
      </w:pPr>
    </w:p>
    <w:p>
      <w:pPr>
        <w:ind w:left="800" w:right="260"/>
        <w:spacing w:after="0" w:line="271"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816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9625" cy="6816725"/>
                    </a:xfrm>
                    <a:prstGeom prst="rect">
                      <a:avLst/>
                    </a:prstGeom>
                    <a:noFill/>
                  </pic:spPr>
                </pic:pic>
              </a:graphicData>
            </a:graphic>
          </wp:anchor>
        </w:drawing>
      </w:r>
    </w:p>
    <w:p>
      <w:pPr>
        <w:spacing w:after="0" w:line="129" w:lineRule="exact"/>
        <w:rPr>
          <w:sz w:val="20"/>
          <w:szCs w:val="20"/>
          <w:color w:val="auto"/>
        </w:rPr>
      </w:pPr>
    </w:p>
    <w:p>
      <w:pPr>
        <w:ind w:left="800" w:right="200"/>
        <w:spacing w:after="0" w:line="288" w:lineRule="auto"/>
        <w:rPr>
          <w:sz w:val="20"/>
          <w:szCs w:val="20"/>
          <w:color w:val="auto"/>
        </w:rPr>
      </w:pPr>
      <w:r>
        <w:rPr>
          <w:rFonts w:ascii="Arial" w:cs="Arial" w:eastAsia="Arial" w:hAnsi="Arial"/>
          <w:sz w:val="16"/>
          <w:szCs w:val="16"/>
          <w:color w:val="auto"/>
        </w:rPr>
        <w:t>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49" w:lineRule="exact"/>
        <w:rPr>
          <w:sz w:val="20"/>
          <w:szCs w:val="20"/>
          <w:color w:val="auto"/>
        </w:rPr>
      </w:pPr>
    </w:p>
    <w:p>
      <w:pPr>
        <w:ind w:left="780" w:hanging="332"/>
        <w:spacing w:after="0" w:line="297" w:lineRule="auto"/>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Leverage Technology to Optimize and Expand the Business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experienced management team has consistently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Going forward,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56" w:lineRule="exact"/>
        <w:rPr>
          <w:rFonts w:ascii="Arial" w:cs="Arial" w:eastAsia="Arial" w:hAnsi="Arial"/>
          <w:sz w:val="15"/>
          <w:szCs w:val="15"/>
          <w:color w:val="auto"/>
        </w:rPr>
      </w:pPr>
    </w:p>
    <w:p>
      <w:pPr>
        <w:ind w:left="780" w:right="180" w:hanging="332"/>
        <w:spacing w:after="0" w:line="287"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Explore Strategic Opportunities. </w:t>
      </w:r>
      <w:r>
        <w:rPr>
          <w:rFonts w:ascii="Arial" w:cs="Arial" w:eastAsia="Arial" w:hAnsi="Arial"/>
          <w:sz w:val="17"/>
          <w:szCs w:val="17"/>
          <w:color w:val="auto"/>
        </w:rPr>
        <w:t>We will selectively evaluate strategic acquisition opportunities from time to time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our growth strategy.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Recent Developments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as of and for the Nine Months Ended September 30, 2017</w:t>
      </w:r>
    </w:p>
    <w:p>
      <w:pPr>
        <w:spacing w:after="0" w:line="117" w:lineRule="exact"/>
        <w:rPr>
          <w:sz w:val="20"/>
          <w:szCs w:val="20"/>
          <w:color w:val="auto"/>
        </w:rPr>
      </w:pPr>
    </w:p>
    <w:p>
      <w:pPr>
        <w:ind w:left="100" w:right="40" w:firstLine="348"/>
        <w:spacing w:after="0" w:line="278" w:lineRule="auto"/>
        <w:rPr>
          <w:sz w:val="20"/>
          <w:szCs w:val="20"/>
          <w:color w:val="auto"/>
        </w:rPr>
      </w:pPr>
      <w:r>
        <w:rPr>
          <w:rFonts w:ascii="Arial" w:cs="Arial" w:eastAsia="Arial" w:hAnsi="Arial"/>
          <w:sz w:val="16"/>
          <w:szCs w:val="16"/>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nine months ended September 30, 2017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quarter and the nine months ended September 30, 2017. You should not place undue reliance on these estimates. See “Special Note Regarding Forward-Looking Statements” and “Risk Factors.”</w:t>
      </w:r>
    </w:p>
    <w:p>
      <w:pPr>
        <w:spacing w:after="0" w:line="68" w:lineRule="exact"/>
        <w:rPr>
          <w:sz w:val="20"/>
          <w:szCs w:val="20"/>
          <w:color w:val="auto"/>
        </w:rPr>
      </w:pPr>
    </w:p>
    <w:p>
      <w:pPr>
        <w:jc w:val="both"/>
        <w:ind w:left="100" w:right="20" w:firstLine="348"/>
        <w:spacing w:after="0" w:line="271" w:lineRule="auto"/>
        <w:rPr>
          <w:sz w:val="20"/>
          <w:szCs w:val="20"/>
          <w:color w:val="auto"/>
        </w:rPr>
      </w:pPr>
      <w:r>
        <w:rPr>
          <w:rFonts w:ascii="Arial" w:cs="Arial" w:eastAsia="Arial" w:hAnsi="Arial"/>
          <w:sz w:val="17"/>
          <w:szCs w:val="17"/>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68" w:lineRule="exact"/>
        <w:rPr>
          <w:sz w:val="20"/>
          <w:szCs w:val="20"/>
          <w:color w:val="auto"/>
        </w:rPr>
      </w:pPr>
    </w:p>
    <w:p>
      <w:pPr>
        <w:ind w:left="100" w:right="280" w:firstLine="348"/>
        <w:spacing w:after="0" w:line="266" w:lineRule="auto"/>
        <w:rPr>
          <w:sz w:val="20"/>
          <w:szCs w:val="20"/>
          <w:color w:val="auto"/>
        </w:rPr>
      </w:pPr>
      <w:r>
        <w:rPr>
          <w:rFonts w:ascii="Arial" w:cs="Arial" w:eastAsia="Arial" w:hAnsi="Arial"/>
          <w:sz w:val="17"/>
          <w:szCs w:val="17"/>
          <w:color w:val="auto"/>
        </w:rPr>
        <w:t>As of September 30, 2017, we operated stores, compared to 932 stores as of October 1, 2016. We estimate that our comparable store sales growth will be approximately % and our adjusted comparable store sales growth will be approximately % for the nine months ended September 30, 2017, compared to % and %, respectively, for the nine months ended October 1, 2016.</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nine months ended September 30, 2017, we estimate that our consolidated net revenue will range from $</w:t>
      </w:r>
    </w:p>
    <w:p>
      <w:pPr>
        <w:spacing w:after="0" w:line="25"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17"/>
          <w:szCs w:val="17"/>
          <w:color w:val="auto"/>
        </w:rPr>
        <w:t>million to $</w:t>
      </w:r>
      <w:r>
        <w:rPr>
          <w:sz w:val="20"/>
          <w:szCs w:val="20"/>
          <w:color w:val="auto"/>
        </w:rPr>
        <w:tab/>
      </w:r>
      <w:r>
        <w:rPr>
          <w:rFonts w:ascii="Arial" w:cs="Arial" w:eastAsia="Arial" w:hAnsi="Arial"/>
          <w:sz w:val="15"/>
          <w:szCs w:val="15"/>
          <w:color w:val="auto"/>
        </w:rPr>
        <w:t>million, compared to consolidated net revenue of $919.1 million for the nine months ended October 1, 2016.</w:t>
      </w:r>
    </w:p>
    <w:p>
      <w:pPr>
        <w:spacing w:after="0" w:line="13" w:lineRule="exact"/>
        <w:rPr>
          <w:sz w:val="20"/>
          <w:szCs w:val="20"/>
          <w:color w:val="auto"/>
        </w:rPr>
      </w:pPr>
    </w:p>
    <w:p>
      <w:pPr>
        <w:ind w:left="100"/>
        <w:spacing w:after="0" w:line="264" w:lineRule="auto"/>
        <w:rPr>
          <w:sz w:val="20"/>
          <w:szCs w:val="20"/>
          <w:color w:val="auto"/>
        </w:rPr>
      </w:pPr>
      <w:r>
        <w:rPr>
          <w:rFonts w:ascii="Arial" w:cs="Arial" w:eastAsia="Arial" w:hAnsi="Arial"/>
          <w:sz w:val="17"/>
          <w:szCs w:val="17"/>
          <w:color w:val="auto"/>
        </w:rPr>
        <w:t>We estimate that our consolidated income from operations will be between $ million and $ million for the nine months ended September 30, 2017, compared to consolidated income from operations of $69.8 million for the nine months ended October 1, 2016.</w:t>
      </w:r>
    </w:p>
    <w:p>
      <w:pPr>
        <w:spacing w:after="0" w:line="73" w:lineRule="exact"/>
        <w:rPr>
          <w:sz w:val="20"/>
          <w:szCs w:val="20"/>
          <w:color w:val="auto"/>
        </w:rPr>
      </w:pPr>
    </w:p>
    <w:p>
      <w:pPr>
        <w:ind w:left="100" w:right="60" w:firstLine="348"/>
        <w:spacing w:after="0" w:line="298" w:lineRule="auto"/>
        <w:rPr>
          <w:sz w:val="20"/>
          <w:szCs w:val="20"/>
          <w:color w:val="auto"/>
        </w:rPr>
      </w:pPr>
      <w:r>
        <w:rPr>
          <w:rFonts w:ascii="Arial" w:cs="Arial" w:eastAsia="Arial" w:hAnsi="Arial"/>
          <w:sz w:val="15"/>
          <w:szCs w:val="15"/>
          <w:color w:val="auto"/>
        </w:rPr>
        <w:t>In August and September of 2017, we temporarily closed certain stores in the Houston, Texas area and in Alabama, Florida and Georgia due to Hurricanes Harvey and Irma, respectively. As of September 30, 2017, we estimate that these storms impacted</w:t>
      </w:r>
    </w:p>
    <w:p>
      <w:pPr>
        <w:spacing w:after="0" w:line="1" w:lineRule="exact"/>
        <w:rPr>
          <w:sz w:val="20"/>
          <w:szCs w:val="20"/>
          <w:color w:val="auto"/>
        </w:rPr>
      </w:pPr>
    </w:p>
    <w:p>
      <w:pPr>
        <w:ind w:left="100" w:right="280" w:firstLine="434"/>
        <w:spacing w:after="0" w:line="290" w:lineRule="auto"/>
        <w:rPr>
          <w:sz w:val="20"/>
          <w:szCs w:val="20"/>
          <w:color w:val="auto"/>
        </w:rPr>
      </w:pPr>
      <w:r>
        <w:rPr>
          <w:rFonts w:ascii="Arial" w:cs="Arial" w:eastAsia="Arial" w:hAnsi="Arial"/>
          <w:sz w:val="15"/>
          <w:szCs w:val="15"/>
          <w:color w:val="auto"/>
        </w:rPr>
        <w:t>stores and had between % and % impact on each of our comparable store sales growth and adjusted comparable store sales growth for the nine months ended September 30, 2017. In addition, we estimate that these storms had between $</w:t>
      </w:r>
    </w:p>
    <w:p>
      <w:pPr>
        <w:ind w:left="100" w:right="40"/>
        <w:spacing w:after="0" w:line="272" w:lineRule="auto"/>
        <w:rPr>
          <w:sz w:val="20"/>
          <w:szCs w:val="20"/>
          <w:color w:val="auto"/>
        </w:rPr>
      </w:pPr>
      <w:r>
        <w:rPr>
          <w:rFonts w:ascii="Arial" w:cs="Arial" w:eastAsia="Arial" w:hAnsi="Arial"/>
          <w:sz w:val="17"/>
          <w:szCs w:val="17"/>
          <w:color w:val="auto"/>
        </w:rPr>
        <w:t>million and $ million impact on our consolidated net revenue and between $ million and $ million impact on our consolidated income from operations for the nine months ended September 30, 2017.</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063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9625" cy="6063615"/>
                    </a:xfrm>
                    <a:prstGeom prst="rect">
                      <a:avLst/>
                    </a:prstGeom>
                    <a:noFill/>
                  </pic:spPr>
                </pic:pic>
              </a:graphicData>
            </a:graphic>
          </wp:anchor>
        </w:drawing>
      </w:r>
    </w:p>
    <w:p>
      <w:pPr>
        <w:spacing w:after="0" w:line="233" w:lineRule="exact"/>
        <w:rPr>
          <w:sz w:val="20"/>
          <w:szCs w:val="20"/>
          <w:color w:val="auto"/>
        </w:rPr>
      </w:pPr>
    </w:p>
    <w:p>
      <w:pPr>
        <w:ind w:left="100" w:right="80" w:firstLine="348"/>
        <w:spacing w:after="0" w:line="266" w:lineRule="auto"/>
        <w:rPr>
          <w:sz w:val="20"/>
          <w:szCs w:val="20"/>
          <w:color w:val="auto"/>
        </w:rPr>
      </w:pPr>
      <w:r>
        <w:rPr>
          <w:rFonts w:ascii="Arial" w:cs="Arial" w:eastAsia="Arial" w:hAnsi="Arial"/>
          <w:sz w:val="17"/>
          <w:szCs w:val="17"/>
          <w:color w:val="auto"/>
        </w:rPr>
        <w:t>Please see below for a reconciliation of adjusted comparable store sales growth to comparable store sales growth. In addition, please see “Management’s Discussion and Analysis of Financial Condition and Results of Operations— How We Assess the Performance of our Business—Adjusted Comparable Store Sales Growth” for how we calculate adjusted comparable store sales growth, the reasons why we include it and certain limitations to its use.</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Nine Months Ended</w:t>
      </w:r>
    </w:p>
    <w:p>
      <w:pPr>
        <w:spacing w:after="0" w:line="35" w:lineRule="exact"/>
        <w:rPr>
          <w:sz w:val="20"/>
          <w:szCs w:val="20"/>
          <w:color w:val="auto"/>
        </w:rPr>
      </w:pPr>
    </w:p>
    <w:p>
      <w:pPr>
        <w:ind w:left="6440"/>
        <w:spacing w:after="0"/>
        <w:tabs>
          <w:tab w:leader="none" w:pos="802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October 1, 2016</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Comparable store sales growth</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Adjusted comparable store sales growth</w:t>
      </w:r>
      <w:r>
        <w:rPr>
          <w:rFonts w:ascii="Arial" w:cs="Arial" w:eastAsia="Arial" w:hAnsi="Arial"/>
          <w:sz w:val="28"/>
          <w:szCs w:val="28"/>
          <w:color w:val="auto"/>
          <w:vertAlign w:val="superscript"/>
        </w:rPr>
        <w:t>(1)</w:t>
      </w:r>
    </w:p>
    <w:p>
      <w:pPr>
        <w:spacing w:after="0" w:line="204" w:lineRule="exact"/>
        <w:rPr>
          <w:sz w:val="20"/>
          <w:szCs w:val="20"/>
          <w:color w:val="auto"/>
        </w:rPr>
      </w:pPr>
    </w:p>
    <w:p>
      <w:pPr>
        <w:jc w:val="both"/>
        <w:ind w:left="440" w:right="100" w:hanging="331"/>
        <w:spacing w:after="0" w:line="282" w:lineRule="auto"/>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w:t>
      </w:r>
    </w:p>
    <w:p>
      <w:pPr>
        <w:spacing w:after="0" w:line="1" w:lineRule="exact"/>
        <w:rPr>
          <w:sz w:val="20"/>
          <w:szCs w:val="20"/>
          <w:color w:val="auto"/>
        </w:rPr>
      </w:pPr>
    </w:p>
    <w:p>
      <w:pPr>
        <w:ind w:left="440"/>
        <w:spacing w:after="0" w:line="272" w:lineRule="auto"/>
        <w:rPr>
          <w:sz w:val="20"/>
          <w:szCs w:val="20"/>
          <w:color w:val="auto"/>
        </w:rPr>
      </w:pPr>
      <w:r>
        <w:rPr>
          <w:rFonts w:ascii="Arial" w:cs="Arial" w:eastAsia="Arial" w:hAnsi="Arial"/>
          <w:sz w:val="12"/>
          <w:szCs w:val="12"/>
          <w:color w:val="auto"/>
        </w:rPr>
        <w:t>decrease of % and % from total comparable store sales growth based on consolidated net revenue for the nine months ended September 30, 2017 and October 1, 2016, respectively, and (ii) adjusted comparable store sales growth includes retail sales to the legacy partner’s customers (rather than the</w:t>
      </w:r>
    </w:p>
    <w:p>
      <w:pPr>
        <w:ind w:left="440" w:right="140"/>
        <w:spacing w:after="0" w:line="277" w:lineRule="auto"/>
        <w:rPr>
          <w:sz w:val="20"/>
          <w:szCs w:val="20"/>
          <w:color w:val="auto"/>
        </w:rPr>
      </w:pPr>
      <w:r>
        <w:rPr>
          <w:rFonts w:ascii="Arial" w:cs="Arial" w:eastAsia="Arial" w:hAnsi="Arial"/>
          <w:sz w:val="13"/>
          <w:szCs w:val="13"/>
          <w:color w:val="auto"/>
        </w:rPr>
        <w:t>revenues recognized consistent with the management and services agreement), resulting in a decrease of % and % from total comparable store sales growth based on consolidated net revenue for the nine months ended September 30, 2017 and October 1, 2016, respectively.</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Revolving Credit Facility Amendment</w:t>
      </w:r>
    </w:p>
    <w:p>
      <w:pPr>
        <w:spacing w:after="0" w:line="117" w:lineRule="exact"/>
        <w:rPr>
          <w:sz w:val="20"/>
          <w:szCs w:val="20"/>
          <w:color w:val="auto"/>
        </w:rPr>
      </w:pPr>
    </w:p>
    <w:p>
      <w:pPr>
        <w:ind w:left="100" w:right="20" w:firstLine="348"/>
        <w:spacing w:after="0" w:line="278" w:lineRule="auto"/>
        <w:rPr>
          <w:sz w:val="20"/>
          <w:szCs w:val="20"/>
          <w:color w:val="auto"/>
        </w:rPr>
      </w:pPr>
      <w:r>
        <w:rPr>
          <w:rFonts w:ascii="Arial" w:cs="Arial" w:eastAsia="Arial" w:hAnsi="Arial"/>
          <w:sz w:val="16"/>
          <w:szCs w:val="16"/>
          <w:color w:val="auto"/>
        </w:rPr>
        <w:t>Substantially concurrent with this offering, we intend to obtain commitments from certain lenders, some or all of which may be affiliates of the underwriters in this offering, and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The proposed amendment is subject to market and other conditions, and there can be no assurance that the amendment will be completed on the terms contemplated or at all. The consummation of the amendment will be conditioned upon the substantially concurrent consummation of this offering. This offering is not conditioned on the effectiveness of the amendment. See “Description of Indebtedness—First Lien Credit Agreement.”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Related to Our Business and this Offering</w:t>
      </w:r>
    </w:p>
    <w:p>
      <w:pPr>
        <w:spacing w:after="0" w:line="228" w:lineRule="exact"/>
        <w:rPr>
          <w:sz w:val="20"/>
          <w:szCs w:val="20"/>
          <w:color w:val="auto"/>
        </w:rPr>
      </w:pPr>
    </w:p>
    <w:p>
      <w:pPr>
        <w:ind w:left="100" w:right="100" w:firstLine="348"/>
        <w:spacing w:after="0" w:line="271" w:lineRule="auto"/>
        <w:rPr>
          <w:sz w:val="20"/>
          <w:szCs w:val="20"/>
          <w:color w:val="auto"/>
        </w:rPr>
      </w:pPr>
      <w:r>
        <w:rPr>
          <w:rFonts w:ascii="Arial" w:cs="Arial" w:eastAsia="Arial" w:hAnsi="Arial"/>
          <w:sz w:val="17"/>
          <w:szCs w:val="17"/>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68" w:lineRule="exact"/>
        <w:rPr>
          <w:sz w:val="20"/>
          <w:szCs w:val="20"/>
          <w:color w:val="auto"/>
        </w:rPr>
      </w:pPr>
    </w:p>
    <w:p>
      <w:pPr>
        <w:ind w:left="780" w:hanging="332"/>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open and operate new stores in a timely and cost-effective manner, and to successfully enter new markets;</w:t>
      </w:r>
    </w:p>
    <w:p>
      <w:pPr>
        <w:spacing w:after="0" w:line="140" w:lineRule="exact"/>
        <w:rPr>
          <w:rFonts w:ascii="Arial" w:cs="Arial" w:eastAsia="Arial" w:hAnsi="Arial"/>
          <w:sz w:val="15"/>
          <w:szCs w:val="15"/>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780" w:right="140" w:hanging="332"/>
        <w:spacing w:after="0" w:line="287" w:lineRule="auto"/>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53"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426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9625" cy="5426075"/>
                    </a:xfrm>
                    <a:prstGeom prst="rect">
                      <a:avLst/>
                    </a:prstGeom>
                    <a:noFill/>
                  </pic:spPr>
                </pic:pic>
              </a:graphicData>
            </a:graphic>
          </wp:anchor>
        </w:drawing>
      </w:r>
    </w:p>
    <w:p>
      <w:pPr>
        <w:spacing w:after="0" w:line="233" w:lineRule="exact"/>
        <w:rPr>
          <w:sz w:val="20"/>
          <w:szCs w:val="20"/>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 and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sz w:val="20"/>
          <w:szCs w:val="20"/>
          <w:color w:val="auto"/>
        </w:rPr>
      </w:pPr>
    </w:p>
    <w:p>
      <w:pPr>
        <w:ind w:left="100" w:right="120" w:firstLine="348"/>
        <w:spacing w:after="0" w:line="271" w:lineRule="auto"/>
        <w:rPr>
          <w:sz w:val="20"/>
          <w:szCs w:val="20"/>
          <w:color w:val="auto"/>
        </w:rPr>
      </w:pPr>
      <w:r>
        <w:rPr>
          <w:rFonts w:ascii="Arial" w:cs="Arial" w:eastAsia="Arial" w:hAnsi="Arial"/>
          <w:sz w:val="17"/>
          <w:szCs w:val="17"/>
          <w:color w:val="auto"/>
        </w:rPr>
        <w:t>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common stock.</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Corporate History and Information</w:t>
      </w:r>
    </w:p>
    <w:p>
      <w:pPr>
        <w:spacing w:after="0" w:line="228" w:lineRule="exact"/>
        <w:rPr>
          <w:sz w:val="20"/>
          <w:szCs w:val="20"/>
          <w:color w:val="auto"/>
        </w:rPr>
      </w:pPr>
    </w:p>
    <w:p>
      <w:pPr>
        <w:ind w:left="100" w:right="120" w:firstLine="348"/>
        <w:spacing w:after="0" w:line="266"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124" w:lineRule="exact"/>
        <w:rPr>
          <w:sz w:val="20"/>
          <w:szCs w:val="20"/>
          <w:color w:val="auto"/>
        </w:rPr>
      </w:pPr>
    </w:p>
    <w:p>
      <w:pPr>
        <w:jc w:val="both"/>
        <w:ind w:left="100" w:right="600" w:firstLine="348"/>
        <w:spacing w:after="0" w:line="296" w:lineRule="auto"/>
        <w:rPr>
          <w:sz w:val="20"/>
          <w:szCs w:val="20"/>
          <w:color w:val="auto"/>
        </w:rPr>
      </w:pPr>
      <w:r>
        <w:rPr>
          <w:rFonts w:ascii="Arial" w:cs="Arial" w:eastAsia="Arial" w:hAnsi="Arial"/>
          <w:sz w:val="16"/>
          <w:szCs w:val="16"/>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recently changed our name to “National Vision Holdings, Inc.”</w:t>
      </w:r>
    </w:p>
    <w:p>
      <w:pPr>
        <w:spacing w:after="0" w:line="101" w:lineRule="exact"/>
        <w:rPr>
          <w:sz w:val="20"/>
          <w:szCs w:val="20"/>
          <w:color w:val="auto"/>
        </w:rPr>
      </w:pPr>
    </w:p>
    <w:p>
      <w:pPr>
        <w:ind w:left="100" w:right="60" w:firstLine="348"/>
        <w:spacing w:after="0" w:line="288"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KKR &amp; Co.</w:t>
      </w:r>
    </w:p>
    <w:p>
      <w:pPr>
        <w:spacing w:after="0" w:line="228" w:lineRule="exact"/>
        <w:rPr>
          <w:sz w:val="20"/>
          <w:szCs w:val="20"/>
          <w:color w:val="auto"/>
        </w:rPr>
      </w:pPr>
    </w:p>
    <w:p>
      <w:pPr>
        <w:ind w:left="100" w:firstLine="348"/>
        <w:spacing w:after="0" w:line="261" w:lineRule="auto"/>
        <w:rPr>
          <w:sz w:val="20"/>
          <w:szCs w:val="20"/>
          <w:color w:val="auto"/>
        </w:rPr>
      </w:pPr>
      <w:r>
        <w:rPr>
          <w:rFonts w:ascii="Arial" w:cs="Arial" w:eastAsia="Arial" w:hAnsi="Arial"/>
          <w:sz w:val="17"/>
          <w:szCs w:val="17"/>
          <w:color w:val="auto"/>
        </w:rPr>
        <w:t>KKR &amp; Co. L.P., which, together with its subsidiaries, we refer to as KKR &amp; Co., is a leading global investment firm that manages multiple alternative asset classes including private equity, energy, infrastructure, real estate, credit and, through its strategic partners, hedge funds. KKR &amp; Co. aims to generate attractive investment returns by following a patient and disciplined investment approach, employing world-class people, and driving growth and value creation with portfolio companies of KKR &amp; Co. and its affiliated funds. KKR &amp; Co. invests its own capital alongside its partners’ capital and provides financing solutions and investment opportunities through its capital markets business. KKR &amp; Co. L.P. is listed on The New York Stock Exchange (NYSE: KKR).</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Berkshire</w:t>
      </w:r>
    </w:p>
    <w:p>
      <w:pPr>
        <w:spacing w:after="0" w:line="228" w:lineRule="exact"/>
        <w:rPr>
          <w:sz w:val="20"/>
          <w:szCs w:val="20"/>
          <w:color w:val="auto"/>
        </w:rPr>
      </w:pPr>
    </w:p>
    <w:p>
      <w:pPr>
        <w:ind w:left="100" w:right="260" w:firstLine="348"/>
        <w:spacing w:after="0" w:line="263" w:lineRule="auto"/>
        <w:rPr>
          <w:sz w:val="20"/>
          <w:szCs w:val="20"/>
          <w:color w:val="auto"/>
        </w:rPr>
      </w:pPr>
      <w:r>
        <w:rPr>
          <w:rFonts w:ascii="Arial" w:cs="Arial" w:eastAsia="Arial" w:hAnsi="Arial"/>
          <w:sz w:val="17"/>
          <w:szCs w:val="17"/>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691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9625" cy="569150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pacing w:after="0" w:line="117" w:lineRule="exact"/>
        <w:rPr>
          <w:sz w:val="20"/>
          <w:szCs w:val="20"/>
          <w:color w:val="auto"/>
        </w:rPr>
      </w:pPr>
    </w:p>
    <w:p>
      <w:pPr>
        <w:ind w:left="100"/>
        <w:spacing w:after="0"/>
        <w:tabs>
          <w:tab w:leader="none" w:pos="4780" w:val="left"/>
        </w:tabs>
        <w:rPr>
          <w:sz w:val="20"/>
          <w:szCs w:val="20"/>
          <w:color w:val="auto"/>
        </w:rPr>
      </w:pPr>
      <w:r>
        <w:rPr>
          <w:rFonts w:ascii="Arial" w:cs="Arial" w:eastAsia="Arial" w:hAnsi="Arial"/>
          <w:sz w:val="17"/>
          <w:szCs w:val="17"/>
          <w:b w:val="1"/>
          <w:bCs w:val="1"/>
          <w:color w:val="auto"/>
        </w:rPr>
        <w:t>Common stock offered by us</w:t>
      </w:r>
      <w:r>
        <w:rPr>
          <w:sz w:val="20"/>
          <w:szCs w:val="20"/>
          <w:color w:val="auto"/>
        </w:rPr>
        <w:tab/>
      </w:r>
      <w:r>
        <w:rPr>
          <w:rFonts w:ascii="Arial" w:cs="Arial" w:eastAsia="Arial" w:hAnsi="Arial"/>
          <w:sz w:val="14"/>
          <w:szCs w:val="14"/>
          <w:color w:val="auto"/>
        </w:rPr>
        <w:t>shares.</w:t>
      </w:r>
    </w:p>
    <w:p>
      <w:pPr>
        <w:sectPr>
          <w:pgSz w:w="11900" w:h="16838" w:orient="portrait"/>
          <w:cols w:equalWidth="0" w:num="1">
            <w:col w:w="9140"/>
          </w:cols>
          <w:pgMar w:left="1340" w:top="273" w:right="1419" w:bottom="1440" w:gutter="0" w:footer="0" w:header="0"/>
        </w:sectPr>
      </w:pPr>
    </w:p>
    <w:p>
      <w:pPr>
        <w:spacing w:after="0" w:line="117" w:lineRule="exact"/>
        <w:rPr>
          <w:sz w:val="20"/>
          <w:szCs w:val="20"/>
          <w:color w:val="auto"/>
        </w:rPr>
      </w:pPr>
    </w:p>
    <w:p>
      <w:pPr>
        <w:ind w:left="280" w:hanging="173"/>
        <w:spacing w:after="0" w:line="294" w:lineRule="auto"/>
        <w:rPr>
          <w:sz w:val="20"/>
          <w:szCs w:val="20"/>
          <w:color w:val="auto"/>
        </w:rPr>
      </w:pPr>
      <w:r>
        <w:rPr>
          <w:rFonts w:ascii="Arial" w:cs="Arial" w:eastAsia="Arial" w:hAnsi="Arial"/>
          <w:sz w:val="17"/>
          <w:szCs w:val="17"/>
          <w:b w:val="1"/>
          <w:bCs w:val="1"/>
          <w:color w:val="auto"/>
        </w:rPr>
        <w:t>Underwriters’ option to purchase additional shares of common stock</w:t>
      </w:r>
    </w:p>
    <w:p>
      <w:pPr>
        <w:spacing w:after="0" w:line="251" w:lineRule="exact"/>
        <w:rPr>
          <w:sz w:val="20"/>
          <w:szCs w:val="20"/>
          <w:color w:val="auto"/>
        </w:rPr>
      </w:pPr>
    </w:p>
    <w:p>
      <w:pPr>
        <w:ind w:left="280" w:right="160" w:hanging="173"/>
        <w:spacing w:after="0" w:line="294" w:lineRule="auto"/>
        <w:rPr>
          <w:sz w:val="20"/>
          <w:szCs w:val="20"/>
          <w:color w:val="auto"/>
        </w:rPr>
      </w:pPr>
      <w:r>
        <w:rPr>
          <w:rFonts w:ascii="Arial" w:cs="Arial" w:eastAsia="Arial" w:hAnsi="Arial"/>
          <w:sz w:val="17"/>
          <w:szCs w:val="17"/>
          <w:b w:val="1"/>
          <w:bCs w:val="1"/>
          <w:color w:val="auto"/>
        </w:rPr>
        <w:t>Common stock to be outstanding immediately after this offering</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Directed share program</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400" w:right="160" w:hanging="390"/>
        <w:spacing w:after="0" w:line="280" w:lineRule="auto"/>
        <w:rPr>
          <w:sz w:val="20"/>
          <w:szCs w:val="20"/>
          <w:color w:val="auto"/>
        </w:rPr>
      </w:pPr>
      <w:r>
        <w:rPr>
          <w:rFonts w:ascii="Arial" w:cs="Arial" w:eastAsia="Arial" w:hAnsi="Arial"/>
          <w:sz w:val="16"/>
          <w:szCs w:val="16"/>
          <w:color w:val="auto"/>
        </w:rPr>
        <w:t>We have granted the underwriters a 30-day option to purchase up to additional shares of our common stock at the initial public</w:t>
      </w:r>
    </w:p>
    <w:p>
      <w:pPr>
        <w:spacing w:after="0"/>
        <w:rPr>
          <w:sz w:val="20"/>
          <w:szCs w:val="20"/>
          <w:color w:val="auto"/>
        </w:rPr>
      </w:pPr>
      <w:r>
        <w:rPr>
          <w:rFonts w:ascii="Arial" w:cs="Arial" w:eastAsia="Arial" w:hAnsi="Arial"/>
          <w:sz w:val="17"/>
          <w:szCs w:val="17"/>
          <w:color w:val="auto"/>
        </w:rPr>
        <w:t>offering price, less underwriting discounts and commissions.</w:t>
      </w:r>
    </w:p>
    <w:p>
      <w:pPr>
        <w:spacing w:after="0" w:line="105" w:lineRule="exact"/>
        <w:rPr>
          <w:sz w:val="20"/>
          <w:szCs w:val="20"/>
          <w:color w:val="auto"/>
        </w:rPr>
      </w:pPr>
    </w:p>
    <w:p>
      <w:pPr>
        <w:ind w:right="260" w:firstLine="521"/>
        <w:spacing w:after="0" w:line="287" w:lineRule="auto"/>
        <w:rPr>
          <w:sz w:val="20"/>
          <w:szCs w:val="20"/>
          <w:color w:val="auto"/>
        </w:rPr>
      </w:pPr>
      <w:r>
        <w:rPr>
          <w:rFonts w:ascii="Arial" w:cs="Arial" w:eastAsia="Arial" w:hAnsi="Arial"/>
          <w:sz w:val="17"/>
          <w:szCs w:val="17"/>
          <w:color w:val="auto"/>
        </w:rPr>
        <w:t>shares (or shares if the underwriters exercise in full their option to purchase additional shares).</w:t>
      </w:r>
    </w:p>
    <w:p>
      <w:pPr>
        <w:spacing w:after="0" w:line="54" w:lineRule="exact"/>
        <w:rPr>
          <w:sz w:val="20"/>
          <w:szCs w:val="20"/>
          <w:color w:val="auto"/>
        </w:rPr>
      </w:pPr>
    </w:p>
    <w:p>
      <w:pPr>
        <w:ind w:right="280"/>
        <w:spacing w:after="0" w:line="295" w:lineRule="auto"/>
        <w:rPr>
          <w:sz w:val="20"/>
          <w:szCs w:val="20"/>
          <w:color w:val="auto"/>
        </w:rPr>
      </w:pPr>
      <w:r>
        <w:rPr>
          <w:rFonts w:ascii="Arial" w:cs="Arial" w:eastAsia="Arial" w:hAnsi="Arial"/>
          <w:sz w:val="15"/>
          <w:szCs w:val="15"/>
          <w:color w:val="auto"/>
        </w:rPr>
        <w:t>We estimate that the net proceeds to us from this offering, after deducting underwriting discounts and commissions and estimated offering expenses payable by us, will be approximately $</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million (or approximately $ million, if the underwriters exercise in full their option to purchase additional shares), based on the</w:t>
      </w:r>
    </w:p>
    <w:p>
      <w:pPr>
        <w:ind w:right="40"/>
        <w:spacing w:after="0" w:line="261" w:lineRule="auto"/>
        <w:rPr>
          <w:sz w:val="20"/>
          <w:szCs w:val="20"/>
          <w:color w:val="auto"/>
        </w:rPr>
      </w:pPr>
      <w:r>
        <w:rPr>
          <w:rFonts w:ascii="Arial" w:cs="Arial" w:eastAsia="Arial" w:hAnsi="Arial"/>
          <w:sz w:val="17"/>
          <w:szCs w:val="17"/>
          <w:color w:val="auto"/>
        </w:rPr>
        <w:t>assumed initial public offering price of $ per share, which is the mid-point of the estimated offering price range set forth on the cover page of this prospectus. For a sensitivity analysis as to the offering price and other information, see “Use of Proceeds”.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intend to use the net proceeds to us from this offering (A) first, to repay all outstanding aggregate amount of our second lien term loans and pay accrued interest, applicable premiums and related fees and expenses; and (B) second, to repay $ million of the outstanding amount of our first lien term loans and pay accrued interest, applicable premiums and related fees and expenses. As of July 1, 2017, affiliates of certain of the underwriters held a portion of the outstanding balance of our first lien term loans and/or second lien term loans and, as a result, will receive a portion of the proceeds from this offering. See “Use of Proceeds.”</w:t>
      </w:r>
    </w:p>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our request, the underwriters have reserved up to % of the shares of common stock being offered by this prospectus for sale at the initial public offering price to certain of our officers and employees and members of their respective families. The sales will be made at our direction by Merrill Lynch, Pierce, Fenner &amp; Smith Incorporated, an underwriter of this offering, and its affiliates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w:t>
      </w:r>
    </w:p>
    <w:p>
      <w:pPr>
        <w:spacing w:after="0" w:line="200" w:lineRule="exact"/>
        <w:rPr>
          <w:sz w:val="20"/>
          <w:szCs w:val="20"/>
          <w:color w:val="auto"/>
        </w:rPr>
      </w:pPr>
    </w:p>
    <w:p>
      <w:pPr>
        <w:sectPr>
          <w:pgSz w:w="11900" w:h="16838" w:orient="portrait"/>
          <w:cols w:equalWidth="0" w:num="2">
            <w:col w:w="4080" w:space="200"/>
            <w:col w:w="4860"/>
          </w:cols>
          <w:pgMar w:left="1340" w:top="273" w:right="1419" w:bottom="1440" w:gutter="0" w:footer="0" w:header="0"/>
          <w:type w:val="continuous"/>
        </w:sect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58604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140" w:type="dxa"/>
            <w:vAlign w:val="bottom"/>
            <w:tcBorders>
              <w:top w:val="single" w:sz="8" w:color="auto"/>
              <w:left w:val="single" w:sz="8" w:color="auto"/>
            </w:tcBorders>
          </w:tcPr>
          <w:p>
            <w:pPr>
              <w:spacing w:after="0"/>
              <w:rPr>
                <w:sz w:val="19"/>
                <w:szCs w:val="19"/>
                <w:color w:val="auto"/>
              </w:rPr>
            </w:pPr>
          </w:p>
        </w:tc>
        <w:tc>
          <w:tcPr>
            <w:tcW w:w="6140" w:type="dxa"/>
            <w:vAlign w:val="bottom"/>
            <w:tcBorders>
              <w:top w:val="single" w:sz="8" w:color="auto"/>
              <w:right w:val="single" w:sz="8" w:color="auto"/>
            </w:tcBorders>
            <w:gridSpan w:val="4"/>
          </w:tcPr>
          <w:p>
            <w:pPr>
              <w:ind w:left="1140"/>
              <w:spacing w:after="0"/>
              <w:rPr>
                <w:sz w:val="20"/>
                <w:szCs w:val="20"/>
                <w:color w:val="auto"/>
              </w:rPr>
            </w:pPr>
            <w:r>
              <w:rPr>
                <w:rFonts w:ascii="Arial" w:cs="Arial" w:eastAsia="Arial" w:hAnsi="Arial"/>
                <w:sz w:val="17"/>
                <w:szCs w:val="17"/>
                <w:color w:val="auto"/>
              </w:rPr>
              <w:t>underwriters to the general public on the same terms as the other</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shares of our common stock. Any shares sold in the directed share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program to our executive officers who have entered into lock-up</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agreements described in “Underwriting (Conflicts of Interest)—No</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Sales of Similar Securities” will be subject to the provisions of such</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lock-up agreements. See “Underwriting (Conflicts of Interest)—</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Directed Share Program.”</w:t>
            </w:r>
          </w:p>
        </w:tc>
      </w:tr>
      <w:tr>
        <w:trPr>
          <w:trHeight w:val="274"/>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Risk factors</w:t>
            </w:r>
          </w:p>
        </w:tc>
        <w:tc>
          <w:tcPr>
            <w:tcW w:w="6140" w:type="dxa"/>
            <w:vAlign w:val="bottom"/>
            <w:tcBorders>
              <w:right w:val="single" w:sz="8" w:color="auto"/>
            </w:tcBorders>
            <w:gridSpan w:val="4"/>
          </w:tcPr>
          <w:p>
            <w:pPr>
              <w:ind w:left="1140"/>
              <w:spacing w:after="0"/>
              <w:rPr>
                <w:rFonts w:ascii="Arial" w:cs="Arial" w:eastAsia="Arial" w:hAnsi="Arial"/>
                <w:sz w:val="17"/>
                <w:szCs w:val="17"/>
                <w:color w:val="auto"/>
              </w:rPr>
            </w:pPr>
            <w:r>
              <w:rPr>
                <w:rFonts w:ascii="Arial" w:cs="Arial" w:eastAsia="Arial" w:hAnsi="Arial"/>
                <w:sz w:val="17"/>
                <w:szCs w:val="17"/>
                <w:color w:val="auto"/>
              </w:rPr>
              <w:t xml:space="preserve">See “Risk Factors” beginning on page </w:t>
            </w:r>
            <w:hyperlink w:anchor="page32">
              <w:r>
                <w:rPr>
                  <w:rFonts w:ascii="Arial" w:cs="Arial" w:eastAsia="Arial" w:hAnsi="Arial"/>
                  <w:sz w:val="17"/>
                  <w:szCs w:val="17"/>
                  <w:color w:val="0000EE"/>
                </w:rPr>
                <w:t>20</w:t>
              </w:r>
              <w:r>
                <w:rPr>
                  <w:rFonts w:ascii="Arial" w:cs="Arial" w:eastAsia="Arial" w:hAnsi="Arial"/>
                  <w:sz w:val="17"/>
                  <w:szCs w:val="17"/>
                  <w:color w:val="auto"/>
                </w:rPr>
                <w:t xml:space="preserve"> </w:t>
              </w:r>
            </w:hyperlink>
            <w:r>
              <w:rPr>
                <w:rFonts w:ascii="Arial" w:cs="Arial" w:eastAsia="Arial" w:hAnsi="Arial"/>
                <w:sz w:val="17"/>
                <w:szCs w:val="17"/>
                <w:color w:val="auto"/>
              </w:rPr>
              <w:t>and other information</w:t>
            </w:r>
          </w:p>
        </w:tc>
      </w:tr>
      <w:tr>
        <w:trPr>
          <w:trHeight w:val="20"/>
        </w:trPr>
        <w:tc>
          <w:tcPr>
            <w:tcW w:w="3140" w:type="dxa"/>
            <w:vAlign w:val="bottom"/>
            <w:tcBorders>
              <w:left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tcBorders>
              <w:right w:val="single" w:sz="8" w:color="auto"/>
            </w:tcBorders>
            <w:gridSpan w:val="2"/>
          </w:tcPr>
          <w:p>
            <w:pPr>
              <w:spacing w:after="0" w:line="20" w:lineRule="exact"/>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included in this prospectus for a discussion of factors you should</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carefully consider before deciding to invest in our common stock.</w:t>
            </w:r>
          </w:p>
        </w:tc>
      </w:tr>
      <w:tr>
        <w:trPr>
          <w:trHeight w:val="30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Dividend policy</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7"/>
              </w:rPr>
              <w:t>We do not currently anticipate paying any dividends on our common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stock immediately following this offering and currently expect to</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4"/>
              </w:rPr>
              <w:t>retain all future earnings for use in the operation and expansion of our</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business. Following this offering and upon repayment of certain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9"/>
              </w:rPr>
              <w:t>outstanding indebtedness, we may reevaluate our dividend policy.</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7"/>
              </w:rPr>
              <w:t>Any decision to declare and pay dividends in the future will be made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at the sole discretion of our Board of Directors and will depend on</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various factors. See “Dividend Policy.”</w:t>
            </w:r>
          </w:p>
        </w:tc>
      </w:tr>
      <w:tr>
        <w:trPr>
          <w:trHeight w:val="30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Conflicts of interest</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Affiliates of KKR Sponsor beneficially own (through investment in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KKR Vision Aggregator L.P.) in excess of 10% of our issued and</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outstanding common stock. Because KKR Capital Markets LLC, an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 of KKR Sponsor, is an underwriter in this offering and its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affiliates own in excess of 10% of our issued and outstanding</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common stock, KKR Capital Markets LLC is deemed to have a</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“conflict of interest” under Rule 5121 of the Financial Industry</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Regulatory Authority, Inc., or FINRA. Accordingly, this offering is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being made in compliance with the requirements of Rule 5121.</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Pursuant to that rule, the appointment of a “qualified independent</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underwriter” is not required in connection with this offering as the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7"/>
              </w:rPr>
              <w:t>member primarily responsible for managing the public offering does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9"/>
              </w:rPr>
              <w:t>not have a conflict of interest, is not an affiliate of any member that</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5"/>
              </w:rPr>
              <w:t>has a conflict of interest and meets the requirements of paragraph (f)</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(12)(E) of Rule 5121. See “Underwriting (Conflicts of Interest).”</w:t>
            </w:r>
          </w:p>
        </w:tc>
      </w:tr>
      <w:tr>
        <w:trPr>
          <w:trHeight w:val="30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Controlled company</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After the completion of this offering, the Sponsors will continue to</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own a majority of the voting power of our common stock. We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currently intend to avail ourselves of the controlled company</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exemption under the corporate governance standards of NASDAQ.</w:t>
            </w:r>
          </w:p>
        </w:tc>
      </w:tr>
      <w:tr>
        <w:trPr>
          <w:trHeight w:val="313"/>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NASDAQ trading symbol</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“EYE”.</w:t>
            </w:r>
          </w:p>
        </w:tc>
      </w:tr>
      <w:tr>
        <w:trPr>
          <w:trHeight w:val="257"/>
        </w:trPr>
        <w:tc>
          <w:tcPr>
            <w:tcW w:w="3140" w:type="dxa"/>
            <w:vAlign w:val="bottom"/>
            <w:tcBorders>
              <w:left w:val="single" w:sz="8" w:color="auto"/>
              <w:bottom w:val="single" w:sz="8" w:color="auto"/>
            </w:tcBorders>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r>
      <w:tr>
        <w:trPr>
          <w:trHeight w:val="414"/>
        </w:trPr>
        <w:tc>
          <w:tcPr>
            <w:tcW w:w="3140" w:type="dxa"/>
            <w:vAlign w:val="bottom"/>
          </w:tcPr>
          <w:p>
            <w:pPr>
              <w:spacing w:after="0"/>
              <w:rPr>
                <w:sz w:val="24"/>
                <w:szCs w:val="24"/>
                <w:color w:val="auto"/>
              </w:rPr>
            </w:pPr>
          </w:p>
        </w:tc>
        <w:tc>
          <w:tcPr>
            <w:tcW w:w="3840" w:type="dxa"/>
            <w:vAlign w:val="bottom"/>
          </w:tcPr>
          <w:p>
            <w:pPr>
              <w:ind w:left="138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3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140" w:type="dxa"/>
            <w:vAlign w:val="bottom"/>
            <w:tcBorders>
              <w:left w:val="single" w:sz="8" w:color="auto"/>
            </w:tcBorders>
            <w:shd w:val="clear" w:color="auto" w:fill="000000"/>
          </w:tcPr>
          <w:p>
            <w:pPr>
              <w:spacing w:after="0"/>
              <w:rPr>
                <w:sz w:val="5"/>
                <w:szCs w:val="5"/>
                <w:color w:val="auto"/>
              </w:rPr>
            </w:pPr>
          </w:p>
        </w:tc>
        <w:tc>
          <w:tcPr>
            <w:tcW w:w="3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73" w:right="12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2115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9625" cy="2115185"/>
                    </a:xfrm>
                    <a:prstGeom prst="rect">
                      <a:avLst/>
                    </a:prstGeom>
                    <a:noFill/>
                  </pic:spPr>
                </pic:pic>
              </a:graphicData>
            </a:graphic>
          </wp:anchor>
        </w:drawing>
      </w:r>
    </w:p>
    <w:p>
      <w:pPr>
        <w:spacing w:after="0" w:line="3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Unless we indicate otherwise or the context otherwise requires, all information in this prospectus:</w:t>
      </w:r>
    </w:p>
    <w:p>
      <w:pPr>
        <w:spacing w:after="0" w:line="117" w:lineRule="exact"/>
        <w:rPr>
          <w:sz w:val="20"/>
          <w:szCs w:val="20"/>
          <w:color w:val="auto"/>
        </w:rPr>
      </w:pPr>
    </w:p>
    <w:p>
      <w:pPr>
        <w:ind w:left="780" w:hanging="332"/>
        <w:spacing w:after="0"/>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assumes (1) no exercise of the underwriters’ option to purchase additional shares of our common stock and (2) an initial</w:t>
      </w:r>
    </w:p>
    <w:p>
      <w:pPr>
        <w:spacing w:after="0" w:line="48" w:lineRule="exact"/>
        <w:rPr>
          <w:rFonts w:ascii="Arial" w:cs="Arial" w:eastAsia="Arial" w:hAnsi="Arial"/>
          <w:sz w:val="15"/>
          <w:szCs w:val="15"/>
          <w:color w:val="auto"/>
        </w:rPr>
      </w:pPr>
    </w:p>
    <w:p>
      <w:pPr>
        <w:ind w:left="780" w:right="240"/>
        <w:spacing w:after="0" w:line="272" w:lineRule="auto"/>
        <w:rPr>
          <w:rFonts w:ascii="Arial" w:cs="Arial" w:eastAsia="Arial" w:hAnsi="Arial"/>
          <w:sz w:val="15"/>
          <w:szCs w:val="15"/>
          <w:color w:val="auto"/>
        </w:rPr>
      </w:pPr>
      <w:r>
        <w:rPr>
          <w:rFonts w:ascii="Arial" w:cs="Arial" w:eastAsia="Arial" w:hAnsi="Arial"/>
          <w:sz w:val="17"/>
          <w:szCs w:val="17"/>
          <w:color w:val="auto"/>
        </w:rPr>
        <w:t>public offering price of $ per share, the mid-point of the estimated offering price range set forth on the cover of this prospectus;</w:t>
      </w:r>
    </w:p>
    <w:p>
      <w:pPr>
        <w:sectPr>
          <w:pgSz w:w="11900" w:h="16838" w:orient="portrait"/>
          <w:cols w:equalWidth="0" w:num="1">
            <w:col w:w="9140"/>
          </w:cols>
          <w:pgMar w:left="1340" w:top="273" w:right="1419" w:bottom="1440" w:gutter="0" w:footer="0" w:header="0"/>
        </w:sectPr>
      </w:pP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does not reflect the this offering; and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-for-one reverse stock split of our common stock, which will occur prior to the consummation of</w:t>
      </w:r>
    </w:p>
    <w:p>
      <w:pPr>
        <w:spacing w:after="0" w:line="337" w:lineRule="exact"/>
        <w:rPr>
          <w:sz w:val="20"/>
          <w:szCs w:val="20"/>
          <w:color w:val="auto"/>
        </w:rPr>
      </w:pPr>
    </w:p>
    <w:p>
      <w:pPr>
        <w:sectPr>
          <w:pgSz w:w="11900" w:h="16838" w:orient="portrait"/>
          <w:cols w:equalWidth="0" w:num="3">
            <w:col w:w="500" w:space="280"/>
            <w:col w:w="1340" w:space="300"/>
            <w:col w:w="6720"/>
          </w:cols>
          <w:pgMar w:left="1340" w:top="273" w:right="141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1860" w:val="left"/>
          <w:tab w:leader="none" w:pos="7960" w:val="left"/>
        </w:tabs>
        <w:rPr>
          <w:sz w:val="20"/>
          <w:szCs w:val="20"/>
          <w:color w:val="auto"/>
        </w:rPr>
      </w:pPr>
      <w:r>
        <w:rPr>
          <w:rFonts w:ascii="Arial" w:cs="Arial" w:eastAsia="Arial" w:hAnsi="Arial"/>
          <w:sz w:val="17"/>
          <w:szCs w:val="17"/>
          <w:color w:val="auto"/>
        </w:rPr>
        <w:t>does not reflect (1)</w:t>
      </w:r>
      <w:r>
        <w:rPr>
          <w:sz w:val="20"/>
          <w:szCs w:val="20"/>
          <w:color w:val="auto"/>
        </w:rPr>
        <w:tab/>
      </w:r>
      <w:r>
        <w:rPr>
          <w:rFonts w:ascii="Arial" w:cs="Arial" w:eastAsia="Arial" w:hAnsi="Arial"/>
          <w:sz w:val="17"/>
          <w:szCs w:val="17"/>
          <w:color w:val="auto"/>
        </w:rPr>
        <w:t>shares of common stock issuable upon the exercise of options outstanding as of</w:t>
      </w:r>
      <w:r>
        <w:rPr>
          <w:sz w:val="20"/>
          <w:szCs w:val="20"/>
          <w:color w:val="auto"/>
        </w:rPr>
        <w:tab/>
      </w:r>
      <w:r>
        <w:rPr>
          <w:rFonts w:ascii="Arial" w:cs="Arial" w:eastAsia="Arial" w:hAnsi="Arial"/>
          <w:sz w:val="14"/>
          <w:szCs w:val="14"/>
          <w:color w:val="auto"/>
        </w:rPr>
        <w:t>,</w:t>
      </w:r>
    </w:p>
    <w:p>
      <w:pPr>
        <w:spacing w:after="0" w:line="25" w:lineRule="exact"/>
        <w:rPr>
          <w:sz w:val="20"/>
          <w:szCs w:val="20"/>
          <w:color w:val="auto"/>
        </w:rPr>
      </w:pPr>
    </w:p>
    <w:p>
      <w:pPr>
        <w:sectPr>
          <w:pgSz w:w="11900" w:h="16838" w:orient="portrait"/>
          <w:cols w:equalWidth="0" w:num="2">
            <w:col w:w="500" w:space="280"/>
            <w:col w:w="8360"/>
          </w:cols>
          <w:pgMar w:left="1340" w:top="273" w:right="1419" w:bottom="1440" w:gutter="0" w:footer="0" w:header="0"/>
          <w:type w:val="continuous"/>
        </w:sectPr>
      </w:pPr>
    </w:p>
    <w:p>
      <w:pPr>
        <w:ind w:left="1300" w:right="40"/>
        <w:spacing w:after="0" w:line="290" w:lineRule="auto"/>
        <w:rPr>
          <w:sz w:val="20"/>
          <w:szCs w:val="20"/>
          <w:color w:val="auto"/>
        </w:rPr>
      </w:pPr>
      <w:r>
        <w:rPr>
          <w:rFonts w:ascii="Arial" w:cs="Arial" w:eastAsia="Arial" w:hAnsi="Arial"/>
          <w:sz w:val="15"/>
          <w:szCs w:val="15"/>
          <w:color w:val="auto"/>
        </w:rPr>
        <w:t>at a weighted average exercise price of $ per share, of which were then vested and exercisable, and (2) shares of common stock available for issuance under our 2014 Stock Incentive Plan and our new 2017 Omnibus</w:t>
      </w:r>
    </w:p>
    <w:p>
      <w:pPr>
        <w:ind w:left="780"/>
        <w:spacing w:after="0" w:line="264" w:lineRule="auto"/>
        <w:rPr>
          <w:sz w:val="20"/>
          <w:szCs w:val="20"/>
          <w:color w:val="auto"/>
        </w:rPr>
      </w:pPr>
      <w:r>
        <w:rPr>
          <w:rFonts w:ascii="Arial" w:cs="Arial" w:eastAsia="Arial" w:hAnsi="Arial"/>
          <w:sz w:val="17"/>
          <w:szCs w:val="17"/>
          <w:color w:val="auto"/>
        </w:rPr>
        <w:t>Incentive Plan, which we intend to adopt in connection with this offering. See “Management―Executive Compensation —Narrative to Summary Compensation Table and 2016 Grants of Plan-Based Awards—Equity Incentive Plans—2017 Omnibus Incentive Plan.”</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227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9625" cy="522795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Summary Historical Consolidated Financial and Other Data</w:t>
      </w:r>
    </w:p>
    <w:p>
      <w:pPr>
        <w:spacing w:after="0" w:line="200" w:lineRule="exact"/>
        <w:rPr>
          <w:sz w:val="20"/>
          <w:szCs w:val="20"/>
          <w:color w:val="auto"/>
        </w:rPr>
      </w:pPr>
    </w:p>
    <w:p>
      <w:pPr>
        <w:spacing w:after="0" w:line="236" w:lineRule="exact"/>
        <w:rPr>
          <w:sz w:val="20"/>
          <w:szCs w:val="20"/>
          <w:color w:val="auto"/>
        </w:rPr>
      </w:pPr>
    </w:p>
    <w:p>
      <w:pPr>
        <w:ind w:left="100" w:firstLine="348"/>
        <w:spacing w:after="0" w:line="275"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For the purpose of discussing our financial results, we refer to ourselves as the “Successor” in the periods following the KKR Acquisition and the “Predecessor” during the periods preceding the KKR Acquisition. The summary historical financial data as of January 2, 2016 (Successor) and December 31, 2016 (Successor) and for the period from December 29, 2013 to March 12, 2014 (Predecessor) and for the period from March 13, 2014 to January 3, 2015 (Successor) and for the years ended January 2, 2016 (Successor) and December 31, 2016 (Successor) has been derived from our audited historical consolidated financial statements included elsewhere in this prospectus, and the summary historical financial data as of January 3, 2015 has been derived from our historical consolidated financial statements not included in this prospectus. The results of operations for any period are not necessarily indicative of the results to be expected for any future period. The summary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w:t>
      </w:r>
    </w:p>
    <w:p>
      <w:pPr>
        <w:spacing w:after="0" w:line="175" w:lineRule="exact"/>
        <w:rPr>
          <w:sz w:val="20"/>
          <w:szCs w:val="20"/>
          <w:color w:val="auto"/>
        </w:rPr>
      </w:pPr>
    </w:p>
    <w:p>
      <w:pPr>
        <w:ind w:left="100" w:firstLine="348"/>
        <w:spacing w:after="0" w:line="294" w:lineRule="auto"/>
        <w:rPr>
          <w:sz w:val="20"/>
          <w:szCs w:val="20"/>
          <w:color w:val="auto"/>
        </w:rPr>
      </w:pPr>
      <w:r>
        <w:rPr>
          <w:rFonts w:ascii="Arial" w:cs="Arial" w:eastAsia="Arial" w:hAnsi="Arial"/>
          <w:sz w:val="15"/>
          <w:szCs w:val="15"/>
          <w:color w:val="auto"/>
        </w:rPr>
        <w:t>The summary unaudited pro forma consolidated financial data presented below has been derived from our unaudited pro forma consolidated financial statements included elsewhere in this prospectus. The summary unaudited pro forma consolidated statements of operations data for the six months ended July 1, 2017 and the year ended December 31, 2016 gives effect to (i) the borrowing of an additional $175.0 million of incremental term loans under our first lien credit agreement on February 3, 2017 and</w:t>
      </w:r>
    </w:p>
    <w:p>
      <w:pPr>
        <w:spacing w:after="0" w:line="1" w:lineRule="exact"/>
        <w:rPr>
          <w:sz w:val="20"/>
          <w:szCs w:val="20"/>
          <w:color w:val="auto"/>
        </w:rPr>
      </w:pPr>
    </w:p>
    <w:p>
      <w:pPr>
        <w:ind w:left="100" w:firstLine="9"/>
        <w:spacing w:after="0" w:line="276" w:lineRule="auto"/>
        <w:tabs>
          <w:tab w:leader="none" w:pos="3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payment on February 3, 2017 of a dividend (and dividend equivalent payments) of $171.0 million to our stockholders and holders of vested options out of the proceeds from the incremental term loans (transactions described in clauses (i) and (ii) collectively, the “February 2017 Recapitalization”), as if all such transactions had occurred on January 3, 2016. The unaudited pro forma financial information includes various estimates which are subject to material change and may not be indicative of what our operations or financial position would have been had such transactions taken place on the dates indicated, or that may be expected to occur in the future. See “Unaudited Pro Forma Consolidated Financial Information” for a complete description of the adjustments and assumptions underlying the summary unaudited pro forma consolidated financial data. The unaudited pro forma consolidated financial data is included for information purposes only.</w:t>
      </w:r>
    </w:p>
    <w:p>
      <w:pPr>
        <w:spacing w:after="0" w:line="172" w:lineRule="exact"/>
        <w:rPr>
          <w:sz w:val="20"/>
          <w:szCs w:val="20"/>
          <w:color w:val="auto"/>
        </w:rPr>
      </w:pPr>
    </w:p>
    <w:p>
      <w:pPr>
        <w:ind w:left="100" w:right="240" w:firstLine="348"/>
        <w:spacing w:after="0" w:line="263"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“Unaudited Pro Forma Consolidated Financial Information,” “Selected Historical Consolidated Financial Data,” “Management’s Discussion and Analysis of Financial Condition and Results of Operations” and our audited consolidated financial statements and related notes and our unaudited condensed consolidated financial statements and related notes thereto, each included elsewhere in this prospectus.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297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9625" cy="7297420"/>
                    </a:xfrm>
                    <a:prstGeom prst="rect">
                      <a:avLst/>
                    </a:prstGeom>
                    <a:noFill/>
                  </pic:spPr>
                </pic:pic>
              </a:graphicData>
            </a:graphic>
          </wp:anchor>
        </w:drawing>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156"/>
        </w:trPr>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80" w:type="dxa"/>
            <w:vAlign w:val="bottom"/>
            <w:tcBorders>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Successor</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14"/>
              <w:spacing w:after="0"/>
              <w:rPr>
                <w:sz w:val="20"/>
                <w:szCs w:val="20"/>
                <w:color w:val="auto"/>
              </w:rPr>
            </w:pPr>
            <w:r>
              <w:rPr>
                <w:rFonts w:ascii="Arial" w:cs="Arial" w:eastAsia="Arial" w:hAnsi="Arial"/>
                <w:sz w:val="13"/>
                <w:szCs w:val="13"/>
                <w:b w:val="1"/>
                <w:bCs w:val="1"/>
                <w:color w:val="auto"/>
                <w:w w:val="99"/>
              </w:rPr>
              <w:t>March</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December</w:t>
            </w:r>
          </w:p>
        </w:tc>
        <w:tc>
          <w:tcPr>
            <w:tcW w:w="80" w:type="dxa"/>
            <w:vAlign w:val="bottom"/>
          </w:tcPr>
          <w:p>
            <w:pPr>
              <w:spacing w:after="0"/>
              <w:rPr>
                <w:sz w:val="12"/>
                <w:szCs w:val="12"/>
                <w:color w:val="auto"/>
              </w:rPr>
            </w:pPr>
          </w:p>
        </w:tc>
        <w:tc>
          <w:tcPr>
            <w:tcW w:w="320" w:type="dxa"/>
            <w:vAlign w:val="bottom"/>
            <w:gridSpan w:val="2"/>
          </w:tcPr>
          <w:p>
            <w:pPr>
              <w:jc w:val="center"/>
              <w:ind w:left="72"/>
              <w:spacing w:after="0" w:line="144" w:lineRule="exact"/>
              <w:rPr>
                <w:sz w:val="20"/>
                <w:szCs w:val="20"/>
                <w:color w:val="auto"/>
              </w:rPr>
            </w:pPr>
            <w:r>
              <w:rPr>
                <w:rFonts w:ascii="Arial" w:cs="Arial" w:eastAsia="Arial" w:hAnsi="Arial"/>
                <w:sz w:val="13"/>
                <w:szCs w:val="13"/>
                <w:b w:val="1"/>
                <w:bCs w:val="1"/>
                <w:color w:val="auto"/>
                <w:w w:val="99"/>
              </w:rPr>
              <w:t>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1"/>
              </w:rPr>
              <w:t>Six</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Six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Six</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71"/>
              <w:spacing w:after="0" w:line="144" w:lineRule="exact"/>
              <w:rPr>
                <w:sz w:val="20"/>
                <w:szCs w:val="20"/>
                <w:color w:val="auto"/>
              </w:rPr>
            </w:pPr>
            <w:r>
              <w:rPr>
                <w:rFonts w:ascii="Arial" w:cs="Arial" w:eastAsia="Arial" w:hAnsi="Arial"/>
                <w:sz w:val="13"/>
                <w:szCs w:val="13"/>
                <w:b w:val="1"/>
                <w:bCs w:val="1"/>
                <w:color w:val="auto"/>
              </w:rPr>
              <w:t>29,</w:t>
            </w: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2014 to</w:t>
            </w:r>
          </w:p>
        </w:tc>
        <w:tc>
          <w:tcPr>
            <w:tcW w:w="180" w:type="dxa"/>
            <w:vAlign w:val="bottom"/>
          </w:tcPr>
          <w:p>
            <w:pPr>
              <w:spacing w:after="0"/>
              <w:rPr>
                <w:sz w:val="12"/>
                <w:szCs w:val="12"/>
                <w:color w:val="auto"/>
              </w:rPr>
            </w:pPr>
          </w:p>
        </w:tc>
        <w:tc>
          <w:tcPr>
            <w:tcW w:w="6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4"/>
          </w:tcPr>
          <w:p>
            <w:pPr>
              <w:jc w:val="center"/>
              <w:ind w:right="110"/>
              <w:spacing w:after="0" w:line="144" w:lineRule="exact"/>
              <w:rPr>
                <w:sz w:val="20"/>
                <w:szCs w:val="20"/>
                <w:color w:val="auto"/>
              </w:rPr>
            </w:pPr>
            <w:r>
              <w:rPr>
                <w:rFonts w:ascii="Arial" w:cs="Arial" w:eastAsia="Arial" w:hAnsi="Arial"/>
                <w:sz w:val="13"/>
                <w:szCs w:val="13"/>
                <w:b w:val="1"/>
                <w:bCs w:val="1"/>
                <w:color w:val="auto"/>
                <w:w w:val="92"/>
              </w:rPr>
              <w:t>Year</w:t>
            </w:r>
          </w:p>
        </w:tc>
        <w:tc>
          <w:tcPr>
            <w:tcW w:w="180" w:type="dxa"/>
            <w:vAlign w:val="bottom"/>
          </w:tcPr>
          <w:p>
            <w:pPr>
              <w:spacing w:after="0"/>
              <w:rPr>
                <w:sz w:val="12"/>
                <w:szCs w:val="12"/>
                <w:color w:val="auto"/>
              </w:rPr>
            </w:pPr>
          </w:p>
        </w:tc>
        <w:tc>
          <w:tcPr>
            <w:tcW w:w="820" w:type="dxa"/>
            <w:vAlign w:val="bottom"/>
            <w:gridSpan w:val="8"/>
          </w:tcPr>
          <w:p>
            <w:pPr>
              <w:jc w:val="center"/>
              <w:spacing w:after="0" w:line="144" w:lineRule="exact"/>
              <w:rPr>
                <w:sz w:val="20"/>
                <w:szCs w:val="20"/>
                <w:color w:val="auto"/>
              </w:rPr>
            </w:pPr>
            <w:r>
              <w:rPr>
                <w:rFonts w:ascii="Arial" w:cs="Arial" w:eastAsia="Arial" w:hAnsi="Arial"/>
                <w:sz w:val="13"/>
                <w:szCs w:val="13"/>
                <w:b w:val="1"/>
                <w:bCs w:val="1"/>
                <w:color w:val="auto"/>
                <w:w w:val="95"/>
              </w:rPr>
              <w:t>Pro Forma</w:t>
            </w:r>
          </w:p>
        </w:tc>
        <w:tc>
          <w:tcPr>
            <w:tcW w:w="180" w:type="dxa"/>
            <w:vAlign w:val="bottom"/>
          </w:tcPr>
          <w:p>
            <w:pPr>
              <w:spacing w:after="0"/>
              <w:rPr>
                <w:sz w:val="12"/>
                <w:szCs w:val="12"/>
                <w:color w:val="auto"/>
              </w:rPr>
            </w:pPr>
          </w:p>
        </w:tc>
        <w:tc>
          <w:tcPr>
            <w:tcW w:w="560" w:type="dxa"/>
            <w:vAlign w:val="bottom"/>
            <w:gridSpan w:val="5"/>
          </w:tcPr>
          <w:p>
            <w:pPr>
              <w:jc w:val="center"/>
              <w:spacing w:after="0" w:line="144" w:lineRule="exact"/>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2"/>
                <w:szCs w:val="12"/>
                <w:color w:val="auto"/>
              </w:rPr>
            </w:pPr>
          </w:p>
        </w:tc>
        <w:tc>
          <w:tcPr>
            <w:tcW w:w="66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2013 to</w:t>
            </w:r>
          </w:p>
        </w:tc>
        <w:tc>
          <w:tcPr>
            <w:tcW w:w="80" w:type="dxa"/>
            <w:vAlign w:val="bottom"/>
          </w:tcPr>
          <w:p>
            <w:pPr>
              <w:spacing w:after="0"/>
              <w:rPr>
                <w:sz w:val="12"/>
                <w:szCs w:val="12"/>
                <w:color w:val="auto"/>
              </w:rPr>
            </w:pPr>
          </w:p>
        </w:tc>
        <w:tc>
          <w:tcPr>
            <w:tcW w:w="540" w:type="dxa"/>
            <w:vAlign w:val="bottom"/>
            <w:gridSpan w:val="3"/>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January</w:t>
            </w:r>
          </w:p>
        </w:tc>
        <w:tc>
          <w:tcPr>
            <w:tcW w:w="180" w:type="dxa"/>
            <w:vAlign w:val="bottom"/>
          </w:tcPr>
          <w:p>
            <w:pPr>
              <w:spacing w:after="0"/>
              <w:rPr>
                <w:sz w:val="12"/>
                <w:szCs w:val="12"/>
                <w:color w:val="auto"/>
              </w:rPr>
            </w:pPr>
          </w:p>
        </w:tc>
        <w:tc>
          <w:tcPr>
            <w:tcW w:w="6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4"/>
          </w:tcPr>
          <w:p>
            <w:pPr>
              <w:jc w:val="center"/>
              <w:ind w:right="130"/>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820" w:type="dxa"/>
            <w:vAlign w:val="bottom"/>
            <w:gridSpan w:val="8"/>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43"/>
        </w:trPr>
        <w:tc>
          <w:tcPr>
            <w:tcW w:w="21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 thousands, except</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March 12,</w:t>
            </w:r>
          </w:p>
        </w:tc>
        <w:tc>
          <w:tcPr>
            <w:tcW w:w="80" w:type="dxa"/>
            <w:vAlign w:val="bottom"/>
          </w:tcPr>
          <w:p>
            <w:pPr>
              <w:spacing w:after="0"/>
              <w:rPr>
                <w:sz w:val="12"/>
                <w:szCs w:val="12"/>
                <w:color w:val="auto"/>
              </w:rPr>
            </w:pPr>
          </w:p>
        </w:tc>
        <w:tc>
          <w:tcPr>
            <w:tcW w:w="320" w:type="dxa"/>
            <w:vAlign w:val="bottom"/>
            <w:gridSpan w:val="2"/>
          </w:tcPr>
          <w:p>
            <w:pPr>
              <w:jc w:val="center"/>
              <w:ind w:left="72"/>
              <w:spacing w:after="0" w:line="144" w:lineRule="exact"/>
              <w:rPr>
                <w:sz w:val="20"/>
                <w:szCs w:val="20"/>
                <w:color w:val="auto"/>
              </w:rPr>
            </w:pPr>
            <w:r>
              <w:rPr>
                <w:rFonts w:ascii="Arial" w:cs="Arial" w:eastAsia="Arial" w:hAnsi="Arial"/>
                <w:sz w:val="13"/>
                <w:szCs w:val="13"/>
                <w:b w:val="1"/>
                <w:bCs w:val="1"/>
                <w:color w:val="auto"/>
                <w:w w:val="91"/>
              </w:rPr>
              <w:t>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5"/>
          </w:tcPr>
          <w:p>
            <w:pPr>
              <w:jc w:val="center"/>
              <w:ind w:right="12"/>
              <w:spacing w:after="0" w:line="144" w:lineRule="exact"/>
              <w:rPr>
                <w:sz w:val="20"/>
                <w:szCs w:val="20"/>
                <w:color w:val="auto"/>
              </w:rPr>
            </w:pPr>
            <w:r>
              <w:rPr>
                <w:rFonts w:ascii="Arial" w:cs="Arial" w:eastAsia="Arial" w:hAnsi="Arial"/>
                <w:sz w:val="13"/>
                <w:szCs w:val="13"/>
                <w:b w:val="1"/>
                <w:bCs w:val="1"/>
                <w:color w:val="auto"/>
                <w:w w:val="93"/>
              </w:rPr>
              <w:t>January 2,</w:t>
            </w:r>
          </w:p>
        </w:tc>
        <w:tc>
          <w:tcPr>
            <w:tcW w:w="100" w:type="dxa"/>
            <w:vAlign w:val="bottom"/>
          </w:tcPr>
          <w:p>
            <w:pPr>
              <w:spacing w:after="0"/>
              <w:rPr>
                <w:sz w:val="12"/>
                <w:szCs w:val="12"/>
                <w:color w:val="auto"/>
              </w:rPr>
            </w:pPr>
          </w:p>
        </w:tc>
        <w:tc>
          <w:tcPr>
            <w:tcW w:w="840" w:type="dxa"/>
            <w:vAlign w:val="bottom"/>
            <w:gridSpan w:val="5"/>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80" w:type="dxa"/>
            <w:vAlign w:val="bottom"/>
          </w:tcPr>
          <w:p>
            <w:pPr>
              <w:spacing w:after="0"/>
              <w:rPr>
                <w:sz w:val="12"/>
                <w:szCs w:val="12"/>
                <w:color w:val="auto"/>
              </w:rPr>
            </w:pPr>
          </w:p>
        </w:tc>
        <w:tc>
          <w:tcPr>
            <w:tcW w:w="820" w:type="dxa"/>
            <w:vAlign w:val="bottom"/>
            <w:gridSpan w:val="8"/>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July 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July 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July 1,</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 share amounts)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2014</w:t>
            </w:r>
          </w:p>
        </w:tc>
        <w:tc>
          <w:tcPr>
            <w:tcW w:w="18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Pr>
          <w:p>
            <w:pPr>
              <w:spacing w:after="0"/>
              <w:rPr>
                <w:sz w:val="14"/>
                <w:szCs w:val="14"/>
                <w:color w:val="auto"/>
              </w:rPr>
            </w:pPr>
          </w:p>
        </w:tc>
        <w:tc>
          <w:tcPr>
            <w:tcW w:w="52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spacing w:after="0"/>
              <w:rPr>
                <w:sz w:val="20"/>
                <w:szCs w:val="20"/>
                <w:color w:val="auto"/>
              </w:rPr>
            </w:pPr>
            <w:r>
              <w:rPr>
                <w:rFonts w:ascii="Arial" w:cs="Arial" w:eastAsia="Arial" w:hAnsi="Arial"/>
                <w:sz w:val="14"/>
                <w:szCs w:val="14"/>
                <w:color w:val="auto"/>
              </w:rPr>
              <w:t>Net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197,017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735,680</w:t>
            </w:r>
          </w:p>
        </w:tc>
        <w:tc>
          <w:tcPr>
            <w:tcW w:w="900" w:type="dxa"/>
            <w:vAlign w:val="bottom"/>
            <w:gridSpan w:val="6"/>
          </w:tcPr>
          <w:p>
            <w:pPr>
              <w:jc w:val="right"/>
              <w:spacing w:after="0"/>
              <w:rPr>
                <w:sz w:val="20"/>
                <w:szCs w:val="20"/>
                <w:color w:val="auto"/>
              </w:rPr>
            </w:pPr>
            <w:r>
              <w:rPr>
                <w:rFonts w:ascii="Arial" w:cs="Arial" w:eastAsia="Arial" w:hAnsi="Arial"/>
                <w:sz w:val="14"/>
                <w:szCs w:val="14"/>
                <w:color w:val="auto"/>
              </w:rPr>
              <w:t>$ 1,062,528</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w w:val="99"/>
              </w:rPr>
              <w:t>1,196,195</w:t>
            </w:r>
          </w:p>
        </w:tc>
        <w:tc>
          <w:tcPr>
            <w:tcW w:w="18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7"/>
          </w:tcPr>
          <w:p>
            <w:pPr>
              <w:jc w:val="right"/>
              <w:spacing w:after="0"/>
              <w:rPr>
                <w:sz w:val="20"/>
                <w:szCs w:val="20"/>
                <w:color w:val="auto"/>
              </w:rPr>
            </w:pPr>
            <w:r>
              <w:rPr>
                <w:rFonts w:ascii="Arial" w:cs="Arial" w:eastAsia="Arial" w:hAnsi="Arial"/>
                <w:sz w:val="14"/>
                <w:szCs w:val="14"/>
                <w:color w:val="auto"/>
                <w:w w:val="89"/>
              </w:rPr>
              <w:t>1,196,195</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w w:val="90"/>
              </w:rPr>
              <w:t>617,865</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$ 707,400</w:t>
            </w:r>
          </w:p>
        </w:tc>
        <w:tc>
          <w:tcPr>
            <w:tcW w:w="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707,400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Costs applicable to revenue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tcBorders>
              <w:right w:val="single" w:sz="8" w:color="CCEEFF"/>
            </w:tcBorders>
            <w:gridSpan w:val="3"/>
            <w:shd w:val="clear" w:color="auto" w:fill="CCEEFF"/>
          </w:tcPr>
          <w:p>
            <w:pPr>
              <w:ind w:left="140"/>
              <w:spacing w:after="0" w:line="157" w:lineRule="exact"/>
              <w:rPr>
                <w:sz w:val="20"/>
                <w:szCs w:val="20"/>
                <w:color w:val="auto"/>
              </w:rPr>
            </w:pPr>
            <w:r>
              <w:rPr>
                <w:rFonts w:ascii="Arial" w:cs="Arial" w:eastAsia="Arial" w:hAnsi="Arial"/>
                <w:sz w:val="14"/>
                <w:szCs w:val="14"/>
                <w:color w:val="auto"/>
              </w:rPr>
              <w:t>(exclusive of depreciation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93,194</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366,476</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2"/>
              </w:rPr>
              <w:t>491,100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544,781</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4"/>
              </w:rPr>
              <w:t>544,781</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0"/>
              </w:rPr>
              <w:t>275,788</w:t>
            </w: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322,216</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322,216</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93,873</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382,146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w w:val="82"/>
              </w:rPr>
              <w:t>526,751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585,030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w w:val="94"/>
              </w:rPr>
              <w:t>585,030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w w:val="90"/>
              </w:rPr>
              <w:t>286,655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0"/>
              </w:rPr>
              <w:t>331,690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331,690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(12,942)</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7"/>
              </w:rPr>
              <w:t>44,677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66,384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66,384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55,422</w:t>
            </w: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4,757</w:t>
            </w:r>
          </w:p>
        </w:tc>
        <w:tc>
          <w:tcPr>
            <w:tcW w:w="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26,823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w w:val="97"/>
              </w:rPr>
              <w:t>36,741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39,092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47,137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19,649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26,114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gridSpan w:val="3"/>
          </w:tcPr>
          <w:p>
            <w:pPr>
              <w:spacing w:after="0"/>
              <w:rPr>
                <w:sz w:val="20"/>
                <w:szCs w:val="20"/>
                <w:color w:val="auto"/>
              </w:rPr>
            </w:pPr>
            <w:r>
              <w:rPr>
                <w:rFonts w:ascii="Arial" w:cs="Arial" w:eastAsia="Arial" w:hAnsi="Arial"/>
                <w:sz w:val="14"/>
                <w:szCs w:val="14"/>
                <w:color w:val="auto"/>
                <w:w w:val="94"/>
              </w:rPr>
              <w:t>Earnings (loss) before income taxes</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5,193</w:t>
            </w:r>
          </w:p>
        </w:tc>
        <w:tc>
          <w:tcPr>
            <w:tcW w:w="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(39,765)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5,385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27,292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19,247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35,773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24,678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26,653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2,061</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(12,715)</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12,534</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9,364</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14,332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9,104</w:t>
            </w: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(27,050)</w:t>
            </w:r>
          </w:p>
        </w:tc>
        <w:tc>
          <w:tcPr>
            <w:tcW w:w="40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3,617</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14,758</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85"/>
              </w:rPr>
              <w:t>9,883</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21,441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15,574</w:t>
            </w:r>
          </w:p>
        </w:tc>
        <w:tc>
          <w:tcPr>
            <w:tcW w:w="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24.06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(0.25)</w:t>
            </w:r>
          </w:p>
        </w:tc>
        <w:tc>
          <w:tcPr>
            <w:tcW w:w="40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0.03</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0.13</w:t>
            </w:r>
          </w:p>
        </w:tc>
        <w:tc>
          <w:tcPr>
            <w:tcW w:w="18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0.09</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0.19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0.14</w:t>
            </w:r>
          </w:p>
        </w:tc>
        <w:tc>
          <w:tcPr>
            <w:tcW w:w="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400" w:type="dxa"/>
            <w:vAlign w:val="bottom"/>
            <w:tcBorders>
              <w:lef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80" w:type="dxa"/>
            <w:vAlign w:val="bottom"/>
            <w:tcBorders>
              <w:left w:val="single" w:sz="8" w:color="CCEEFF"/>
            </w:tcBorders>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6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60" w:type="dxa"/>
            <w:vAlign w:val="bottom"/>
            <w:gridSpan w:val="3"/>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109,732</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82"/>
              </w:rPr>
              <w:t>110,036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110,474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4"/>
              </w:rPr>
              <w:t>110,474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0"/>
              </w:rPr>
              <w:t>110,422</w:t>
            </w: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110,774</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110,774</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109,732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w w:val="82"/>
              </w:rPr>
              <w:t>110,036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112,080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w w:val="94"/>
              </w:rPr>
              <w:t>112,080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w w:val="90"/>
              </w:rPr>
              <w:t>111,362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0"/>
              </w:rPr>
              <w:t>114,711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114,711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Cash Flow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60" w:type="dxa"/>
            <w:vAlign w:val="bottom"/>
            <w:gridSpan w:val="3"/>
          </w:tcPr>
          <w:p>
            <w:pPr>
              <w:spacing w:after="0"/>
              <w:rPr>
                <w:sz w:val="20"/>
                <w:szCs w:val="20"/>
                <w:color w:val="auto"/>
              </w:rPr>
            </w:pPr>
            <w:r>
              <w:rPr>
                <w:rFonts w:ascii="Arial" w:cs="Arial" w:eastAsia="Arial" w:hAnsi="Arial"/>
                <w:sz w:val="14"/>
                <w:szCs w:val="14"/>
                <w:color w:val="auto"/>
              </w:rPr>
              <w:t>Net cash provided by operating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gridSpan w:val="3"/>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31,008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17,996</w:t>
            </w:r>
          </w:p>
        </w:tc>
        <w:tc>
          <w:tcPr>
            <w:tcW w:w="40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w w:val="97"/>
              </w:rPr>
              <w:t>83,131</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97,588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76"/>
              </w:rPr>
              <w:t>N/A</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64,172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67,933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cash used for investing</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(43,740)</w:t>
            </w:r>
          </w:p>
        </w:tc>
        <w:tc>
          <w:tcPr>
            <w:tcW w:w="400" w:type="dxa"/>
            <w:vAlign w:val="bottom"/>
            <w:tcBorders>
              <w:lef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1"/>
              </w:rPr>
              <w:t>(80,051)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4"/>
                <w:szCs w:val="14"/>
                <w:color w:val="auto"/>
                <w:w w:val="88"/>
              </w:rPr>
              <w:t>(91,664)</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N/A</w:t>
            </w:r>
          </w:p>
        </w:tc>
        <w:tc>
          <w:tcPr>
            <w:tcW w:w="26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5"/>
              </w:rPr>
              <w:t>(47,522)</w:t>
            </w:r>
          </w:p>
        </w:tc>
        <w:tc>
          <w:tcPr>
            <w:tcW w:w="820" w:type="dxa"/>
            <w:vAlign w:val="bottom"/>
            <w:tcBorders>
              <w:lef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 (44,548)</w:t>
            </w: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2160" w:type="dxa"/>
            <w:vAlign w:val="bottom"/>
            <w:gridSpan w:val="3"/>
          </w:tcPr>
          <w:p>
            <w:pPr>
              <w:spacing w:after="0"/>
              <w:rPr>
                <w:sz w:val="20"/>
                <w:szCs w:val="20"/>
                <w:color w:val="auto"/>
              </w:rPr>
            </w:pPr>
            <w:r>
              <w:rPr>
                <w:rFonts w:ascii="Arial" w:cs="Arial" w:eastAsia="Arial" w:hAnsi="Arial"/>
                <w:sz w:val="14"/>
                <w:szCs w:val="14"/>
                <w:color w:val="auto"/>
              </w:rPr>
              <w:t>Net cash (used for) provided by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gridSpan w:val="3"/>
          </w:tcPr>
          <w:p>
            <w:pPr>
              <w:ind w:left="14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7,130</w:t>
            </w:r>
          </w:p>
        </w:tc>
        <w:tc>
          <w:tcPr>
            <w:tcW w:w="40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(4,317)</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0" w:type="dxa"/>
            <w:vAlign w:val="bottom"/>
            <w:gridSpan w:val="4"/>
          </w:tcPr>
          <w:p>
            <w:pPr>
              <w:jc w:val="right"/>
              <w:ind w:right="50"/>
              <w:spacing w:after="0"/>
              <w:rPr>
                <w:sz w:val="20"/>
                <w:szCs w:val="20"/>
                <w:color w:val="auto"/>
              </w:rPr>
            </w:pPr>
            <w:r>
              <w:rPr>
                <w:rFonts w:ascii="Arial" w:cs="Arial" w:eastAsia="Arial" w:hAnsi="Arial"/>
                <w:sz w:val="14"/>
                <w:szCs w:val="14"/>
                <w:color w:val="auto"/>
              </w:rPr>
              <w:t>(6,574)</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76"/>
              </w:rPr>
              <w:t>N/A</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(2,642)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Successor</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6"/>
          </w:tcPr>
          <w:p>
            <w:pPr>
              <w:spacing w:after="0"/>
              <w:rPr>
                <w:sz w:val="20"/>
                <w:szCs w:val="20"/>
                <w:color w:val="auto"/>
              </w:rPr>
            </w:pPr>
            <w:r>
              <w:rPr>
                <w:rFonts w:ascii="Arial" w:cs="Arial" w:eastAsia="Arial" w:hAnsi="Arial"/>
                <w:sz w:val="13"/>
                <w:szCs w:val="13"/>
                <w:b w:val="1"/>
                <w:bCs w:val="1"/>
                <w:color w:val="auto"/>
              </w:rPr>
              <w:t>January</w:t>
            </w:r>
          </w:p>
        </w:tc>
        <w:tc>
          <w:tcPr>
            <w:tcW w:w="140" w:type="dxa"/>
            <w:vAlign w:val="bottom"/>
          </w:tcPr>
          <w:p>
            <w:pPr>
              <w:spacing w:after="0"/>
              <w:rPr>
                <w:sz w:val="13"/>
                <w:szCs w:val="13"/>
                <w:color w:val="auto"/>
              </w:rPr>
            </w:pPr>
          </w:p>
        </w:tc>
        <w:tc>
          <w:tcPr>
            <w:tcW w:w="800" w:type="dxa"/>
            <w:vAlign w:val="bottom"/>
            <w:gridSpan w:val="6"/>
          </w:tcPr>
          <w:p>
            <w:pPr>
              <w:jc w:val="right"/>
              <w:ind w:right="170"/>
              <w:spacing w:after="0"/>
              <w:rPr>
                <w:sz w:val="20"/>
                <w:szCs w:val="20"/>
                <w:color w:val="auto"/>
              </w:rPr>
            </w:pPr>
            <w:r>
              <w:rPr>
                <w:rFonts w:ascii="Arial" w:cs="Arial" w:eastAsia="Arial" w:hAnsi="Arial"/>
                <w:sz w:val="13"/>
                <w:szCs w:val="13"/>
                <w:b w:val="1"/>
                <w:bCs w:val="1"/>
                <w:color w:val="auto"/>
              </w:rPr>
              <w:t>January</w:t>
            </w:r>
          </w:p>
        </w:tc>
        <w:tc>
          <w:tcPr>
            <w:tcW w:w="100" w:type="dxa"/>
            <w:vAlign w:val="bottom"/>
          </w:tcPr>
          <w:p>
            <w:pPr>
              <w:spacing w:after="0"/>
              <w:rPr>
                <w:sz w:val="13"/>
                <w:szCs w:val="13"/>
                <w:color w:val="auto"/>
              </w:rPr>
            </w:pPr>
          </w:p>
        </w:tc>
        <w:tc>
          <w:tcPr>
            <w:tcW w:w="8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5"/>
              </w:rPr>
              <w:t>December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120"/>
              <w:spacing w:after="0" w:line="144" w:lineRule="exact"/>
              <w:rPr>
                <w:sz w:val="20"/>
                <w:szCs w:val="20"/>
                <w:color w:val="auto"/>
              </w:rPr>
            </w:pPr>
            <w:r>
              <w:rPr>
                <w:rFonts w:ascii="Arial" w:cs="Arial" w:eastAsia="Arial" w:hAnsi="Arial"/>
                <w:sz w:val="13"/>
                <w:szCs w:val="13"/>
                <w:b w:val="1"/>
                <w:bCs w:val="1"/>
                <w:color w:val="auto"/>
              </w:rPr>
              <w:t>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151"/>
              <w:spacing w:after="0" w:line="144" w:lineRule="exact"/>
              <w:rPr>
                <w:sz w:val="20"/>
                <w:szCs w:val="20"/>
                <w:color w:val="auto"/>
              </w:rPr>
            </w:pPr>
            <w:r>
              <w:rPr>
                <w:rFonts w:ascii="Arial" w:cs="Arial" w:eastAsia="Arial" w:hAnsi="Arial"/>
                <w:sz w:val="13"/>
                <w:szCs w:val="13"/>
                <w:b w:val="1"/>
                <w:bCs w:val="1"/>
                <w:color w:val="auto"/>
              </w:rPr>
              <w:t>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July 1,</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3"/>
                <w:szCs w:val="13"/>
                <w:b w:val="1"/>
                <w:bCs w:val="1"/>
                <w:color w:val="auto"/>
                <w:w w:val="96"/>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89"/>
              </w:rPr>
              <w:t>Balance Sheet Data (at period end):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6"/>
          </w:tcPr>
          <w:p>
            <w:pPr>
              <w:jc w:val="right"/>
              <w:ind w:right="20"/>
              <w:spacing w:after="0"/>
              <w:rPr>
                <w:sz w:val="20"/>
                <w:szCs w:val="20"/>
                <w:color w:val="auto"/>
              </w:rPr>
            </w:pPr>
            <w:r>
              <w:rPr>
                <w:rFonts w:ascii="Arial" w:cs="Arial" w:eastAsia="Arial" w:hAnsi="Arial"/>
                <w:sz w:val="14"/>
                <w:szCs w:val="14"/>
                <w:color w:val="auto"/>
              </w:rPr>
              <w:t>6,832</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gridSpan w:val="5"/>
          </w:tcPr>
          <w:p>
            <w:pPr>
              <w:ind w:left="200"/>
              <w:spacing w:after="0"/>
              <w:rPr>
                <w:sz w:val="20"/>
                <w:szCs w:val="20"/>
                <w:color w:val="auto"/>
              </w:rPr>
            </w:pPr>
            <w:r>
              <w:rPr>
                <w:rFonts w:ascii="Arial" w:cs="Arial" w:eastAsia="Arial" w:hAnsi="Arial"/>
                <w:sz w:val="14"/>
                <w:szCs w:val="14"/>
                <w:color w:val="auto"/>
              </w:rPr>
              <w:t>5,595</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$4,945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lef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4"/>
                <w:szCs w:val="14"/>
                <w:color w:val="auto"/>
                <w:w w:val="89"/>
              </w:rPr>
              <w:t>$ 1,444,913</w:t>
            </w:r>
          </w:p>
        </w:tc>
        <w:tc>
          <w:tcPr>
            <w:tcW w:w="940" w:type="dxa"/>
            <w:vAlign w:val="bottom"/>
            <w:gridSpan w:val="7"/>
            <w:shd w:val="clear" w:color="auto" w:fill="CCEEFF"/>
          </w:tcPr>
          <w:p>
            <w:pPr>
              <w:ind w:left="160"/>
              <w:spacing w:after="0"/>
              <w:rPr>
                <w:sz w:val="20"/>
                <w:szCs w:val="20"/>
                <w:color w:val="auto"/>
              </w:rPr>
            </w:pPr>
            <w:r>
              <w:rPr>
                <w:rFonts w:ascii="Arial" w:cs="Arial" w:eastAsia="Arial" w:hAnsi="Arial"/>
                <w:sz w:val="14"/>
                <w:szCs w:val="14"/>
                <w:color w:val="auto"/>
              </w:rPr>
              <w:t>$ 1,475,595</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820" w:type="dxa"/>
            <w:vAlign w:val="bottom"/>
            <w:tcBorders>
              <w:lef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1,531,117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$ 1,576,673</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spacing w:after="0"/>
              <w:rPr>
                <w:sz w:val="20"/>
                <w:szCs w:val="20"/>
                <w:color w:val="auto"/>
              </w:rPr>
            </w:pPr>
            <w:r>
              <w:rPr>
                <w:rFonts w:ascii="Arial" w:cs="Arial" w:eastAsia="Arial" w:hAnsi="Arial"/>
                <w:sz w:val="14"/>
                <w:szCs w:val="14"/>
                <w:color w:val="auto"/>
              </w:rPr>
              <w:t>Total debt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6"/>
          </w:tcPr>
          <w:p>
            <w:pPr>
              <w:jc w:val="right"/>
              <w:ind w:right="20"/>
              <w:spacing w:after="0"/>
              <w:rPr>
                <w:sz w:val="20"/>
                <w:szCs w:val="20"/>
                <w:color w:val="auto"/>
              </w:rPr>
            </w:pPr>
            <w:r>
              <w:rPr>
                <w:rFonts w:ascii="Arial" w:cs="Arial" w:eastAsia="Arial" w:hAnsi="Arial"/>
                <w:sz w:val="14"/>
                <w:szCs w:val="14"/>
                <w:color w:val="auto"/>
                <w:w w:val="94"/>
              </w:rPr>
              <w:t>601,452</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gridSpan w:val="5"/>
          </w:tcPr>
          <w:p>
            <w:pPr>
              <w:jc w:val="right"/>
              <w:ind w:right="70"/>
              <w:spacing w:after="0"/>
              <w:rPr>
                <w:sz w:val="20"/>
                <w:szCs w:val="20"/>
                <w:color w:val="auto"/>
              </w:rPr>
            </w:pPr>
            <w:r>
              <w:rPr>
                <w:rFonts w:ascii="Arial" w:cs="Arial" w:eastAsia="Arial" w:hAnsi="Arial"/>
                <w:sz w:val="14"/>
                <w:szCs w:val="14"/>
                <w:color w:val="auto"/>
                <w:w w:val="94"/>
              </w:rPr>
              <w:t>747,825</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745,625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922,904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w w:val="94"/>
              </w:rPr>
              <w:t>523,594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40" w:type="dxa"/>
            <w:vAlign w:val="bottom"/>
            <w:tcBorders>
              <w:left w:val="single" w:sz="8" w:color="CCEEFF"/>
            </w:tcBorders>
            <w:gridSpan w:val="5"/>
            <w:shd w:val="clear" w:color="auto" w:fill="CCEEFF"/>
          </w:tcPr>
          <w:p>
            <w:pPr>
              <w:jc w:val="right"/>
              <w:ind w:right="70"/>
              <w:spacing w:after="0"/>
              <w:rPr>
                <w:sz w:val="20"/>
                <w:szCs w:val="20"/>
                <w:color w:val="auto"/>
              </w:rPr>
            </w:pPr>
            <w:r>
              <w:rPr>
                <w:rFonts w:ascii="Arial" w:cs="Arial" w:eastAsia="Arial" w:hAnsi="Arial"/>
                <w:sz w:val="14"/>
                <w:szCs w:val="14"/>
                <w:color w:val="auto"/>
                <w:w w:val="94"/>
              </w:rPr>
              <w:t>386,230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4"/>
              </w:rPr>
              <w:t>401,887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249,509</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6"/>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6"/>
            <w:vMerge w:val="restart"/>
          </w:tcPr>
          <w:p>
            <w:pPr>
              <w:jc w:val="right"/>
              <w:ind w:right="150"/>
              <w:spacing w:after="0"/>
              <w:rPr>
                <w:sz w:val="20"/>
                <w:szCs w:val="20"/>
                <w:color w:val="auto"/>
              </w:rPr>
            </w:pPr>
            <w:r>
              <w:rPr>
                <w:rFonts w:ascii="Arial" w:cs="Arial" w:eastAsia="Arial" w:hAnsi="Arial"/>
                <w:sz w:val="13"/>
                <w:szCs w:val="13"/>
                <w:b w:val="1"/>
                <w:bCs w:val="1"/>
                <w:color w:val="auto"/>
                <w:w w:val="85"/>
              </w:rPr>
              <w:t>Successor</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4"/>
              </w:rPr>
              <w:t>Predecessor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jc w:val="center"/>
              <w:ind w:right="72"/>
              <w:spacing w:after="0"/>
              <w:rPr>
                <w:sz w:val="20"/>
                <w:szCs w:val="20"/>
                <w:color w:val="auto"/>
              </w:rPr>
            </w:pPr>
            <w:r>
              <w:rPr>
                <w:rFonts w:ascii="Arial" w:cs="Arial" w:eastAsia="Arial" w:hAnsi="Arial"/>
                <w:sz w:val="13"/>
                <w:szCs w:val="13"/>
                <w:b w:val="1"/>
                <w:bCs w:val="1"/>
                <w:color w:val="auto"/>
                <w:w w:val="99"/>
              </w:rPr>
              <w:t>March</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December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w w:val="88"/>
              </w:rPr>
              <w:t>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55"/>
              <w:spacing w:after="0" w:line="144" w:lineRule="exact"/>
              <w:rPr>
                <w:sz w:val="20"/>
                <w:szCs w:val="20"/>
                <w:color w:val="auto"/>
              </w:rPr>
            </w:pPr>
            <w:r>
              <w:rPr>
                <w:rFonts w:ascii="Arial" w:cs="Arial" w:eastAsia="Arial" w:hAnsi="Arial"/>
                <w:sz w:val="13"/>
                <w:szCs w:val="13"/>
                <w:b w:val="1"/>
                <w:bCs w:val="1"/>
                <w:color w:val="auto"/>
              </w:rPr>
              <w:t>29,</w:t>
            </w: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3"/>
          </w:tcPr>
          <w:p>
            <w:pPr>
              <w:jc w:val="center"/>
              <w:ind w:right="52"/>
              <w:spacing w:after="0" w:line="144" w:lineRule="exact"/>
              <w:rPr>
                <w:sz w:val="20"/>
                <w:szCs w:val="20"/>
                <w:color w:val="auto"/>
              </w:rPr>
            </w:pPr>
            <w:r>
              <w:rPr>
                <w:rFonts w:ascii="Arial" w:cs="Arial" w:eastAsia="Arial" w:hAnsi="Arial"/>
                <w:sz w:val="13"/>
                <w:szCs w:val="13"/>
                <w:b w:val="1"/>
                <w:bCs w:val="1"/>
                <w:color w:val="auto"/>
                <w:w w:val="89"/>
              </w:rPr>
              <w:t>2014 to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left="154"/>
              <w:spacing w:after="0" w:line="144" w:lineRule="exact"/>
              <w:rPr>
                <w:sz w:val="20"/>
                <w:szCs w:val="20"/>
                <w:color w:val="auto"/>
              </w:rPr>
            </w:pPr>
            <w:r>
              <w:rPr>
                <w:rFonts w:ascii="Arial" w:cs="Arial" w:eastAsia="Arial" w:hAnsi="Arial"/>
                <w:sz w:val="13"/>
                <w:szCs w:val="13"/>
                <w:b w:val="1"/>
                <w:bCs w:val="1"/>
                <w:color w:val="auto"/>
                <w:w w:val="89"/>
              </w:rPr>
              <w:t>2013 to</w:t>
            </w: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2"/>
              </w:rPr>
              <w:t>January</w:t>
            </w:r>
          </w:p>
        </w:tc>
        <w:tc>
          <w:tcPr>
            <w:tcW w:w="160" w:type="dxa"/>
            <w:vAlign w:val="bottom"/>
          </w:tcPr>
          <w:p>
            <w:pPr>
              <w:spacing w:after="0"/>
              <w:rPr>
                <w:sz w:val="12"/>
                <w:szCs w:val="12"/>
                <w:color w:val="auto"/>
              </w:rPr>
            </w:pPr>
          </w:p>
        </w:tc>
        <w:tc>
          <w:tcPr>
            <w:tcW w:w="7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7"/>
          </w:tcPr>
          <w:p>
            <w:pPr>
              <w:jc w:val="center"/>
              <w:ind w:right="17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2"/>
                <w:szCs w:val="12"/>
                <w:color w:val="auto"/>
              </w:rPr>
            </w:pPr>
          </w:p>
        </w:tc>
        <w:tc>
          <w:tcPr>
            <w:tcW w:w="82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Six Months</w:t>
            </w:r>
          </w:p>
        </w:tc>
        <w:tc>
          <w:tcPr>
            <w:tcW w:w="100" w:type="dxa"/>
            <w:vAlign w:val="bottom"/>
          </w:tcPr>
          <w:p>
            <w:pPr>
              <w:spacing w:after="0"/>
              <w:rPr>
                <w:sz w:val="12"/>
                <w:szCs w:val="12"/>
                <w:color w:val="auto"/>
              </w:rPr>
            </w:pPr>
          </w:p>
        </w:tc>
        <w:tc>
          <w:tcPr>
            <w:tcW w:w="7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Six 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3"/>
              </w:rPr>
              <w:t>January 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9"/>
          </w:tcPr>
          <w:p>
            <w:pPr>
              <w:jc w:val="center"/>
              <w:ind w:right="9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820" w:type="dxa"/>
            <w:vAlign w:val="bottom"/>
            <w:gridSpan w:val="5"/>
          </w:tcPr>
          <w:p>
            <w:pPr>
              <w:jc w:val="right"/>
              <w:ind w:right="36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2"/>
        </w:trPr>
        <w:tc>
          <w:tcPr>
            <w:tcW w:w="2160" w:type="dxa"/>
            <w:vAlign w:val="bottom"/>
            <w:gridSpan w:val="3"/>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right"/>
              <w:ind w:right="132"/>
              <w:spacing w:after="0"/>
              <w:rPr>
                <w:sz w:val="20"/>
                <w:szCs w:val="20"/>
                <w:color w:val="auto"/>
              </w:rPr>
            </w:pPr>
            <w:r>
              <w:rPr>
                <w:rFonts w:ascii="Arial" w:cs="Arial" w:eastAsia="Arial" w:hAnsi="Arial"/>
                <w:sz w:val="13"/>
                <w:szCs w:val="13"/>
                <w:b w:val="1"/>
                <w:bCs w:val="1"/>
                <w:color w:val="auto"/>
              </w:rPr>
              <w:t>2015</w:t>
            </w:r>
          </w:p>
        </w:tc>
        <w:tc>
          <w:tcPr>
            <w:tcW w:w="860" w:type="dxa"/>
            <w:vAlign w:val="bottom"/>
            <w:gridSpan w:val="5"/>
          </w:tcPr>
          <w:p>
            <w:pPr>
              <w:jc w:val="center"/>
              <w:ind w:left="131"/>
              <w:spacing w:after="0"/>
              <w:rPr>
                <w:sz w:val="20"/>
                <w:szCs w:val="20"/>
                <w:color w:val="auto"/>
              </w:rPr>
            </w:pPr>
            <w:r>
              <w:rPr>
                <w:rFonts w:ascii="Arial" w:cs="Arial" w:eastAsia="Arial" w:hAnsi="Arial"/>
                <w:sz w:val="13"/>
                <w:szCs w:val="13"/>
                <w:b w:val="1"/>
                <w:bCs w:val="1"/>
                <w:color w:val="auto"/>
                <w:w w:val="89"/>
              </w:rPr>
              <w:t>2016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tcPr>
          <w:p>
            <w:pPr>
              <w:jc w:val="center"/>
              <w:ind w:left="71"/>
              <w:spacing w:after="0"/>
              <w:rPr>
                <w:sz w:val="20"/>
                <w:szCs w:val="20"/>
                <w:color w:val="auto"/>
              </w:rPr>
            </w:pPr>
            <w:r>
              <w:rPr>
                <w:rFonts w:ascii="Arial" w:cs="Arial" w:eastAsia="Arial" w:hAnsi="Arial"/>
                <w:sz w:val="13"/>
                <w:szCs w:val="13"/>
                <w:b w:val="1"/>
                <w:bCs w:val="1"/>
                <w:color w:val="auto"/>
                <w:w w:val="89"/>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3"/>
                <w:szCs w:val="13"/>
                <w:b w:val="1"/>
                <w:bCs w:val="1"/>
                <w:color w:val="auto"/>
              </w:rPr>
              <w:t>July 2, 2016</w:t>
            </w:r>
          </w:p>
        </w:tc>
        <w:tc>
          <w:tcPr>
            <w:tcW w:w="8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July 1, 2017</w:t>
            </w:r>
          </w:p>
        </w:tc>
        <w:tc>
          <w:tcPr>
            <w:tcW w:w="0" w:type="dxa"/>
            <w:vAlign w:val="bottom"/>
          </w:tcPr>
          <w:p>
            <w:pPr>
              <w:spacing w:after="0"/>
              <w:rPr>
                <w:sz w:val="1"/>
                <w:szCs w:val="1"/>
                <w:color w:val="auto"/>
              </w:rPr>
            </w:pPr>
          </w:p>
        </w:tc>
      </w:tr>
      <w:tr>
        <w:trPr>
          <w:trHeight w:val="160"/>
        </w:trPr>
        <w:tc>
          <w:tcPr>
            <w:tcW w:w="2160" w:type="dxa"/>
            <w:vAlign w:val="bottom"/>
            <w:tcBorders>
              <w:top w:val="single" w:sz="8" w:color="auto"/>
              <w:right w:val="single" w:sz="8" w:color="CCEEFF"/>
            </w:tcBorders>
            <w:gridSpan w:val="3"/>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Other Financial Data</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6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spacing w:after="0"/>
              <w:rPr>
                <w:sz w:val="20"/>
                <w:szCs w:val="20"/>
                <w:color w:val="auto"/>
              </w:rPr>
            </w:pPr>
            <w:r>
              <w:rPr>
                <w:rFonts w:ascii="Arial" w:cs="Arial" w:eastAsia="Arial" w:hAnsi="Arial"/>
                <w:sz w:val="14"/>
                <w:szCs w:val="14"/>
                <w:color w:val="auto"/>
                <w:w w:val="92"/>
              </w:rPr>
              <w:t>Number of stores open at period end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76"/>
              </w:rPr>
              <w:t>756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5"/>
              </w:rPr>
              <w:t>792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943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right w:val="single" w:sz="8" w:color="CCEEFF"/>
            </w:tcBorders>
            <w:gridSpan w:val="3"/>
            <w:shd w:val="clear" w:color="auto" w:fill="CCEEFF"/>
          </w:tcPr>
          <w:p>
            <w:pPr>
              <w:spacing w:after="0" w:line="183" w:lineRule="exact"/>
              <w:rPr>
                <w:sz w:val="20"/>
                <w:szCs w:val="20"/>
                <w:color w:val="auto"/>
              </w:rPr>
            </w:pPr>
            <w:r>
              <w:rPr>
                <w:rFonts w:ascii="Arial" w:cs="Arial" w:eastAsia="Arial" w:hAnsi="Arial"/>
                <w:sz w:val="13"/>
                <w:szCs w:val="13"/>
                <w:color w:val="auto"/>
              </w:rPr>
              <w:t>Adjusted EBITDA</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700" w:type="dxa"/>
            <w:vAlign w:val="bottom"/>
            <w:tcBorders>
              <w:left w:val="single" w:sz="8" w:color="CCEEFF"/>
              <w:righ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26,447</w:t>
            </w:r>
          </w:p>
        </w:tc>
        <w:tc>
          <w:tcPr>
            <w:tcW w:w="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55,653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2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0"/>
              </w:rPr>
              <w:t>112,585</w:t>
            </w:r>
          </w:p>
        </w:tc>
        <w:tc>
          <w:tcPr>
            <w:tcW w:w="320" w:type="dxa"/>
            <w:vAlign w:val="bottom"/>
            <w:gridSpan w:val="4"/>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0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0"/>
              </w:rPr>
              <w:t>137,774</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86,065</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98,525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spacing w:after="0" w:line="183" w:lineRule="exact"/>
              <w:rPr>
                <w:sz w:val="20"/>
                <w:szCs w:val="20"/>
                <w:color w:val="auto"/>
              </w:rPr>
            </w:pPr>
            <w:r>
              <w:rPr>
                <w:rFonts w:ascii="Arial" w:cs="Arial" w:eastAsia="Arial" w:hAnsi="Arial"/>
                <w:sz w:val="13"/>
                <w:szCs w:val="13"/>
                <w:color w:val="auto"/>
              </w:rPr>
              <w:t>Adjusted Net Income</w:t>
            </w:r>
            <w:r>
              <w:rPr>
                <w:rFonts w:ascii="Arial" w:cs="Arial" w:eastAsia="Arial" w:hAnsi="Arial"/>
                <w:sz w:val="21"/>
                <w:szCs w:val="21"/>
                <w:color w:val="auto"/>
                <w:vertAlign w:val="superscript"/>
              </w:rPr>
              <w:t>(1)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74"/>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8,670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5"/>
              </w:rPr>
              <w:t>499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4"/>
                <w:szCs w:val="14"/>
                <w:color w:val="auto"/>
              </w:rPr>
              <w:t>26,184</w:t>
            </w:r>
          </w:p>
        </w:tc>
        <w:tc>
          <w:tcPr>
            <w:tcW w:w="320" w:type="dxa"/>
            <w:vAlign w:val="bottom"/>
            <w:gridSpan w:val="4"/>
          </w:tcPr>
          <w:p>
            <w:pPr>
              <w:jc w:val="right"/>
              <w:ind w:right="5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4"/>
                <w:szCs w:val="14"/>
                <w:color w:val="auto"/>
              </w:rPr>
              <w:t>33,183</w:t>
            </w:r>
          </w:p>
        </w:tc>
        <w:tc>
          <w:tcPr>
            <w:tcW w:w="1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28,226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40" w:right="60" w:hanging="331"/>
        <w:spacing w:after="0" w:line="238" w:lineRule="auto"/>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We describe these adjustments reconciling net income (loss) to EBITDA and Adjusted EBITDA in the tables below. We define Adjusted Net Income as net income (loss), plus stock compensation expense, costs associated with debt refinancing, asset impairment, non-cash inventory write-offs, purchase</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333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9625" cy="4333875"/>
                    </a:xfrm>
                    <a:prstGeom prst="rect">
                      <a:avLst/>
                    </a:prstGeom>
                    <a:noFill/>
                  </pic:spPr>
                </pic:pic>
              </a:graphicData>
            </a:graphic>
          </wp:anchor>
        </w:drawing>
      </w:r>
    </w:p>
    <w:p>
      <w:pPr>
        <w:spacing w:after="0" w:line="240" w:lineRule="exact"/>
        <w:rPr>
          <w:sz w:val="20"/>
          <w:szCs w:val="20"/>
          <w:color w:val="auto"/>
        </w:rPr>
      </w:pPr>
    </w:p>
    <w:p>
      <w:pPr>
        <w:ind w:left="460" w:right="320"/>
        <w:spacing w:after="0" w:line="245" w:lineRule="auto"/>
        <w:rPr>
          <w:sz w:val="20"/>
          <w:szCs w:val="20"/>
          <w:color w:val="auto"/>
        </w:rPr>
      </w:pPr>
      <w:r>
        <w:rPr>
          <w:rFonts w:ascii="Arial" w:cs="Arial" w:eastAsia="Arial" w:hAnsi="Arial"/>
          <w:sz w:val="14"/>
          <w:szCs w:val="14"/>
          <w:color w:val="auto"/>
        </w:rPr>
        <w:t>accounting inventory adjustment, acquisition-related expenses, management fees, new store pre-opening expenses, non-cash rent, litigation settlement, amortization of acquisition intangibles and deferred financing costs and other expenses, less the tax effect of these adjustments. We describe these adjustments reconciling net income (loss) to Adjusted Net Income in the tables below.</w:t>
      </w:r>
    </w:p>
    <w:p>
      <w:pPr>
        <w:spacing w:after="0" w:line="28"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5" w:lineRule="exact"/>
        <w:rPr>
          <w:sz w:val="20"/>
          <w:szCs w:val="20"/>
          <w:color w:val="auto"/>
        </w:rPr>
      </w:pPr>
    </w:p>
    <w:p>
      <w:pPr>
        <w:ind w:left="460"/>
        <w:spacing w:after="0" w:line="280" w:lineRule="auto"/>
        <w:rPr>
          <w:sz w:val="20"/>
          <w:szCs w:val="20"/>
          <w:color w:val="auto"/>
        </w:rPr>
      </w:pPr>
      <w:r>
        <w:rPr>
          <w:rFonts w:ascii="Arial" w:cs="Arial" w:eastAsia="Arial" w:hAnsi="Arial"/>
          <w:sz w:val="12"/>
          <w:szCs w:val="12"/>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11" w:lineRule="exact"/>
        <w:rPr>
          <w:sz w:val="20"/>
          <w:szCs w:val="20"/>
          <w:color w:val="auto"/>
        </w:rPr>
      </w:pPr>
    </w:p>
    <w:p>
      <w:pPr>
        <w:ind w:left="460" w:right="380"/>
        <w:spacing w:after="0" w:line="258" w:lineRule="auto"/>
        <w:rPr>
          <w:sz w:val="20"/>
          <w:szCs w:val="20"/>
          <w:color w:val="auto"/>
        </w:rPr>
      </w:pPr>
      <w:r>
        <w:rPr>
          <w:rFonts w:ascii="Arial" w:cs="Arial" w:eastAsia="Arial" w:hAnsi="Arial"/>
          <w:sz w:val="14"/>
          <w:szCs w:val="14"/>
          <w:color w:val="auto"/>
        </w:rPr>
        <w:t>The presentations of these measures have limitations as analytical tools and should not be considered in isolation, or as a substitute for analysis of our results as reported under GAAP. Some of these limitations are:</w:t>
      </w:r>
    </w:p>
    <w:p>
      <w:pPr>
        <w:spacing w:after="0" w:line="71" w:lineRule="exact"/>
        <w:rPr>
          <w:sz w:val="20"/>
          <w:szCs w:val="20"/>
          <w:color w:val="auto"/>
        </w:rPr>
      </w:pPr>
    </w:p>
    <w:p>
      <w:pPr>
        <w:ind w:left="780" w:hanging="332"/>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do not reflect costs or cash outlays for capital expenditures or contractual commitments;</w:t>
      </w:r>
    </w:p>
    <w:p>
      <w:pPr>
        <w:spacing w:after="0" w:line="99" w:lineRule="exact"/>
        <w:rPr>
          <w:rFonts w:ascii="Arial" w:cs="Arial" w:eastAsia="Arial" w:hAnsi="Arial"/>
          <w:sz w:val="14"/>
          <w:szCs w:val="14"/>
          <w:color w:val="auto"/>
        </w:rPr>
      </w:pPr>
    </w:p>
    <w:p>
      <w:pPr>
        <w:ind w:left="780" w:hanging="332"/>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they do not reflect changes in, or cash requirements for, our working capital needs;</w:t>
      </w:r>
    </w:p>
    <w:p>
      <w:pPr>
        <w:spacing w:after="0" w:line="99" w:lineRule="exact"/>
        <w:rPr>
          <w:rFonts w:ascii="Arial" w:cs="Arial" w:eastAsia="Arial" w:hAnsi="Arial"/>
          <w:sz w:val="14"/>
          <w:szCs w:val="14"/>
          <w:color w:val="auto"/>
        </w:rPr>
      </w:pPr>
    </w:p>
    <w:p>
      <w:pPr>
        <w:ind w:left="780" w:right="160" w:hanging="332"/>
        <w:spacing w:after="0" w:line="258"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EBITDA and Adjusted EBITDA do not reflect the interest expense, or the cash requirements necessary to service interest or principal payments, on our debt;</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EBITDA and Adjusted EBITDA do not reflect period to period changes in taxes, income tax expense or the cash necessary to pay income taxes;</w:t>
      </w:r>
    </w:p>
    <w:p>
      <w:pPr>
        <w:spacing w:after="0" w:line="111" w:lineRule="exact"/>
        <w:rPr>
          <w:rFonts w:ascii="Arial" w:cs="Arial" w:eastAsia="Arial" w:hAnsi="Arial"/>
          <w:sz w:val="13"/>
          <w:szCs w:val="13"/>
          <w:color w:val="auto"/>
        </w:rPr>
      </w:pPr>
    </w:p>
    <w:p>
      <w:pPr>
        <w:ind w:left="780" w:right="20" w:hanging="332"/>
        <w:spacing w:after="0" w:line="296"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48" w:lineRule="exact"/>
        <w:rPr>
          <w:rFonts w:ascii="Arial" w:cs="Arial" w:eastAsia="Arial" w:hAnsi="Arial"/>
          <w:sz w:val="13"/>
          <w:szCs w:val="13"/>
          <w:color w:val="auto"/>
        </w:rPr>
      </w:pPr>
    </w:p>
    <w:p>
      <w:pPr>
        <w:ind w:left="780" w:right="120" w:hanging="332"/>
        <w:spacing w:after="0" w:line="258"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other companies in our industry may calculate these measures differently than we do, limiting their usefulness as comparative measures.</w:t>
      </w:r>
    </w:p>
    <w:p>
      <w:pPr>
        <w:spacing w:after="0" w:line="59" w:lineRule="exact"/>
        <w:rPr>
          <w:sz w:val="20"/>
          <w:szCs w:val="20"/>
          <w:color w:val="auto"/>
        </w:rPr>
      </w:pPr>
    </w:p>
    <w:p>
      <w:pPr>
        <w:ind w:left="460" w:right="140"/>
        <w:spacing w:after="0" w:line="258" w:lineRule="auto"/>
        <w:rPr>
          <w:sz w:val="20"/>
          <w:szCs w:val="20"/>
          <w:color w:val="auto"/>
        </w:rPr>
      </w:pPr>
      <w:r>
        <w:rPr>
          <w:rFonts w:ascii="Arial" w:cs="Arial" w:eastAsia="Arial" w:hAnsi="Arial"/>
          <w:sz w:val="14"/>
          <w:szCs w:val="14"/>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899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9625" cy="6899910"/>
                    </a:xfrm>
                    <a:prstGeom prst="rect">
                      <a:avLst/>
                    </a:prstGeom>
                    <a:noFill/>
                  </pic:spPr>
                </pic:pic>
              </a:graphicData>
            </a:graphic>
          </wp:anchor>
        </w:drawing>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tables provide a reconciliation of net income (loss) to EBITDA, Adjusted EBITDA and Adjusted Net Income for the periods presented:</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85"/>
              </w:rPr>
              <w:t>Predecessor</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Successor</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From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March</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December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2"/>
              </w:rPr>
              <w:t>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Six</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Year Ended</w:t>
            </w:r>
          </w:p>
        </w:tc>
        <w:tc>
          <w:tcPr>
            <w:tcW w:w="8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1"/>
                <w:szCs w:val="11"/>
                <w:color w:val="auto"/>
              </w:rPr>
            </w:pPr>
          </w:p>
        </w:tc>
        <w:tc>
          <w:tcPr>
            <w:tcW w:w="620" w:type="dxa"/>
            <w:vAlign w:val="bottom"/>
          </w:tcPr>
          <w:p>
            <w:pPr>
              <w:jc w:val="center"/>
              <w:ind w:right="33"/>
              <w:spacing w:after="0" w:line="130" w:lineRule="exact"/>
              <w:rPr>
                <w:sz w:val="20"/>
                <w:szCs w:val="20"/>
                <w:color w:val="auto"/>
              </w:rPr>
            </w:pPr>
            <w:r>
              <w:rPr>
                <w:rFonts w:ascii="Arial" w:cs="Arial" w:eastAsia="Arial" w:hAnsi="Arial"/>
                <w:sz w:val="12"/>
                <w:szCs w:val="12"/>
                <w:b w:val="1"/>
                <w:bCs w:val="1"/>
                <w:color w:val="auto"/>
                <w:w w:val="95"/>
              </w:rPr>
              <w:t>29,</w:t>
            </w: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2014 to</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7"/>
              </w:rPr>
              <w:t>Ended</w:t>
            </w:r>
          </w:p>
        </w:tc>
        <w:tc>
          <w:tcPr>
            <w:tcW w:w="86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3"/>
              </w:rPr>
              <w:t>Year Ended</w:t>
            </w: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Months</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9"/>
              </w:rPr>
              <w:t>December</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December</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2013 to</w:t>
            </w:r>
          </w:p>
        </w:tc>
        <w:tc>
          <w:tcPr>
            <w:tcW w:w="10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5"/>
              </w:rPr>
              <w:t>January</w:t>
            </w:r>
          </w:p>
        </w:tc>
        <w:tc>
          <w:tcPr>
            <w:tcW w:w="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Ended</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March 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9"/>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79"/>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0" w:lineRule="exact"/>
              <w:rPr>
                <w:sz w:val="20"/>
                <w:szCs w:val="20"/>
                <w:color w:val="auto"/>
              </w:rPr>
            </w:pPr>
            <w:r>
              <w:rPr>
                <w:rFonts w:ascii="Arial" w:cs="Arial" w:eastAsia="Arial" w:hAnsi="Arial"/>
                <w:sz w:val="12"/>
                <w:szCs w:val="12"/>
                <w:b w:val="1"/>
                <w:bCs w:val="1"/>
                <w:color w:val="auto"/>
                <w:w w:val="95"/>
              </w:rPr>
              <w:t>31,</w:t>
            </w:r>
          </w:p>
        </w:tc>
        <w:tc>
          <w:tcPr>
            <w:tcW w:w="160" w:type="dxa"/>
            <w:vAlign w:val="bottom"/>
          </w:tcPr>
          <w:p>
            <w:pPr>
              <w:spacing w:after="0"/>
              <w:rPr>
                <w:sz w:val="11"/>
                <w:szCs w:val="11"/>
                <w:color w:val="auto"/>
              </w:rPr>
            </w:pP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July 2,</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July 1,</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9"/>
              </w:rPr>
              <w:t>2012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9"/>
              </w:rPr>
              <w:t>2014</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7"/>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3,132</w:t>
            </w: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4"/>
              </w:rPr>
              <w:t>$ (27,050)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14,758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$ 21,441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$ 15,574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29,142</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23,254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26,823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36,741</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39,092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19,649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26,114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9,165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2,061</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(12,715)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1,768</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14,332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37,196</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33,940</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7,267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31,566</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44,069</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51,993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25,020</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29,052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67,185</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80,471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17,217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18,624</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86,195</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118,377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80,442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79,844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Stock compensation expense</w:t>
            </w:r>
            <w:r>
              <w:rPr>
                <w:rFonts w:ascii="Arial" w:cs="Arial" w:eastAsia="Arial" w:hAnsi="Arial"/>
                <w:sz w:val="21"/>
                <w:szCs w:val="21"/>
                <w:color w:val="auto"/>
                <w:vertAlign w:val="superscript"/>
              </w:rPr>
              <w:t>(a)</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1,716</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4,293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2,454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Debt issuance costs</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1,742</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Asset impairment</w:t>
            </w:r>
            <w:r>
              <w:rPr>
                <w:rFonts w:ascii="Arial" w:cs="Arial" w:eastAsia="Arial" w:hAnsi="Arial"/>
                <w:sz w:val="21"/>
                <w:szCs w:val="21"/>
                <w:color w:val="auto"/>
                <w:vertAlign w:val="superscript"/>
              </w:rPr>
              <w:t>(c)</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4,731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Non-cash inventory write-offs</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4"/>
                <w:szCs w:val="14"/>
                <w:color w:val="auto"/>
              </w:rPr>
              <w:t>Purchase accounting inventory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tcPr>
          <w:p>
            <w:pPr>
              <w:ind w:left="140"/>
              <w:spacing w:after="0" w:line="191" w:lineRule="exact"/>
              <w:rPr>
                <w:sz w:val="20"/>
                <w:szCs w:val="20"/>
                <w:color w:val="auto"/>
              </w:rPr>
            </w:pPr>
            <w:r>
              <w:rPr>
                <w:rFonts w:ascii="Arial" w:cs="Arial" w:eastAsia="Arial" w:hAnsi="Arial"/>
                <w:sz w:val="13"/>
                <w:szCs w:val="13"/>
                <w:color w:val="auto"/>
              </w:rPr>
              <w:t>adjustment</w:t>
            </w:r>
            <w:r>
              <w:rPr>
                <w:rFonts w:ascii="Arial" w:cs="Arial" w:eastAsia="Arial" w:hAnsi="Arial"/>
                <w:sz w:val="22"/>
                <w:szCs w:val="22"/>
                <w:color w:val="auto"/>
                <w:vertAlign w:val="superscript"/>
              </w:rPr>
              <w:t>(e)</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7,537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New store pre-opening expenses</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424</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Non-cash rent</w:t>
            </w:r>
            <w:r>
              <w:rPr>
                <w:rFonts w:ascii="Arial" w:cs="Arial" w:eastAsia="Arial" w:hAnsi="Arial"/>
                <w:sz w:val="21"/>
                <w:szCs w:val="21"/>
                <w:color w:val="auto"/>
                <w:vertAlign w:val="superscript"/>
              </w:rPr>
              <w:t>(i)</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Litigation settlement</w:t>
            </w:r>
            <w:r>
              <w:rPr>
                <w:rFonts w:ascii="Arial" w:cs="Arial" w:eastAsia="Arial" w:hAnsi="Arial"/>
                <w:sz w:val="21"/>
                <w:szCs w:val="21"/>
                <w:color w:val="auto"/>
                <w:vertAlign w:val="superscript"/>
              </w:rPr>
              <w:t>(j)</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line="170" w:lineRule="exact"/>
              <w:rPr>
                <w:sz w:val="20"/>
                <w:szCs w:val="20"/>
                <w:color w:val="auto"/>
              </w:rPr>
            </w:pPr>
            <w:r>
              <w:rPr>
                <w:rFonts w:ascii="Arial" w:cs="Arial" w:eastAsia="Arial" w:hAnsi="Arial"/>
                <w:sz w:val="12"/>
                <w:szCs w:val="12"/>
                <w:color w:val="auto"/>
              </w:rPr>
              <w:t>Other</w:t>
            </w:r>
            <w:r>
              <w:rPr>
                <w:rFonts w:ascii="Arial" w:cs="Arial" w:eastAsia="Arial" w:hAnsi="Arial"/>
                <w:sz w:val="19"/>
                <w:szCs w:val="19"/>
                <w:color w:val="auto"/>
                <w:vertAlign w:val="superscript"/>
              </w:rPr>
              <w:t>(k)</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3,299</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3,520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tcPr>
          <w:p>
            <w:pPr>
              <w:spacing w:after="0"/>
              <w:rPr>
                <w:sz w:val="19"/>
                <w:szCs w:val="19"/>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80,264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88,967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26,447</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55,653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112,585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137,774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$ 86,065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$ 98,525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6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85"/>
              </w:rPr>
              <w:t>Predecessor</w:t>
            </w:r>
          </w:p>
        </w:tc>
        <w:tc>
          <w:tcPr>
            <w:tcW w:w="160" w:type="dxa"/>
            <w:vAlign w:val="bottom"/>
            <w:tcBorders>
              <w:top w:val="single" w:sz="8" w:color="CCEEFF"/>
            </w:tcBorders>
            <w:vMerge w:val="restart"/>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7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Successor</w:t>
            </w:r>
          </w:p>
        </w:tc>
        <w:tc>
          <w:tcPr>
            <w:tcW w:w="160" w:type="dxa"/>
            <w:vAlign w:val="bottom"/>
            <w:tcBorders>
              <w:top w:val="single" w:sz="8" w:color="CCEEFF"/>
            </w:tcBorders>
            <w:vMerge w:val="restart"/>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From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March</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December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2"/>
              </w:rPr>
              <w:t>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Six</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Year Ended</w:t>
            </w:r>
          </w:p>
        </w:tc>
        <w:tc>
          <w:tcPr>
            <w:tcW w:w="8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1"/>
                <w:szCs w:val="11"/>
                <w:color w:val="auto"/>
              </w:rPr>
            </w:pPr>
          </w:p>
        </w:tc>
        <w:tc>
          <w:tcPr>
            <w:tcW w:w="620" w:type="dxa"/>
            <w:vAlign w:val="bottom"/>
          </w:tcPr>
          <w:p>
            <w:pPr>
              <w:jc w:val="center"/>
              <w:ind w:right="33"/>
              <w:spacing w:after="0" w:line="130" w:lineRule="exact"/>
              <w:rPr>
                <w:sz w:val="20"/>
                <w:szCs w:val="20"/>
                <w:color w:val="auto"/>
              </w:rPr>
            </w:pPr>
            <w:r>
              <w:rPr>
                <w:rFonts w:ascii="Arial" w:cs="Arial" w:eastAsia="Arial" w:hAnsi="Arial"/>
                <w:sz w:val="12"/>
                <w:szCs w:val="12"/>
                <w:b w:val="1"/>
                <w:bCs w:val="1"/>
                <w:color w:val="auto"/>
                <w:w w:val="95"/>
              </w:rPr>
              <w:t>29,</w:t>
            </w: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2014 to</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7"/>
              </w:rPr>
              <w:t>Ended</w:t>
            </w:r>
          </w:p>
        </w:tc>
        <w:tc>
          <w:tcPr>
            <w:tcW w:w="86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3"/>
              </w:rPr>
              <w:t>Year Ended</w:t>
            </w: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Months</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9"/>
              </w:rPr>
              <w:t>December</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December</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2013 to</w:t>
            </w:r>
          </w:p>
        </w:tc>
        <w:tc>
          <w:tcPr>
            <w:tcW w:w="10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5"/>
              </w:rPr>
              <w:t>January</w:t>
            </w:r>
          </w:p>
        </w:tc>
        <w:tc>
          <w:tcPr>
            <w:tcW w:w="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Ended</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March 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9"/>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79"/>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0" w:lineRule="exact"/>
              <w:rPr>
                <w:sz w:val="20"/>
                <w:szCs w:val="20"/>
                <w:color w:val="auto"/>
              </w:rPr>
            </w:pPr>
            <w:r>
              <w:rPr>
                <w:rFonts w:ascii="Arial" w:cs="Arial" w:eastAsia="Arial" w:hAnsi="Arial"/>
                <w:sz w:val="12"/>
                <w:szCs w:val="12"/>
                <w:b w:val="1"/>
                <w:bCs w:val="1"/>
                <w:color w:val="auto"/>
                <w:w w:val="95"/>
              </w:rPr>
              <w:t>31,</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6"/>
              </w:rPr>
              <w:t>July 2,</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July 1,</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9"/>
              </w:rPr>
              <w:t>2012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9"/>
              </w:rPr>
              <w:t>2014</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7"/>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3,132</w:t>
            </w: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4"/>
              </w:rPr>
              <w:t>$ (27,050)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14,758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$ 21,441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$ 15,574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Stock compensation expense</w:t>
            </w:r>
            <w:r>
              <w:rPr>
                <w:rFonts w:ascii="Arial" w:cs="Arial" w:eastAsia="Arial" w:hAnsi="Arial"/>
                <w:sz w:val="21"/>
                <w:szCs w:val="21"/>
                <w:color w:val="auto"/>
                <w:vertAlign w:val="superscript"/>
              </w:rPr>
              <w:t>(a)</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1,716</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4,293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2,454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Debt issuance costs</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1,742</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Asset impairment</w:t>
            </w:r>
            <w:r>
              <w:rPr>
                <w:rFonts w:ascii="Arial" w:cs="Arial" w:eastAsia="Arial" w:hAnsi="Arial"/>
                <w:sz w:val="21"/>
                <w:szCs w:val="21"/>
                <w:color w:val="auto"/>
                <w:vertAlign w:val="superscript"/>
              </w:rPr>
              <w:t>(c)</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4,731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Non-cash inventory write-offs</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4"/>
                <w:szCs w:val="14"/>
                <w:color w:val="auto"/>
              </w:rPr>
              <w:t>Purchase accounting inventory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tcPr>
          <w:p>
            <w:pPr>
              <w:ind w:left="140"/>
              <w:spacing w:after="0" w:line="191" w:lineRule="exact"/>
              <w:rPr>
                <w:sz w:val="20"/>
                <w:szCs w:val="20"/>
                <w:color w:val="auto"/>
              </w:rPr>
            </w:pPr>
            <w:r>
              <w:rPr>
                <w:rFonts w:ascii="Arial" w:cs="Arial" w:eastAsia="Arial" w:hAnsi="Arial"/>
                <w:sz w:val="13"/>
                <w:szCs w:val="13"/>
                <w:color w:val="auto"/>
              </w:rPr>
              <w:t>adjustment</w:t>
            </w:r>
            <w:r>
              <w:rPr>
                <w:rFonts w:ascii="Arial" w:cs="Arial" w:eastAsia="Arial" w:hAnsi="Arial"/>
                <w:sz w:val="22"/>
                <w:szCs w:val="22"/>
                <w:color w:val="auto"/>
                <w:vertAlign w:val="superscript"/>
              </w:rPr>
              <w:t>(e)</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7,537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New store pre-opening expenses</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424</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Non-cash rent</w:t>
            </w:r>
            <w:r>
              <w:rPr>
                <w:rFonts w:ascii="Arial" w:cs="Arial" w:eastAsia="Arial" w:hAnsi="Arial"/>
                <w:sz w:val="21"/>
                <w:szCs w:val="21"/>
                <w:color w:val="auto"/>
                <w:vertAlign w:val="superscript"/>
              </w:rPr>
              <w:t>(i)</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Litigation settlement</w:t>
            </w:r>
            <w:r>
              <w:rPr>
                <w:rFonts w:ascii="Arial" w:cs="Arial" w:eastAsia="Arial" w:hAnsi="Arial"/>
                <w:sz w:val="21"/>
                <w:szCs w:val="21"/>
                <w:color w:val="auto"/>
                <w:vertAlign w:val="superscript"/>
              </w:rPr>
              <w:t>(j)</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(k)</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3,299</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3,520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Amortization of acquisition</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220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w w:val="97"/>
              </w:rPr>
              <w:t>intangibles and deferred financing</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shd w:val="clear" w:color="auto" w:fill="CCEEFF"/>
          </w:tcPr>
          <w:p>
            <w:pPr>
              <w:ind w:left="140"/>
              <w:spacing w:after="0" w:line="191" w:lineRule="exact"/>
              <w:rPr>
                <w:sz w:val="20"/>
                <w:szCs w:val="20"/>
                <w:color w:val="auto"/>
              </w:rPr>
            </w:pPr>
            <w:r>
              <w:rPr>
                <w:rFonts w:ascii="Arial" w:cs="Arial" w:eastAsia="Arial" w:hAnsi="Arial"/>
                <w:sz w:val="13"/>
                <w:szCs w:val="13"/>
                <w:color w:val="auto"/>
              </w:rPr>
              <w:t>costs</w:t>
            </w:r>
            <w:r>
              <w:rPr>
                <w:rFonts w:ascii="Arial" w:cs="Arial" w:eastAsia="Arial" w:hAnsi="Arial"/>
                <w:sz w:val="22"/>
                <w:szCs w:val="22"/>
                <w:color w:val="auto"/>
                <w:vertAlign w:val="superscript"/>
              </w:rPr>
              <w:t>(l)</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8,886</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11,221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11,311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5,686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line="170" w:lineRule="exact"/>
              <w:rPr>
                <w:sz w:val="20"/>
                <w:szCs w:val="20"/>
                <w:color w:val="auto"/>
              </w:rPr>
            </w:pPr>
            <w:r>
              <w:rPr>
                <w:rFonts w:ascii="Arial" w:cs="Arial" w:eastAsia="Arial" w:hAnsi="Arial"/>
                <w:sz w:val="12"/>
                <w:szCs w:val="12"/>
                <w:color w:val="auto"/>
              </w:rPr>
              <w:t>Tax effect of total adjustments</w:t>
            </w:r>
            <w:r>
              <w:rPr>
                <w:rFonts w:ascii="Arial" w:cs="Arial" w:eastAsia="Arial" w:hAnsi="Arial"/>
                <w:sz w:val="19"/>
                <w:szCs w:val="19"/>
                <w:color w:val="auto"/>
                <w:vertAlign w:val="superscript"/>
              </w:rPr>
              <w:t>(m)</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(5,231)</w:t>
            </w: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(3,398)</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(18,366)</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(15,044)</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(12,283)</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(4,524)</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(9,770)</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19,210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8,670</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26,184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33,183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$ 28,226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$ 30,229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0" w:type="dxa"/>
            <w:vAlign w:val="bottom"/>
            <w:tcBorders>
              <w:bottom w:val="single" w:sz="8" w:color="auto"/>
            </w:tcBorders>
          </w:tcPr>
          <w:p>
            <w:pPr>
              <w:spacing w:after="0"/>
              <w:rPr>
                <w:sz w:val="14"/>
                <w:szCs w:val="14"/>
                <w:color w:val="auto"/>
              </w:rPr>
            </w:pPr>
          </w:p>
        </w:tc>
        <w:tc>
          <w:tcPr>
            <w:tcW w:w="1020" w:type="dxa"/>
            <w:vAlign w:val="bottom"/>
            <w:tcBorders>
              <w:top w:val="single" w:sz="8" w:color="CCEEFF"/>
              <w:bottom w:val="single" w:sz="8" w:color="auto"/>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80" w:hanging="332"/>
        <w:spacing w:after="0"/>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w:t>
      </w:r>
    </w:p>
    <w:p>
      <w:pPr>
        <w:spacing w:after="0" w:line="111" w:lineRule="exact"/>
        <w:rPr>
          <w:rFonts w:ascii="Arial" w:cs="Arial" w:eastAsia="Arial" w:hAnsi="Arial"/>
          <w:sz w:val="13"/>
          <w:szCs w:val="13"/>
          <w:color w:val="auto"/>
        </w:rPr>
      </w:pPr>
    </w:p>
    <w:p>
      <w:pPr>
        <w:ind w:left="780" w:right="180" w:hanging="332"/>
        <w:spacing w:after="0" w:line="341" w:lineRule="auto"/>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25" w:lineRule="exact"/>
        <w:rPr>
          <w:rFonts w:ascii="Arial" w:cs="Arial" w:eastAsia="Arial" w:hAnsi="Arial"/>
          <w:sz w:val="12"/>
          <w:szCs w:val="12"/>
          <w:color w:val="auto"/>
        </w:rPr>
      </w:pPr>
    </w:p>
    <w:p>
      <w:pPr>
        <w:ind w:left="780" w:hanging="332"/>
        <w:spacing w:after="0"/>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Non-cash charges related to impairment of long-lived assets, primarily goodwill in our Vista Optical in Fred Meyer brand and our AC Lens business.</w:t>
      </w:r>
    </w:p>
    <w:p>
      <w:pPr>
        <w:spacing w:after="0" w:line="122" w:lineRule="exact"/>
        <w:rPr>
          <w:rFonts w:ascii="Arial" w:cs="Arial" w:eastAsia="Arial" w:hAnsi="Arial"/>
          <w:sz w:val="12"/>
          <w:szCs w:val="12"/>
          <w:color w:val="auto"/>
        </w:rPr>
      </w:pPr>
    </w:p>
    <w:p>
      <w:pPr>
        <w:ind w:left="780" w:hanging="332"/>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863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9625" cy="4863465"/>
                    </a:xfrm>
                    <a:prstGeom prst="rect">
                      <a:avLst/>
                    </a:prstGeom>
                    <a:noFill/>
                  </pic:spPr>
                </pic:pic>
              </a:graphicData>
            </a:graphic>
          </wp:anchor>
        </w:drawing>
      </w:r>
    </w:p>
    <w:p>
      <w:pPr>
        <w:spacing w:after="0" w:line="240" w:lineRule="exact"/>
        <w:rPr>
          <w:sz w:val="20"/>
          <w:szCs w:val="20"/>
          <w:color w:val="auto"/>
        </w:rPr>
      </w:pPr>
    </w:p>
    <w:p>
      <w:pPr>
        <w:ind w:left="780" w:right="40" w:hanging="332"/>
        <w:spacing w:after="0" w:line="258"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an inventory step-up resulting from the application of purchase accounting to the Successor, which is recorded in costs applicable to revenue in the statement of operations.</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expenses associated with the KKR Acquisition.</w:t>
      </w:r>
    </w:p>
    <w:p>
      <w:pPr>
        <w:spacing w:after="0" w:line="99" w:lineRule="exact"/>
        <w:rPr>
          <w:rFonts w:ascii="Arial" w:cs="Arial" w:eastAsia="Arial" w:hAnsi="Arial"/>
          <w:sz w:val="14"/>
          <w:szCs w:val="14"/>
          <w:color w:val="auto"/>
        </w:rPr>
      </w:pPr>
    </w:p>
    <w:p>
      <w:pPr>
        <w:ind w:left="780" w:hanging="332"/>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w:t>
      </w:r>
    </w:p>
    <w:p>
      <w:pPr>
        <w:spacing w:after="0" w:line="99" w:lineRule="exact"/>
        <w:rPr>
          <w:rFonts w:ascii="Arial" w:cs="Arial" w:eastAsia="Arial" w:hAnsi="Arial"/>
          <w:sz w:val="14"/>
          <w:szCs w:val="14"/>
          <w:color w:val="auto"/>
        </w:rPr>
      </w:pPr>
    </w:p>
    <w:p>
      <w:pPr>
        <w:ind w:left="780" w:right="60" w:hanging="332"/>
        <w:spacing w:after="0" w:line="262"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70" w:lineRule="exact"/>
        <w:rPr>
          <w:rFonts w:ascii="Arial" w:cs="Arial" w:eastAsia="Arial" w:hAnsi="Arial"/>
          <w:sz w:val="13"/>
          <w:szCs w:val="13"/>
          <w:color w:val="auto"/>
        </w:rPr>
      </w:pPr>
    </w:p>
    <w:p>
      <w:pPr>
        <w:ind w:left="780" w:right="40" w:hanging="332"/>
        <w:spacing w:after="0" w:line="266"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67" w:lineRule="exact"/>
        <w:rPr>
          <w:rFonts w:ascii="Arial" w:cs="Arial" w:eastAsia="Arial" w:hAnsi="Arial"/>
          <w:sz w:val="13"/>
          <w:szCs w:val="13"/>
          <w:color w:val="auto"/>
        </w:rPr>
      </w:pPr>
    </w:p>
    <w:p>
      <w:pPr>
        <w:ind w:left="780" w:right="500" w:hanging="332"/>
        <w:spacing w:after="0" w:line="258"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“Business—Legal Proceedings” and Note 8 in our unaudited condensed consolidated financial statements included elsewhere in this prospectus for further details.</w:t>
      </w:r>
    </w:p>
    <w:p>
      <w:pPr>
        <w:spacing w:after="0" w:line="71" w:lineRule="exact"/>
        <w:rPr>
          <w:rFonts w:ascii="Arial" w:cs="Arial" w:eastAsia="Arial" w:hAnsi="Arial"/>
          <w:sz w:val="14"/>
          <w:szCs w:val="14"/>
          <w:color w:val="auto"/>
        </w:rPr>
      </w:pPr>
    </w:p>
    <w:p>
      <w:pPr>
        <w:ind w:left="780" w:right="40" w:hanging="332"/>
        <w:spacing w:after="0" w:line="276" w:lineRule="auto"/>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and $(0.6) million and $(0.5) million for fiscal years 2012 and 2013, respectively, related to prior acquisitions;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$0.8 million, $0.2 million, $0.7 million, $0.5 million, $1.1 million, $0.4 million and $0.3 million for fiscal years 2013, the 2014 Predecessor period, the 2014 Successor period, the fiscal years 2015 and 2016 and the six months ended July 2, 2016 and July 1, 2017, respectively; non-cash write-down of property and equipment of $1.0 million, $0.5 million, $1.2 million, $0.2 million and $0.2 million for fiscal year 2013, the 2014 Predecessor period, the 2014 Successor period, fiscal years 2015 and 2016, respectively; and other expenses and adjustments totaling $3.9 million, $(0.1) million, $0.1 million, $0.9 million, $0.8 million, $0.6 million, $0.1 million and $71,000 for fiscal years 2012 and 2013, the 2014 Predecessor period, the 2014 Successor period, the fiscal years 2015 and 2016 and the six months ended July 2, 2016 and July 1, 2017, respectively. For fiscal year 2012, $3.9 million in other expenses and adjustments included $3.5 million in expenses related to our renegotiation with our legacy partner.</w:t>
      </w:r>
    </w:p>
    <w:p>
      <w:pPr>
        <w:spacing w:after="0" w:line="222" w:lineRule="exact"/>
        <w:rPr>
          <w:rFonts w:ascii="Arial" w:cs="Arial" w:eastAsia="Arial" w:hAnsi="Arial"/>
          <w:sz w:val="12"/>
          <w:szCs w:val="12"/>
          <w:color w:val="auto"/>
        </w:rPr>
      </w:pPr>
    </w:p>
    <w:p>
      <w:pPr>
        <w:ind w:left="780" w:hanging="332"/>
        <w:spacing w:after="0" w:line="237"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$6.0 million, $7.4 million, $7.4 million, $3.7 million and $3.7 million for the 2014 Successor period, fiscal years 2015 and 2016 and the six months ended July 2, 2016 and July 1, 2017, respectively.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of $2.8 million, $3.8 million, $3.9 million $2.0 million and $2.0 million for the 2014 Successor period, fiscal years 2015 and 2016, and the six months ended July 2, 2016 and July 1, 2017, respectively.</w:t>
      </w:r>
    </w:p>
    <w:p>
      <w:pPr>
        <w:spacing w:after="0" w:line="86" w:lineRule="exact"/>
        <w:rPr>
          <w:rFonts w:ascii="Arial" w:cs="Arial" w:eastAsia="Arial" w:hAnsi="Arial"/>
          <w:sz w:val="14"/>
          <w:szCs w:val="14"/>
          <w:color w:val="auto"/>
        </w:rPr>
      </w:pPr>
    </w:p>
    <w:p>
      <w:pPr>
        <w:ind w:left="780" w:hanging="332"/>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effective tax rate.</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23"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i w:val="1"/>
          <w:iCs w:val="1"/>
          <w:color w:val="auto"/>
        </w:rPr>
        <w:t>An investment in our common stock involves risk. You should carefully consider the following risks as well as the other information included in this prospectus, including “Selected Historical Consolidated Financial Data,” “Management’s Discussion and Analysis of Financial Condition and Results of Operations,” and our consolidated financial statements and related notes, before investing in our common stock. Any of the following risks could materially and adversely affect our business, financial condition, or results of operations. The selected risks described below,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54"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Our growth strategy depends, in large part, on growing our store base and expanding our operations, both in existing and new geographic regions, and operating our new stores successfully. We cannot assure you that our contemplated expansion, including our further expansion in the California market, will be successful.</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successfully open and operate new stores depends on many factors, including, among others, our ability to:</w:t>
      </w:r>
    </w:p>
    <w:p>
      <w:pPr>
        <w:spacing w:after="0" w:line="129" w:lineRule="exact"/>
        <w:rPr>
          <w:sz w:val="20"/>
          <w:szCs w:val="20"/>
          <w:color w:val="auto"/>
        </w:rPr>
      </w:pPr>
    </w:p>
    <w:p>
      <w:pPr>
        <w:ind w:left="680" w:right="14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53"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address regulatory, competitive, merchandising, marketing, distribution and other challenges encountered in connection with expansion into new markets;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hire, train and retain an expanded workforce of store managers and other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maintain adequate laboratory, distribution facility, information system and other operational system capabilities;</w:t>
      </w:r>
    </w:p>
    <w:p>
      <w:pPr>
        <w:spacing w:after="0" w:line="117" w:lineRule="exact"/>
        <w:rPr>
          <w:rFonts w:ascii="Arial" w:cs="Arial" w:eastAsia="Arial" w:hAnsi="Arial"/>
          <w:sz w:val="17"/>
          <w:szCs w:val="17"/>
          <w:color w:val="auto"/>
        </w:rPr>
      </w:pPr>
    </w:p>
    <w:p>
      <w:pPr>
        <w:ind w:left="680" w:right="30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system integration;</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negotiate acceptable lease terms at suitable retail locations;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source sufficient levels of inventory at acceptable costs;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necessary permits and licenses;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construct and open our stores on a timely basis;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generate sufficient levels of cash or obtain financing on acceptable terms to support our expansion;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participate in managed care arrangements for new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achieve and maintain brand awareness in new and existing markets;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 and satisfy the merchandise and other preferences of our customers.</w:t>
      </w:r>
    </w:p>
    <w:p>
      <w:pPr>
        <w:spacing w:after="0" w:line="117"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Our failure to effectively address challenges such as these could adversely affect our ability to successfully open and operate new stores in a timely and cost-effective manner.</w:t>
      </w:r>
    </w:p>
    <w:p>
      <w:pPr>
        <w:spacing w:after="0" w:line="54"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In addition,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plans to accelerate the growth of our store base may increase this risk.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Accordingly, we cannot assure you that we will achieve our planned growth or, even if we are able to grow our store base as planned, that our new stores will perform as expected.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81"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To support our expanding business and execute our growth strategy, we will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In the past, we have primarily depended on cash flow from operations to fund our business and growth plans. Upon the closing of this offering, we expect that we will continue to primarily depend on cash flow from operations to fund our business and growth plans. If we do not generate sufficient cash flow from operations, we may need to obtain additional equity or debt financing. Tightening in the credit markets, low liquidity and volatility in the capital markets could result in diminished availability of credit, higher cost of borrowing and lack of confidence in the equity market,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Failure to recruit and retain vision care professionals for our stores could adversely affect our business, financial condition and results of operations.</w:t>
      </w:r>
    </w:p>
    <w:p>
      <w:pPr>
        <w:spacing w:after="0" w:line="67"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75"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Our ability to attract and retain vision care professionals depends on several factors. We compete with other optical retail companies, health systems and group practices for vision care professionals. We, as well as the professional corporations that employ optometrists in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is likely to exceed supply in the near future and that the costs to employ or retain optometrists are likely to increase, potentially materially, from current levels.</w:t>
      </w:r>
    </w:p>
    <w:p>
      <w:pPr>
        <w:spacing w:after="0" w:line="6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our optometrists or professional corporations that employ optometrists violate laws prohibiting the corporate practice of medicine/optometry, in which case we may be required to restructure these arrangements, which may make it more difficult for us to attract and retain their services. See “Business―Regulatory Overview.”</w:t>
      </w:r>
    </w:p>
    <w:p>
      <w:pPr>
        <w:spacing w:after="0" w:line="76" w:lineRule="exact"/>
        <w:rPr>
          <w:sz w:val="20"/>
          <w:szCs w:val="20"/>
          <w:color w:val="auto"/>
        </w:rPr>
      </w:pPr>
    </w:p>
    <w:p>
      <w:pPr>
        <w:ind w:right="180" w:firstLine="347"/>
        <w:spacing w:after="0" w:line="278" w:lineRule="auto"/>
        <w:rPr>
          <w:sz w:val="20"/>
          <w:szCs w:val="20"/>
          <w:color w:val="auto"/>
        </w:rPr>
      </w:pPr>
      <w:r>
        <w:rPr>
          <w:rFonts w:ascii="Arial" w:cs="Arial" w:eastAsia="Arial" w:hAnsi="Arial"/>
          <w:sz w:val="16"/>
          <w:szCs w:val="16"/>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optometrists provide, through their professional corporations,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54"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We are subject to extensive state, local and federal vision care and healthcare laws and regulations. See “Business―Regulatory Overview.”</w:t>
      </w:r>
    </w:p>
    <w:p>
      <w:pPr>
        <w:spacing w:after="0" w:line="54"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Many states regulate relationships between optical retailers and eye care practitioners. Many states interpret the corporate practice of medicine/optometry rules broadly to prohibit employment of eye care practitioners by corporations like us and to prohibit various financial arrangements, such as fee-splitting, between eye care practitioners and other entities. We have implemented arrangements with optometrists and professional corporations owned by eye care practitioners that regulators could seek to challenge, such as America’s Best’s bundled offers of eye exams and eyewear. The laws applicable to us are also subject to evolving interpretations. As such, we must monitor our compliance with laws in every jurisdiction in which we operate on an ongoing basis and we cannot guarantee that subsequent interpretation of the applicable laws will not further circumscribe our business operations. In addition, the arrangements into which we have entered could subject us to additional scrutiny by federal and state regulatory bodies regarding federal and state fraud and abuse laws.</w:t>
      </w:r>
    </w:p>
    <w:p>
      <w:pPr>
        <w:spacing w:after="0" w:line="6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must also comply with the Fairness to Contact Lens Consumers Act, or FCLCA, and its implementing regulations, with respect to verifying contact lens prescriptions in connection with our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75"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are subject to the Health Insurance Portability and Accountability Act of 1996, or HIPAA, the Health Information Technology for Economic and Clinical Health Act of 2009, or HITECH Act, and the health data privacy, security and breach notification regulations issued pursuant to these statutes, which govern our collection, use, access, disclosure, transmission and/or storage of protected health information, or PHI, in connection with the sales of our products and services, customer service, billing and employment practices. In addition, there are state privacy, security and breach notification laws and regulations that apply to both PHI and personally identifiable information, or PII, collected by us.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owned by eye care practitioners, create material civil and/or criminal liability for us or require us to change our business practices, which could result in adverse publicity, and have a material adverse effect on our business, financial condition and results of operations. In addition to applicable U.S. law, the collection, use, access, disclosure, transmission and storage of PHI and other sensitive data is subject to regulation in foreign jurisdictions in which we do business or expect to do business in the future, in particular through the operations of our websites, and data privacy and security laws and regulations in some of these jurisdictions may be more stringent than those in the United States.</w:t>
      </w:r>
    </w:p>
    <w:p>
      <w:pPr>
        <w:spacing w:after="0" w:line="73"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False Claims Act, or the FCA, which attaches per-claim liability and potentially treble damages to the filing of false claims for federal payment. Many states have also adopted similar laws that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68"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67" w:lineRule="exact"/>
        <w:rPr>
          <w:sz w:val="20"/>
          <w:szCs w:val="20"/>
          <w:color w:val="auto"/>
        </w:rPr>
      </w:pPr>
    </w:p>
    <w:p>
      <w:pPr>
        <w:ind w:right="60" w:firstLine="347"/>
        <w:spacing w:after="0" w:line="277" w:lineRule="auto"/>
        <w:rPr>
          <w:sz w:val="20"/>
          <w:szCs w:val="20"/>
          <w:color w:val="auto"/>
        </w:rPr>
      </w:pPr>
      <w:r>
        <w:rPr>
          <w:rFonts w:ascii="Arial" w:cs="Arial" w:eastAsia="Arial" w:hAnsi="Arial"/>
          <w:sz w:val="16"/>
          <w:szCs w:val="16"/>
          <w:color w:val="auto"/>
        </w:rPr>
        <w:t>Eyeglasses and contact lenses are regulated as medical devices in the United States by the Federal Food and Drug Administration, or the FDA, and under the U.S. Federal Food, Drug and Cosmetic Act, or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or the DOJ, on behalf of the FDA and/or various forms of FDA enforcement and compliance actions, which include recalls, fines, penalties, injunctions, seizures, prosecutions, adverse publicity (such as FDA press releases) or other adverse actions.</w:t>
      </w:r>
    </w:p>
    <w:p>
      <w:pPr>
        <w:spacing w:after="0" w:line="67"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Future operational success depends on our ability to develop and maintain relationships with managed vision care companies, vision insurance providers and other third-party payors.</w:t>
      </w:r>
    </w:p>
    <w:p>
      <w:pPr>
        <w:spacing w:after="0" w:line="67"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An increasing percentage of our customers receive vision insurance coverage through managed care payors. These payors represent an increasingly significant portion of our overall revenues and our revenue growth.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could have a material adverse effect on our business, financial condition and results of operations. In addition, delays in receiving or the failure to receive reimbursements under our managed care arrangements or the loss of a significant managed care contract or relationship could have a significant negative impact on our business, financial condition and results of operations.</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If we are unable to maintain our current operating relationships with our host and legacy partners, our business, profitability and cash flows may be adversely affected.</w:t>
      </w:r>
    </w:p>
    <w:p>
      <w:pPr>
        <w:spacing w:after="0" w:line="67"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We derive significant revenues and operating cash flows from our relationships with our legacy and host partners through our operations of 227 Vision Centers in Walmart stores, 29 Vista Optical locations within Fred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Meyer stores and 57 Vista Optical locations on military bases. Through our subsidiary, FirstSight, we also arrange for the provision of optometric services at almost all of the optometric offices next to Walmart stores and Sam’s Club locations in California.</w:t>
      </w:r>
    </w:p>
    <w:p>
      <w:pPr>
        <w:spacing w:after="0" w:line="8"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Termination of our host and legacy agreements could result in a reduction of our revenues and operating cash flows, which could be material and which could adversely affect our business, financial condition and results of operations.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replace the lost revenues and cash flows.</w:t>
      </w:r>
    </w:p>
    <w:p>
      <w:pPr>
        <w:spacing w:after="0" w:line="63" w:lineRule="exact"/>
        <w:rPr>
          <w:sz w:val="20"/>
          <w:szCs w:val="20"/>
          <w:color w:val="auto"/>
        </w:rPr>
      </w:pPr>
    </w:p>
    <w:p>
      <w:pPr>
        <w:jc w:val="both"/>
        <w:ind w:right="140" w:firstLine="347"/>
        <w:spacing w:after="0" w:line="294" w:lineRule="auto"/>
        <w:rPr>
          <w:sz w:val="20"/>
          <w:szCs w:val="20"/>
          <w:color w:val="auto"/>
        </w:rPr>
      </w:pPr>
      <w:r>
        <w:rPr>
          <w:rFonts w:ascii="Arial" w:cs="Arial" w:eastAsia="Arial" w:hAnsi="Arial"/>
          <w:sz w:val="15"/>
          <w:szCs w:val="15"/>
          <w:color w:val="auto"/>
        </w:rPr>
        <w:t>For example, our current management &amp; services agreement with Walmart presents a variety of risks. This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There are no assurances that Walmart will not seek to exercise these rights in a manner that is materially adverse to our interests. Our agreement with Walmart also allows Walmart to collect penalties if the Vision Centers do not generate a requisite amount of revenues. We may not be able to maintain the performance levels required and may be forced to pay penalties to Walmart or default under this agreement. Further, a breach by us of the terms and conditions of this agreement could cause us to lose all management fees derived under this agreement, which could adversely affect our financial position and results of operations.</w:t>
      </w:r>
    </w:p>
    <w:p>
      <w:pPr>
        <w:spacing w:after="0" w:line="14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82" w:lineRule="exact"/>
        <w:rPr>
          <w:sz w:val="20"/>
          <w:szCs w:val="20"/>
          <w:color w:val="auto"/>
        </w:rPr>
      </w:pPr>
    </w:p>
    <w:p>
      <w:pPr>
        <w:ind w:right="20" w:firstLine="347"/>
        <w:spacing w:after="0" w:line="303" w:lineRule="auto"/>
        <w:rPr>
          <w:sz w:val="20"/>
          <w:szCs w:val="20"/>
          <w:color w:val="auto"/>
        </w:rPr>
      </w:pPr>
      <w:r>
        <w:rPr>
          <w:rFonts w:ascii="Arial" w:cs="Arial" w:eastAsia="Arial" w:hAnsi="Arial"/>
          <w:sz w:val="15"/>
          <w:szCs w:val="15"/>
          <w:color w:val="auto"/>
        </w:rPr>
        <w:t>Substantially all of our inventory is shipped directly from suppliers to our two distribution centers in Lawrenceville, Georgia and Columbus, Ohio where the inventory is then processed, sorted and shipped to our stores or to our laboratories for further processing using third-party carriers. We operate laboratory facilities in Lawrenceville, Georgia; St. Cloud, Minnesota;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49" w:lineRule="exact"/>
        <w:rPr>
          <w:sz w:val="20"/>
          <w:szCs w:val="20"/>
          <w:color w:val="auto"/>
        </w:rPr>
      </w:pPr>
    </w:p>
    <w:p>
      <w:pPr>
        <w:ind w:right="200" w:firstLine="347"/>
        <w:spacing w:after="0" w:line="280" w:lineRule="auto"/>
        <w:rPr>
          <w:sz w:val="20"/>
          <w:szCs w:val="20"/>
          <w:color w:val="auto"/>
        </w:rPr>
      </w:pPr>
      <w:r>
        <w:rPr>
          <w:rFonts w:ascii="Arial" w:cs="Arial" w:eastAsia="Arial" w:hAnsi="Arial"/>
          <w:sz w:val="16"/>
          <w:szCs w:val="16"/>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62"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color w:val="auto"/>
        </w:rPr>
        <w:t>In addition, 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6"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and other unforeseen or catastrophic events, could damage our optical laboratories and/or distribution centers or render them inoperable, making it difficult or impossible for us to process customer orders for an extended period of time. Such events may also result in delays in our receipt of inventory and the delivery of merchandise between our stores, our optical laboratories and our distribution centers. We could also incur significantly higher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42"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vendors from whom our products are sourced.</w:t>
      </w:r>
    </w:p>
    <w:p>
      <w:pPr>
        <w:spacing w:after="0" w:line="117"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6"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any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6" w:lineRule="exact"/>
        <w:rPr>
          <w:sz w:val="20"/>
          <w:szCs w:val="20"/>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discontinue selling merchandise to us;</w:t>
      </w:r>
    </w:p>
    <w:p>
      <w:pPr>
        <w:spacing w:after="0" w:line="117" w:lineRule="exact"/>
        <w:rPr>
          <w:rFonts w:ascii="Arial" w:cs="Arial" w:eastAsia="Arial" w:hAnsi="Arial"/>
          <w:sz w:val="17"/>
          <w:szCs w:val="17"/>
          <w:color w:val="auto"/>
        </w:rPr>
      </w:pPr>
    </w:p>
    <w:p>
      <w:pPr>
        <w:ind w:left="680" w:right="50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enter into arrangements with competitors that could impair our ability to sell their products, including by giving our competitors exclusivity arrangements or limiting our access to certain products;</w:t>
      </w:r>
    </w:p>
    <w:p>
      <w:pPr>
        <w:spacing w:after="0" w:line="53" w:lineRule="exact"/>
        <w:rPr>
          <w:rFonts w:ascii="Arial" w:cs="Arial" w:eastAsia="Arial" w:hAnsi="Arial"/>
          <w:sz w:val="17"/>
          <w:szCs w:val="17"/>
          <w:color w:val="auto"/>
        </w:rPr>
      </w:pPr>
    </w:p>
    <w:p>
      <w:pPr>
        <w:ind w:left="680" w:right="26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sell similar or identical products to our competitors with similar or better pricing, some of whom may already purchase merchandise in significantly greater volume and at lower prices than we do;</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raise the prices they charge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refuse to allow us to return merchandise purchased from them;</w:t>
      </w:r>
    </w:p>
    <w:p>
      <w:pPr>
        <w:spacing w:after="0" w:line="117"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 pricing terms to require us to pay on delivery or upfront, including as a result of changes in the credit relationships some of our vendors have with their various lending institutions;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lengthen their lead times; or</w:t>
      </w:r>
    </w:p>
    <w:p>
      <w:pPr>
        <w:spacing w:after="0" w:line="117"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initiate or expand sales of their products to retail customers directly through their own stores, catalogs or on the Internet and compete with us directly.</w:t>
      </w:r>
    </w:p>
    <w:p>
      <w:pPr>
        <w:spacing w:after="0" w:line="54"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76" w:lineRule="exact"/>
        <w:rPr>
          <w:sz w:val="20"/>
          <w:szCs w:val="20"/>
          <w:color w:val="auto"/>
        </w:rPr>
      </w:pPr>
    </w:p>
    <w:p>
      <w:pPr>
        <w:jc w:val="both"/>
        <w:ind w:right="400" w:firstLine="347"/>
        <w:spacing w:after="0" w:line="271" w:lineRule="auto"/>
        <w:rPr>
          <w:sz w:val="20"/>
          <w:szCs w:val="20"/>
          <w:color w:val="auto"/>
        </w:rPr>
      </w:pPr>
      <w:r>
        <w:rPr>
          <w:rFonts w:ascii="Arial" w:cs="Arial" w:eastAsia="Arial" w:hAnsi="Arial"/>
          <w:sz w:val="17"/>
          <w:szCs w:val="17"/>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83"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color w:val="auto"/>
        </w:rPr>
        <w:t>Furthermore, attempts by the Trump administration to impose significant tariffs or other restrictions on imports, or to withdraw from or materially modify the North American Free Trade Agreement and other international trade agreements, could have an adverse impact on our business. For example, President Trump has threatened to impose tariffs on imports from China and Mexico where our outsourced optical laboratories are located. Any such restrictions, tariffs or other changes could lead to additional costs, delays in shipments, embargos and other uncertainties that could negatively impact our relationships with our international vendors and materially adversely affect our business. Additionally, Congress may include a border adjustment tax as part of tax reform legislation. If such a tax is enacted, we could lose the ability to deduct the cost of the goods we import. Because we import, directly or indirectly through suppliers, the substantial majority of the goods we sell, such a tax could materially increase our federal tax liability. We might then need to increase our retail prices to attempt to cover this increased liability. Any increase in our retail prices could have an adverse impact on our ability to market our goods and services to our target customers.</w:t>
      </w:r>
    </w:p>
    <w:p>
      <w:pPr>
        <w:spacing w:after="0" w:line="6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been subject to the unilateral pricing policies implemented by certain contact lens manufacturers, which policies mandated the minimum prices at which certain contact lenses could be sold to consumers. Such manufacturers could refuse to supply us with their products if they deem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63" w:lineRule="exact"/>
        <w:rPr>
          <w:sz w:val="20"/>
          <w:szCs w:val="20"/>
          <w:color w:val="auto"/>
        </w:rPr>
      </w:pPr>
    </w:p>
    <w:p>
      <w:pPr>
        <w:ind w:right="340" w:firstLine="347"/>
        <w:spacing w:after="0" w:line="271" w:lineRule="auto"/>
        <w:rPr>
          <w:sz w:val="20"/>
          <w:szCs w:val="20"/>
          <w:color w:val="auto"/>
        </w:rPr>
      </w:pPr>
      <w:r>
        <w:rPr>
          <w:rFonts w:ascii="Arial" w:cs="Arial" w:eastAsia="Arial" w:hAnsi="Arial"/>
          <w:sz w:val="17"/>
          <w:szCs w:val="17"/>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8"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optical retail industry is highly competitive, and if we do not compete successfully, our business may be adversely impacted.</w:t>
      </w:r>
    </w:p>
    <w:p>
      <w:pPr>
        <w:spacing w:after="0" w:line="139"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“Business —Our Competition.”</w:t>
      </w:r>
    </w:p>
    <w:p>
      <w:pPr>
        <w:spacing w:after="0" w:line="76"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competitors and to the risk that these competitors or others could attract our customer base. Some of our competitors are vertically integrated and are also engaged in the manufacture and distribution of eyewear as well as managed care. These competitors can leverage this structure to their advantage to better compete and some of these vertically-integrated organizations have significant market power and could potentially use this power in ways that could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62"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a limited number of suppliers.</w:t>
      </w:r>
    </w:p>
    <w:p>
      <w:pPr>
        <w:spacing w:after="0" w:line="117"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 If our suppliers experience difficulties or disruptions in their operations or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w:t>
      </w:r>
    </w:p>
    <w:p>
      <w:pPr>
        <w:spacing w:after="0" w:line="153"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81" w:lineRule="exact"/>
        <w:rPr>
          <w:sz w:val="20"/>
          <w:szCs w:val="20"/>
          <w:color w:val="auto"/>
        </w:rPr>
      </w:pPr>
    </w:p>
    <w:p>
      <w:pPr>
        <w:ind w:right="40" w:firstLine="347"/>
        <w:spacing w:after="0" w:line="277" w:lineRule="auto"/>
        <w:rPr>
          <w:sz w:val="20"/>
          <w:szCs w:val="20"/>
          <w:color w:val="auto"/>
        </w:rPr>
      </w:pPr>
      <w:r>
        <w:rPr>
          <w:rFonts w:ascii="Arial" w:cs="Arial" w:eastAsia="Arial" w:hAnsi="Arial"/>
          <w:sz w:val="16"/>
          <w:szCs w:val="16"/>
          <w:color w:val="auto"/>
        </w:rPr>
        <w:t>We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 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In addition, our customers and employees have a high expectation that we will adequately protect their personal information from cyber-attack or other security breaches. Our business partners may have contractual rights of indemnification against us in the event that their customer or proprietary business information is released as a result of a breach of our information systems. In such an event, these business partners could also seek to terminate our contracts with them.</w:t>
      </w:r>
    </w:p>
    <w:p>
      <w:pPr>
        <w:spacing w:after="0" w:line="67"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14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81" w:lineRule="exact"/>
        <w:rPr>
          <w:sz w:val="20"/>
          <w:szCs w:val="20"/>
          <w:color w:val="auto"/>
        </w:rPr>
      </w:pPr>
    </w:p>
    <w:p>
      <w:pPr>
        <w:ind w:right="80" w:firstLine="347"/>
        <w:spacing w:after="0" w:line="259"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Such systems are subject to damage or interruption from power outages or damages, telecommunications problems, data corruption, software errors, network failures, security breaches, acts of war or terrorist attacks, fire, flood and natural disasters. Our servers could be affected by physical or electronic break-ins, and computer viruses or similar disruptions may occur. A system outage may also cause the loss of important data. Our existing safety systems, data backup, access protection, user management and information technology emergency planning may not be sufficient to prevent data loss or long-term network outages.</w:t>
      </w:r>
    </w:p>
    <w:p>
      <w:pPr>
        <w:spacing w:after="0" w:line="81"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We also depend on our information technology staff. If we cannot meet our staffing needs in this area, we may not be able to fulfill our technology initiatives while continuing to provide maintenance on existing systems.</w:t>
      </w:r>
    </w:p>
    <w:p>
      <w:pPr>
        <w:spacing w:after="0" w:line="76"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We could be required to make significant capital expenditures to remediate any such failure, malfunction or breach with our information technology systems. Further, additional investment needed to upgrade and expand our information technology infrastructure will require significant investment of additional resources and capital, which may not always be available or available on favorable terms. Any material disruption or slowdown of our systems, including those caused by our failure to successfully upgrade our systems, and our inability to convert to alternate systems in an efficient and timely manner could have a material adverse effect on our business, financial condition and results of operations.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An overall decline in the health of the economy and other factors impacting consumer spending, such as the timing and issuance of tax refunds, governmental instability and natural disasters, may affect consumer purchases, which could reduce demand for our products and materially harm our sales, profitability and financial condition.</w:t>
      </w:r>
    </w:p>
    <w:p>
      <w:pPr>
        <w:spacing w:after="0" w:line="62"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August and September of 2017, we temporarily closed certain stores in the Houston, Texas area and in Alabama, Florida and Georgia due to Hurricanes Harvey and Irma, respectively. Although we do not believe these store closures will have a material impact on our business, similar events in the future that are outside of our control could materially adversely affect our sales and profitability.</w:t>
      </w:r>
    </w:p>
    <w:p>
      <w:pPr>
        <w:spacing w:after="0" w:line="63"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Furthermore, our target market, which consists of cost-conscious and low-income consumers, is sensitive to various factors outside of our control. For example, this population relies on tax refunds to pay for eyewear and eye care. A delay in the issuance of tax refunds can accordingly have a negative impact on our financial results. Consumers could also alter how they utilize tax refund proceeds. In addition, periods of instability in the government can also cause this population to either delay or refrain from making such purchases. We believe these factors came into play in the first quarter of fiscal year 2017 and had a negative impact on our financial results when the U.S. Internal Revenue Service, or IRS, announced that tax refunds would be issued significantly later than they had been in 2016. In addition, we believe that instability in the federal government, coupled with a renewed emphasis on immigration matters, further caused our target population to reduce its spending. A continuation of these and similar circumstances could have a material negative impact on our financial performance. Because of the importance of the first quarter for us, a significant downward trend in the first quarter could have a substantial negative impact on our annual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growth strategy could strain our existing resources and cause the performance of our existing stores to suffer.</w:t>
      </w:r>
    </w:p>
    <w:p>
      <w:pPr>
        <w:spacing w:after="0" w:line="116"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8"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As our store base grows, we will need to continually evaluate the adequacy of our laboratory, distribution and information system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For example,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68"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6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67"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81"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Increases in compensation and other expenses for vision care professionals, as well as our other associates, may adversely affect our profitability. Wage and hour regulations, such as regulations issued in 2016 by the U.S. Department of Labor relating to minimum wages and overtime pay, can exacerbate this risk.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155"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81"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in connection with our planned expansion in California, we have launched a national advertising campaign as opposed to our current local advertising campaigns. We cannot provide assurances that a national advertising campaign will be cost-effective or successful or that we will continue such a campaign.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leasing substantial amounts of space, including future increases in occupancy costs.</w:t>
      </w:r>
    </w:p>
    <w:p>
      <w:pPr>
        <w:spacing w:after="0" w:line="127"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We lease our America’s Best and Eyeglass World store locations, our corporate headquarters, the AC Lens corporate office, the FirstSight corporate office, our laboratories in Georgia and Utah and our distribution centers. We also lease our Vista Optical locations inside Fred Meyer stores. As a result, we are susceptible to changes in the property rental market and increases in our occupancy costs.</w:t>
      </w:r>
    </w:p>
    <w:p>
      <w:pPr>
        <w:spacing w:after="0" w:line="72"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68"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repair and maintenance expenses. Our substantial lease obligations could have significant negative consequences, including:</w:t>
      </w:r>
    </w:p>
    <w:p>
      <w:pPr>
        <w:spacing w:after="0" w:line="76" w:lineRule="exact"/>
        <w:rPr>
          <w:sz w:val="20"/>
          <w:szCs w:val="20"/>
          <w:color w:val="auto"/>
        </w:rPr>
      </w:pPr>
    </w:p>
    <w:p>
      <w:pPr>
        <w:ind w:left="680" w:right="180" w:hanging="342"/>
        <w:spacing w:after="0" w:line="287"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reducing cash available for other purposes and reducing our operating profitability;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or in the industry in which we compete; and</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17"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3"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Further, the substantial majority of our leased sites are both currently and in the future expected to be subject to long-term non-cancellable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76"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As we expand our store base, particularly in certain markets that are more expensive, such as California,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8" w:lineRule="exact"/>
        <w:rPr>
          <w:sz w:val="20"/>
          <w:szCs w:val="20"/>
          <w:color w:val="auto"/>
        </w:rPr>
      </w:pPr>
    </w:p>
    <w:p>
      <w:pPr>
        <w:ind w:right="40" w:firstLine="347"/>
        <w:spacing w:after="0" w:line="297" w:lineRule="auto"/>
        <w:rPr>
          <w:sz w:val="20"/>
          <w:szCs w:val="20"/>
          <w:color w:val="auto"/>
        </w:rPr>
      </w:pPr>
      <w:r>
        <w:rPr>
          <w:rFonts w:ascii="Arial" w:cs="Arial" w:eastAsia="Arial" w:hAnsi="Arial"/>
          <w:sz w:val="15"/>
          <w:szCs w:val="15"/>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We also purchase a portion of our products on a closeout basis. Some of these products are obtained through brokers or intermediaries rather than through manufacturers. The closeout nature of a portion of our products sometimes makes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56"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68"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have a significant amount of indebtedness. As of July 1, 2017, prior to giving effect to this offering and the use of proceeds therefrom, we had approximately $929.4 million of aggregate principal amount of indebtedness outstanding (excluding capital lease obligations). Our high degree of leverage could have important consequences for us, including:</w:t>
      </w:r>
    </w:p>
    <w:p>
      <w:pPr>
        <w:spacing w:after="0" w:line="68" w:lineRule="exact"/>
        <w:rPr>
          <w:sz w:val="20"/>
          <w:szCs w:val="20"/>
          <w:color w:val="auto"/>
        </w:rPr>
      </w:pPr>
    </w:p>
    <w:p>
      <w:pPr>
        <w:jc w:val="both"/>
        <w:ind w:left="680" w:right="420" w:hanging="342"/>
        <w:spacing w:after="0" w:line="271"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increasing our vulnerability to adverse economic, industry, or competitive developments;</w:t>
      </w:r>
    </w:p>
    <w:p>
      <w:pPr>
        <w:spacing w:after="0" w:line="117"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restricting us from capitalizing on business opportunities;</w:t>
      </w:r>
    </w:p>
    <w:p>
      <w:pPr>
        <w:spacing w:after="0" w:line="117" w:lineRule="exact"/>
        <w:rPr>
          <w:rFonts w:ascii="Arial" w:cs="Arial" w:eastAsia="Arial" w:hAnsi="Arial"/>
          <w:sz w:val="17"/>
          <w:szCs w:val="17"/>
          <w:color w:val="auto"/>
        </w:rPr>
      </w:pPr>
    </w:p>
    <w:p>
      <w:pPr>
        <w:ind w:left="680" w:right="420" w:hanging="342"/>
        <w:spacing w:after="0" w:line="287"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execution of our business strategy, debt service requirements, acquisitions, and other general corporate purposes; and</w:t>
      </w:r>
    </w:p>
    <w:p>
      <w:pPr>
        <w:spacing w:after="0" w:line="53" w:lineRule="exact"/>
        <w:rPr>
          <w:rFonts w:ascii="Arial" w:cs="Arial" w:eastAsia="Arial" w:hAnsi="Arial"/>
          <w:sz w:val="17"/>
          <w:szCs w:val="17"/>
          <w:color w:val="auto"/>
        </w:rPr>
      </w:pPr>
    </w:p>
    <w:p>
      <w:pPr>
        <w:ind w:left="680" w:right="160" w:hanging="342"/>
        <w:spacing w:after="0" w:line="271"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68"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as of July 1, 2017, after inclusion of $500.0 million interest rate swaps fixing a portion of the variable rate debt, $429.4 million, or 46.2%, of our term loans was subject to variable rates. As a result, an increase in interest rates, whether because of an increase in market interest rates or a decrease in our creditworthiness, could increase the cost of servicing our debt and could materially reduce our profitability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managed vision care laws and regulations.</w:t>
      </w:r>
    </w:p>
    <w:p>
      <w:pPr>
        <w:spacing w:after="0" w:line="11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California Department of Managed Health Care, or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67"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67" w:lineRule="exact"/>
        <w:rPr>
          <w:sz w:val="20"/>
          <w:szCs w:val="20"/>
          <w:color w:val="auto"/>
        </w:rPr>
      </w:pPr>
    </w:p>
    <w:p>
      <w:pPr>
        <w:ind w:right="20" w:firstLine="347"/>
        <w:spacing w:after="0" w:line="27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Furthermore, any changes to or repeal of the Patient Protection and Affordable Care Act, as amended by the Health Care and Education Reconciliation Act, in connection with the new government administration or otherwise, may reduce or eliminate coverage or reimbursement rates of insurance-funded eye exams or eyewear.</w:t>
      </w:r>
    </w:p>
    <w:p>
      <w:pPr>
        <w:spacing w:after="0" w:line="156"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b w:val="1"/>
          <w:bCs w:val="1"/>
          <w:i w:val="1"/>
          <w:iCs w:val="1"/>
          <w:color w:val="auto"/>
        </w:rPr>
        <w:t>Our profitability and cash flows may be negatively affected if we are not successful in managing our inventory balances and inventory shrinkage.</w:t>
      </w:r>
    </w:p>
    <w:p>
      <w:pPr>
        <w:spacing w:after="0" w:line="6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six months ended July 1,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67" w:lineRule="exact"/>
        <w:rPr>
          <w:sz w:val="20"/>
          <w:szCs w:val="20"/>
          <w:color w:val="auto"/>
        </w:rPr>
      </w:pPr>
    </w:p>
    <w:p>
      <w:pPr>
        <w:ind w:right="120" w:firstLine="347"/>
        <w:spacing w:after="0" w:line="301" w:lineRule="auto"/>
        <w:rPr>
          <w:sz w:val="20"/>
          <w:szCs w:val="20"/>
          <w:color w:val="auto"/>
        </w:rPr>
      </w:pPr>
      <w:r>
        <w:rPr>
          <w:rFonts w:ascii="Arial" w:cs="Arial" w:eastAsia="Arial" w:hAnsi="Arial"/>
          <w:sz w:val="15"/>
          <w:szCs w:val="15"/>
          <w:color w:val="auto"/>
        </w:rPr>
        <w:t>Our business is partly dependent on our ability to strategically source a sufficient volume and variety of brand name merchandise at opportunistic pricing. Some of our products are sourced from suppliers on a closeout basis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or closeout merchandise to sell in our stores. To the extent that certain of our suppliers are better able to manage their inventory levels and reduce the amount of their excess inventory, the amount of discount or closeout merchandise available to us could also be materially reduced, potentially compromising profit margin for procured merchandise.</w:t>
      </w:r>
    </w:p>
    <w:p>
      <w:pPr>
        <w:spacing w:after="0" w:line="50"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68"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67" w:lineRule="exact"/>
        <w:rPr>
          <w:sz w:val="20"/>
          <w:szCs w:val="20"/>
          <w:color w:val="auto"/>
        </w:rPr>
      </w:pPr>
    </w:p>
    <w:p>
      <w:pPr>
        <w:ind w:right="540" w:firstLine="347"/>
        <w:spacing w:after="0" w:line="287" w:lineRule="auto"/>
        <w:rPr>
          <w:sz w:val="20"/>
          <w:szCs w:val="20"/>
          <w:color w:val="auto"/>
        </w:rPr>
      </w:pPr>
      <w:r>
        <w:rPr>
          <w:rFonts w:ascii="Arial" w:cs="Arial" w:eastAsia="Arial" w:hAnsi="Arial"/>
          <w:sz w:val="17"/>
          <w:szCs w:val="17"/>
          <w:color w:val="auto"/>
        </w:rPr>
        <w:t>As an e-commerce retailer, we encounter risks and difficulties frequently experienced by internet-based businesses. The successful operation of our e-commerce business as well as our ability to provide a positive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shopping experience that will generate orders and drive subsequent visits depends on efficient and uninterrupted operation of our order-taking and fulfillment operations. Risks associated with our e-commerce business include:</w:t>
      </w:r>
    </w:p>
    <w:p>
      <w:pPr>
        <w:spacing w:after="0" w:line="54" w:lineRule="exact"/>
        <w:rPr>
          <w:sz w:val="20"/>
          <w:szCs w:val="20"/>
          <w:color w:val="auto"/>
        </w:rPr>
      </w:pPr>
    </w:p>
    <w:p>
      <w:pPr>
        <w:ind w:left="680" w:hanging="342"/>
        <w:spacing w:after="0" w:line="323" w:lineRule="auto"/>
        <w:tabs>
          <w:tab w:leader="none" w:pos="6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uncertainties associated with our website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33" w:lineRule="exact"/>
        <w:rPr>
          <w:rFonts w:ascii="Arial" w:cs="Arial" w:eastAsia="Arial" w:hAnsi="Arial"/>
          <w:sz w:val="15"/>
          <w:szCs w:val="15"/>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disruptions in telephone service or power outages;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rapid technology changes;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credit or debit card fraud and other payment processing related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applicable federal, state and international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liability for online content;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cybersecurity and consumer privacy concerns and regulation;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natural disasters or adverse weather conditions.</w:t>
      </w:r>
    </w:p>
    <w:p>
      <w:pPr>
        <w:spacing w:after="0" w:line="117"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or disruption to these websites or our failure to properly provide the services called for by these agreements.</w:t>
      </w:r>
    </w:p>
    <w:p>
      <w:pPr>
        <w:spacing w:after="0" w:line="72"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Office of Foreign Assets Control, or OFAC, the U.S. Foreign Corrupt Practices Act, or the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75"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68"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and inventory levels fluctuate on a seasonal basis.</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Our business is subject to seasonal fluctuation. We typically realize a higher portion of net sales during the first fiscal quarter,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fiscal quarter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72" w:lineRule="exact"/>
        <w:rPr>
          <w:sz w:val="20"/>
          <w:szCs w:val="20"/>
          <w:color w:val="auto"/>
        </w:rPr>
      </w:pPr>
    </w:p>
    <w:p>
      <w:pPr>
        <w:jc w:val="both"/>
        <w:ind w:right="80"/>
        <w:spacing w:after="0" w:line="279" w:lineRule="auto"/>
        <w:rPr>
          <w:sz w:val="20"/>
          <w:szCs w:val="20"/>
          <w:color w:val="auto"/>
        </w:rPr>
      </w:pPr>
      <w:r>
        <w:rPr>
          <w:rFonts w:ascii="Arial" w:cs="Arial" w:eastAsia="Arial" w:hAnsi="Arial"/>
          <w:sz w:val="16"/>
          <w:szCs w:val="16"/>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49"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Technological advances in vision care, including the development of new or improved products, as well as future drug development for the correction of vision-related problems, could make our existing products less attractive or even obsolete. Several companies have developed technologies for the remote delivery of eye examinations and eye refractions.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Our credit agreements impose significant operating and financial restrictions. These covenants may limit our ability and the ability of our subsidiaries, under certain circumstances, to, among other things:</w:t>
      </w:r>
    </w:p>
    <w:p>
      <w:pPr>
        <w:spacing w:after="0" w:line="54" w:lineRule="exact"/>
        <w:rPr>
          <w:sz w:val="20"/>
          <w:szCs w:val="20"/>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firstLine="347"/>
        <w:spacing w:after="0" w:line="301" w:lineRule="auto"/>
        <w:rPr>
          <w:sz w:val="20"/>
          <w:szCs w:val="20"/>
          <w:color w:val="auto"/>
        </w:rPr>
      </w:pPr>
      <w:r>
        <w:rPr>
          <w:rFonts w:ascii="Arial" w:cs="Arial" w:eastAsia="Arial" w:hAnsi="Arial"/>
          <w:sz w:val="15"/>
          <w:szCs w:val="15"/>
          <w:color w:val="auto"/>
        </w:rPr>
        <w:t>Our credit agreements also contain certain customary affirmative covenants and events of default, including a change of control. The first lien credit agreement also contains a springing financial maintenance requirement with respect to the revolving credit facility, prohibiting us from exceeding a certain first lien secured leverage ratio under certain circumstances.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50" w:lineRule="exact"/>
        <w:rPr>
          <w:sz w:val="20"/>
          <w:szCs w:val="20"/>
          <w:color w:val="auto"/>
        </w:rPr>
      </w:pPr>
    </w:p>
    <w:p>
      <w:pPr>
        <w:ind w:right="60" w:firstLine="347"/>
        <w:spacing w:after="0" w:line="301" w:lineRule="auto"/>
        <w:rPr>
          <w:sz w:val="20"/>
          <w:szCs w:val="20"/>
          <w:color w:val="auto"/>
        </w:rPr>
      </w:pPr>
      <w:r>
        <w:rPr>
          <w:rFonts w:ascii="Arial" w:cs="Arial" w:eastAsia="Arial" w:hAnsi="Arial"/>
          <w:sz w:val="15"/>
          <w:szCs w:val="15"/>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67"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w:t>
      </w:r>
    </w:p>
    <w:p>
      <w:pPr>
        <w:spacing w:after="0" w:line="76" w:lineRule="exact"/>
        <w:rPr>
          <w:sz w:val="20"/>
          <w:szCs w:val="20"/>
          <w:color w:val="auto"/>
        </w:rPr>
      </w:pPr>
    </w:p>
    <w:p>
      <w:pPr>
        <w:ind w:right="40" w:firstLine="347"/>
        <w:spacing w:after="0" w:line="258" w:lineRule="auto"/>
        <w:rPr>
          <w:sz w:val="20"/>
          <w:szCs w:val="20"/>
          <w:color w:val="auto"/>
        </w:rPr>
      </w:pPr>
      <w:r>
        <w:rPr>
          <w:rFonts w:ascii="Arial" w:cs="Arial" w:eastAsia="Arial" w:hAnsi="Arial"/>
          <w:sz w:val="17"/>
          <w:szCs w:val="17"/>
          <w:color w:val="auto"/>
        </w:rPr>
        <w:t>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67" w:lineRule="exact"/>
        <w:rPr>
          <w:sz w:val="20"/>
          <w:szCs w:val="20"/>
          <w:color w:val="auto"/>
        </w:rPr>
      </w:pPr>
    </w:p>
    <w:p>
      <w:pPr>
        <w:ind w:right="140" w:firstLine="347"/>
        <w:spacing w:after="0" w:line="260" w:lineRule="auto"/>
        <w:rPr>
          <w:sz w:val="20"/>
          <w:szCs w:val="20"/>
          <w:color w:val="auto"/>
        </w:rPr>
      </w:pPr>
      <w:r>
        <w:rPr>
          <w:rFonts w:ascii="Arial" w:cs="Arial" w:eastAsia="Arial" w:hAnsi="Arial"/>
          <w:sz w:val="17"/>
          <w:szCs w:val="17"/>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9"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Further, the Federal Trade Commission, or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59"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three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54"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Additionally, because we accept debit and credit cards for payment, we are subject to the Payment Card Industry Data Security Standard, or the PCI Standard, issued by the Payment Card Industry Security Standards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67"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From time to time, we are subject to allegations, and may be party to legal claims and regulatory proceedings, relating to our business operations. See “Business—Legal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may not be able to adequately protect our intellectual property, which could harm the value of our brand and adversely affect our business.</w:t>
      </w:r>
    </w:p>
    <w:p>
      <w:pPr>
        <w:spacing w:after="0" w:line="67"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81"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incur immediate and substantial dilution.</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Prior stockholders have paid substantially less per share of our common stock than the price in this offering. The initial public offering price per share of our common stock will be substantially higher than the pro forma net tangible book deficit per share of outstanding common stock prior to completion of this offering. Based 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tabs>
          <w:tab w:leader="none" w:pos="6060" w:val="left"/>
        </w:tabs>
        <w:rPr>
          <w:sz w:val="20"/>
          <w:szCs w:val="20"/>
          <w:color w:val="auto"/>
        </w:rPr>
      </w:pPr>
      <w:r>
        <w:rPr>
          <w:rFonts w:ascii="Arial" w:cs="Arial" w:eastAsia="Arial" w:hAnsi="Arial"/>
          <w:sz w:val="17"/>
          <w:szCs w:val="17"/>
          <w:color w:val="auto"/>
        </w:rPr>
        <w:t>our net tangible book deficit as of July 1, 2017 and upon the issuance and sale of</w:t>
      </w:r>
      <w:r>
        <w:rPr>
          <w:sz w:val="20"/>
          <w:szCs w:val="20"/>
          <w:color w:val="auto"/>
        </w:rPr>
        <w:tab/>
      </w:r>
      <w:r>
        <w:rPr>
          <w:rFonts w:ascii="Arial" w:cs="Arial" w:eastAsia="Arial" w:hAnsi="Arial"/>
          <w:sz w:val="15"/>
          <w:szCs w:val="15"/>
          <w:color w:val="auto"/>
        </w:rPr>
        <w:t>shares of our common stock by us at an</w:t>
      </w:r>
    </w:p>
    <w:p>
      <w:pPr>
        <w:spacing w:after="0" w:line="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assumed initial public offering price of $ per share (the mid-point of the estimated offering price range set forth on the cover page of this prospectus), if you purchase our common stock in this offering, you will pay more for your shares than the amounts paid by our existing stockholders for their shares and you will suffer immediate dilution of approximately $ per share. Dilution is the amount by which the offering price paid by purchasers of our common stock in this offering will exceed the pro forma as adjusted net tangible book value (deficit) per share of our common stock upon completion of this offering. If the underwriters exercise their option to purchase additional shares, or if outstanding options to purchase our common stock are exercised, you will experience additional dilution. You may experience additional dilution upon future equity issuances or the exercise of options to purchase our common stock granted to our employees, executive officers and directors under our 2014 Stock Incentive Plan, our 2017 Omnibus Incentive Plan or other equity compensation plans. See “Dilution.”</w:t>
      </w:r>
    </w:p>
    <w:p>
      <w:pPr>
        <w:spacing w:after="0" w:line="169"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31"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Related to Our Business” and the following:</w:t>
      </w:r>
    </w:p>
    <w:p>
      <w:pPr>
        <w:spacing w:after="0" w:line="68" w:lineRule="exact"/>
        <w:rPr>
          <w:sz w:val="20"/>
          <w:szCs w:val="20"/>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17" w:lineRule="exact"/>
        <w:rPr>
          <w:rFonts w:ascii="Arial" w:cs="Arial" w:eastAsia="Arial" w:hAnsi="Arial"/>
          <w:sz w:val="17"/>
          <w:szCs w:val="17"/>
          <w:color w:val="auto"/>
        </w:rPr>
      </w:pPr>
    </w:p>
    <w:p>
      <w:pPr>
        <w:ind w:left="680" w:right="98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economic conditions for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optical retail companies;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117" w:lineRule="exact"/>
        <w:rPr>
          <w:rFonts w:ascii="Arial" w:cs="Arial" w:eastAsia="Arial" w:hAnsi="Arial"/>
          <w:sz w:val="17"/>
          <w:szCs w:val="17"/>
          <w:color w:val="auto"/>
        </w:rPr>
      </w:pPr>
    </w:p>
    <w:p>
      <w:pPr>
        <w:ind w:left="680" w:right="180" w:hanging="342"/>
        <w:spacing w:after="0" w:line="271"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preference of our customers;</w:t>
      </w:r>
    </w:p>
    <w:p>
      <w:pPr>
        <w:spacing w:after="0" w:line="117" w:lineRule="exact"/>
        <w:rPr>
          <w:rFonts w:ascii="Arial" w:cs="Arial" w:eastAsia="Arial" w:hAnsi="Arial"/>
          <w:sz w:val="17"/>
          <w:szCs w:val="17"/>
          <w:color w:val="auto"/>
        </w:rPr>
      </w:pPr>
    </w:p>
    <w:p>
      <w:pPr>
        <w:ind w:left="680" w:right="10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the economy as a whole and, in particular, in the consumer spending environment;</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w:t>
      </w:r>
    </w:p>
    <w:p>
      <w:pPr>
        <w:spacing w:after="0" w:line="117"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53"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relating to litigation or governmental investigations;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240" w:hanging="342"/>
        <w:spacing w:after="0" w:line="287"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informational technology system failures and disruptions, natural disasters, war, acts of terrorism or responses to these events.</w:t>
      </w:r>
    </w:p>
    <w:p>
      <w:pPr>
        <w:spacing w:after="0" w:line="54" w:lineRule="exact"/>
        <w:rPr>
          <w:sz w:val="20"/>
          <w:szCs w:val="20"/>
          <w:color w:val="auto"/>
        </w:rPr>
      </w:pPr>
    </w:p>
    <w:p>
      <w:pPr>
        <w:jc w:val="both"/>
        <w:ind w:right="100" w:firstLine="347"/>
        <w:spacing w:after="0" w:line="266" w:lineRule="auto"/>
        <w:rPr>
          <w:sz w:val="20"/>
          <w:szCs w:val="20"/>
          <w:color w:val="auto"/>
        </w:rPr>
      </w:pPr>
      <w:r>
        <w:rPr>
          <w:rFonts w:ascii="Arial" w:cs="Arial" w:eastAsia="Arial" w:hAnsi="Arial"/>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2"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59"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7" w:lineRule="exact"/>
        <w:rPr>
          <w:sz w:val="20"/>
          <w:szCs w:val="20"/>
          <w:color w:val="auto"/>
        </w:rPr>
      </w:pPr>
    </w:p>
    <w:p>
      <w:pPr>
        <w:ind w:right="220" w:firstLine="347"/>
        <w:spacing w:after="0" w:line="303" w:lineRule="auto"/>
        <w:rPr>
          <w:sz w:val="20"/>
          <w:szCs w:val="20"/>
          <w:color w:val="auto"/>
        </w:rPr>
      </w:pPr>
      <w:r>
        <w:rPr>
          <w:rFonts w:ascii="Arial" w:cs="Arial" w:eastAsia="Arial" w:hAnsi="Arial"/>
          <w:sz w:val="15"/>
          <w:szCs w:val="15"/>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w:t>
      </w:r>
    </w:p>
    <w:p>
      <w:pPr>
        <w:spacing w:after="0" w:line="49"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As a result, you may not receive any return on an investment in our common stock unless you sell our common stock for a price greater than your purchase price.</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7" w:lineRule="exact"/>
        <w:rPr>
          <w:sz w:val="20"/>
          <w:szCs w:val="20"/>
          <w:color w:val="auto"/>
        </w:rPr>
      </w:pPr>
    </w:p>
    <w:p>
      <w:pPr>
        <w:ind w:right="20" w:firstLine="347"/>
        <w:spacing w:after="0" w:line="307" w:lineRule="auto"/>
        <w:rPr>
          <w:sz w:val="20"/>
          <w:szCs w:val="20"/>
          <w:color w:val="auto"/>
        </w:rPr>
      </w:pPr>
      <w:r>
        <w:rPr>
          <w:rFonts w:ascii="Arial" w:cs="Arial" w:eastAsia="Arial" w:hAnsi="Arial"/>
          <w:sz w:val="15"/>
          <w:szCs w:val="15"/>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35"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67"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81"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of 2002, or the Sarbanes-Oxley Act, and the Dodd-Frank Wall Street Reform and Consumer Protection Act, or the Dodd-Frank Act, as well as rules and regulations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time-consuming and costly. Our management will need to devote a substantial amount of time to ensure that we comply with all of these requirements, diverting the attention of management away from revenue- 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83"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i w:val="1"/>
          <w:iCs w:val="1"/>
          <w:color w:val="auto"/>
        </w:rPr>
        <w:t>Failure to comply with requirements to design, implement and maintain effective internal controls could have a material adverse effect on our business and stock price. We currently have material weaknesses in our internal control over financial reporting.</w:t>
      </w:r>
    </w:p>
    <w:p>
      <w:pPr>
        <w:spacing w:after="0" w:line="8" w:lineRule="exact"/>
        <w:rPr>
          <w:sz w:val="20"/>
          <w:szCs w:val="20"/>
          <w:color w:val="auto"/>
        </w:rPr>
      </w:pPr>
    </w:p>
    <w:p>
      <w:pPr>
        <w:ind w:right="280" w:firstLine="347"/>
        <w:spacing w:after="0" w:line="320" w:lineRule="auto"/>
        <w:rPr>
          <w:sz w:val="20"/>
          <w:szCs w:val="20"/>
          <w:color w:val="auto"/>
        </w:rPr>
      </w:pPr>
      <w:r>
        <w:rPr>
          <w:rFonts w:ascii="Arial" w:cs="Arial" w:eastAsia="Arial" w:hAnsi="Arial"/>
          <w:sz w:val="16"/>
          <w:szCs w:val="16"/>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31"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effectiveness of our internal controls in the second annual report following the completion of this offering.</w:t>
      </w:r>
    </w:p>
    <w:p>
      <w:pPr>
        <w:spacing w:after="0" w:line="7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76"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color w:val="auto"/>
        </w:rPr>
        <w:t>We have recently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the six months ended July 1,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$7.6 million, $5.9 million, and $1.7 million for fiscal years ended 2016 and 2015, the 2014 Successor period, and the 2014 Predecessor period, respectively. We are in the process of designing controls to remediate these material weaknesses. These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72" w:lineRule="exact"/>
        <w:rPr>
          <w:sz w:val="20"/>
          <w:szCs w:val="20"/>
          <w:color w:val="auto"/>
        </w:rPr>
      </w:pPr>
    </w:p>
    <w:p>
      <w:pPr>
        <w:ind w:firstLine="347"/>
        <w:spacing w:after="0" w:line="312"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67"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7" w:lineRule="exact"/>
        <w:rPr>
          <w:sz w:val="20"/>
          <w:szCs w:val="20"/>
          <w:color w:val="auto"/>
        </w:rPr>
      </w:pPr>
    </w:p>
    <w:p>
      <w:pPr>
        <w:jc w:val="both"/>
        <w:ind w:right="80" w:firstLine="347"/>
        <w:spacing w:after="0" w:line="266"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2" w:lineRule="exact"/>
        <w:rPr>
          <w:sz w:val="20"/>
          <w:szCs w:val="20"/>
          <w:color w:val="auto"/>
        </w:rPr>
      </w:pPr>
    </w:p>
    <w:p>
      <w:pPr>
        <w:ind w:right="40" w:firstLine="347"/>
        <w:spacing w:after="0" w:line="280" w:lineRule="auto"/>
        <w:rPr>
          <w:sz w:val="20"/>
          <w:szCs w:val="20"/>
          <w:color w:val="auto"/>
        </w:rPr>
      </w:pPr>
      <w:r>
        <w:rPr>
          <w:rFonts w:ascii="Arial" w:cs="Arial" w:eastAsia="Arial" w:hAnsi="Arial"/>
          <w:sz w:val="16"/>
          <w:szCs w:val="16"/>
          <w:color w:val="auto"/>
        </w:rPr>
        <w:t>Upon completion of this offering, we will have a total of shares of our common stock outstanding ( shares if the underwriters exercise their option to purchase additional shares). Of the outstanding shares, the shares sold in this offering (or</w:t>
      </w:r>
    </w:p>
    <w:p>
      <w:pPr>
        <w:ind w:right="60" w:firstLine="434"/>
        <w:spacing w:after="0" w:line="260" w:lineRule="auto"/>
        <w:rPr>
          <w:sz w:val="20"/>
          <w:szCs w:val="20"/>
          <w:color w:val="auto"/>
        </w:rPr>
      </w:pPr>
      <w:r>
        <w:rPr>
          <w:rFonts w:ascii="Arial" w:cs="Arial" w:eastAsia="Arial" w:hAnsi="Arial"/>
          <w:sz w:val="17"/>
          <w:szCs w:val="17"/>
          <w:color w:val="auto"/>
        </w:rPr>
        <w:t>shares if the underwriters exercise their option to purchase additional shares) will be freely tradable without restriction or further registration under the Securities Act of 1933, as amended, or the Securities Act, except that any shares held by our affiliates, as that term is defined under Rule 144 of the Securities Act, or Rule 144, including our directors, executive officers and other affiliates (including affiliates of KKR Sponsor and affiliates of Berkshire), may be sold only in compliance with the limitations described in “Shares Eligible for Future Sale.”</w:t>
      </w:r>
    </w:p>
    <w:p>
      <w:pPr>
        <w:spacing w:after="0" w:line="76" w:lineRule="exact"/>
        <w:rPr>
          <w:sz w:val="20"/>
          <w:szCs w:val="20"/>
          <w:color w:val="auto"/>
        </w:rPr>
      </w:pPr>
    </w:p>
    <w:p>
      <w:pPr>
        <w:ind w:left="340"/>
        <w:spacing w:after="0"/>
        <w:tabs>
          <w:tab w:leader="none" w:pos="2680" w:val="left"/>
        </w:tabs>
        <w:rPr>
          <w:sz w:val="20"/>
          <w:szCs w:val="20"/>
          <w:color w:val="auto"/>
        </w:rPr>
      </w:pPr>
      <w:r>
        <w:rPr>
          <w:rFonts w:ascii="Arial" w:cs="Arial" w:eastAsia="Arial" w:hAnsi="Arial"/>
          <w:sz w:val="17"/>
          <w:szCs w:val="17"/>
          <w:color w:val="auto"/>
        </w:rPr>
        <w:t>The remaining outstanding</w:t>
      </w:r>
      <w:r>
        <w:rPr>
          <w:sz w:val="20"/>
          <w:szCs w:val="20"/>
          <w:color w:val="auto"/>
        </w:rPr>
        <w:tab/>
      </w:r>
      <w:r>
        <w:rPr>
          <w:rFonts w:ascii="Arial" w:cs="Arial" w:eastAsia="Arial" w:hAnsi="Arial"/>
          <w:sz w:val="15"/>
          <w:szCs w:val="15"/>
          <w:color w:val="auto"/>
        </w:rPr>
        <w:t>shares of common stock held by our existing stockholders after this offering, representing</w:t>
      </w:r>
    </w:p>
    <w:p>
      <w:pPr>
        <w:spacing w:after="0" w:line="25" w:lineRule="exact"/>
        <w:rPr>
          <w:sz w:val="20"/>
          <w:szCs w:val="20"/>
          <w:color w:val="auto"/>
        </w:rPr>
      </w:pPr>
    </w:p>
    <w:p>
      <w:pPr>
        <w:ind w:firstLine="130"/>
        <w:spacing w:after="0" w:line="261" w:lineRule="auto"/>
        <w:tabs>
          <w:tab w:leader="none" w:pos="318" w:val="left"/>
        </w:tabs>
        <w:numPr>
          <w:ilvl w:val="0"/>
          <w:numId w:val="40"/>
        </w:numPr>
        <w:rPr>
          <w:rFonts w:ascii="Arial" w:cs="Arial" w:eastAsia="Arial" w:hAnsi="Arial"/>
          <w:sz w:val="17"/>
          <w:szCs w:val="17"/>
          <w:color w:val="auto"/>
        </w:rPr>
      </w:pPr>
      <w:r>
        <w:rPr>
          <w:rFonts w:ascii="Arial" w:cs="Arial" w:eastAsia="Arial" w:hAnsi="Arial"/>
          <w:sz w:val="17"/>
          <w:szCs w:val="17"/>
          <w:color w:val="auto"/>
        </w:rPr>
        <w:t>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76"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In connection with this offering, we, our directors and executive officers and holders of % of our common stock prior to this offering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the representative of the underwriters. See “Underwriting (Conflicts of Interest)” for a description of these lock-up agreements.</w:t>
      </w:r>
    </w:p>
    <w:p>
      <w:pPr>
        <w:spacing w:after="0" w:line="59" w:lineRule="exact"/>
        <w:rPr>
          <w:sz w:val="20"/>
          <w:szCs w:val="20"/>
          <w:color w:val="auto"/>
        </w:rPr>
      </w:pPr>
    </w:p>
    <w:p>
      <w:pPr>
        <w:jc w:val="both"/>
        <w:ind w:right="180" w:firstLine="347"/>
        <w:spacing w:after="0" w:line="280" w:lineRule="auto"/>
        <w:rPr>
          <w:sz w:val="20"/>
          <w:szCs w:val="20"/>
          <w:color w:val="auto"/>
        </w:rPr>
      </w:pPr>
      <w:r>
        <w:rPr>
          <w:rFonts w:ascii="Arial" w:cs="Arial" w:eastAsia="Arial" w:hAnsi="Arial"/>
          <w:sz w:val="16"/>
          <w:szCs w:val="16"/>
          <w:color w:val="auto"/>
        </w:rPr>
        <w:t>Upon the expiration of the lock-up agreements described above, all of such shares will be eligible for resale in a public market, subject, in the case of shares held by our affiliates, to volume, manner of sale and other limitations under Rule 144.</w:t>
      </w:r>
    </w:p>
    <w:p>
      <w:pPr>
        <w:spacing w:after="0"/>
        <w:rPr>
          <w:sz w:val="20"/>
          <w:szCs w:val="20"/>
          <w:color w:val="auto"/>
        </w:rPr>
      </w:pPr>
      <w:r>
        <w:rPr>
          <w:rFonts w:ascii="Arial" w:cs="Arial" w:eastAsia="Arial" w:hAnsi="Arial"/>
          <w:sz w:val="16"/>
          <w:szCs w:val="16"/>
          <w:color w:val="auto"/>
        </w:rPr>
        <w:t>We expect that KKR Sponsor and certain of its affiliates will be considered an affiliate upon the expiration of the lock-up period</w:t>
      </w:r>
    </w:p>
    <w:p>
      <w:pPr>
        <w:spacing w:after="0" w:line="25" w:lineRule="exact"/>
        <w:rPr>
          <w:sz w:val="20"/>
          <w:szCs w:val="20"/>
          <w:color w:val="auto"/>
        </w:rPr>
      </w:pPr>
    </w:p>
    <w:p>
      <w:pPr>
        <w:spacing w:after="0" w:line="434" w:lineRule="auto"/>
        <w:rPr>
          <w:sz w:val="20"/>
          <w:szCs w:val="20"/>
          <w:color w:val="auto"/>
        </w:rPr>
      </w:pPr>
      <w:r>
        <w:rPr>
          <w:rFonts w:ascii="Arial" w:cs="Arial" w:eastAsia="Arial" w:hAnsi="Arial"/>
          <w:sz w:val="15"/>
          <w:szCs w:val="15"/>
          <w:color w:val="auto"/>
        </w:rPr>
        <w:t>based on their expected share ownership (consisting of shares), as well as their board nomination rights. We also expect that Berkshire and certain of its affiliates will be considered an affiliate upon the expiration of the lock-up period based on their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share ownership (consisting of shares), as well as their board nomination rights. Certain other of our stockholders may also be considered affiliates at that time.</w:t>
      </w:r>
    </w:p>
    <w:p>
      <w:pPr>
        <w:spacing w:after="0" w:line="54"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In addition, pursuant to a registration rights agreement, each of the Sponsors has the right, subject to certain conditions, to require us to register the sale of their shares of our common stock under the Securities Act. See “Certain Relationships and Related Party Transactions―Registration Rights Agreement.” By exercising 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registration rights and selling a large number of shares, a Sponsor could cause the prevailing market price of our common stock to decline.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59" w:lineRule="exact"/>
        <w:rPr>
          <w:sz w:val="20"/>
          <w:szCs w:val="20"/>
          <w:color w:val="auto"/>
        </w:rPr>
      </w:pPr>
    </w:p>
    <w:p>
      <w:pPr>
        <w:ind w:right="40" w:firstLine="347"/>
        <w:spacing w:after="0" w:line="293" w:lineRule="auto"/>
        <w:rPr>
          <w:sz w:val="20"/>
          <w:szCs w:val="20"/>
          <w:color w:val="auto"/>
        </w:rPr>
      </w:pPr>
      <w:r>
        <w:rPr>
          <w:rFonts w:ascii="Arial" w:cs="Arial" w:eastAsia="Arial" w:hAnsi="Arial"/>
          <w:sz w:val="15"/>
          <w:szCs w:val="15"/>
          <w:color w:val="auto"/>
        </w:rPr>
        <w:t>In addition, shares of our common stock will be eligible for sale upon exercise of vested options. As soon as practicable following this offering, we intend to file one or more registration statements on Form S-8 under the Securities Act to register all shares of our common stock subject to outstanding stock options and the shares of our common stock subject to issuance under our 2014 Stock Incentive Plan and our 2017 Omnibus Incentive Plan to be adopted in connection with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w:t>
      </w:r>
    </w:p>
    <w:p>
      <w:pPr>
        <w:spacing w:after="0"/>
        <w:tabs>
          <w:tab w:leader="none" w:pos="5700" w:val="left"/>
        </w:tabs>
        <w:rPr>
          <w:sz w:val="20"/>
          <w:szCs w:val="20"/>
          <w:color w:val="auto"/>
        </w:rPr>
      </w:pPr>
      <w:r>
        <w:rPr>
          <w:rFonts w:ascii="Arial" w:cs="Arial" w:eastAsia="Arial" w:hAnsi="Arial"/>
          <w:sz w:val="17"/>
          <w:szCs w:val="17"/>
          <w:color w:val="auto"/>
        </w:rPr>
        <w:t>2014 Stock Incentive Plan and the 2017 Omnibus Incentive Plan will cover</w:t>
      </w:r>
      <w:r>
        <w:rPr>
          <w:sz w:val="20"/>
          <w:szCs w:val="20"/>
          <w:color w:val="auto"/>
        </w:rPr>
        <w:tab/>
      </w:r>
      <w:r>
        <w:rPr>
          <w:rFonts w:ascii="Arial" w:cs="Arial" w:eastAsia="Arial" w:hAnsi="Arial"/>
          <w:sz w:val="15"/>
          <w:szCs w:val="15"/>
          <w:color w:val="auto"/>
        </w:rPr>
        <w:t>shares of our common stock.</w:t>
      </w:r>
    </w:p>
    <w:p>
      <w:pPr>
        <w:spacing w:after="0" w:line="105"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2" w:lineRule="exact"/>
        <w:rPr>
          <w:sz w:val="20"/>
          <w:szCs w:val="20"/>
          <w:color w:val="auto"/>
        </w:rPr>
      </w:pPr>
    </w:p>
    <w:p>
      <w:pPr>
        <w:ind w:right="280" w:firstLine="347"/>
        <w:spacing w:after="0" w:line="266"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6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i w:val="1"/>
          <w:iCs w:val="1"/>
          <w:color w:val="auto"/>
        </w:rPr>
        <w:t>We will be a “controlled company” within the meaning of NASDAQ rules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2" w:lineRule="exact"/>
        <w:rPr>
          <w:sz w:val="20"/>
          <w:szCs w:val="20"/>
          <w:color w:val="auto"/>
        </w:rPr>
      </w:pPr>
    </w:p>
    <w:p>
      <w:pPr>
        <w:ind w:right="260" w:firstLine="347"/>
        <w:spacing w:after="0" w:line="263" w:lineRule="auto"/>
        <w:rPr>
          <w:sz w:val="20"/>
          <w:szCs w:val="20"/>
          <w:color w:val="auto"/>
        </w:rPr>
      </w:pPr>
      <w:r>
        <w:rPr>
          <w:rFonts w:ascii="Arial" w:cs="Arial" w:eastAsia="Arial" w:hAnsi="Arial"/>
          <w:sz w:val="17"/>
          <w:szCs w:val="17"/>
          <w:color w:val="auto"/>
        </w:rPr>
        <w:t>After completion of this offering, the Sponsors will continue to control a majority of the voting power of our outstanding common stock.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76" w:lineRule="exact"/>
        <w:rPr>
          <w:sz w:val="20"/>
          <w:szCs w:val="20"/>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majority of our Board of Directors consist of “independent directors” as defined under the rules of NASDAQ;</w:t>
      </w:r>
    </w:p>
    <w:p>
      <w:pPr>
        <w:spacing w:after="0" w:line="117" w:lineRule="exact"/>
        <w:rPr>
          <w:rFonts w:ascii="Arial" w:cs="Arial" w:eastAsia="Arial" w:hAnsi="Arial"/>
          <w:sz w:val="17"/>
          <w:szCs w:val="17"/>
          <w:color w:val="auto"/>
        </w:rPr>
      </w:pPr>
    </w:p>
    <w:p>
      <w:pPr>
        <w:ind w:left="680" w:right="160" w:hanging="342"/>
        <w:spacing w:after="0" w:line="287"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of Directors have a compensation committee that is composed entirely of independent directors with a written charter addressing the committee purpose and responsibilities; and</w:t>
      </w:r>
    </w:p>
    <w:p>
      <w:pPr>
        <w:spacing w:after="0" w:line="53" w:lineRule="exact"/>
        <w:rPr>
          <w:rFonts w:ascii="Arial" w:cs="Arial" w:eastAsia="Arial" w:hAnsi="Arial"/>
          <w:sz w:val="17"/>
          <w:szCs w:val="17"/>
          <w:color w:val="auto"/>
        </w:rPr>
      </w:pPr>
    </w:p>
    <w:p>
      <w:pPr>
        <w:jc w:val="both"/>
        <w:ind w:left="680" w:right="260" w:hanging="342"/>
        <w:spacing w:after="0" w:line="271"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68"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Following this offering, we intend to utilize these exemptions. As a result, we will not have a majority of independent directors, our compensation committee will not consist entirely of independent directors and we will have no nominating/corporate governance committee. Accordingly, you will not have the same protections afforded to stockholders of companies that are subject to all of the corporate governance requirements of NASDAQ.</w:t>
      </w:r>
    </w:p>
    <w:p>
      <w:pPr>
        <w:spacing w:after="0" w:line="72" w:lineRule="exact"/>
        <w:rPr>
          <w:sz w:val="20"/>
          <w:szCs w:val="20"/>
          <w:color w:val="auto"/>
        </w:rPr>
      </w:pPr>
    </w:p>
    <w:p>
      <w:pPr>
        <w:ind w:right="140" w:firstLine="347"/>
        <w:spacing w:after="0" w:line="307" w:lineRule="auto"/>
        <w:rPr>
          <w:sz w:val="20"/>
          <w:szCs w:val="20"/>
          <w:color w:val="auto"/>
        </w:rPr>
      </w:pPr>
      <w:r>
        <w:rPr>
          <w:rFonts w:ascii="Arial" w:cs="Arial" w:eastAsia="Arial" w:hAnsi="Arial"/>
          <w:sz w:val="15"/>
          <w:szCs w:val="15"/>
          <w:color w:val="auto"/>
        </w:rPr>
        <w:t>In addition, on June 20, 2012, the SEC adopted Rule 10C-1, under the Securities Exchange Act of 1934, as amended, or the Exchange Act, to implement provisions of the Dodd-Frank Act, pertaining to compensation committee independence and the role and disclosure of compensation consultants and other advisers to the compensation committee. The national securities exchanges (including NASDAQ) have since adopted amendments to their existing listing standards to comply with provisions of Rule 10C-1, and on January 11, 2013, the SEC approved such amendments. The amended listing standards require, among others, that: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560" w:hanging="342"/>
        <w:spacing w:after="0" w:line="287"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compensation committees be composed of fully independent directors, as determined pursuant to new and existing independence requirements;</w:t>
      </w:r>
    </w:p>
    <w:p>
      <w:pPr>
        <w:spacing w:after="0" w:line="53"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compensation committees be explicitly charged with hiring and overseeing compensation consultants, legal counsel and other committee advisers; and</w:t>
      </w:r>
    </w:p>
    <w:p>
      <w:pPr>
        <w:spacing w:after="0" w:line="53"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“controlled company,” we will not be subject to these compensation committee independence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Immediately following this offering, the Sponsors will beneficially own % of our common stock, or % if the underwriters exercise in full their option to purchase additional shares. As a result, the Sponsors will be able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63"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Our Sponsors and their affiliates are in the business of making investments in companies and may from time to time acquire and hold interests in businesses that compete directly or indirectly with us. Our amended and restated certificate of incorporation will provide that none of the Sponsors,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6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provisions will provide for, among other things:</w:t>
      </w:r>
    </w:p>
    <w:p>
      <w:pPr>
        <w:spacing w:after="0" w:line="117" w:lineRule="exact"/>
        <w:rPr>
          <w:sz w:val="20"/>
          <w:szCs w:val="20"/>
          <w:color w:val="auto"/>
        </w:rPr>
      </w:pPr>
    </w:p>
    <w:p>
      <w:pPr>
        <w:ind w:left="680" w:right="340" w:hanging="342"/>
        <w:spacing w:after="0" w:line="28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classified board of directors, as a result of which our Board of Directors will be divided into three classes, with each class serving for staggered three-year terms;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117" w:lineRule="exact"/>
        <w:rPr>
          <w:rFonts w:ascii="Arial" w:cs="Arial" w:eastAsia="Arial" w:hAnsi="Arial"/>
          <w:sz w:val="17"/>
          <w:szCs w:val="17"/>
          <w:color w:val="auto"/>
        </w:rPr>
      </w:pPr>
    </w:p>
    <w:p>
      <w:pPr>
        <w:ind w:left="680" w:right="280" w:hanging="342"/>
        <w:spacing w:after="0" w:line="28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advance notice requirements for nominations of directors by stockholders and for stockholders to include matters to be considered at our annual meetings;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both"/>
        <w:ind w:left="680" w:hanging="342"/>
        <w:spacing w:after="0" w:line="241" w:lineRule="auto"/>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83" w:lineRule="exact"/>
        <w:rPr>
          <w:rFonts w:ascii="Arial" w:cs="Arial" w:eastAsia="Arial" w:hAnsi="Arial"/>
          <w:sz w:val="16"/>
          <w:szCs w:val="16"/>
          <w:color w:val="auto"/>
        </w:rPr>
      </w:pPr>
    </w:p>
    <w:p>
      <w:pPr>
        <w:ind w:left="680" w:right="40" w:hanging="342"/>
        <w:spacing w:after="0" w:line="225"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that certain provisions may be amended only by the affirmative vote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3"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72"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b w:val="1"/>
          <w:bCs w:val="1"/>
          <w:i w:val="1"/>
          <w:iCs w:val="1"/>
          <w:color w:val="auto"/>
        </w:rPr>
        <w:t>Our Board of Directors will be authorized to issue and designate shares of our preferred stock in additional series without stockholder approval.</w:t>
      </w:r>
    </w:p>
    <w:p>
      <w:pPr>
        <w:spacing w:after="0" w:line="5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Our amended and restated certificate of incorporation will authorize our Board of Directors, without the approval of our</w:t>
      </w:r>
    </w:p>
    <w:p>
      <w:pPr>
        <w:spacing w:after="0" w:line="2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6"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72"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63"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Certain matters we discuss in this prospectus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are included throughout this prospectus, including in the sections entitled “Prospectus Summary,” “Risk Factors,” “Management’s Discussion and Analysis of Financial Condition and Results of Operations” and “Business,” and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8" w:lineRule="exact"/>
        <w:rPr>
          <w:sz w:val="20"/>
          <w:szCs w:val="20"/>
          <w:color w:val="auto"/>
        </w:rPr>
      </w:pPr>
    </w:p>
    <w:p>
      <w:pPr>
        <w:jc w:val="both"/>
        <w:ind w:right="260" w:firstLine="347"/>
        <w:spacing w:after="0" w:line="296" w:lineRule="auto"/>
        <w:rPr>
          <w:sz w:val="20"/>
          <w:szCs w:val="20"/>
          <w:color w:val="auto"/>
        </w:rPr>
      </w:pPr>
      <w:r>
        <w:rPr>
          <w:rFonts w:ascii="Arial" w:cs="Arial" w:eastAsia="Arial" w:hAnsi="Arial"/>
          <w:sz w:val="16"/>
          <w:szCs w:val="16"/>
          <w:color w:val="auto"/>
        </w:rPr>
        <w:t>There are a number of risks, uncertainties, and other important factors that could cause our actual results to differ materially from the forward-looking statements contained in this prospectus. Such risks, uncertainties, and other important factors include, among others, the risks, uncertainties and factors set forth above under “Risk Factors,” and the following:</w:t>
      </w:r>
    </w:p>
    <w:p>
      <w:pPr>
        <w:spacing w:after="0" w:line="49" w:lineRule="exact"/>
        <w:rPr>
          <w:sz w:val="20"/>
          <w:szCs w:val="20"/>
          <w:color w:val="auto"/>
        </w:rPr>
      </w:pPr>
    </w:p>
    <w:p>
      <w:pPr>
        <w:ind w:left="680" w:hanging="342"/>
        <w:spacing w:after="0"/>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and our vendors’ ability to safeguard personal information and payment card data;</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failure, inadequacy, interruption, security failure or breach of our information technology systems;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overall decline in the health of the economy and consumer spending affecting consumer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retain our existing senior management team and attract qualified new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of wage rate increases, inflation, cost increases and increases in raw material prices and energy prices;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successfully implement our marketing, advertising and promotional efforts;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risks associated with leasing substantial amounts of space;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product liability, product recall or personal injury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substantial leverage;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compliance with managed vision care laws and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reliance on third-party reimbursement for a portion of our revenues;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manage our inventory balances and inventory shrinkage;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risks associated with our e-commerce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seasonal fluctuations in our operating results and inventory levels;</w:t>
      </w:r>
    </w:p>
    <w:p>
      <w:pPr>
        <w:spacing w:after="0" w:line="117"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restrictions imposed by our debt agreements that limit our flexibility in operating our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generate sufficient cash flow to satisfy our significant debt service obligations;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failure to comply with, or changes in, laws, regulations, enforcement activities and other requirements;</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impact of any adverse litigation judgments or settlements resulting from legal proceedings relating to our business operations; and</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adequately protect our intellectual property.</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the sections entitled “Risk Factors” and “Management’s Discussion and Analysis of Financial Condition and Results of Operations” in this prospectus. You should evaluate all forward-looking statements made in this prospectus in the context of these risks and uncertainties.</w:t>
      </w:r>
    </w:p>
    <w:p>
      <w:pPr>
        <w:spacing w:after="0" w:line="72"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apply only as of the date made and are expressly qualified in their entirety by the cautionary statements included in this prospectus. We undertake no obligation to publicly update or revise any forward-looking statements to reflect subsequent events or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4980" w:type="dxa"/>
            <w:vAlign w:val="bottom"/>
            <w:gridSpan w:val="2"/>
          </w:tcPr>
          <w:p>
            <w:pPr>
              <w:spacing w:after="0"/>
              <w:rPr>
                <w:rFonts w:ascii="Arial" w:cs="Arial" w:eastAsia="Arial" w:hAnsi="Arial"/>
                <w:sz w:val="14"/>
                <w:szCs w:val="14"/>
                <w:b w:val="1"/>
                <w:bCs w:val="1"/>
                <w:color w:val="0000EE"/>
              </w:rPr>
            </w:pPr>
            <w:hyperlink w:anchor="page7">
              <w:r>
                <w:rPr>
                  <w:rFonts w:ascii="Arial" w:cs="Arial" w:eastAsia="Arial" w:hAnsi="Arial"/>
                  <w:sz w:val="14"/>
                  <w:szCs w:val="14"/>
                  <w:b w:val="1"/>
                  <w:bCs w:val="1"/>
                  <w:color w:val="0000EE"/>
                </w:rPr>
                <w:t>TABLE OF CONTENTS</w:t>
              </w:r>
            </w:hyperlink>
          </w:p>
        </w:tc>
        <w:tc>
          <w:tcPr>
            <w:tcW w:w="2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10"/>
        </w:trPr>
        <w:tc>
          <w:tcPr>
            <w:tcW w:w="1480" w:type="dxa"/>
            <w:vAlign w:val="bottom"/>
            <w:tcBorders>
              <w:top w:val="single" w:sz="8" w:color="0000EE"/>
            </w:tcBorders>
          </w:tcPr>
          <w:p>
            <w:pPr>
              <w:spacing w:after="0"/>
              <w:rPr>
                <w:sz w:val="24"/>
                <w:szCs w:val="24"/>
                <w:color w:val="auto"/>
              </w:rPr>
            </w:pPr>
          </w:p>
        </w:tc>
        <w:tc>
          <w:tcPr>
            <w:tcW w:w="5700" w:type="dxa"/>
            <w:vAlign w:val="bottom"/>
            <w:gridSpan w:val="2"/>
          </w:tcPr>
          <w:p>
            <w:pPr>
              <w:ind w:left="2320"/>
              <w:spacing w:after="0"/>
              <w:rPr>
                <w:sz w:val="20"/>
                <w:szCs w:val="20"/>
                <w:color w:val="auto"/>
              </w:rPr>
            </w:pPr>
            <w:r>
              <w:rPr>
                <w:rFonts w:ascii="Arial" w:cs="Arial" w:eastAsia="Arial" w:hAnsi="Arial"/>
                <w:sz w:val="17"/>
                <w:szCs w:val="17"/>
                <w:b w:val="1"/>
                <w:bCs w:val="1"/>
                <w:color w:val="auto"/>
              </w:rPr>
              <w:t>USE OF PROCEEDS</w:t>
            </w:r>
          </w:p>
        </w:tc>
        <w:tc>
          <w:tcPr>
            <w:tcW w:w="1760" w:type="dxa"/>
            <w:vAlign w:val="bottom"/>
          </w:tcPr>
          <w:p>
            <w:pPr>
              <w:spacing w:after="0"/>
              <w:rPr>
                <w:sz w:val="24"/>
                <w:szCs w:val="24"/>
                <w:color w:val="auto"/>
              </w:rPr>
            </w:pPr>
          </w:p>
        </w:tc>
      </w:tr>
      <w:tr>
        <w:trPr>
          <w:trHeight w:val="301"/>
        </w:trPr>
        <w:tc>
          <w:tcPr>
            <w:tcW w:w="4980" w:type="dxa"/>
            <w:vAlign w:val="bottom"/>
            <w:gridSpan w:val="2"/>
          </w:tcPr>
          <w:p>
            <w:pPr>
              <w:ind w:left="340"/>
              <w:spacing w:after="0"/>
              <w:rPr>
                <w:sz w:val="20"/>
                <w:szCs w:val="20"/>
                <w:color w:val="auto"/>
              </w:rPr>
            </w:pPr>
            <w:r>
              <w:rPr>
                <w:rFonts w:ascii="Arial" w:cs="Arial" w:eastAsia="Arial" w:hAnsi="Arial"/>
                <w:sz w:val="17"/>
                <w:szCs w:val="17"/>
                <w:color w:val="auto"/>
                <w:w w:val="94"/>
              </w:rPr>
              <w:t>We estimate that we will receive net proceeds of approximately $</w:t>
            </w:r>
          </w:p>
        </w:tc>
        <w:tc>
          <w:tcPr>
            <w:tcW w:w="2200" w:type="dxa"/>
            <w:vAlign w:val="bottom"/>
          </w:tcPr>
          <w:p>
            <w:pPr>
              <w:ind w:left="340"/>
              <w:spacing w:after="0"/>
              <w:rPr>
                <w:sz w:val="20"/>
                <w:szCs w:val="20"/>
                <w:color w:val="auto"/>
              </w:rPr>
            </w:pPr>
            <w:r>
              <w:rPr>
                <w:rFonts w:ascii="Arial" w:cs="Arial" w:eastAsia="Arial" w:hAnsi="Arial"/>
                <w:sz w:val="17"/>
                <w:szCs w:val="17"/>
                <w:color w:val="auto"/>
              </w:rPr>
              <w:t>million from the sale of</w:t>
            </w:r>
          </w:p>
        </w:tc>
        <w:tc>
          <w:tcPr>
            <w:tcW w:w="1760" w:type="dxa"/>
            <w:vAlign w:val="bottom"/>
          </w:tcPr>
          <w:p>
            <w:pPr>
              <w:ind w:left="220"/>
              <w:spacing w:after="0"/>
              <w:rPr>
                <w:sz w:val="20"/>
                <w:szCs w:val="20"/>
                <w:color w:val="auto"/>
              </w:rPr>
            </w:pPr>
            <w:r>
              <w:rPr>
                <w:rFonts w:ascii="Arial" w:cs="Arial" w:eastAsia="Arial" w:hAnsi="Arial"/>
                <w:sz w:val="17"/>
                <w:szCs w:val="17"/>
                <w:color w:val="auto"/>
                <w:w w:val="89"/>
              </w:rPr>
              <w:t>shares of our common</w:t>
            </w:r>
          </w:p>
        </w:tc>
      </w:tr>
      <w:tr>
        <w:trPr>
          <w:trHeight w:val="221"/>
        </w:trPr>
        <w:tc>
          <w:tcPr>
            <w:tcW w:w="4980" w:type="dxa"/>
            <w:vAlign w:val="bottom"/>
            <w:gridSpan w:val="2"/>
          </w:tcPr>
          <w:p>
            <w:pPr>
              <w:spacing w:after="0"/>
              <w:rPr>
                <w:sz w:val="20"/>
                <w:szCs w:val="20"/>
                <w:color w:val="auto"/>
              </w:rPr>
            </w:pPr>
            <w:r>
              <w:rPr>
                <w:rFonts w:ascii="Arial" w:cs="Arial" w:eastAsia="Arial" w:hAnsi="Arial"/>
                <w:sz w:val="17"/>
                <w:szCs w:val="17"/>
                <w:color w:val="auto"/>
              </w:rPr>
              <w:t>stock in this offering, assuming an initial public offering price of $</w:t>
            </w:r>
          </w:p>
        </w:tc>
        <w:tc>
          <w:tcPr>
            <w:tcW w:w="3960" w:type="dxa"/>
            <w:vAlign w:val="bottom"/>
            <w:gridSpan w:val="2"/>
          </w:tcPr>
          <w:p>
            <w:pPr>
              <w:ind w:left="80"/>
              <w:spacing w:after="0"/>
              <w:rPr>
                <w:sz w:val="20"/>
                <w:szCs w:val="20"/>
                <w:color w:val="auto"/>
              </w:rPr>
            </w:pPr>
            <w:r>
              <w:rPr>
                <w:rFonts w:ascii="Arial" w:cs="Arial" w:eastAsia="Arial" w:hAnsi="Arial"/>
                <w:sz w:val="17"/>
                <w:szCs w:val="17"/>
                <w:color w:val="auto"/>
                <w:w w:val="94"/>
              </w:rPr>
              <w:t>per share, the mid-point of the estimated offering price</w:t>
            </w:r>
          </w:p>
        </w:tc>
      </w:tr>
    </w:tbl>
    <w:p>
      <w:pPr>
        <w:ind w:right="40"/>
        <w:spacing w:after="0" w:line="290" w:lineRule="auto"/>
        <w:rPr>
          <w:sz w:val="20"/>
          <w:szCs w:val="20"/>
          <w:color w:val="auto"/>
        </w:rPr>
      </w:pPr>
      <w:r>
        <w:rPr>
          <w:rFonts w:ascii="Arial" w:cs="Arial" w:eastAsia="Arial" w:hAnsi="Arial"/>
          <w:sz w:val="15"/>
          <w:szCs w:val="15"/>
          <w:color w:val="auto"/>
        </w:rPr>
        <w:t>range set forth on the cover page of this prospectus, and after deducting the underwriting discounts and commissions and estimated offering expenses payable by us. If the underwriters exercise in full their option to purchase additional shares, the net proceeds to us</w:t>
      </w:r>
    </w:p>
    <w:p>
      <w:pPr>
        <w:spacing w:after="0"/>
        <w:tabs>
          <w:tab w:leader="none" w:pos="2060" w:val="left"/>
        </w:tabs>
        <w:rPr>
          <w:sz w:val="20"/>
          <w:szCs w:val="20"/>
          <w:color w:val="auto"/>
        </w:rPr>
      </w:pPr>
      <w:r>
        <w:rPr>
          <w:rFonts w:ascii="Arial" w:cs="Arial" w:eastAsia="Arial" w:hAnsi="Arial"/>
          <w:sz w:val="17"/>
          <w:szCs w:val="17"/>
          <w:color w:val="auto"/>
        </w:rPr>
        <w:t>will be approximately $</w:t>
      </w:r>
      <w:r>
        <w:rPr>
          <w:sz w:val="20"/>
          <w:szCs w:val="20"/>
          <w:color w:val="auto"/>
        </w:rPr>
        <w:tab/>
      </w:r>
      <w:r>
        <w:rPr>
          <w:rFonts w:ascii="Arial" w:cs="Arial" w:eastAsia="Arial" w:hAnsi="Arial"/>
          <w:sz w:val="17"/>
          <w:szCs w:val="17"/>
          <w:color w:val="auto"/>
        </w:rPr>
        <w:t>million.</w:t>
      </w:r>
    </w:p>
    <w:p>
      <w:pPr>
        <w:spacing w:after="0" w:line="105" w:lineRule="exact"/>
        <w:rPr>
          <w:sz w:val="20"/>
          <w:szCs w:val="20"/>
          <w:color w:val="auto"/>
        </w:rPr>
      </w:pPr>
    </w:p>
    <w:p>
      <w:pPr>
        <w:ind w:right="280" w:firstLine="347"/>
        <w:spacing w:after="0" w:line="298" w:lineRule="auto"/>
        <w:rPr>
          <w:sz w:val="20"/>
          <w:szCs w:val="20"/>
          <w:color w:val="auto"/>
        </w:rPr>
      </w:pPr>
      <w:r>
        <w:rPr>
          <w:rFonts w:ascii="Arial" w:cs="Arial" w:eastAsia="Arial" w:hAnsi="Arial"/>
          <w:sz w:val="15"/>
          <w:szCs w:val="15"/>
          <w:color w:val="auto"/>
        </w:rPr>
        <w:t>We intend to use the net proceeds to us from this offering (A) first, to repay all outstanding aggregate amount of our second lien term loans and pay accrued interest, applicable premiums and related fees and expenses; and (B) second, to repay $</w:t>
      </w:r>
    </w:p>
    <w:p>
      <w:pPr>
        <w:spacing w:after="0" w:line="1" w:lineRule="exact"/>
        <w:rPr>
          <w:sz w:val="20"/>
          <w:szCs w:val="20"/>
          <w:color w:val="auto"/>
        </w:rPr>
      </w:pPr>
    </w:p>
    <w:p>
      <w:pPr>
        <w:ind w:right="200" w:firstLine="391"/>
        <w:spacing w:after="0" w:line="272" w:lineRule="auto"/>
        <w:rPr>
          <w:sz w:val="20"/>
          <w:szCs w:val="20"/>
          <w:color w:val="auto"/>
        </w:rPr>
      </w:pPr>
      <w:r>
        <w:rPr>
          <w:rFonts w:ascii="Arial" w:cs="Arial" w:eastAsia="Arial" w:hAnsi="Arial"/>
          <w:sz w:val="17"/>
          <w:szCs w:val="17"/>
          <w:color w:val="auto"/>
        </w:rPr>
        <w:t>million of the outstanding amount of our first lien term loans and pay accrued interest, applicable premiums and related fees and expenses.</w:t>
      </w:r>
    </w:p>
    <w:p>
      <w:pPr>
        <w:spacing w:after="0" w:line="66"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As of July 1, 2017, (A) there was $125.0 million aggregate principal amount of our second lien term loans outstanding, maturing on March 13, 2022; and (B) there was $804.4 million aggregate principal amount of our first lien term loans outstanding, maturing on March 13, 2021. As of July 1, 2017, our second lien term loans had the effective interest rate of 6.98% and our first lien term loans had the effective interest rate of 4.23%. For a further description of our existing indebtedness being repaid, see “Description of Indebtedness.”</w:t>
      </w:r>
    </w:p>
    <w:p>
      <w:pPr>
        <w:spacing w:after="0" w:line="76" w:lineRule="exact"/>
        <w:rPr>
          <w:sz w:val="20"/>
          <w:szCs w:val="20"/>
          <w:color w:val="auto"/>
        </w:rPr>
      </w:pPr>
    </w:p>
    <w:p>
      <w:pPr>
        <w:jc w:val="both"/>
        <w:ind w:right="20" w:firstLine="347"/>
        <w:spacing w:after="0" w:line="271" w:lineRule="auto"/>
        <w:rPr>
          <w:sz w:val="20"/>
          <w:szCs w:val="20"/>
          <w:color w:val="auto"/>
        </w:rPr>
      </w:pPr>
      <w:r>
        <w:rPr>
          <w:rFonts w:ascii="Arial" w:cs="Arial" w:eastAsia="Arial" w:hAnsi="Arial"/>
          <w:sz w:val="17"/>
          <w:szCs w:val="17"/>
          <w:color w:val="auto"/>
        </w:rPr>
        <w:t>As of July 1, 2017, affiliates of certain of the underwriters held a portion of the outstanding balance of our first lien term loans and/or second lien term loans and, as a result, will receive a portion of the proceeds from this offering. See “Underwriting (Conflicts of Interest).”</w:t>
      </w:r>
    </w:p>
    <w:p>
      <w:pPr>
        <w:spacing w:after="0" w:line="68" w:lineRule="exact"/>
        <w:rPr>
          <w:sz w:val="20"/>
          <w:szCs w:val="20"/>
          <w:color w:val="auto"/>
        </w:rPr>
      </w:pPr>
    </w:p>
    <w:p>
      <w:pPr>
        <w:ind w:right="160" w:firstLine="347"/>
        <w:spacing w:after="0" w:line="298" w:lineRule="auto"/>
        <w:rPr>
          <w:sz w:val="20"/>
          <w:szCs w:val="20"/>
          <w:color w:val="auto"/>
        </w:rPr>
      </w:pPr>
      <w:r>
        <w:rPr>
          <w:rFonts w:ascii="Arial" w:cs="Arial" w:eastAsia="Arial" w:hAnsi="Arial"/>
          <w:sz w:val="15"/>
          <w:szCs w:val="15"/>
          <w:color w:val="auto"/>
        </w:rPr>
        <w:t>A $1.00 increase (decrease) in the assumed initial public offering price of $ per share, based on the mid-point of the estimated offering price range set forth on the cover page of this prospectus, would increase (decrease) the net proceeds to us from</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this offering by $ million, assuming the number of shares offered by us, as set forth on the cover page of this prospectus, remains the same and after deducting the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w:t>
      </w:r>
    </w:p>
    <w:p>
      <w:pPr>
        <w:spacing w:after="0" w:line="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of this prospectus, would increase (decrease) our net proceeds from this offering by $ million.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65" w:right="1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w:t>
      </w:r>
    </w:p>
    <w:p>
      <w:pPr>
        <w:spacing w:after="0" w:line="63"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agreements. See “Description of Indebtedness” for a description of the restrictions on our ability to pay dividends.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23"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If you invest in our common stock in this offering, your ownership interest in us will be diluted to the extent of the difference between the initial public offering price per share of our common stock and the pro forma as adjusted net tangible book value (deficit)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76"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Our net tangible book deficit as of July 1, 2017 was approximately $860.9 million, or $ per share of our common stock. We calculate net tangible book deficit per share by taking the amount of our total tangible assets, reduced by the amount of our total liabilities, and then dividing that amount by the total number of shares of common stock outstanding.</w:t>
      </w:r>
    </w:p>
    <w:p>
      <w:pPr>
        <w:spacing w:after="0" w:line="68" w:lineRule="exact"/>
        <w:rPr>
          <w:sz w:val="20"/>
          <w:szCs w:val="20"/>
          <w:color w:val="auto"/>
        </w:rPr>
      </w:pPr>
    </w:p>
    <w:p>
      <w:pPr>
        <w:ind w:right="40" w:firstLine="347"/>
        <w:spacing w:after="0" w:line="280" w:lineRule="auto"/>
        <w:rPr>
          <w:sz w:val="20"/>
          <w:szCs w:val="20"/>
          <w:color w:val="auto"/>
        </w:rPr>
      </w:pPr>
      <w:r>
        <w:rPr>
          <w:rFonts w:ascii="Arial" w:cs="Arial" w:eastAsia="Arial" w:hAnsi="Arial"/>
          <w:sz w:val="16"/>
          <w:szCs w:val="16"/>
          <w:color w:val="auto"/>
        </w:rPr>
        <w:t>After giving effect to (i) the sale of shares of our common stock in this offering at an assumed initial public offering price of $ per share, the mid-point of the estimated offering price range set forth on the cover of this prospectus, and after deducting</w:t>
      </w:r>
    </w:p>
    <w:p>
      <w:pPr>
        <w:ind w:right="240"/>
        <w:spacing w:after="0" w:line="290" w:lineRule="auto"/>
        <w:rPr>
          <w:sz w:val="20"/>
          <w:szCs w:val="20"/>
          <w:color w:val="auto"/>
        </w:rPr>
      </w:pPr>
      <w:r>
        <w:rPr>
          <w:rFonts w:ascii="Arial" w:cs="Arial" w:eastAsia="Arial" w:hAnsi="Arial"/>
          <w:sz w:val="15"/>
          <w:szCs w:val="15"/>
          <w:color w:val="auto"/>
        </w:rPr>
        <w:t>the underwriting discounts and commissions and estimated offering expenses payable by us, and (ii) the application of the net proceeds from this offering as set forth under “Use of Proceeds,” our pro forma as adjusted net tangible book value (deficit) as of</w:t>
      </w: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20"/>
                <w:szCs w:val="20"/>
                <w:color w:val="auto"/>
              </w:rPr>
            </w:pPr>
            <w:r>
              <w:rPr>
                <w:rFonts w:ascii="Arial" w:cs="Arial" w:eastAsia="Arial" w:hAnsi="Arial"/>
                <w:sz w:val="17"/>
                <w:szCs w:val="17"/>
                <w:color w:val="auto"/>
              </w:rPr>
              <w:t>July 1, 2017 would have been $</w:t>
            </w:r>
          </w:p>
        </w:tc>
        <w:tc>
          <w:tcPr>
            <w:tcW w:w="1360" w:type="dxa"/>
            <w:vAlign w:val="bottom"/>
          </w:tcPr>
          <w:p>
            <w:pPr>
              <w:ind w:left="100"/>
              <w:spacing w:after="0"/>
              <w:rPr>
                <w:sz w:val="20"/>
                <w:szCs w:val="20"/>
                <w:color w:val="auto"/>
              </w:rPr>
            </w:pPr>
            <w:r>
              <w:rPr>
                <w:rFonts w:ascii="Arial" w:cs="Arial" w:eastAsia="Arial" w:hAnsi="Arial"/>
                <w:sz w:val="17"/>
                <w:szCs w:val="17"/>
                <w:color w:val="auto"/>
              </w:rPr>
              <w:t>million, or $</w:t>
            </w:r>
          </w:p>
        </w:tc>
        <w:tc>
          <w:tcPr>
            <w:tcW w:w="5320" w:type="dxa"/>
            <w:vAlign w:val="bottom"/>
            <w:gridSpan w:val="5"/>
          </w:tcPr>
          <w:p>
            <w:pPr>
              <w:ind w:left="40"/>
              <w:spacing w:after="0"/>
              <w:rPr>
                <w:sz w:val="20"/>
                <w:szCs w:val="20"/>
                <w:color w:val="auto"/>
              </w:rPr>
            </w:pPr>
            <w:r>
              <w:rPr>
                <w:rFonts w:ascii="Arial" w:cs="Arial" w:eastAsia="Arial" w:hAnsi="Arial"/>
                <w:sz w:val="17"/>
                <w:szCs w:val="17"/>
                <w:color w:val="auto"/>
                <w:w w:val="99"/>
              </w:rPr>
              <w:t>per share of our common stock. This amount represents an immediate</w:t>
            </w:r>
          </w:p>
        </w:tc>
      </w:tr>
      <w:tr>
        <w:trPr>
          <w:trHeight w:val="209"/>
        </w:trPr>
        <w:tc>
          <w:tcPr>
            <w:tcW w:w="5940" w:type="dxa"/>
            <w:vAlign w:val="bottom"/>
            <w:gridSpan w:val="4"/>
          </w:tcPr>
          <w:p>
            <w:pPr>
              <w:spacing w:after="0"/>
              <w:rPr>
                <w:sz w:val="20"/>
                <w:szCs w:val="20"/>
                <w:color w:val="auto"/>
              </w:rPr>
            </w:pPr>
            <w:r>
              <w:rPr>
                <w:rFonts w:ascii="Arial" w:cs="Arial" w:eastAsia="Arial" w:hAnsi="Arial"/>
                <w:sz w:val="17"/>
                <w:szCs w:val="17"/>
                <w:color w:val="auto"/>
                <w:w w:val="96"/>
              </w:rPr>
              <w:t>increase in net tangible book value (or a decrease in net tangible book deficit) of $</w:t>
            </w:r>
          </w:p>
        </w:tc>
        <w:tc>
          <w:tcPr>
            <w:tcW w:w="3280" w:type="dxa"/>
            <w:vAlign w:val="bottom"/>
            <w:gridSpan w:val="3"/>
          </w:tcPr>
          <w:p>
            <w:pPr>
              <w:ind w:left="220"/>
              <w:spacing w:after="0"/>
              <w:rPr>
                <w:sz w:val="20"/>
                <w:szCs w:val="20"/>
                <w:color w:val="auto"/>
              </w:rPr>
            </w:pPr>
            <w:r>
              <w:rPr>
                <w:rFonts w:ascii="Arial" w:cs="Arial" w:eastAsia="Arial" w:hAnsi="Arial"/>
                <w:sz w:val="17"/>
                <w:szCs w:val="17"/>
                <w:color w:val="auto"/>
                <w:w w:val="98"/>
              </w:rPr>
              <w:t>per share to existing stockholders and an</w:t>
            </w:r>
          </w:p>
        </w:tc>
      </w:tr>
      <w:tr>
        <w:trPr>
          <w:trHeight w:val="209"/>
        </w:trPr>
        <w:tc>
          <w:tcPr>
            <w:tcW w:w="5380" w:type="dxa"/>
            <w:vAlign w:val="bottom"/>
            <w:gridSpan w:val="3"/>
          </w:tcPr>
          <w:p>
            <w:pPr>
              <w:spacing w:after="0"/>
              <w:rPr>
                <w:sz w:val="20"/>
                <w:szCs w:val="20"/>
                <w:color w:val="auto"/>
              </w:rPr>
            </w:pPr>
            <w:r>
              <w:rPr>
                <w:rFonts w:ascii="Arial" w:cs="Arial" w:eastAsia="Arial" w:hAnsi="Arial"/>
                <w:sz w:val="17"/>
                <w:szCs w:val="17"/>
                <w:color w:val="auto"/>
                <w:w w:val="97"/>
              </w:rPr>
              <w:t>immediate and substantial dilution in net tangible book value (deficit) of $</w:t>
            </w:r>
          </w:p>
        </w:tc>
        <w:tc>
          <w:tcPr>
            <w:tcW w:w="3840" w:type="dxa"/>
            <w:vAlign w:val="bottom"/>
            <w:gridSpan w:val="4"/>
          </w:tcPr>
          <w:p>
            <w:pPr>
              <w:ind w:left="220"/>
              <w:spacing w:after="0"/>
              <w:rPr>
                <w:sz w:val="20"/>
                <w:szCs w:val="20"/>
                <w:color w:val="auto"/>
              </w:rPr>
            </w:pPr>
            <w:r>
              <w:rPr>
                <w:rFonts w:ascii="Arial" w:cs="Arial" w:eastAsia="Arial" w:hAnsi="Arial"/>
                <w:sz w:val="17"/>
                <w:szCs w:val="17"/>
                <w:color w:val="auto"/>
                <w:w w:val="91"/>
              </w:rPr>
              <w:t>per share to new investors purchasing shares in this</w:t>
            </w:r>
          </w:p>
        </w:tc>
      </w:tr>
      <w:tr>
        <w:trPr>
          <w:trHeight w:val="221"/>
        </w:trPr>
        <w:tc>
          <w:tcPr>
            <w:tcW w:w="3900" w:type="dxa"/>
            <w:vAlign w:val="bottom"/>
            <w:gridSpan w:val="2"/>
          </w:tcPr>
          <w:p>
            <w:pPr>
              <w:spacing w:after="0"/>
              <w:rPr>
                <w:sz w:val="20"/>
                <w:szCs w:val="20"/>
                <w:color w:val="auto"/>
              </w:rPr>
            </w:pPr>
            <w:r>
              <w:rPr>
                <w:rFonts w:ascii="Arial" w:cs="Arial" w:eastAsia="Arial" w:hAnsi="Arial"/>
                <w:sz w:val="17"/>
                <w:szCs w:val="17"/>
                <w:color w:val="auto"/>
              </w:rPr>
              <w:t>offering at the assumed initial public offering price.</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13"/>
        </w:trPr>
        <w:tc>
          <w:tcPr>
            <w:tcW w:w="5380" w:type="dxa"/>
            <w:vAlign w:val="bottom"/>
            <w:gridSpan w:val="3"/>
          </w:tcPr>
          <w:p>
            <w:pPr>
              <w:ind w:left="340"/>
              <w:spacing w:after="0"/>
              <w:rPr>
                <w:sz w:val="20"/>
                <w:szCs w:val="20"/>
                <w:color w:val="auto"/>
              </w:rPr>
            </w:pPr>
            <w:r>
              <w:rPr>
                <w:rFonts w:ascii="Arial" w:cs="Arial" w:eastAsia="Arial" w:hAnsi="Arial"/>
                <w:sz w:val="17"/>
                <w:szCs w:val="17"/>
                <w:color w:val="auto"/>
              </w:rPr>
              <w:t>The following table illustrates this dilution on a per share basis:</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
        </w:trPr>
        <w:tc>
          <w:tcPr>
            <w:tcW w:w="5380" w:type="dxa"/>
            <w:vAlign w:val="bottom"/>
            <w:gridSpan w:val="3"/>
          </w:tcPr>
          <w:p>
            <w:pPr>
              <w:spacing w:after="0"/>
              <w:rPr>
                <w:sz w:val="4"/>
                <w:szCs w:val="4"/>
                <w:color w:val="auto"/>
              </w:rPr>
            </w:pPr>
          </w:p>
        </w:tc>
        <w:tc>
          <w:tcPr>
            <w:tcW w:w="5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5"/>
        </w:trPr>
        <w:tc>
          <w:tcPr>
            <w:tcW w:w="5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 of common stock</w:t>
            </w:r>
          </w:p>
        </w:tc>
        <w:tc>
          <w:tcPr>
            <w:tcW w:w="560" w:type="dxa"/>
            <w:vAlign w:val="bottom"/>
            <w:shd w:val="clear" w:color="auto" w:fill="CCEEFF"/>
          </w:tcPr>
          <w:p>
            <w:pPr>
              <w:spacing w:after="0"/>
              <w:rPr>
                <w:sz w:val="20"/>
                <w:szCs w:val="20"/>
                <w:color w:val="auto"/>
              </w:rPr>
            </w:pPr>
          </w:p>
        </w:tc>
        <w:tc>
          <w:tcPr>
            <w:tcW w:w="3200" w:type="dxa"/>
            <w:vAlign w:val="bottom"/>
            <w:gridSpan w:val="2"/>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r>
        <w:trPr>
          <w:trHeight w:val="228"/>
        </w:trPr>
        <w:tc>
          <w:tcPr>
            <w:tcW w:w="3900" w:type="dxa"/>
            <w:vAlign w:val="bottom"/>
            <w:gridSpan w:val="2"/>
          </w:tcPr>
          <w:p>
            <w:pPr>
              <w:ind w:left="180"/>
              <w:spacing w:after="0"/>
              <w:rPr>
                <w:sz w:val="20"/>
                <w:szCs w:val="20"/>
                <w:color w:val="auto"/>
              </w:rPr>
            </w:pPr>
            <w:r>
              <w:rPr>
                <w:rFonts w:ascii="Arial" w:cs="Arial" w:eastAsia="Arial" w:hAnsi="Arial"/>
                <w:sz w:val="17"/>
                <w:szCs w:val="17"/>
                <w:color w:val="auto"/>
                <w:w w:val="93"/>
              </w:rPr>
              <w:t>Net tangible book deficit per share as of July 1, 2017</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3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w w:val="98"/>
              </w:rPr>
              <w:t>Increase in tangible book value per share attributable to new investors</w:t>
            </w:r>
          </w:p>
        </w:tc>
        <w:tc>
          <w:tcPr>
            <w:tcW w:w="5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5940" w:type="dxa"/>
            <w:vAlign w:val="bottom"/>
            <w:gridSpan w:val="4"/>
          </w:tcPr>
          <w:p>
            <w:pPr>
              <w:spacing w:after="0"/>
              <w:rPr>
                <w:sz w:val="20"/>
                <w:szCs w:val="20"/>
                <w:color w:val="auto"/>
              </w:rPr>
            </w:pPr>
            <w:r>
              <w:rPr>
                <w:rFonts w:ascii="Arial" w:cs="Arial" w:eastAsia="Arial" w:hAnsi="Arial"/>
                <w:sz w:val="17"/>
                <w:szCs w:val="17"/>
                <w:color w:val="auto"/>
                <w:w w:val="96"/>
              </w:rPr>
              <w:t>Pro forma as adjusted net tangible book value (deficit) per share after this offering</w:t>
            </w:r>
          </w:p>
        </w:tc>
        <w:tc>
          <w:tcPr>
            <w:tcW w:w="2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6"/>
              </w:rPr>
              <w:t>Dilution per share to new investors</w:t>
            </w:r>
          </w:p>
        </w:tc>
        <w:tc>
          <w:tcPr>
            <w:tcW w:w="13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92"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color w:val="auto"/>
        </w:rPr>
        <w:t>Dilution is determined by subtracting pro forma as adjusted net tangible book value (deficit) per share of common stock after the offering from the initial public offering price per share of common stock.</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If the underwriters exercise in full their option to purchase additional shares, the pro forma as adjusted net tangible book value</w:t>
      </w:r>
    </w:p>
    <w:p>
      <w:pPr>
        <w:spacing w:after="0" w:line="48" w:lineRule="exact"/>
        <w:rPr>
          <w:sz w:val="20"/>
          <w:szCs w:val="20"/>
          <w:color w:val="auto"/>
        </w:rPr>
      </w:pPr>
    </w:p>
    <w:p>
      <w:pPr>
        <w:spacing w:after="0"/>
        <w:tabs>
          <w:tab w:leader="none" w:pos="7180" w:val="left"/>
        </w:tabs>
        <w:rPr>
          <w:sz w:val="20"/>
          <w:szCs w:val="20"/>
          <w:color w:val="auto"/>
        </w:rPr>
      </w:pPr>
      <w:r>
        <w:rPr>
          <w:rFonts w:ascii="Arial" w:cs="Arial" w:eastAsia="Arial" w:hAnsi="Arial"/>
          <w:sz w:val="17"/>
          <w:szCs w:val="17"/>
          <w:color w:val="auto"/>
        </w:rPr>
        <w:t>(deficit) per share after giving effect to the offering and the use of proceeds therefrom would be $</w:t>
      </w:r>
      <w:r>
        <w:rPr>
          <w:sz w:val="20"/>
          <w:szCs w:val="20"/>
          <w:color w:val="auto"/>
        </w:rPr>
        <w:tab/>
      </w:r>
      <w:r>
        <w:rPr>
          <w:rFonts w:ascii="Arial" w:cs="Arial" w:eastAsia="Arial" w:hAnsi="Arial"/>
          <w:sz w:val="15"/>
          <w:szCs w:val="15"/>
          <w:color w:val="auto"/>
        </w:rPr>
        <w:t>per share. This represents an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increase in pro forma as adjusted net tangible book value (or a decrease in pro forma as adjusted net tangible book deficit) of $</w:t>
      </w:r>
    </w:p>
    <w:p>
      <w:pPr>
        <w:spacing w:after="0" w:line="25" w:lineRule="exact"/>
        <w:rPr>
          <w:sz w:val="20"/>
          <w:szCs w:val="20"/>
          <w:color w:val="auto"/>
        </w:rPr>
      </w:pPr>
    </w:p>
    <w:p>
      <w:pPr>
        <w:spacing w:after="0"/>
        <w:tabs>
          <w:tab w:leader="none" w:pos="8860" w:val="left"/>
        </w:tabs>
        <w:rPr>
          <w:sz w:val="20"/>
          <w:szCs w:val="20"/>
          <w:color w:val="auto"/>
        </w:rPr>
      </w:pPr>
      <w:r>
        <w:rPr>
          <w:rFonts w:ascii="Arial" w:cs="Arial" w:eastAsia="Arial" w:hAnsi="Arial"/>
          <w:sz w:val="17"/>
          <w:szCs w:val="17"/>
          <w:color w:val="auto"/>
        </w:rPr>
        <w:t>per share to the existing stockholders and results in dilution in pro forma as adjusted net tangible book value (deficit) of $</w:t>
      </w:r>
      <w:r>
        <w:rPr>
          <w:sz w:val="20"/>
          <w:szCs w:val="20"/>
          <w:color w:val="auto"/>
        </w:rPr>
        <w:tab/>
      </w:r>
      <w:r>
        <w:rPr>
          <w:rFonts w:ascii="Arial" w:cs="Arial" w:eastAsia="Arial" w:hAnsi="Arial"/>
          <w:sz w:val="15"/>
          <w:szCs w:val="15"/>
          <w:color w:val="auto"/>
        </w:rPr>
        <w:t>per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share to new investors.</w:t>
      </w:r>
    </w:p>
    <w:p>
      <w:pPr>
        <w:spacing w:after="0" w:line="105" w:lineRule="exact"/>
        <w:rPr>
          <w:sz w:val="20"/>
          <w:szCs w:val="20"/>
          <w:color w:val="auto"/>
        </w:rPr>
      </w:pPr>
    </w:p>
    <w:p>
      <w:pPr>
        <w:ind w:right="80" w:firstLine="347"/>
        <w:spacing w:after="0" w:line="298" w:lineRule="auto"/>
        <w:rPr>
          <w:sz w:val="20"/>
          <w:szCs w:val="20"/>
          <w:color w:val="auto"/>
        </w:rPr>
      </w:pPr>
      <w:r>
        <w:rPr>
          <w:rFonts w:ascii="Arial" w:cs="Arial" w:eastAsia="Arial" w:hAnsi="Arial"/>
          <w:sz w:val="15"/>
          <w:szCs w:val="15"/>
          <w:color w:val="auto"/>
        </w:rPr>
        <w:t>Assuming the number of shares offered by us, as set forth on the cover page of this prospectus, remains the same, after deducting the underwriting discounts and commissions and estimated offering expenses payable by us, a $1.00 increase or decrease</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color w:val="auto"/>
        </w:rPr>
        <w:t>in the assumed initial public offering price of $ per share, the mid-point of the estimated offering price range set forth on the cover page of this prospectus, would increase or decrease the pro forma as adjusted net tangible book value attributable to new</w:t>
      </w:r>
    </w:p>
    <w:p>
      <w:pPr>
        <w:spacing w:after="0" w:line="272" w:lineRule="auto"/>
        <w:rPr>
          <w:sz w:val="20"/>
          <w:szCs w:val="20"/>
          <w:color w:val="auto"/>
        </w:rPr>
      </w:pPr>
      <w:r>
        <w:rPr>
          <w:rFonts w:ascii="Arial" w:cs="Arial" w:eastAsia="Arial" w:hAnsi="Arial"/>
          <w:sz w:val="17"/>
          <w:szCs w:val="17"/>
          <w:color w:val="auto"/>
        </w:rPr>
        <w:t>investors purchasing shares in this offering by $ per share and the dilution to new investors by $ per share and increase or decrease the pro forma as adjusted net tangible book value (deficit) per share after offering by $ per share.</w:t>
      </w:r>
    </w:p>
    <w:p>
      <w:pPr>
        <w:spacing w:after="0" w:line="66" w:lineRule="exact"/>
        <w:rPr>
          <w:sz w:val="20"/>
          <w:szCs w:val="20"/>
          <w:color w:val="auto"/>
        </w:rPr>
      </w:pPr>
    </w:p>
    <w:p>
      <w:pPr>
        <w:ind w:right="100" w:firstLine="347"/>
        <w:spacing w:after="0" w:line="277" w:lineRule="auto"/>
        <w:rPr>
          <w:sz w:val="20"/>
          <w:szCs w:val="20"/>
          <w:color w:val="auto"/>
        </w:rPr>
      </w:pPr>
      <w:r>
        <w:rPr>
          <w:rFonts w:ascii="Arial" w:cs="Arial" w:eastAsia="Arial" w:hAnsi="Arial"/>
          <w:sz w:val="16"/>
          <w:szCs w:val="16"/>
          <w:color w:val="auto"/>
        </w:rPr>
        <w:t>The following table summarizes, as of July 1, 2017,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stockholders paid. The table below assumes an initial public offering price of $ per share, the mid-point of the estimated offering price range set forth on the cover page of this prospectus, for shares purchased in this offering and excludes underwriting discounts and commissions and estimated offering expenses payable by 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5520" w:type="dxa"/>
            <w:vAlign w:val="bottom"/>
            <w:gridSpan w:val="3"/>
          </w:tcPr>
          <w:p>
            <w:pPr>
              <w:spacing w:after="0"/>
              <w:rPr>
                <w:rFonts w:ascii="Arial" w:cs="Arial" w:eastAsia="Arial" w:hAnsi="Arial"/>
                <w:sz w:val="14"/>
                <w:szCs w:val="14"/>
                <w:b w:val="1"/>
                <w:bCs w:val="1"/>
                <w:color w:val="0000EE"/>
              </w:rPr>
            </w:pPr>
            <w:hyperlink w:anchor="page7">
              <w:r>
                <w:rPr>
                  <w:rFonts w:ascii="Arial" w:cs="Arial" w:eastAsia="Arial" w:hAnsi="Arial"/>
                  <w:sz w:val="14"/>
                  <w:szCs w:val="14"/>
                  <w:b w:val="1"/>
                  <w:bCs w:val="1"/>
                  <w:color w:val="0000EE"/>
                </w:rPr>
                <w:t>TABLE OF CONTENTS</w:t>
              </w:r>
            </w:hyperlink>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06"/>
        </w:trPr>
        <w:tc>
          <w:tcPr>
            <w:tcW w:w="148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Shares Purchased</w:t>
            </w: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Avg/</w:t>
            </w:r>
          </w:p>
        </w:tc>
      </w:tr>
      <w:tr>
        <w:trPr>
          <w:trHeight w:val="176"/>
        </w:trPr>
        <w:tc>
          <w:tcPr>
            <w:tcW w:w="14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5"/>
                <w:szCs w:val="15"/>
                <w:color w:val="auto"/>
              </w:rPr>
            </w:pPr>
          </w:p>
        </w:tc>
      </w:tr>
      <w:tr>
        <w:trPr>
          <w:trHeight w:val="228"/>
        </w:trPr>
        <w:tc>
          <w:tcPr>
            <w:tcW w:w="5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7"/>
                <w:szCs w:val="17"/>
                <w:color w:val="auto"/>
                <w:w w:val="84"/>
              </w:rPr>
              <w:t>$</w:t>
            </w:r>
          </w:p>
        </w:tc>
        <w:tc>
          <w:tcPr>
            <w:tcW w:w="18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5"/>
        </w:trPr>
        <w:tc>
          <w:tcPr>
            <w:tcW w:w="4800" w:type="dxa"/>
            <w:vAlign w:val="bottom"/>
            <w:gridSpan w:val="2"/>
          </w:tcPr>
          <w:p>
            <w:pPr>
              <w:spacing w:after="0"/>
              <w:rPr>
                <w:sz w:val="20"/>
                <w:szCs w:val="20"/>
                <w:color w:val="auto"/>
              </w:rPr>
            </w:pPr>
            <w:r>
              <w:rPr>
                <w:rFonts w:ascii="Arial" w:cs="Arial" w:eastAsia="Arial" w:hAnsi="Arial"/>
                <w:sz w:val="17"/>
                <w:szCs w:val="17"/>
                <w:color w:val="auto"/>
              </w:rPr>
              <w:t>New investors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w w:val="79"/>
              </w:rPr>
              <w: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gridSpan w:val="3"/>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1480" w:type="dxa"/>
            <w:vAlign w:val="bottom"/>
          </w:tcPr>
          <w:p>
            <w:pPr>
              <w:spacing w:after="0" w:line="20" w:lineRule="exact"/>
              <w:rPr>
                <w:sz w:val="1"/>
                <w:szCs w:val="1"/>
                <w:color w:val="auto"/>
              </w:rPr>
            </w:pPr>
          </w:p>
        </w:tc>
        <w:tc>
          <w:tcPr>
            <w:tcW w:w="33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48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7"/>
                <w:szCs w:val="17"/>
                <w:color w:val="auto"/>
                <w:w w:val="84"/>
              </w:rPr>
              <w:t>$</w:t>
            </w:r>
          </w:p>
        </w:tc>
        <w:tc>
          <w:tcPr>
            <w:tcW w:w="18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bl>
    <w:p>
      <w:pPr>
        <w:spacing w:after="0" w:line="92" w:lineRule="exact"/>
        <w:rPr>
          <w:sz w:val="20"/>
          <w:szCs w:val="20"/>
          <w:color w:val="auto"/>
        </w:rPr>
      </w:pPr>
    </w:p>
    <w:p>
      <w:pPr>
        <w:jc w:val="both"/>
        <w:ind w:right="20" w:firstLine="347"/>
        <w:spacing w:after="0" w:line="296" w:lineRule="auto"/>
        <w:rPr>
          <w:sz w:val="20"/>
          <w:szCs w:val="20"/>
          <w:color w:val="auto"/>
        </w:rPr>
      </w:pPr>
      <w:r>
        <w:rPr>
          <w:rFonts w:ascii="Arial" w:cs="Arial" w:eastAsia="Arial" w:hAnsi="Arial"/>
          <w:sz w:val="16"/>
          <w:szCs w:val="16"/>
          <w:color w:val="auto"/>
        </w:rPr>
        <w:t>If the underwriters were to fully exercise the underwriters’ option to purchase additional shares of our common stock, the percentage of shares of our common stock held by existing stockholders who are directors, officers or affiliated persons as of July 1, 2017 would be % and the percentage of shares of our common stock held by new investors would be %.</w:t>
      </w:r>
    </w:p>
    <w:p>
      <w:pPr>
        <w:spacing w:after="0" w:line="49" w:lineRule="exact"/>
        <w:rPr>
          <w:sz w:val="20"/>
          <w:szCs w:val="20"/>
          <w:color w:val="auto"/>
        </w:rPr>
      </w:pPr>
    </w:p>
    <w:p>
      <w:pPr>
        <w:ind w:right="280" w:firstLine="347"/>
        <w:spacing w:after="0" w:line="298" w:lineRule="auto"/>
        <w:rPr>
          <w:sz w:val="20"/>
          <w:szCs w:val="20"/>
          <w:color w:val="auto"/>
        </w:rPr>
      </w:pPr>
      <w:r>
        <w:rPr>
          <w:rFonts w:ascii="Arial" w:cs="Arial" w:eastAsia="Arial" w:hAnsi="Arial"/>
          <w:sz w:val="15"/>
          <w:szCs w:val="15"/>
          <w:color w:val="auto"/>
        </w:rPr>
        <w:t>Assuming the number of shares offered by us, as set forth on the cover page of this prospectus, remains the same, a $1.00 increase or decrease in the assumed initial public offering price of $ per share, the mid-point of the estimated offering price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range set forth on the cover page of this prospectus, would increase or decrease total consideration paid by new investors and total</w:t>
      </w:r>
    </w:p>
    <w:p>
      <w:pPr>
        <w:spacing w:after="0" w:line="36" w:lineRule="exact"/>
        <w:rPr>
          <w:sz w:val="20"/>
          <w:szCs w:val="20"/>
          <w:color w:val="auto"/>
        </w:rPr>
      </w:pPr>
    </w:p>
    <w:p>
      <w:pPr>
        <w:spacing w:after="0"/>
        <w:tabs>
          <w:tab w:leader="none" w:pos="4440" w:val="left"/>
        </w:tabs>
        <w:rPr>
          <w:sz w:val="20"/>
          <w:szCs w:val="20"/>
          <w:color w:val="auto"/>
        </w:rPr>
      </w:pPr>
      <w:r>
        <w:rPr>
          <w:rFonts w:ascii="Arial" w:cs="Arial" w:eastAsia="Arial" w:hAnsi="Arial"/>
          <w:sz w:val="17"/>
          <w:szCs w:val="17"/>
          <w:color w:val="auto"/>
        </w:rPr>
        <w:t>consideration paid by all stockholders by approximately $</w:t>
      </w:r>
      <w:r>
        <w:rPr>
          <w:sz w:val="20"/>
          <w:szCs w:val="20"/>
          <w:color w:val="auto"/>
        </w:rPr>
        <w:tab/>
      </w:r>
      <w:r>
        <w:rPr>
          <w:rFonts w:ascii="Arial" w:cs="Arial" w:eastAsia="Arial" w:hAnsi="Arial"/>
          <w:sz w:val="17"/>
          <w:szCs w:val="17"/>
          <w:color w:val="auto"/>
        </w:rPr>
        <w:t>million.</w:t>
      </w:r>
    </w:p>
    <w:p>
      <w:pPr>
        <w:spacing w:after="0" w:line="105"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To the extent that outstanding options are exercised, or we grant options to our employees, executive officers and directors in the future and those options are exercised or other issuances of common stock are made, there will be further dilution to new investors.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65" w:right="1339" w:bottom="1440" w:gutter="0" w:footer="0" w:header="0"/>
        </w:sectPr>
      </w:pPr>
    </w:p>
    <w:bookmarkStart w:id="62" w:name="page63"/>
    <w:bookmarkEnd w:id="6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3861"/>
        <w:spacing w:after="0"/>
        <w:rPr>
          <w:sz w:val="20"/>
          <w:szCs w:val="20"/>
          <w:color w:val="auto"/>
        </w:rPr>
      </w:pPr>
      <w:r>
        <w:rPr>
          <w:rFonts w:ascii="Arial" w:cs="Arial" w:eastAsia="Arial" w:hAnsi="Arial"/>
          <w:sz w:val="17"/>
          <w:szCs w:val="17"/>
          <w:b w:val="1"/>
          <w:bCs w:val="1"/>
          <w:color w:val="auto"/>
        </w:rPr>
        <w:t>CAPITALIZATION</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5"/>
          <w:szCs w:val="15"/>
          <w:color w:val="auto"/>
        </w:rPr>
        <w:t>The following table sets forth our cash and cash equivalents and capitalization as of July 1, 2017:</w:t>
      </w:r>
    </w:p>
    <w:p>
      <w:pPr>
        <w:spacing w:after="0" w:line="140" w:lineRule="exact"/>
        <w:rPr>
          <w:sz w:val="20"/>
          <w:szCs w:val="20"/>
          <w:color w:val="auto"/>
        </w:rPr>
      </w:pPr>
    </w:p>
    <w:p>
      <w:pPr>
        <w:ind w:left="681" w:hanging="342"/>
        <w:spacing w:after="0"/>
        <w:tabs>
          <w:tab w:leader="none" w:pos="681"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an actual basis; and</w:t>
      </w:r>
    </w:p>
    <w:p>
      <w:pPr>
        <w:sectPr>
          <w:pgSz w:w="11900" w:h="16838" w:orient="portrait"/>
          <w:cols w:equalWidth="0" w:num="1">
            <w:col w:w="9221"/>
          </w:cols>
          <w:pgMar w:left="1339" w:top="273" w:right="1339" w:bottom="1440" w:gutter="0" w:footer="0" w:header="0"/>
        </w:sectPr>
      </w:pPr>
    </w:p>
    <w:p>
      <w:pPr>
        <w:spacing w:after="0" w:line="117" w:lineRule="exact"/>
        <w:rPr>
          <w:sz w:val="20"/>
          <w:szCs w:val="20"/>
          <w:color w:val="auto"/>
        </w:rPr>
      </w:pPr>
    </w:p>
    <w:p>
      <w:pPr>
        <w:ind w:left="341"/>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on a pro forma basis as adjusted to give effect to (1) the sale of approximately</w:t>
      </w:r>
      <w:r>
        <w:rPr>
          <w:sz w:val="20"/>
          <w:szCs w:val="20"/>
          <w:color w:val="auto"/>
        </w:rPr>
        <w:tab/>
      </w:r>
      <w:r>
        <w:rPr>
          <w:rFonts w:ascii="Arial" w:cs="Arial" w:eastAsia="Arial" w:hAnsi="Arial"/>
          <w:sz w:val="15"/>
          <w:szCs w:val="15"/>
          <w:color w:val="auto"/>
        </w:rPr>
        <w:t>shares of our common stock in this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offering; (2) the application of the estimated proceeds from the offering, at an assumed initial public offering price of</w:t>
      </w:r>
    </w:p>
    <w:p>
      <w:pPr>
        <w:spacing w:after="0" w:line="25"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per share, the mid-point of the estimated offering price range set forth on the cover page of this prospectus, after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deducting the underwriting discounts and commissions and estimated offering expenses payable by us, as described in</w:t>
      </w:r>
    </w:p>
    <w:p>
      <w:pPr>
        <w:spacing w:after="0" w:line="36" w:lineRule="exact"/>
        <w:rPr>
          <w:sz w:val="20"/>
          <w:szCs w:val="20"/>
          <w:color w:val="auto"/>
        </w:rPr>
      </w:pPr>
    </w:p>
    <w:p>
      <w:pPr>
        <w:sectPr>
          <w:pgSz w:w="11900" w:h="16838" w:orient="portrait"/>
          <w:cols w:equalWidth="0" w:num="2">
            <w:col w:w="401" w:space="280"/>
            <w:col w:w="8540"/>
          </w:cols>
          <w:pgMar w:left="1339" w:top="273" w:right="1339" w:bottom="1440" w:gutter="0" w:footer="0" w:header="0"/>
          <w:type w:val="continuous"/>
        </w:sectPr>
      </w:pPr>
    </w:p>
    <w:p>
      <w:pPr>
        <w:ind w:left="681" w:right="20"/>
        <w:spacing w:after="0" w:line="272" w:lineRule="auto"/>
        <w:rPr>
          <w:sz w:val="20"/>
          <w:szCs w:val="20"/>
          <w:color w:val="auto"/>
        </w:rPr>
      </w:pPr>
      <w:r>
        <w:rPr>
          <w:rFonts w:ascii="Arial" w:cs="Arial" w:eastAsia="Arial" w:hAnsi="Arial"/>
          <w:sz w:val="17"/>
          <w:szCs w:val="17"/>
          <w:color w:val="auto"/>
        </w:rPr>
        <w:t>“Use of Proceeds”; and (3) the payment of a monitoring agreement termination fee to each of KKR Sponsor and Berkshire as described in “Certain Relationships and Related Party Transactions—Monitoring Agreement.”</w:t>
      </w:r>
    </w:p>
    <w:p>
      <w:pPr>
        <w:spacing w:after="0" w:line="66" w:lineRule="exact"/>
        <w:rPr>
          <w:sz w:val="20"/>
          <w:szCs w:val="20"/>
          <w:color w:val="auto"/>
        </w:rPr>
      </w:pPr>
    </w:p>
    <w:p>
      <w:pPr>
        <w:ind w:left="1" w:right="140" w:firstLine="347"/>
        <w:spacing w:after="0" w:line="263" w:lineRule="auto"/>
        <w:rPr>
          <w:sz w:val="20"/>
          <w:szCs w:val="20"/>
          <w:color w:val="auto"/>
        </w:rPr>
      </w:pPr>
      <w:r>
        <w:rPr>
          <w:rFonts w:ascii="Arial" w:cs="Arial" w:eastAsia="Arial" w:hAnsi="Arial"/>
          <w:sz w:val="17"/>
          <w:szCs w:val="17"/>
          <w:color w:val="auto"/>
        </w:rPr>
        <w:t>You should read this table in conjunction with the information contained in “Use of Proceeds,” “Unaudited Pro Forma Consolidated Financial Information,” “Selected Historical Consolidated Financial Data,” “Management’s Discussion and Analysis of Financial Condition and Results of Operations” and “Description of Indebtedness,” as well as the audited consolidated financial statements and the notes thereto and the unaudited condensed consolidated financial statements and notes thereto, each included elsewhere in this prospectus.</w:t>
      </w:r>
    </w:p>
    <w:p>
      <w:pPr>
        <w:spacing w:after="0" w:line="40"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1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87"/>
              <w:spacing w:after="0"/>
              <w:rPr>
                <w:sz w:val="20"/>
                <w:szCs w:val="20"/>
                <w:color w:val="auto"/>
              </w:rPr>
            </w:pPr>
            <w:r>
              <w:rPr>
                <w:rFonts w:ascii="Arial" w:cs="Arial" w:eastAsia="Arial" w:hAnsi="Arial"/>
                <w:sz w:val="14"/>
                <w:szCs w:val="14"/>
                <w:b w:val="1"/>
                <w:bCs w:val="1"/>
                <w:color w:val="auto"/>
              </w:rPr>
              <w:t>As of July 1, 2017</w:t>
            </w:r>
          </w:p>
        </w:tc>
        <w:tc>
          <w:tcPr>
            <w:tcW w:w="80" w:type="dxa"/>
            <w:vAlign w:val="bottom"/>
            <w:gridSpan w:val="2"/>
          </w:tcPr>
          <w:p>
            <w:pPr>
              <w:spacing w:after="0"/>
              <w:rPr>
                <w:sz w:val="14"/>
                <w:szCs w:val="14"/>
                <w:color w:val="auto"/>
              </w:rPr>
            </w:pPr>
          </w:p>
        </w:tc>
      </w:tr>
      <w:tr>
        <w:trPr>
          <w:trHeight w:val="152"/>
        </w:trPr>
        <w:tc>
          <w:tcPr>
            <w:tcW w:w="1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ind w:left="180"/>
              <w:spacing w:after="0" w:line="151" w:lineRule="exact"/>
              <w:rPr>
                <w:sz w:val="20"/>
                <w:szCs w:val="20"/>
                <w:color w:val="auto"/>
              </w:rPr>
            </w:pPr>
            <w:r>
              <w:rPr>
                <w:rFonts w:ascii="Arial" w:cs="Arial" w:eastAsia="Arial" w:hAnsi="Arial"/>
                <w:sz w:val="14"/>
                <w:szCs w:val="14"/>
                <w:b w:val="1"/>
                <w:bCs w:val="1"/>
                <w:color w:val="auto"/>
              </w:rPr>
              <w:t>Pro Forma As</w:t>
            </w:r>
          </w:p>
        </w:tc>
      </w:tr>
      <w:tr>
        <w:trPr>
          <w:trHeight w:val="187"/>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Actual</w:t>
            </w:r>
          </w:p>
        </w:tc>
        <w:tc>
          <w:tcPr>
            <w:tcW w:w="200" w:type="dxa"/>
            <w:vAlign w:val="bottom"/>
            <w:gridSpan w:val="2"/>
          </w:tcPr>
          <w:p>
            <w:pPr>
              <w:spacing w:after="0"/>
              <w:rPr>
                <w:sz w:val="16"/>
                <w:szCs w:val="16"/>
                <w:color w:val="auto"/>
              </w:rPr>
            </w:pPr>
          </w:p>
        </w:tc>
        <w:tc>
          <w:tcPr>
            <w:tcW w:w="1140" w:type="dxa"/>
            <w:vAlign w:val="bottom"/>
            <w:tcBorders>
              <w:bottom w:val="single" w:sz="8" w:color="auto"/>
            </w:tcBorders>
          </w:tcPr>
          <w:p>
            <w:pPr>
              <w:jc w:val="right"/>
              <w:ind w:right="127"/>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80" w:type="dxa"/>
            <w:vAlign w:val="bottom"/>
            <w:gridSpan w:val="2"/>
          </w:tcPr>
          <w:p>
            <w:pPr>
              <w:spacing w:after="0"/>
              <w:rPr>
                <w:sz w:val="16"/>
                <w:szCs w:val="16"/>
                <w:color w:val="auto"/>
              </w:rPr>
            </w:pPr>
          </w:p>
        </w:tc>
      </w:tr>
      <w:tr>
        <w:trPr>
          <w:trHeight w:val="228"/>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24,864</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34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Debt:</w:t>
            </w:r>
          </w:p>
        </w:tc>
        <w:tc>
          <w:tcPr>
            <w:tcW w:w="3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241"/>
        </w:trPr>
        <w:tc>
          <w:tcPr>
            <w:tcW w:w="340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7"/>
                <w:szCs w:val="27"/>
                <w:color w:val="auto"/>
                <w:vertAlign w:val="superscript"/>
              </w:rPr>
              <w:t>(2)</w:t>
            </w:r>
          </w:p>
        </w:tc>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5"/>
        </w:trPr>
        <w:tc>
          <w:tcPr>
            <w:tcW w:w="3400" w:type="dxa"/>
            <w:vAlign w:val="bottom"/>
            <w:gridSpan w:val="2"/>
          </w:tcPr>
          <w:p>
            <w:pPr>
              <w:ind w:left="180"/>
              <w:spacing w:after="0" w:line="235"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7"/>
                <w:szCs w:val="27"/>
                <w:color w:val="auto"/>
                <w:vertAlign w:val="superscript"/>
              </w:rPr>
              <w:t>(3)</w:t>
            </w: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5"/>
        </w:trPr>
        <w:tc>
          <w:tcPr>
            <w:tcW w:w="3400" w:type="dxa"/>
            <w:vAlign w:val="bottom"/>
            <w:gridSpan w:val="2"/>
            <w:shd w:val="clear" w:color="auto" w:fill="CCEEFF"/>
          </w:tcPr>
          <w:p>
            <w:pPr>
              <w:ind w:left="180"/>
              <w:spacing w:after="0" w:line="235" w:lineRule="exact"/>
              <w:rPr>
                <w:sz w:val="20"/>
                <w:szCs w:val="20"/>
                <w:color w:val="auto"/>
              </w:rPr>
            </w:pPr>
            <w:r>
              <w:rPr>
                <w:rFonts w:ascii="Arial" w:cs="Arial" w:eastAsia="Arial" w:hAnsi="Arial"/>
                <w:sz w:val="17"/>
                <w:szCs w:val="17"/>
                <w:color w:val="auto"/>
              </w:rPr>
              <w:t>Second lien term loans</w:t>
            </w:r>
            <w:r>
              <w:rPr>
                <w:rFonts w:ascii="Arial" w:cs="Arial" w:eastAsia="Arial" w:hAnsi="Arial"/>
                <w:sz w:val="27"/>
                <w:szCs w:val="27"/>
                <w:color w:val="auto"/>
                <w:vertAlign w:val="superscript"/>
              </w:rPr>
              <w:t>(4)</w:t>
            </w:r>
          </w:p>
        </w:tc>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3400" w:type="dxa"/>
            <w:vAlign w:val="bottom"/>
            <w:gridSpan w:val="2"/>
          </w:tcPr>
          <w:p>
            <w:pPr>
              <w:ind w:left="180"/>
              <w:spacing w:after="0"/>
              <w:rPr>
                <w:sz w:val="20"/>
                <w:szCs w:val="20"/>
                <w:color w:val="auto"/>
              </w:rPr>
            </w:pPr>
            <w:r>
              <w:rPr>
                <w:rFonts w:ascii="Arial" w:cs="Arial" w:eastAsia="Arial" w:hAnsi="Arial"/>
                <w:sz w:val="17"/>
                <w:szCs w:val="17"/>
                <w:color w:val="auto"/>
              </w:rPr>
              <w:t>Capital leases</w:t>
            </w: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8,395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6720" w:type="dxa"/>
            <w:vAlign w:val="bottom"/>
            <w:gridSpan w:val="5"/>
            <w:shd w:val="clear" w:color="auto" w:fill="CCEEFF"/>
          </w:tcPr>
          <w:p>
            <w:pPr>
              <w:ind w:left="180"/>
              <w:spacing w:after="0" w:line="228" w:lineRule="exact"/>
              <w:rPr>
                <w:sz w:val="20"/>
                <w:szCs w:val="20"/>
                <w:color w:val="auto"/>
              </w:rPr>
            </w:pPr>
            <w:r>
              <w:rPr>
                <w:rFonts w:ascii="Arial" w:cs="Arial" w:eastAsia="Arial" w:hAnsi="Arial"/>
                <w:sz w:val="16"/>
                <w:szCs w:val="16"/>
                <w:color w:val="auto"/>
              </w:rPr>
              <w:t>Unamortized debt transaction costs and prepayment premiums</w:t>
            </w:r>
            <w:r>
              <w:rPr>
                <w:rFonts w:ascii="Arial" w:cs="Arial" w:eastAsia="Arial" w:hAnsi="Arial"/>
                <w:sz w:val="26"/>
                <w:szCs w:val="26"/>
                <w:color w:val="auto"/>
                <w:vertAlign w:val="superscript"/>
              </w:rPr>
              <w:t>(5)</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(14,932)</w:t>
            </w: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3400" w:type="dxa"/>
            <w:vAlign w:val="bottom"/>
            <w:tcBorders>
              <w:top w:val="single" w:sz="8" w:color="CCEEFF"/>
            </w:tcBorders>
            <w:gridSpan w:val="2"/>
          </w:tcPr>
          <w:p>
            <w:pPr>
              <w:ind w:left="340"/>
              <w:spacing w:after="0"/>
              <w:rPr>
                <w:sz w:val="20"/>
                <w:szCs w:val="20"/>
                <w:color w:val="auto"/>
              </w:rPr>
            </w:pPr>
            <w:r>
              <w:rPr>
                <w:rFonts w:ascii="Arial" w:cs="Arial" w:eastAsia="Arial" w:hAnsi="Arial"/>
                <w:sz w:val="17"/>
                <w:szCs w:val="17"/>
                <w:color w:val="auto"/>
              </w:rPr>
              <w:t>Total debt</w:t>
            </w:r>
          </w:p>
        </w:tc>
        <w:tc>
          <w:tcPr>
            <w:tcW w:w="3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922,904</w:t>
            </w: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241"/>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9"/>
        </w:trPr>
        <w:tc>
          <w:tcPr>
            <w:tcW w:w="6720" w:type="dxa"/>
            <w:vAlign w:val="bottom"/>
            <w:gridSpan w:val="5"/>
          </w:tcPr>
          <w:p>
            <w:pPr>
              <w:ind w:left="180"/>
              <w:spacing w:after="0"/>
              <w:rPr>
                <w:sz w:val="20"/>
                <w:szCs w:val="20"/>
                <w:color w:val="auto"/>
              </w:rPr>
            </w:pPr>
            <w:r>
              <w:rPr>
                <w:rFonts w:ascii="Arial" w:cs="Arial" w:eastAsia="Arial" w:hAnsi="Arial"/>
                <w:sz w:val="17"/>
                <w:szCs w:val="17"/>
                <w:color w:val="auto"/>
                <w:w w:val="93"/>
              </w:rPr>
              <w:t>Common stock, $0.01 par value (200,000 shares authorized and 110,925 shares issued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00" w:type="dxa"/>
            <w:vAlign w:val="bottom"/>
            <w:gridSpan w:val="2"/>
          </w:tcPr>
          <w:p>
            <w:pPr>
              <w:ind w:left="340"/>
              <w:spacing w:after="0"/>
              <w:rPr>
                <w:sz w:val="20"/>
                <w:szCs w:val="20"/>
                <w:color w:val="auto"/>
              </w:rPr>
            </w:pPr>
            <w:r>
              <w:rPr>
                <w:rFonts w:ascii="Arial" w:cs="Arial" w:eastAsia="Arial" w:hAnsi="Arial"/>
                <w:sz w:val="17"/>
                <w:szCs w:val="17"/>
                <w:color w:val="auto"/>
                <w:w w:val="94"/>
              </w:rPr>
              <w:t xml:space="preserve">outstanding, </w:t>
            </w:r>
            <w:r>
              <w:rPr>
                <w:rFonts w:ascii="Arial" w:cs="Arial" w:eastAsia="Arial" w:hAnsi="Arial"/>
                <w:sz w:val="17"/>
                <w:szCs w:val="17"/>
                <w:i w:val="1"/>
                <w:iCs w:val="1"/>
                <w:color w:val="auto"/>
                <w:w w:val="94"/>
              </w:rPr>
              <w:t>actual</w:t>
            </w:r>
            <w:r>
              <w:rPr>
                <w:rFonts w:ascii="Arial" w:cs="Arial" w:eastAsia="Arial" w:hAnsi="Arial"/>
                <w:sz w:val="17"/>
                <w:szCs w:val="17"/>
                <w:color w:val="auto"/>
                <w:w w:val="94"/>
              </w:rPr>
              <w:t>; shares authorized and</w:t>
            </w:r>
          </w:p>
        </w:tc>
        <w:tc>
          <w:tcPr>
            <w:tcW w:w="3320" w:type="dxa"/>
            <w:vAlign w:val="bottom"/>
            <w:gridSpan w:val="3"/>
          </w:tcPr>
          <w:p>
            <w:pPr>
              <w:ind w:left="140"/>
              <w:spacing w:after="0"/>
              <w:rPr>
                <w:sz w:val="20"/>
                <w:szCs w:val="20"/>
                <w:color w:val="auto"/>
              </w:rPr>
            </w:pPr>
            <w:r>
              <w:rPr>
                <w:rFonts w:ascii="Arial" w:cs="Arial" w:eastAsia="Arial" w:hAnsi="Arial"/>
                <w:sz w:val="17"/>
                <w:szCs w:val="17"/>
                <w:color w:val="auto"/>
              </w:rPr>
              <w:t xml:space="preserve">shares issued and outstanding, </w:t>
            </w:r>
            <w:r>
              <w:rPr>
                <w:rFonts w:ascii="Arial" w:cs="Arial" w:eastAsia="Arial" w:hAnsi="Arial"/>
                <w:sz w:val="17"/>
                <w:szCs w:val="17"/>
                <w:i w:val="1"/>
                <w:iCs w:val="1"/>
                <w:color w:val="auto"/>
              </w:rPr>
              <w:t>pro forma</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3400" w:type="dxa"/>
            <w:vAlign w:val="bottom"/>
            <w:gridSpan w:val="2"/>
          </w:tcPr>
          <w:p>
            <w:pPr>
              <w:ind w:left="340"/>
              <w:spacing w:after="0"/>
              <w:rPr>
                <w:sz w:val="20"/>
                <w:szCs w:val="20"/>
                <w:color w:val="auto"/>
              </w:rPr>
            </w:pPr>
            <w:r>
              <w:rPr>
                <w:rFonts w:ascii="Arial" w:cs="Arial" w:eastAsia="Arial" w:hAnsi="Arial"/>
                <w:sz w:val="17"/>
                <w:szCs w:val="17"/>
                <w:i w:val="1"/>
                <w:iCs w:val="1"/>
                <w:color w:val="auto"/>
              </w:rPr>
              <w:t>as adjusted</w:t>
            </w:r>
            <w:r>
              <w:rPr>
                <w:rFonts w:ascii="Arial" w:cs="Arial" w:eastAsia="Arial" w:hAnsi="Arial"/>
                <w:sz w:val="17"/>
                <w:szCs w:val="17"/>
                <w:color w:val="auto"/>
              </w:rPr>
              <w:t>)</w:t>
            </w: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1,109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right"/>
              <w:ind w:right="987"/>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256,339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340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(14,605)</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720" w:type="dxa"/>
            <w:vAlign w:val="bottom"/>
            <w:gridSpan w:val="5"/>
          </w:tcPr>
          <w:p>
            <w:pPr>
              <w:ind w:left="180"/>
              <w:spacing w:after="0"/>
              <w:rPr>
                <w:sz w:val="20"/>
                <w:szCs w:val="20"/>
                <w:color w:val="auto"/>
              </w:rPr>
            </w:pPr>
            <w:r>
              <w:rPr>
                <w:rFonts w:ascii="Arial" w:cs="Arial" w:eastAsia="Arial" w:hAnsi="Arial"/>
                <w:sz w:val="17"/>
                <w:szCs w:val="17"/>
                <w:color w:val="auto"/>
              </w:rPr>
              <w:t xml:space="preserve">Treasury stock, at cost (55 shares, </w:t>
            </w:r>
            <w:r>
              <w:rPr>
                <w:rFonts w:ascii="Arial" w:cs="Arial" w:eastAsia="Arial" w:hAnsi="Arial"/>
                <w:sz w:val="17"/>
                <w:szCs w:val="17"/>
                <w:i w:val="1"/>
                <w:iCs w:val="1"/>
                <w:color w:val="auto"/>
              </w:rPr>
              <w:t>actual</w:t>
            </w:r>
            <w:r>
              <w:rPr>
                <w:rFonts w:ascii="Arial" w:cs="Arial" w:eastAsia="Arial" w:hAnsi="Arial"/>
                <w:sz w:val="17"/>
                <w:szCs w:val="17"/>
                <w:color w:val="auto"/>
              </w:rPr>
              <w:t xml:space="preserve">; 55 shares, </w:t>
            </w: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3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3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222"/>
        </w:trPr>
        <w:tc>
          <w:tcPr>
            <w:tcW w:w="3400" w:type="dxa"/>
            <w:vAlign w:val="bottom"/>
            <w:gridSpan w:val="2"/>
          </w:tcPr>
          <w:p>
            <w:pPr>
              <w:ind w:left="520"/>
              <w:spacing w:after="0"/>
              <w:rPr>
                <w:sz w:val="20"/>
                <w:szCs w:val="20"/>
                <w:color w:val="auto"/>
              </w:rPr>
            </w:pPr>
            <w:r>
              <w:rPr>
                <w:rFonts w:ascii="Arial" w:cs="Arial" w:eastAsia="Arial" w:hAnsi="Arial"/>
                <w:sz w:val="17"/>
                <w:szCs w:val="17"/>
                <w:color w:val="auto"/>
              </w:rPr>
              <w:t>Total capitalization</w:t>
            </w: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1,172,413</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1380" w:type="dxa"/>
            <w:vAlign w:val="bottom"/>
            <w:tcBorders>
              <w:bottom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99" w:lineRule="exact"/>
        <w:rPr>
          <w:sz w:val="20"/>
          <w:szCs w:val="20"/>
          <w:color w:val="auto"/>
        </w:rPr>
      </w:pPr>
    </w:p>
    <w:p>
      <w:pPr>
        <w:ind w:left="341" w:right="140" w:hanging="341"/>
        <w:spacing w:after="0" w:line="276" w:lineRule="auto"/>
        <w:tabs>
          <w:tab w:leader="none" w:pos="341" w:val="left"/>
        </w:tabs>
        <w:numPr>
          <w:ilvl w:val="0"/>
          <w:numId w:val="48"/>
        </w:numPr>
        <w:rPr>
          <w:rFonts w:ascii="Arial" w:cs="Arial" w:eastAsia="Arial" w:hAnsi="Arial"/>
          <w:sz w:val="12"/>
          <w:szCs w:val="12"/>
          <w:color w:val="auto"/>
        </w:rPr>
      </w:pPr>
      <w:r>
        <w:rPr>
          <w:rFonts w:ascii="Arial" w:cs="Arial" w:eastAsia="Arial" w:hAnsi="Arial"/>
          <w:sz w:val="12"/>
          <w:szCs w:val="12"/>
          <w:color w:val="auto"/>
        </w:rPr>
        <w:t>To the extent we change the number of shares of common stock sold by us in this offering from the shares we expect to sell or we change the initial public offering price from the assumed initial public offering price of $ per share, the mid-point of the estimated offering price range set forth on the cover page of this prospectus, or any combination of these events occurs, the net proceeds to us from this offering and each of the total stockholders’ equity and total capitalization may increase or decrease. A $1.00 increase or decrease in the assumed initial public offering price per share of the common stock, assuming no change in the number of shares of common stock to be sold, would increase or decrease the net proceeds that we receive in this offering and each of total</w:t>
      </w:r>
    </w:p>
    <w:p>
      <w:pPr>
        <w:ind w:left="341" w:right="60"/>
        <w:spacing w:after="0" w:line="259" w:lineRule="auto"/>
        <w:rPr>
          <w:rFonts w:ascii="Arial" w:cs="Arial" w:eastAsia="Arial" w:hAnsi="Arial"/>
          <w:sz w:val="12"/>
          <w:szCs w:val="12"/>
          <w:color w:val="auto"/>
        </w:rPr>
      </w:pPr>
      <w:r>
        <w:rPr>
          <w:rFonts w:ascii="Arial" w:cs="Arial" w:eastAsia="Arial" w:hAnsi="Arial"/>
          <w:sz w:val="13"/>
          <w:szCs w:val="13"/>
          <w:color w:val="auto"/>
        </w:rPr>
        <w:t>stockholders’ equity and total capitalization by approximately $ . An increase or decrease of 1,000,000 shares in the expected number of shares to be sold in the offering, assuming no change in the assumed initial public offering price per share, would increase or decrease our net proceeds from this offering and our total stockholders’ equity and total capitalization by approximately $ . To the extent we raise more proceeds in this offering, we will repay additional indebtedness. To the extent we raise less proceeds in this offering, we will reduce the amount of indebtedness that will be repaid.</w:t>
      </w:r>
    </w:p>
    <w:p>
      <w:pPr>
        <w:spacing w:after="0" w:line="72" w:lineRule="exact"/>
        <w:rPr>
          <w:rFonts w:ascii="Arial" w:cs="Arial" w:eastAsia="Arial" w:hAnsi="Arial"/>
          <w:sz w:val="12"/>
          <w:szCs w:val="12"/>
          <w:color w:val="auto"/>
        </w:rPr>
      </w:pPr>
    </w:p>
    <w:p>
      <w:pPr>
        <w:ind w:left="341" w:right="80" w:hanging="341"/>
        <w:spacing w:after="0" w:line="282" w:lineRule="auto"/>
        <w:tabs>
          <w:tab w:leader="none" w:pos="341"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Represents the aggregate face amount of our first lien term loans. The first lien term loans mature on March 13, 2021. For a further description of our first lien credit agreement, see “Description of Indebtedness.” We intend to use the net proceeds to us from this offering remaining after the repayment of our second</w:t>
      </w:r>
    </w:p>
    <w:p>
      <w:pPr>
        <w:ind w:left="341" w:right="40"/>
        <w:spacing w:after="0" w:line="237" w:lineRule="auto"/>
        <w:rPr>
          <w:rFonts w:ascii="Arial" w:cs="Arial" w:eastAsia="Arial" w:hAnsi="Arial"/>
          <w:sz w:val="12"/>
          <w:szCs w:val="12"/>
          <w:color w:val="auto"/>
        </w:rPr>
      </w:pPr>
      <w:r>
        <w:rPr>
          <w:rFonts w:ascii="Arial" w:cs="Arial" w:eastAsia="Arial" w:hAnsi="Arial"/>
          <w:sz w:val="14"/>
          <w:szCs w:val="14"/>
          <w:color w:val="auto"/>
        </w:rPr>
        <w:t>lien term loans to repay $ million of our first lien term loans.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 See “Use of Proceeds.”</w:t>
      </w:r>
    </w:p>
    <w:p>
      <w:pPr>
        <w:spacing w:after="0" w:line="84" w:lineRule="exact"/>
        <w:rPr>
          <w:rFonts w:ascii="Arial" w:cs="Arial" w:eastAsia="Arial" w:hAnsi="Arial"/>
          <w:sz w:val="12"/>
          <w:szCs w:val="12"/>
          <w:color w:val="auto"/>
        </w:rPr>
      </w:pPr>
    </w:p>
    <w:p>
      <w:pPr>
        <w:ind w:left="341" w:right="220" w:hanging="341"/>
        <w:spacing w:after="0" w:line="241" w:lineRule="auto"/>
        <w:tabs>
          <w:tab w:leader="none" w:pos="341"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July 1, 2017, we had no outstanding borrowings and $5.5 million in outstanding letters of credit under our first lien revolving credit facility, which matures on March 13, 2019. For a further description of our first lien credit agreement, see “Description of Indebtedness.”Substantially concurrent with this offering, we intend to amend our first lien revolving credit facility to increase its size and extend its maturity. See “Prospectus Summary—Recent Developments— Revolving Credit Facility Amendment.”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63" w:name="page64"/>
    <w:bookmarkEnd w:id="6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right="160" w:hanging="341"/>
        <w:spacing w:after="0" w:line="245" w:lineRule="auto"/>
        <w:tabs>
          <w:tab w:leader="none" w:pos="341"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aggregate face amount of our second lien term loans. Our second lien term loans mature on March 13, 2022. For a further description of our second lien credit agreement, see “Description of Indebtedness.” We intend to use the net proceeds to us from this offering to repay all outstanding aggregate amount of our second lien term loans. See “Use of Proceeds.”</w:t>
      </w:r>
    </w:p>
    <w:p>
      <w:pPr>
        <w:spacing w:after="0" w:line="76"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5000" w:type="dxa"/>
            <w:vAlign w:val="bottom"/>
            <w:gridSpan w:val="3"/>
          </w:tcPr>
          <w:p>
            <w:pPr>
              <w:jc w:val="right"/>
              <w:ind w:right="42"/>
              <w:spacing w:after="0"/>
              <w:rPr>
                <w:sz w:val="20"/>
                <w:szCs w:val="20"/>
                <w:color w:val="auto"/>
              </w:rPr>
            </w:pPr>
            <w:r>
              <w:rPr>
                <w:rFonts w:ascii="Arial" w:cs="Arial" w:eastAsia="Arial" w:hAnsi="Arial"/>
                <w:sz w:val="14"/>
                <w:szCs w:val="14"/>
                <w:color w:val="auto"/>
                <w:w w:val="92"/>
              </w:rPr>
              <w:t>(5)   The pro forma as adjusted column gives effect to the write-off of approximately $</w:t>
            </w:r>
          </w:p>
        </w:tc>
        <w:tc>
          <w:tcPr>
            <w:tcW w:w="4220" w:type="dxa"/>
            <w:vAlign w:val="bottom"/>
          </w:tcPr>
          <w:p>
            <w:pPr>
              <w:ind w:left="120"/>
              <w:spacing w:after="0"/>
              <w:rPr>
                <w:sz w:val="20"/>
                <w:szCs w:val="20"/>
                <w:color w:val="auto"/>
              </w:rPr>
            </w:pPr>
            <w:r>
              <w:rPr>
                <w:rFonts w:ascii="Arial" w:cs="Arial" w:eastAsia="Arial" w:hAnsi="Arial"/>
                <w:sz w:val="14"/>
                <w:szCs w:val="14"/>
                <w:color w:val="auto"/>
                <w:w w:val="91"/>
              </w:rPr>
              <w:t>million of unamortized debt transaction costs and prepayment premiums</w:t>
            </w:r>
          </w:p>
        </w:tc>
      </w:tr>
      <w:tr>
        <w:trPr>
          <w:trHeight w:val="178"/>
        </w:trPr>
        <w:tc>
          <w:tcPr>
            <w:tcW w:w="2580" w:type="dxa"/>
            <w:vAlign w:val="bottom"/>
          </w:tcPr>
          <w:p>
            <w:pPr>
              <w:ind w:left="340"/>
              <w:spacing w:after="0"/>
              <w:rPr>
                <w:sz w:val="20"/>
                <w:szCs w:val="20"/>
                <w:color w:val="auto"/>
              </w:rPr>
            </w:pPr>
            <w:r>
              <w:rPr>
                <w:rFonts w:ascii="Arial" w:cs="Arial" w:eastAsia="Arial" w:hAnsi="Arial"/>
                <w:sz w:val="14"/>
                <w:szCs w:val="14"/>
                <w:color w:val="auto"/>
                <w:w w:val="95"/>
              </w:rPr>
              <w:t>in connection with the repayment of $</w:t>
            </w:r>
          </w:p>
        </w:tc>
        <w:tc>
          <w:tcPr>
            <w:tcW w:w="1080" w:type="dxa"/>
            <w:vAlign w:val="bottom"/>
          </w:tcPr>
          <w:p>
            <w:pPr>
              <w:ind w:left="120"/>
              <w:spacing w:after="0"/>
              <w:rPr>
                <w:sz w:val="20"/>
                <w:szCs w:val="20"/>
                <w:color w:val="auto"/>
              </w:rPr>
            </w:pPr>
            <w:r>
              <w:rPr>
                <w:rFonts w:ascii="Arial" w:cs="Arial" w:eastAsia="Arial" w:hAnsi="Arial"/>
                <w:sz w:val="14"/>
                <w:szCs w:val="14"/>
                <w:color w:val="auto"/>
              </w:rPr>
              <w:t>million of our</w:t>
            </w:r>
          </w:p>
        </w:tc>
        <w:tc>
          <w:tcPr>
            <w:tcW w:w="5560" w:type="dxa"/>
            <w:vAlign w:val="bottom"/>
            <w:gridSpan w:val="2"/>
          </w:tcPr>
          <w:p>
            <w:pPr>
              <w:ind w:left="180"/>
              <w:spacing w:after="0"/>
              <w:rPr>
                <w:sz w:val="20"/>
                <w:szCs w:val="20"/>
                <w:color w:val="auto"/>
              </w:rPr>
            </w:pPr>
            <w:r>
              <w:rPr>
                <w:rFonts w:ascii="Arial" w:cs="Arial" w:eastAsia="Arial" w:hAnsi="Arial"/>
                <w:sz w:val="14"/>
                <w:szCs w:val="14"/>
                <w:color w:val="auto"/>
              </w:rPr>
              <w:t>with net proceeds from this offering. See “Use of Proceeds.”</w:t>
            </w:r>
          </w:p>
        </w:tc>
      </w:tr>
      <w:tr>
        <w:trPr>
          <w:trHeight w:val="401"/>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jc w:val="right"/>
              <w:ind w:right="222"/>
              <w:spacing w:after="0"/>
              <w:rPr>
                <w:sz w:val="20"/>
                <w:szCs w:val="20"/>
                <w:color w:val="auto"/>
              </w:rPr>
            </w:pPr>
            <w:r>
              <w:rPr>
                <w:rFonts w:ascii="Arial" w:cs="Arial" w:eastAsia="Arial" w:hAnsi="Arial"/>
                <w:sz w:val="17"/>
                <w:szCs w:val="17"/>
                <w:color w:val="auto"/>
              </w:rPr>
              <w:t>52</w:t>
            </w:r>
          </w:p>
        </w:tc>
        <w:tc>
          <w:tcPr>
            <w:tcW w:w="4220" w:type="dxa"/>
            <w:vAlign w:val="bottom"/>
          </w:tcPr>
          <w:p>
            <w:pPr>
              <w:spacing w:after="0"/>
              <w:rPr>
                <w:sz w:val="24"/>
                <w:szCs w:val="24"/>
                <w:color w:val="auto"/>
              </w:rPr>
            </w:pPr>
          </w:p>
        </w:tc>
      </w:tr>
      <w:tr>
        <w:trPr>
          <w:trHeight w:val="443"/>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65"/>
        </w:trPr>
        <w:tc>
          <w:tcPr>
            <w:tcW w:w="25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422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3" w:right="1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123"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following unaudited pro forma consolidated financial statements as of July 1, 2017 and for the six months ended July 1, 2017 and the year ended December 31, 2016 are derived from our historical consolidated financial statements included elsewhere in this prospectus.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consolidated statements of operations for the six months ended July 1, 2017 and the year ended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are presented as if the following transactions had occurred on January 3, 2016:</w:t>
      </w:r>
    </w:p>
    <w:p>
      <w:pPr>
        <w:spacing w:after="0" w:line="105" w:lineRule="exact"/>
        <w:rPr>
          <w:sz w:val="20"/>
          <w:szCs w:val="20"/>
          <w:color w:val="auto"/>
        </w:rPr>
      </w:pPr>
    </w:p>
    <w:p>
      <w:pPr>
        <w:ind w:left="680" w:right="440" w:hanging="342"/>
        <w:spacing w:after="0" w:line="357" w:lineRule="auto"/>
        <w:tabs>
          <w:tab w:leader="none" w:pos="6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borrowing of $175.0 million, before original issuance discounts and offering costs, under our first lien credit agreement on February 3, 2017 and related impact on income tax provision (benefit) and deferred income taxes, net.</w:t>
      </w:r>
    </w:p>
    <w:p>
      <w:pPr>
        <w:spacing w:after="0" w:line="8"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The impact of the $175.0 million borrowing and related dividend of $171.0 million paid in February 2017 is reflected in the historical condensed consolidated balance sheet as of July 1, 2017.</w:t>
      </w:r>
    </w:p>
    <w:p>
      <w:pPr>
        <w:spacing w:after="0" w:line="54"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In addition, these unaudited pro forma consolidated financial statements are presented as if the following transactions had occurred on July 1, 2017, in the case of the unaudited pro forma consolidated balance sheet, and on January 3, 2016, in the case of the unaudited pro forma consolidated statements of operations for the six months ended July 1, 2017 and for the year ended December 31, 2016:</w:t>
      </w:r>
    </w:p>
    <w:p>
      <w:pPr>
        <w:sectPr>
          <w:pgSz w:w="11900" w:h="16838" w:orient="portrait"/>
          <w:cols w:equalWidth="0" w:num="1">
            <w:col w:w="9200"/>
          </w:cols>
          <w:pgMar w:left="1340" w:top="273" w:right="1359" w:bottom="1440" w:gutter="0" w:footer="0" w:header="0"/>
        </w:sectPr>
      </w:pP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issuance and sale of shares of our common stock in this offering at an initial public offering price of $ per share, which is the mid-point of the estimated offering price range set forth on the cover page of this prospectus, and the application of the net proceeds therefrom, including the repayment of $ million in outstanding indebtedness.</w:t>
      </w:r>
    </w:p>
    <w:p>
      <w:pPr>
        <w:spacing w:after="0" w:line="49" w:lineRule="exact"/>
        <w:rPr>
          <w:sz w:val="20"/>
          <w:szCs w:val="20"/>
          <w:color w:val="auto"/>
        </w:rPr>
      </w:pPr>
    </w:p>
    <w:p>
      <w:pPr>
        <w:sectPr>
          <w:pgSz w:w="11900" w:h="16838" w:orient="portrait"/>
          <w:cols w:equalWidth="0" w:num="2">
            <w:col w:w="400" w:space="280"/>
            <w:col w:w="8520"/>
          </w:cols>
          <w:pgMar w:left="1340" w:top="273" w:right="1359" w:bottom="1440" w:gutter="0" w:footer="0" w:header="0"/>
          <w:type w:val="continuous"/>
        </w:sectPr>
      </w:pPr>
    </w:p>
    <w:p>
      <w:pPr>
        <w:ind w:right="240" w:firstLine="347"/>
        <w:spacing w:after="0" w:line="287" w:lineRule="auto"/>
        <w:rPr>
          <w:sz w:val="20"/>
          <w:szCs w:val="20"/>
          <w:color w:val="auto"/>
        </w:rPr>
      </w:pPr>
      <w:r>
        <w:rPr>
          <w:rFonts w:ascii="Arial" w:cs="Arial" w:eastAsia="Arial" w:hAnsi="Arial"/>
          <w:sz w:val="17"/>
          <w:szCs w:val="17"/>
          <w:color w:val="auto"/>
        </w:rPr>
        <w:t>The notes to the unaudited pro forma financial statements provide a more detailed discussion of how such adjustments were derived and presented in the pro forma financial statements.</w:t>
      </w:r>
    </w:p>
    <w:p>
      <w:pPr>
        <w:spacing w:after="0" w:line="54"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pro forma adjustments set forth below are based on currently available information and certain assumptions made by our management and may be revised as additional information becomes available. The unaudited pro forma consolidated financial statements presented are for illustrative purposes only and do not necessarily indicate our financial condition or the operating results that would have been achieved if the transactions had occurred as of the date or for the period indicated above, nor are they indicative of our financial condition or operating results as of any future date or for any future period.</w:t>
      </w:r>
    </w:p>
    <w:p>
      <w:pPr>
        <w:spacing w:after="0" w:line="59" w:lineRule="exact"/>
        <w:rPr>
          <w:sz w:val="20"/>
          <w:szCs w:val="20"/>
          <w:color w:val="auto"/>
        </w:rPr>
      </w:pPr>
    </w:p>
    <w:p>
      <w:pPr>
        <w:jc w:val="both"/>
        <w:ind w:right="560" w:firstLine="347"/>
        <w:spacing w:after="0" w:line="296" w:lineRule="auto"/>
        <w:rPr>
          <w:sz w:val="20"/>
          <w:szCs w:val="20"/>
          <w:color w:val="auto"/>
        </w:rPr>
      </w:pPr>
      <w:r>
        <w:rPr>
          <w:rFonts w:ascii="Arial" w:cs="Arial" w:eastAsia="Arial" w:hAnsi="Arial"/>
          <w:sz w:val="16"/>
          <w:szCs w:val="16"/>
          <w:color w:val="auto"/>
        </w:rPr>
        <w:t>The unaudited pro forma consolidated financial statements should be read in conjunction with the accompanying notes, “Management’s Discussion and Analysis of Financial Condition and Results of Operations,” and our historical consolidated financial statements and accompanying notes included elsewhere in this prospectus.</w:t>
      </w:r>
    </w:p>
    <w:p>
      <w:pPr>
        <w:spacing w:after="0" w:line="49"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Except as otherwise indicated, the unaudited pro forma consolidated financial statements presented assume no exercise by the underwriters of their over-allotment option to purchase additional common shares from us.</w:t>
      </w:r>
    </w:p>
    <w:p>
      <w:pPr>
        <w:spacing w:after="0" w:line="54"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As a public company, we will be implementing additional procedures and processes to address the standards and requirements applicable to public companies. We expect to incur additional annual expenses related to these steps, as well as additional expenses relating to,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Balance Sheet</w:t>
      </w:r>
    </w:p>
    <w:p>
      <w:pPr>
        <w:jc w:val="center"/>
        <w:spacing w:after="0"/>
        <w:rPr>
          <w:sz w:val="20"/>
          <w:szCs w:val="20"/>
          <w:color w:val="auto"/>
        </w:rPr>
      </w:pPr>
      <w:r>
        <w:rPr>
          <w:rFonts w:ascii="Arial" w:cs="Arial" w:eastAsia="Arial" w:hAnsi="Arial"/>
          <w:sz w:val="17"/>
          <w:szCs w:val="17"/>
          <w:b w:val="1"/>
          <w:bCs w:val="1"/>
          <w:color w:val="auto"/>
        </w:rPr>
        <w:t>As of July 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4"/>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Historical</w:t>
            </w: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Related to this</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9"/>
              </w:rPr>
              <w:t>Pro Forma As</w:t>
            </w:r>
          </w:p>
        </w:tc>
      </w:tr>
      <w:tr>
        <w:trPr>
          <w:trHeight w:val="172"/>
        </w:trPr>
        <w:tc>
          <w:tcPr>
            <w:tcW w:w="4160" w:type="dxa"/>
            <w:vAlign w:val="bottom"/>
          </w:tcPr>
          <w:p>
            <w:pPr>
              <w:ind w:left="17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July 1, 2017</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Footnotes</w:t>
            </w:r>
          </w:p>
        </w:tc>
        <w:tc>
          <w:tcPr>
            <w:tcW w:w="1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Adjusted</w:t>
            </w:r>
          </w:p>
        </w:tc>
      </w:tr>
      <w:tr>
        <w:trPr>
          <w:trHeight w:val="235"/>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24,864</w:t>
            </w:r>
          </w:p>
        </w:tc>
        <w:tc>
          <w:tcPr>
            <w:tcW w:w="200" w:type="dxa"/>
            <w:vAlign w:val="bottom"/>
          </w:tcPr>
          <w:p>
            <w:pPr>
              <w:spacing w:after="0"/>
              <w:rPr>
                <w:sz w:val="19"/>
                <w:szCs w:val="19"/>
                <w:color w:val="auto"/>
              </w:rPr>
            </w:pPr>
          </w:p>
        </w:tc>
        <w:tc>
          <w:tcPr>
            <w:tcW w:w="1200" w:type="dxa"/>
            <w:vAlign w:val="bottom"/>
          </w:tcPr>
          <w:p>
            <w:pPr>
              <w:jc w:val="right"/>
              <w:ind w:right="102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160"/>
              <w:spacing w:after="0"/>
              <w:rPr>
                <w:sz w:val="20"/>
                <w:szCs w:val="20"/>
                <w:color w:val="auto"/>
              </w:rPr>
            </w:pPr>
            <w:r>
              <w:rPr>
                <w:rFonts w:ascii="Arial" w:cs="Arial" w:eastAsia="Arial" w:hAnsi="Arial"/>
                <w:sz w:val="17"/>
                <w:szCs w:val="17"/>
                <w:color w:val="auto"/>
              </w:rPr>
              <w:t>A, B</w:t>
            </w:r>
          </w:p>
        </w:tc>
        <w:tc>
          <w:tcPr>
            <w:tcW w:w="1280" w:type="dxa"/>
            <w:vAlign w:val="bottom"/>
            <w:gridSpan w:val="2"/>
          </w:tcPr>
          <w:p>
            <w:pPr>
              <w:jc w:val="right"/>
              <w:ind w:right="9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89,376</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16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174,396</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281,321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Other assets and deferred costs: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Trademarks and tradenames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240,547</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intangible assets,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10,544</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non-current assets</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1,576,673</w:t>
            </w:r>
          </w:p>
        </w:tc>
        <w:tc>
          <w:tcPr>
            <w:tcW w:w="200" w:type="dxa"/>
            <w:vAlign w:val="bottom"/>
          </w:tcPr>
          <w:p>
            <w:pPr>
              <w:spacing w:after="0"/>
              <w:rPr>
                <w:sz w:val="19"/>
                <w:szCs w:val="19"/>
                <w:color w:val="auto"/>
              </w:rPr>
            </w:pPr>
          </w:p>
        </w:tc>
        <w:tc>
          <w:tcPr>
            <w:tcW w:w="1200" w:type="dxa"/>
            <w:vAlign w:val="bottom"/>
          </w:tcPr>
          <w:p>
            <w:pPr>
              <w:jc w:val="right"/>
              <w:ind w:right="1023"/>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gridSpan w:val="2"/>
          </w:tcPr>
          <w:p>
            <w:pPr>
              <w:jc w:val="right"/>
              <w:ind w:right="9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5"/>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34,433</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gridSpan w:val="2"/>
          </w:tcPr>
          <w:p>
            <w:pPr>
              <w:jc w:val="right"/>
              <w:ind w:right="9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payables and accrued expenses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81,847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Unearned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22,669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63,353</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9,563</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211,865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913,341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7"/>
                <w:szCs w:val="17"/>
                <w:color w:val="auto"/>
              </w:rPr>
              <w:t>B</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31,651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119,528</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201,958</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w:t>
            </w: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256,339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7"/>
                <w:szCs w:val="17"/>
                <w:color w:val="auto"/>
              </w:rPr>
              <w:t>A</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w:t>
            </w: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6,899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16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249,509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7"/>
                <w:szCs w:val="17"/>
                <w:color w:val="auto"/>
              </w:rPr>
              <w:t>A</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7"/>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1,576,673</w:t>
            </w:r>
          </w:p>
        </w:tc>
        <w:tc>
          <w:tcPr>
            <w:tcW w:w="200" w:type="dxa"/>
            <w:vAlign w:val="bottom"/>
            <w:tcBorders>
              <w:left w:val="single" w:sz="8" w:color="CCEEFF"/>
              <w:right w:val="single" w:sz="8" w:color="CCEEFF"/>
            </w:tcBorders>
            <w:shd w:val="clear" w:color="auto" w:fill="CCEEFF"/>
          </w:tcPr>
          <w:p>
            <w:pPr>
              <w:spacing w:after="0"/>
              <w:rPr>
                <w:sz w:val="23"/>
                <w:szCs w:val="23"/>
                <w:color w:val="auto"/>
              </w:rPr>
            </w:pPr>
          </w:p>
        </w:tc>
        <w:tc>
          <w:tcPr>
            <w:tcW w:w="1200" w:type="dxa"/>
            <w:vAlign w:val="bottom"/>
            <w:shd w:val="clear" w:color="auto" w:fill="CCEEFF"/>
          </w:tcPr>
          <w:p>
            <w:pPr>
              <w:jc w:val="right"/>
              <w:ind w:right="1023"/>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93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r>
      <w:tr>
        <w:trPr>
          <w:trHeight w:val="417"/>
        </w:trPr>
        <w:tc>
          <w:tcPr>
            <w:tcW w:w="4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color w:val="auto"/>
              </w:rPr>
              <w:t>54</w:t>
            </w:r>
          </w:p>
        </w:tc>
        <w:tc>
          <w:tcPr>
            <w:tcW w:w="20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0"/>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0" w:type="dxa"/>
            <w:vAlign w:val="bottom"/>
            <w:tcBorders>
              <w:left w:val="single" w:sz="8" w:color="auto"/>
              <w:right w:val="single" w:sz="8" w:color="auto"/>
            </w:tcBorders>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Six Months Ended July 1,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Pro Forma</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Pro Forma</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24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per share amounts)</w:t>
            </w:r>
          </w:p>
        </w:tc>
        <w:tc>
          <w:tcPr>
            <w:tcW w:w="90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Historical</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Related to</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Pro Forma for the</w:t>
            </w:r>
          </w:p>
        </w:tc>
        <w:tc>
          <w:tcPr>
            <w:tcW w:w="8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Related to</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82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88"/>
              </w:rPr>
              <w:t>this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Pro Forma</w:t>
            </w:r>
          </w:p>
        </w:tc>
      </w:tr>
      <w:tr>
        <w:trPr>
          <w:trHeight w:val="167"/>
        </w:trPr>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July 1, 2017</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Recapitalization</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Footnotes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Recapitalization</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Offering</w:t>
            </w: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2"/>
              </w:rPr>
              <w:t>Footnotes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As Adjusted</w:t>
            </w:r>
          </w:p>
        </w:tc>
      </w:tr>
      <w:tr>
        <w:trPr>
          <w:trHeight w:val="235"/>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Net product sales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583,544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583,544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ind w:right="587"/>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35"/>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Net sales of service and plans</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123,856</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27"/>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Total net revenue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707,400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707,400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(exclusive of depreciation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5"/>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and amortization):</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Products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233,347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233,347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5"/>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2"/>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440" w:type="dxa"/>
            <w:vAlign w:val="bottom"/>
            <w:gridSpan w:val="2"/>
          </w:tcPr>
          <w:p>
            <w:pPr>
              <w:ind w:left="340"/>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322,216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322,216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2"/>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Selling, general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440" w:type="dxa"/>
            <w:vAlign w:val="bottom"/>
            <w:gridSpan w:val="2"/>
          </w:tcPr>
          <w:p>
            <w:pPr>
              <w:ind w:left="340"/>
              <w:spacing w:after="0"/>
              <w:rPr>
                <w:sz w:val="20"/>
                <w:szCs w:val="20"/>
                <w:color w:val="auto"/>
              </w:rPr>
            </w:pPr>
            <w:r>
              <w:rPr>
                <w:rFonts w:ascii="Arial" w:cs="Arial" w:eastAsia="Arial" w:hAnsi="Arial"/>
                <w:sz w:val="17"/>
                <w:szCs w:val="17"/>
                <w:color w:val="auto"/>
              </w:rPr>
              <w:t>administrative expenses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294,459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294,459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9"/>
              </w:rPr>
              <w:t>Depreciation and amortization</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7"/>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Litigation settlement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8"/>
        </w:trPr>
        <w:tc>
          <w:tcPr>
            <w:tcW w:w="242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331,690</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7"/>
        </w:trPr>
        <w:tc>
          <w:tcPr>
            <w:tcW w:w="2440" w:type="dxa"/>
            <w:vAlign w:val="bottom"/>
            <w:gridSpan w:val="2"/>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53,494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26,114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727</w:t>
            </w:r>
          </w:p>
        </w:tc>
        <w:tc>
          <w:tcPr>
            <w:tcW w:w="72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C</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8"/>
        </w:trPr>
        <w:tc>
          <w:tcPr>
            <w:tcW w:w="24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4"/>
          </w:tcPr>
          <w:p>
            <w:pPr>
              <w:jc w:val="right"/>
              <w:ind w:right="492"/>
              <w:spacing w:after="0"/>
              <w:rPr>
                <w:sz w:val="20"/>
                <w:szCs w:val="20"/>
                <w:color w:val="auto"/>
              </w:rPr>
            </w:pPr>
            <w:r>
              <w:rPr>
                <w:rFonts w:ascii="Arial" w:cs="Arial" w:eastAsia="Arial" w:hAnsi="Arial"/>
                <w:sz w:val="17"/>
                <w:szCs w:val="17"/>
                <w:color w:val="auto"/>
              </w:rPr>
              <w:t>(2,702) 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5"/>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C</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26,653</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420" w:type="dxa"/>
            <w:vAlign w:val="bottom"/>
          </w:tcPr>
          <w:p>
            <w:pPr>
              <w:spacing w:after="0"/>
              <w:rPr>
                <w:sz w:val="20"/>
                <w:szCs w:val="20"/>
                <w:color w:val="auto"/>
              </w:rPr>
            </w:pPr>
            <w:r>
              <w:rPr>
                <w:rFonts w:ascii="Arial" w:cs="Arial" w:eastAsia="Arial" w:hAnsi="Arial"/>
                <w:sz w:val="17"/>
                <w:szCs w:val="17"/>
                <w:color w:val="auto"/>
              </w:rPr>
              <w:t>Income tax provision</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60" w:type="dxa"/>
            <w:vAlign w:val="bottom"/>
          </w:tcPr>
          <w:p>
            <w:pPr>
              <w:spacing w:after="0"/>
              <w:rPr>
                <w:sz w:val="19"/>
                <w:szCs w:val="19"/>
                <w:color w:val="auto"/>
              </w:rPr>
            </w:pPr>
          </w:p>
        </w:tc>
        <w:tc>
          <w:tcPr>
            <w:tcW w:w="720" w:type="dxa"/>
            <w:vAlign w:val="bottom"/>
            <w:gridSpan w:val="2"/>
          </w:tcPr>
          <w:p>
            <w:pPr>
              <w:jc w:val="right"/>
              <w:ind w:right="472"/>
              <w:spacing w:after="0"/>
              <w:rPr>
                <w:sz w:val="20"/>
                <w:szCs w:val="20"/>
                <w:color w:val="auto"/>
              </w:rPr>
            </w:pPr>
            <w:r>
              <w:rPr>
                <w:rFonts w:ascii="Arial" w:cs="Arial" w:eastAsia="Arial" w:hAnsi="Arial"/>
                <w:sz w:val="17"/>
                <w:szCs w:val="17"/>
                <w:color w:val="auto"/>
              </w:rPr>
              <w:t>D</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G</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67"/>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1,197</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16,771</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87"/>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r>
      <w:tr>
        <w:trPr>
          <w:trHeight w:val="235"/>
        </w:trPr>
        <w:tc>
          <w:tcPr>
            <w:tcW w:w="242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5"/>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H</w:t>
            </w:r>
          </w:p>
        </w:tc>
        <w:tc>
          <w:tcPr>
            <w:tcW w:w="920" w:type="dxa"/>
            <w:vAlign w:val="bottom"/>
            <w:gridSpan w:val="3"/>
          </w:tcPr>
          <w:p>
            <w:pPr>
              <w:ind w:lef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2"/>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H</w:t>
            </w:r>
          </w:p>
        </w:tc>
        <w:tc>
          <w:tcPr>
            <w:tcW w:w="9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r>
      <w:tr>
        <w:trPr>
          <w:trHeight w:val="208"/>
        </w:trPr>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Weighted average shares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440" w:type="dxa"/>
            <w:vAlign w:val="bottom"/>
            <w:gridSpan w:val="2"/>
          </w:tcPr>
          <w:p>
            <w:pPr>
              <w:ind w:left="160"/>
              <w:spacing w:after="0"/>
              <w:rPr>
                <w:sz w:val="20"/>
                <w:szCs w:val="20"/>
                <w:color w:val="auto"/>
              </w:rPr>
            </w:pPr>
            <w:r>
              <w:rPr>
                <w:rFonts w:ascii="Arial" w:cs="Arial" w:eastAsia="Arial" w:hAnsi="Arial"/>
                <w:sz w:val="17"/>
                <w:szCs w:val="17"/>
                <w:b w:val="1"/>
                <w:bCs w:val="1"/>
                <w:color w:val="auto"/>
              </w:rPr>
              <w:t>outstanding: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110,774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110,774</w:t>
            </w: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H</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7"/>
        </w:trPr>
        <w:tc>
          <w:tcPr>
            <w:tcW w:w="2440" w:type="dxa"/>
            <w:vAlign w:val="bottom"/>
            <w:gridSpan w:val="2"/>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114,711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114,711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Year Ended December 31, 2016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b w:val="1"/>
                <w:bCs w:val="1"/>
                <w:color w:val="auto"/>
              </w:rPr>
              <w:t>(In thousands, except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2580" w:type="dxa"/>
            <w:vAlign w:val="bottom"/>
          </w:tcPr>
          <w:p>
            <w:pPr>
              <w:spacing w:after="0" w:line="143" w:lineRule="exact"/>
              <w:rPr>
                <w:sz w:val="20"/>
                <w:szCs w:val="20"/>
                <w:color w:val="auto"/>
              </w:rPr>
            </w:pPr>
            <w:r>
              <w:rPr>
                <w:rFonts w:ascii="Arial" w:cs="Arial" w:eastAsia="Arial" w:hAnsi="Arial"/>
                <w:sz w:val="14"/>
                <w:szCs w:val="14"/>
                <w:b w:val="1"/>
                <w:bCs w:val="1"/>
                <w:color w:val="auto"/>
              </w:rPr>
              <w:t>per share amounts)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5"/>
              </w:rPr>
              <w:t>Pro</w:t>
            </w:r>
          </w:p>
        </w:tc>
      </w:tr>
      <w:tr>
        <w:trPr>
          <w:trHeight w:val="143"/>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5"/>
              </w:rPr>
              <w:t>Related to</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Pro Forma for the</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Related to</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3"/>
              </w:rPr>
              <w:t>Forma</w:t>
            </w:r>
          </w:p>
        </w:tc>
      </w:tr>
      <w:tr>
        <w:trPr>
          <w:trHeight w:val="143"/>
        </w:trPr>
        <w:tc>
          <w:tcPr>
            <w:tcW w:w="2580" w:type="dxa"/>
            <w:vAlign w:val="bottom"/>
          </w:tcPr>
          <w:p>
            <w:pPr>
              <w:spacing w:after="0"/>
              <w:rPr>
                <w:sz w:val="12"/>
                <w:szCs w:val="12"/>
                <w:color w:val="auto"/>
              </w:rPr>
            </w:pPr>
          </w:p>
        </w:tc>
        <w:tc>
          <w:tcPr>
            <w:tcW w:w="10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this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As</w:t>
            </w:r>
          </w:p>
        </w:tc>
      </w:tr>
      <w:tr>
        <w:trPr>
          <w:trHeight w:val="167"/>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Recapitalization</w:t>
            </w: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Recapitalization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Adjusted</w:t>
            </w:r>
          </w:p>
        </w:tc>
      </w:tr>
      <w:tr>
        <w:trPr>
          <w:trHeight w:val="235"/>
        </w:trPr>
        <w:tc>
          <w:tcPr>
            <w:tcW w:w="25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1"/>
        </w:trPr>
        <w:tc>
          <w:tcPr>
            <w:tcW w:w="258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product sales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980,953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980,953</w:t>
            </w:r>
          </w:p>
        </w:tc>
        <w:tc>
          <w:tcPr>
            <w:tcW w:w="760" w:type="dxa"/>
            <w:vAlign w:val="bottom"/>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r>
      <w:tr>
        <w:trPr>
          <w:trHeight w:val="228"/>
        </w:trPr>
        <w:tc>
          <w:tcPr>
            <w:tcW w:w="2580" w:type="dxa"/>
            <w:vAlign w:val="bottom"/>
          </w:tcPr>
          <w:p>
            <w:pPr>
              <w:ind w:left="180"/>
              <w:spacing w:after="0"/>
              <w:rPr>
                <w:sz w:val="20"/>
                <w:szCs w:val="20"/>
                <w:color w:val="auto"/>
              </w:rPr>
            </w:pPr>
            <w:r>
              <w:rPr>
                <w:rFonts w:ascii="Arial" w:cs="Arial" w:eastAsia="Arial" w:hAnsi="Arial"/>
                <w:sz w:val="17"/>
                <w:szCs w:val="17"/>
                <w:color w:val="auto"/>
              </w:rPr>
              <w:t>Net sales of service and plans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215,242</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215,242</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1,196,195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1,196,195</w:t>
            </w:r>
          </w:p>
        </w:tc>
        <w:tc>
          <w:tcPr>
            <w:tcW w:w="180" w:type="dxa"/>
            <w:vAlign w:val="bottom"/>
            <w:tcBorders>
              <w:right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7"/>
                <w:szCs w:val="17"/>
                <w:b w:val="1"/>
                <w:bCs w:val="1"/>
                <w:color w:val="auto"/>
              </w:rPr>
              <w:t>Costs applicable to 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580" w:type="dxa"/>
            <w:vAlign w:val="bottom"/>
          </w:tcPr>
          <w:p>
            <w:pPr>
              <w:ind w:left="180"/>
              <w:spacing w:after="0"/>
              <w:rPr>
                <w:sz w:val="20"/>
                <w:szCs w:val="20"/>
                <w:color w:val="auto"/>
              </w:rPr>
            </w:pPr>
            <w:r>
              <w:rPr>
                <w:rFonts w:ascii="Arial" w:cs="Arial" w:eastAsia="Arial" w:hAnsi="Arial"/>
                <w:sz w:val="17"/>
                <w:szCs w:val="17"/>
                <w:b w:val="1"/>
                <w:bCs w:val="1"/>
                <w:color w:val="auto"/>
                <w:w w:val="96"/>
              </w:rPr>
              <w:t>(exclusive of depreciation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2580" w:type="dxa"/>
            <w:vAlign w:val="bottom"/>
          </w:tcPr>
          <w:p>
            <w:pPr>
              <w:ind w:left="18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Products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390,369</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390,369</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2580" w:type="dxa"/>
            <w:vAlign w:val="bottom"/>
          </w:tcPr>
          <w:p>
            <w:pPr>
              <w:ind w:left="180"/>
              <w:spacing w:after="0"/>
              <w:rPr>
                <w:sz w:val="20"/>
                <w:szCs w:val="20"/>
                <w:color w:val="auto"/>
              </w:rPr>
            </w:pPr>
            <w:r>
              <w:rPr>
                <w:rFonts w:ascii="Arial" w:cs="Arial" w:eastAsia="Arial" w:hAnsi="Arial"/>
                <w:sz w:val="17"/>
                <w:szCs w:val="17"/>
                <w:color w:val="auto"/>
              </w:rPr>
              <w:t>Services and plans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154,412</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154,412</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
        </w:trPr>
        <w:tc>
          <w:tcPr>
            <w:tcW w:w="2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4"/>
              </w:rPr>
              <w:t>Total costs applicable to revenue</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544,781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544,781</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1"/>
        </w:trPr>
        <w:tc>
          <w:tcPr>
            <w:tcW w:w="258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3"/>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Selling, general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5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administrative expenses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524,238</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524,238</w:t>
            </w:r>
          </w:p>
        </w:tc>
        <w:tc>
          <w:tcPr>
            <w:tcW w:w="7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w:t>
            </w: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25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51,993</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51,993</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258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1,667</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1,667</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
        </w:trPr>
        <w:tc>
          <w:tcPr>
            <w:tcW w:w="2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585,030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585,030</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6"/>
        </w:trPr>
        <w:tc>
          <w:tcPr>
            <w:tcW w:w="25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66,384</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66,384</w:t>
            </w:r>
          </w:p>
        </w:tc>
        <w:tc>
          <w:tcPr>
            <w:tcW w:w="7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E</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8,045</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47,137</w:t>
            </w:r>
          </w:p>
        </w:tc>
        <w:tc>
          <w:tcPr>
            <w:tcW w:w="7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w:t>
            </w: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258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27,292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(8,045)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19,247</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7"/>
                <w:szCs w:val="17"/>
                <w:color w:val="auto"/>
              </w:rPr>
              <w:t>Income tax provision</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12,534</w:t>
            </w:r>
          </w:p>
        </w:tc>
        <w:tc>
          <w:tcPr>
            <w:tcW w:w="120" w:type="dxa"/>
            <w:vAlign w:val="bottom"/>
          </w:tcPr>
          <w:p>
            <w:pPr>
              <w:spacing w:after="0"/>
              <w:rPr>
                <w:sz w:val="19"/>
                <w:szCs w:val="19"/>
                <w:color w:val="auto"/>
              </w:rPr>
            </w:pPr>
          </w:p>
        </w:tc>
        <w:tc>
          <w:tcPr>
            <w:tcW w:w="1660" w:type="dxa"/>
            <w:vAlign w:val="bottom"/>
            <w:gridSpan w:val="4"/>
          </w:tcPr>
          <w:p>
            <w:pPr>
              <w:ind w:left="440"/>
              <w:spacing w:after="0"/>
              <w:rPr>
                <w:sz w:val="20"/>
                <w:szCs w:val="20"/>
                <w:color w:val="auto"/>
              </w:rPr>
            </w:pPr>
            <w:r>
              <w:rPr>
                <w:rFonts w:ascii="Arial" w:cs="Arial" w:eastAsia="Arial" w:hAnsi="Arial"/>
                <w:sz w:val="17"/>
                <w:szCs w:val="17"/>
                <w:color w:val="auto"/>
              </w:rPr>
              <w:t>(3,170) 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9,364</w:t>
            </w:r>
          </w:p>
        </w:tc>
        <w:tc>
          <w:tcPr>
            <w:tcW w:w="7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
        </w:trPr>
        <w:tc>
          <w:tcPr>
            <w:tcW w:w="2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(4,875)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9,883</w:t>
            </w:r>
          </w:p>
        </w:tc>
        <w:tc>
          <w:tcPr>
            <w:tcW w:w="760" w:type="dxa"/>
            <w:vAlign w:val="bottom"/>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3"/>
                <w:szCs w:val="23"/>
                <w:color w:val="auto"/>
              </w:rPr>
            </w:pPr>
          </w:p>
        </w:tc>
      </w:tr>
      <w:tr>
        <w:trPr>
          <w:trHeight w:val="235"/>
        </w:trPr>
        <w:tc>
          <w:tcPr>
            <w:tcW w:w="25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2580" w:type="dxa"/>
            <w:vAlign w:val="bottom"/>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0.13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0.09</w:t>
            </w:r>
          </w:p>
        </w:tc>
        <w:tc>
          <w:tcPr>
            <w:tcW w:w="7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H</w:t>
            </w:r>
          </w:p>
        </w:tc>
        <w:tc>
          <w:tcPr>
            <w:tcW w:w="820" w:type="dxa"/>
            <w:vAlign w:val="bottom"/>
            <w:gridSpan w:val="2"/>
          </w:tcPr>
          <w:p>
            <w:pPr>
              <w:jc w:val="right"/>
              <w:ind w:right="472"/>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r>
      <w:tr>
        <w:trPr>
          <w:trHeight w:val="241"/>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0.09</w:t>
            </w:r>
          </w:p>
        </w:tc>
        <w:tc>
          <w:tcPr>
            <w:tcW w:w="7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H</w:t>
            </w:r>
          </w:p>
        </w:tc>
        <w:tc>
          <w:tcPr>
            <w:tcW w:w="82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3"/>
        </w:trPr>
        <w:tc>
          <w:tcPr>
            <w:tcW w:w="258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2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110,474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110,474</w:t>
            </w:r>
          </w:p>
        </w:tc>
        <w:tc>
          <w:tcPr>
            <w:tcW w:w="7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H</w:t>
            </w: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258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112,080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112,080</w:t>
            </w:r>
          </w:p>
        </w:tc>
        <w:tc>
          <w:tcPr>
            <w:tcW w:w="7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7"/>
                <w:szCs w:val="17"/>
                <w:color w:val="auto"/>
              </w:rPr>
              <w:t>H</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2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417"/>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56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25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68" w:name="page69"/>
    <w:bookmarkEnd w:id="6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521" w:hanging="521"/>
        <w:spacing w:after="0"/>
        <w:tabs>
          <w:tab w:leader="none" w:pos="521"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Condensed Consolidated Balance Sheet</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adjustments to the unaudited pro forma condensed consolidated balance sheet as of July 1, 2017 are as follows: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hanging="339"/>
        <w:spacing w:after="0" w:line="280" w:lineRule="auto"/>
        <w:tabs>
          <w:tab w:leader="none" w:pos="320" w:val="left"/>
        </w:tabs>
        <w:rPr>
          <w:sz w:val="20"/>
          <w:szCs w:val="20"/>
          <w:color w:val="auto"/>
        </w:rPr>
      </w:pPr>
      <w:r>
        <w:rPr>
          <w:rFonts w:ascii="Arial" w:cs="Arial" w:eastAsia="Arial" w:hAnsi="Arial"/>
          <w:sz w:val="16"/>
          <w:szCs w:val="16"/>
          <w:color w:val="auto"/>
        </w:rPr>
        <w:t>(A)</w:t>
        <w:tab/>
        <w:t>A pro forma adjustment was recorded in the Unaudited Pro Forma Condensed Consolidated Balance Sheet as of July 1, 2017 to reflect the sale in this offering. We estimate that the net proceeds to us from this offering will be approximately $ million, based on an assumed initial public offering price of $ per share, which is the mid-point of the estimated offering price range set forth on the cover page of this prospectus, after deducting approximately $ million of underwriting discounts and commissions and estimated offering expenses payable by us. In connection with the completion of this offering, we intend to pay the underwriting discounts and commissions and offering expenses payable by us, as well as monitoring agreement termination fees to KKR Sponsor and Berkshire, which we estimate will be $ million in the aggregate.</w:t>
      </w:r>
    </w:p>
    <w:p>
      <w:pPr>
        <w:spacing w:after="0" w:line="62" w:lineRule="exact"/>
        <w:rPr>
          <w:sz w:val="20"/>
          <w:szCs w:val="20"/>
          <w:color w:val="auto"/>
        </w:rPr>
      </w:pPr>
    </w:p>
    <w:p>
      <w:pPr>
        <w:ind w:left="341" w:hanging="341"/>
        <w:spacing w:after="0" w:line="271" w:lineRule="auto"/>
        <w:tabs>
          <w:tab w:leader="none" w:pos="341"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pro forma adjustment was recorded in the Unaudited Pro Forma Condensed Consolidated Balance Sheet as of July 1, 2017 to reflect an anticipated one-time principal payment of (i) $125.0 million under our second lien credit agreement and (ii) $ million under our first lien credit agreement from the net proceeds of this offering.</w:t>
      </w:r>
    </w:p>
    <w:p>
      <w:pPr>
        <w:spacing w:after="0" w:line="62" w:lineRule="exact"/>
        <w:rPr>
          <w:sz w:val="20"/>
          <w:szCs w:val="20"/>
          <w:color w:val="auto"/>
        </w:rPr>
      </w:pPr>
    </w:p>
    <w:p>
      <w:pPr>
        <w:ind w:left="521" w:hanging="521"/>
        <w:spacing w:after="0"/>
        <w:tabs>
          <w:tab w:leader="none" w:pos="521"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Consolidated Statements of Operations</w:t>
      </w:r>
    </w:p>
    <w:p>
      <w:pPr>
        <w:spacing w:after="0" w:line="123" w:lineRule="exact"/>
        <w:rPr>
          <w:sz w:val="20"/>
          <w:szCs w:val="20"/>
          <w:color w:val="auto"/>
        </w:rPr>
      </w:pPr>
    </w:p>
    <w:p>
      <w:pPr>
        <w:ind w:left="1" w:right="320"/>
        <w:spacing w:after="0" w:line="287" w:lineRule="auto"/>
        <w:rPr>
          <w:sz w:val="20"/>
          <w:szCs w:val="20"/>
          <w:color w:val="auto"/>
        </w:rPr>
      </w:pPr>
      <w:r>
        <w:rPr>
          <w:rFonts w:ascii="Arial" w:cs="Arial" w:eastAsia="Arial" w:hAnsi="Arial"/>
          <w:sz w:val="17"/>
          <w:szCs w:val="17"/>
          <w:color w:val="auto"/>
        </w:rPr>
        <w:t>The adjustments to the unaudited pro forma consolidated statements of operations for the six months ended July 1, 2017 and the year ended December 31, 2016 are as follows:</w:t>
      </w:r>
    </w:p>
    <w:p>
      <w:pPr>
        <w:spacing w:after="0" w:line="54"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the February 2017 Recapitalization</w:t>
      </w:r>
    </w:p>
    <w:p>
      <w:pPr>
        <w:spacing w:after="0" w:line="117" w:lineRule="exact"/>
        <w:rPr>
          <w:sz w:val="20"/>
          <w:szCs w:val="20"/>
          <w:color w:val="auto"/>
        </w:rPr>
      </w:pPr>
    </w:p>
    <w:p>
      <w:pPr>
        <w:ind w:left="341" w:right="140" w:hanging="341"/>
        <w:spacing w:after="0" w:line="295" w:lineRule="auto"/>
        <w:tabs>
          <w:tab w:leader="none" w:pos="341" w:val="left"/>
        </w:tabs>
        <w:numPr>
          <w:ilvl w:val="0"/>
          <w:numId w:val="54"/>
        </w:numPr>
        <w:rPr>
          <w:rFonts w:ascii="Arial" w:cs="Arial" w:eastAsia="Arial" w:hAnsi="Arial"/>
          <w:sz w:val="15"/>
          <w:szCs w:val="15"/>
          <w:color w:val="auto"/>
        </w:rPr>
      </w:pPr>
      <w:r>
        <w:rPr>
          <w:rFonts w:ascii="Arial" w:cs="Arial" w:eastAsia="Arial" w:hAnsi="Arial"/>
          <w:sz w:val="15"/>
          <w:szCs w:val="15"/>
          <w:color w:val="auto"/>
        </w:rPr>
        <w:t>On February 3, 2017, we borrowed $175.0 million under our first lien credit agreement with a $1.3 million issue discount, which is amortized over the term of the new borrowing under the effective interest method. Related party fees of $2.3 million and third-party fees of $0.4 million were expensed at the time of the new financing. The stated rate of the new borrowing was</w:t>
      </w:r>
    </w:p>
    <w:p>
      <w:pPr>
        <w:spacing w:after="0" w:line="1" w:lineRule="exact"/>
        <w:rPr>
          <w:rFonts w:ascii="Arial" w:cs="Arial" w:eastAsia="Arial" w:hAnsi="Arial"/>
          <w:sz w:val="15"/>
          <w:szCs w:val="15"/>
          <w:color w:val="auto"/>
        </w:rPr>
      </w:pPr>
    </w:p>
    <w:p>
      <w:pPr>
        <w:ind w:left="341"/>
        <w:spacing w:after="0"/>
        <w:rPr>
          <w:rFonts w:ascii="Arial" w:cs="Arial" w:eastAsia="Arial" w:hAnsi="Arial"/>
          <w:sz w:val="15"/>
          <w:szCs w:val="15"/>
          <w:color w:val="auto"/>
        </w:rPr>
      </w:pPr>
      <w:r>
        <w:rPr>
          <w:rFonts w:ascii="Arial" w:cs="Arial" w:eastAsia="Arial" w:hAnsi="Arial"/>
          <w:sz w:val="16"/>
          <w:szCs w:val="16"/>
          <w:color w:val="auto"/>
        </w:rPr>
        <w:t>4.00% per annum, consistent with the existing first lien term loans. If the variable rate on this incremental borrowing changed</w:t>
      </w:r>
    </w:p>
    <w:p>
      <w:pPr>
        <w:spacing w:after="0" w:line="24" w:lineRule="exact"/>
        <w:rPr>
          <w:rFonts w:ascii="Arial" w:cs="Arial" w:eastAsia="Arial" w:hAnsi="Arial"/>
          <w:sz w:val="15"/>
          <w:szCs w:val="15"/>
          <w:color w:val="auto"/>
        </w:rPr>
      </w:pPr>
    </w:p>
    <w:p>
      <w:pPr>
        <w:ind w:left="341" w:right="20"/>
        <w:spacing w:after="0" w:line="260" w:lineRule="auto"/>
        <w:rPr>
          <w:rFonts w:ascii="Arial" w:cs="Arial" w:eastAsia="Arial" w:hAnsi="Arial"/>
          <w:sz w:val="15"/>
          <w:szCs w:val="15"/>
          <w:color w:val="auto"/>
        </w:rPr>
      </w:pPr>
      <w:r>
        <w:rPr>
          <w:rFonts w:ascii="Arial" w:cs="Arial" w:eastAsia="Arial" w:hAnsi="Arial"/>
          <w:sz w:val="17"/>
          <w:szCs w:val="17"/>
          <w:color w:val="auto"/>
        </w:rPr>
        <w:t>0.125%, the impact on the annual interest expense would be $0.22 million. A pro forma adjustment was recorded in the Unaudited Pro Forma Consolidated Statement of Operations to report additional pro forma interest expense of $8.0 million for the year ended December 31, 2016 and $0.7 million for the six months ended July 1, 2017. The borrowing costs of $2.7 million are included in the results of operations for the six months ended July 1, 2017 and removed as a pro forma adjustment due to the non-recurring nature of the expense.</w:t>
      </w:r>
    </w:p>
    <w:p>
      <w:pPr>
        <w:spacing w:after="0" w:line="76" w:lineRule="exact"/>
        <w:rPr>
          <w:rFonts w:ascii="Arial" w:cs="Arial" w:eastAsia="Arial" w:hAnsi="Arial"/>
          <w:sz w:val="15"/>
          <w:szCs w:val="15"/>
          <w:color w:val="auto"/>
        </w:rPr>
      </w:pPr>
    </w:p>
    <w:p>
      <w:pPr>
        <w:ind w:left="341" w:right="60" w:hanging="341"/>
        <w:spacing w:after="0" w:line="288" w:lineRule="auto"/>
        <w:tabs>
          <w:tab w:leader="none" w:pos="34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Consolidated Statement of Operations for the year ended December 31, 2016 to reflect a deferred tax benefit of $3.2 million arising from fees and interest expense incurred, on a pro forma basis, as a result of the February 3, 2017 borrowing. A similar adjustment of $0.3 million was recorded in the Unaudited Pro Forma Condensed Consolidated Statement of Operations for the six months ended July 1, 2017.</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right="200" w:hanging="341"/>
        <w:spacing w:after="0" w:line="271"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pro forma adjustment was recorded in the Unaudited Pro Forma Consolidated Statements of Operations for the six months ended July 1, 2017 and the year ended December 31, 2016 to reflect the expense arising from non-capitalizable costs of $ million incurred in this offering.</w:t>
      </w:r>
    </w:p>
    <w:p>
      <w:pPr>
        <w:spacing w:after="0" w:line="67" w:lineRule="exact"/>
        <w:rPr>
          <w:rFonts w:ascii="Arial" w:cs="Arial" w:eastAsia="Arial" w:hAnsi="Arial"/>
          <w:sz w:val="17"/>
          <w:szCs w:val="17"/>
          <w:color w:val="auto"/>
        </w:rPr>
      </w:pPr>
    </w:p>
    <w:p>
      <w:pPr>
        <w:ind w:left="341" w:hanging="341"/>
        <w:spacing w:after="0"/>
        <w:tabs>
          <w:tab w:leader="none" w:pos="34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Consolidated Statements of Operations for the six months</w:t>
      </w:r>
    </w:p>
    <w:p>
      <w:pPr>
        <w:spacing w:after="0" w:line="37" w:lineRule="exact"/>
        <w:rPr>
          <w:sz w:val="20"/>
          <w:szCs w:val="20"/>
          <w:color w:val="auto"/>
        </w:rPr>
      </w:pPr>
    </w:p>
    <w:p>
      <w:pPr>
        <w:ind w:left="341" w:right="100"/>
        <w:spacing w:after="0" w:line="272" w:lineRule="auto"/>
        <w:rPr>
          <w:sz w:val="20"/>
          <w:szCs w:val="20"/>
          <w:color w:val="auto"/>
        </w:rPr>
      </w:pPr>
      <w:r>
        <w:rPr>
          <w:rFonts w:ascii="Arial" w:cs="Arial" w:eastAsia="Arial" w:hAnsi="Arial"/>
          <w:sz w:val="16"/>
          <w:szCs w:val="16"/>
          <w:color w:val="auto"/>
        </w:rPr>
        <w:t>ended July 1, 2017 and the year ended December 31, 2016 to reflect a reduction in interest expense of $ million from the application of the net proceeds from this offering to repay (i) $125.0 million under our second lien credit agreement and (ii)</w:t>
      </w:r>
    </w:p>
    <w:p>
      <w:pPr>
        <w:ind w:left="861" w:hanging="522"/>
        <w:spacing w:after="0"/>
        <w:tabs>
          <w:tab w:leader="none" w:pos="861" w:val="left"/>
        </w:tabs>
        <w:numPr>
          <w:ilvl w:val="0"/>
          <w:numId w:val="56"/>
        </w:numPr>
        <w:rPr>
          <w:rFonts w:ascii="Arial" w:cs="Arial" w:eastAsia="Arial" w:hAnsi="Arial"/>
          <w:sz w:val="17"/>
          <w:szCs w:val="17"/>
          <w:color w:val="auto"/>
        </w:rPr>
      </w:pPr>
      <w:r>
        <w:rPr>
          <w:rFonts w:ascii="Arial" w:cs="Arial" w:eastAsia="Arial" w:hAnsi="Arial"/>
          <w:sz w:val="17"/>
          <w:szCs w:val="17"/>
          <w:color w:val="auto"/>
        </w:rPr>
        <w:t>million under our first lien credit agreement.</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69" w:name="page70"/>
    <w:bookmarkEnd w:id="6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1" w:hanging="341"/>
        <w:spacing w:after="0"/>
        <w:tabs>
          <w:tab w:leader="none" w:pos="341"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pro forma adjustment was recorded in the Unaudited Pro Forma Consolidated Statements of Operations for the six months</w:t>
      </w:r>
    </w:p>
    <w:p>
      <w:pPr>
        <w:spacing w:after="0" w:line="48" w:lineRule="exact"/>
        <w:rPr>
          <w:rFonts w:ascii="Arial" w:cs="Arial" w:eastAsia="Arial" w:hAnsi="Arial"/>
          <w:sz w:val="15"/>
          <w:szCs w:val="15"/>
          <w:color w:val="auto"/>
        </w:rPr>
      </w:pPr>
    </w:p>
    <w:p>
      <w:pPr>
        <w:ind w:left="341"/>
        <w:spacing w:after="0"/>
        <w:rPr>
          <w:rFonts w:ascii="Arial" w:cs="Arial" w:eastAsia="Arial" w:hAnsi="Arial"/>
          <w:sz w:val="15"/>
          <w:szCs w:val="15"/>
          <w:color w:val="auto"/>
        </w:rPr>
      </w:pPr>
      <w:r>
        <w:rPr>
          <w:rFonts w:ascii="Arial" w:cs="Arial" w:eastAsia="Arial" w:hAnsi="Arial"/>
          <w:sz w:val="16"/>
          <w:szCs w:val="16"/>
          <w:color w:val="auto"/>
        </w:rPr>
        <w:t>ended July 1, 2017 and the year ended December 31, 2016 to reflect additional income tax expense incurred on a pro forma</w:t>
      </w:r>
    </w:p>
    <w:p>
      <w:pPr>
        <w:spacing w:after="0" w:line="245" w:lineRule="exact"/>
        <w:rPr>
          <w:sz w:val="20"/>
          <w:szCs w:val="20"/>
          <w:color w:val="auto"/>
        </w:rPr>
      </w:pPr>
    </w:p>
    <w:p>
      <w:pPr>
        <w:ind w:left="341"/>
        <w:spacing w:after="0" w:line="287" w:lineRule="auto"/>
        <w:rPr>
          <w:sz w:val="20"/>
          <w:szCs w:val="20"/>
          <w:color w:val="auto"/>
        </w:rPr>
      </w:pPr>
      <w:r>
        <w:rPr>
          <w:rFonts w:ascii="Arial" w:cs="Arial" w:eastAsia="Arial" w:hAnsi="Arial"/>
          <w:sz w:val="17"/>
          <w:szCs w:val="17"/>
          <w:color w:val="auto"/>
        </w:rPr>
        <w:t>basis as a result of the reduction in pro forma interest expense arising from the repayment of $ million of our outstanding indebtedness from the net proceeds of this offering.</w:t>
      </w:r>
    </w:p>
    <w:p>
      <w:pPr>
        <w:spacing w:after="0" w:line="54" w:lineRule="exact"/>
        <w:rPr>
          <w:sz w:val="20"/>
          <w:szCs w:val="20"/>
          <w:color w:val="auto"/>
        </w:rPr>
      </w:pPr>
    </w:p>
    <w:p>
      <w:pPr>
        <w:ind w:left="341" w:right="100" w:hanging="339"/>
        <w:spacing w:after="0" w:line="287" w:lineRule="auto"/>
        <w:tabs>
          <w:tab w:leader="none" w:pos="320" w:val="left"/>
        </w:tabs>
        <w:rPr>
          <w:sz w:val="20"/>
          <w:szCs w:val="20"/>
          <w:color w:val="auto"/>
        </w:rPr>
      </w:pPr>
      <w:r>
        <w:rPr>
          <w:rFonts w:ascii="Arial" w:cs="Arial" w:eastAsia="Arial" w:hAnsi="Arial"/>
          <w:sz w:val="17"/>
          <w:szCs w:val="17"/>
          <w:color w:val="auto"/>
        </w:rPr>
        <w:t>(H)</w:t>
        <w:tab/>
        <w:t>Pro forma as adjusted basic and diluted weighted average shares outstanding used to calculate pro forma as adjusted earnings per share have been increased to reflect the million shares issued in this offering.</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1"/>
          </w:cols>
          <w:pgMar w:left="1339" w:top="273" w:right="14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Set forth below is our selected historical consolidated financial data as of the dates and for the periods indicated. For the purpose of discussing our financial results, we refer to ourselves as the “Successor” in the periods following the KKR Acquisition and the “Predecessor” during the periods preceding the KKR Acquisition.</w:t>
      </w:r>
    </w:p>
    <w:p>
      <w:pPr>
        <w:spacing w:after="0" w:line="68" w:lineRule="exact"/>
        <w:rPr>
          <w:sz w:val="20"/>
          <w:szCs w:val="20"/>
          <w:color w:val="auto"/>
        </w:rPr>
      </w:pPr>
    </w:p>
    <w:p>
      <w:pPr>
        <w:ind w:right="60" w:firstLine="347"/>
        <w:spacing w:after="0" w:line="295" w:lineRule="auto"/>
        <w:rPr>
          <w:sz w:val="20"/>
          <w:szCs w:val="20"/>
          <w:color w:val="auto"/>
        </w:rPr>
      </w:pPr>
      <w:r>
        <w:rPr>
          <w:rFonts w:ascii="Arial" w:cs="Arial" w:eastAsia="Arial" w:hAnsi="Arial"/>
          <w:sz w:val="15"/>
          <w:szCs w:val="15"/>
          <w:color w:val="auto"/>
        </w:rPr>
        <w:t>The selected historical consolidated financial data as of January 2, 2016 (Successor) and December 31, 2016 (Successor) and for the period from December 29, 2013 to March 12, 2014 (Predecessor) and the period from March 13, 2014 to January 3, 2015 (Successor) and for the years ended January 2, 2016 (Successor) and December 31, 2016 (Successor) has been derived from our audited consolidated financial statements included elsewhere in this prospectus. The selected historical consolidated financial data as of December 29, 2012 (Predecessor), December 28, 2013 (Predecessor) and January 3, 2015 (Successor) and for the years ended December 29, 2012 (Predecessor) and December 28, 2013 (Predecessor) has been derived from our audited consolidated financial statements not included in this prospectus. The results of operations for any period are not necessarily indicative of the results to be expected for any future period. The selected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w:t>
      </w:r>
    </w:p>
    <w:p>
      <w:pPr>
        <w:spacing w:after="0" w:line="60"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The selected statement of operations data and statement of cash flows data set forth below does not give effect to the February 2017 Recapitalization. 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and our unaudited condensed consolidated financial statements and related notes thereto, each included elsewhere in this prospectus.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2"/>
                <w:szCs w:val="12"/>
                <w:color w:val="auto"/>
              </w:rPr>
            </w:pPr>
          </w:p>
        </w:tc>
        <w:tc>
          <w:tcPr>
            <w:tcW w:w="6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4"/>
                <w:szCs w:val="14"/>
                <w:b w:val="1"/>
                <w:bCs w:val="1"/>
                <w:color w:val="auto"/>
              </w:rPr>
              <w:t>March 13,</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December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Months</w:t>
            </w:r>
          </w:p>
        </w:tc>
        <w:tc>
          <w:tcPr>
            <w:tcW w:w="72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Months</w:t>
            </w:r>
          </w:p>
        </w:tc>
        <w:tc>
          <w:tcPr>
            <w:tcW w:w="1020" w:type="dxa"/>
            <w:vAlign w:val="bottom"/>
            <w:gridSpan w:val="3"/>
          </w:tcPr>
          <w:p>
            <w:pPr>
              <w:jc w:val="right"/>
              <w:ind w:right="260"/>
              <w:spacing w:after="0" w:line="143"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2"/>
                <w:szCs w:val="12"/>
                <w:color w:val="auto"/>
              </w:rPr>
            </w:pPr>
          </w:p>
        </w:tc>
        <w:tc>
          <w:tcPr>
            <w:tcW w:w="10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Year Ended</w:t>
            </w:r>
          </w:p>
        </w:tc>
        <w:tc>
          <w:tcPr>
            <w:tcW w:w="7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6"/>
              </w:rPr>
              <w:t>Year Ended</w:t>
            </w:r>
          </w:p>
        </w:tc>
      </w:tr>
      <w:tr>
        <w:trPr>
          <w:trHeight w:val="143"/>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5"/>
              </w:rPr>
              <w:t>December</w:t>
            </w:r>
          </w:p>
        </w:tc>
        <w:tc>
          <w:tcPr>
            <w:tcW w:w="9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Year Ended</w:t>
            </w:r>
          </w:p>
        </w:tc>
        <w:tc>
          <w:tcPr>
            <w:tcW w:w="840" w:type="dxa"/>
            <w:vAlign w:val="bottom"/>
            <w:tcBorders>
              <w:right w:val="single" w:sz="8" w:color="auto"/>
            </w:tcBorders>
            <w:gridSpan w:val="3"/>
          </w:tcPr>
          <w:p>
            <w:pPr>
              <w:jc w:val="right"/>
              <w:ind w:right="280"/>
              <w:spacing w:after="0" w:line="143" w:lineRule="exact"/>
              <w:rPr>
                <w:sz w:val="20"/>
                <w:szCs w:val="20"/>
                <w:color w:val="auto"/>
              </w:rPr>
            </w:pPr>
            <w:r>
              <w:rPr>
                <w:rFonts w:ascii="Arial" w:cs="Arial" w:eastAsia="Arial" w:hAnsi="Arial"/>
                <w:sz w:val="14"/>
                <w:szCs w:val="14"/>
                <w:b w:val="1"/>
                <w:bCs w:val="1"/>
                <w:color w:val="auto"/>
              </w:rPr>
              <w:t>January</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2013 to</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December</w:t>
            </w: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4"/>
                <w:szCs w:val="14"/>
                <w:b w:val="1"/>
                <w:bCs w:val="1"/>
                <w:color w:val="auto"/>
                <w:w w:val="91"/>
              </w:rPr>
              <w:t>December</w:t>
            </w:r>
          </w:p>
        </w:tc>
      </w:tr>
      <w:tr>
        <w:trPr>
          <w:trHeight w:val="143"/>
        </w:trPr>
        <w:tc>
          <w:tcPr>
            <w:tcW w:w="22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July 1,</w:t>
            </w:r>
          </w:p>
        </w:tc>
        <w:tc>
          <w:tcPr>
            <w:tcW w:w="7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9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January 2,</w:t>
            </w:r>
          </w:p>
        </w:tc>
        <w:tc>
          <w:tcPr>
            <w:tcW w:w="100" w:type="dxa"/>
            <w:vAlign w:val="bottom"/>
          </w:tcPr>
          <w:p>
            <w:pPr>
              <w:spacing w:after="0"/>
              <w:rPr>
                <w:sz w:val="12"/>
                <w:szCs w:val="12"/>
                <w:color w:val="auto"/>
              </w:rPr>
            </w:pPr>
          </w:p>
        </w:tc>
        <w:tc>
          <w:tcPr>
            <w:tcW w:w="54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2"/>
              </w:rPr>
              <w:t>March 12,</w:t>
            </w:r>
          </w:p>
        </w:tc>
        <w:tc>
          <w:tcPr>
            <w:tcW w:w="120" w:type="dxa"/>
            <w:vAlign w:val="bottom"/>
          </w:tcPr>
          <w:p>
            <w:pPr>
              <w:spacing w:after="0"/>
              <w:rPr>
                <w:sz w:val="12"/>
                <w:szCs w:val="12"/>
                <w:color w:val="auto"/>
              </w:rPr>
            </w:pPr>
          </w:p>
        </w:tc>
        <w:tc>
          <w:tcPr>
            <w:tcW w:w="720" w:type="dxa"/>
            <w:vAlign w:val="bottom"/>
          </w:tcPr>
          <w:p>
            <w:pPr>
              <w:jc w:val="right"/>
              <w:ind w:right="271"/>
              <w:spacing w:after="0" w:line="143" w:lineRule="exact"/>
              <w:rPr>
                <w:sz w:val="20"/>
                <w:szCs w:val="20"/>
                <w:color w:val="auto"/>
              </w:rPr>
            </w:pPr>
            <w:r>
              <w:rPr>
                <w:rFonts w:ascii="Arial" w:cs="Arial" w:eastAsia="Arial" w:hAnsi="Arial"/>
                <w:sz w:val="14"/>
                <w:szCs w:val="14"/>
                <w:b w:val="1"/>
                <w:bCs w:val="1"/>
                <w:color w:val="auto"/>
              </w:rPr>
              <w:t>28,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1"/>
              <w:spacing w:after="0" w:line="143" w:lineRule="exact"/>
              <w:rPr>
                <w:sz w:val="20"/>
                <w:szCs w:val="20"/>
                <w:color w:val="auto"/>
              </w:rPr>
            </w:pPr>
            <w:r>
              <w:rPr>
                <w:rFonts w:ascii="Arial" w:cs="Arial" w:eastAsia="Arial" w:hAnsi="Arial"/>
                <w:sz w:val="14"/>
                <w:szCs w:val="14"/>
                <w:b w:val="1"/>
                <w:bCs w:val="1"/>
                <w:color w:val="auto"/>
              </w:rPr>
              <w:t>29,</w:t>
            </w:r>
          </w:p>
        </w:tc>
        <w:tc>
          <w:tcPr>
            <w:tcW w:w="60" w:type="dxa"/>
            <w:vAlign w:val="bottom"/>
          </w:tcPr>
          <w:p>
            <w:pPr>
              <w:spacing w:after="0"/>
              <w:rPr>
                <w:sz w:val="12"/>
                <w:szCs w:val="12"/>
                <w:color w:val="auto"/>
              </w:rPr>
            </w:pPr>
          </w:p>
        </w:tc>
      </w:tr>
      <w:tr>
        <w:trPr>
          <w:trHeight w:val="167"/>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 share amounts)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Net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707,400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617,865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1,196,195</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1,062,528</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735,680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197,017</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840,046</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716,519</w:t>
            </w:r>
          </w:p>
        </w:tc>
      </w:tr>
      <w:tr>
        <w:trPr>
          <w:trHeight w:val="164"/>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Costs applicable to revenue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6"/>
        </w:trPr>
        <w:tc>
          <w:tcPr>
            <w:tcW w:w="2220" w:type="dxa"/>
            <w:vAlign w:val="bottom"/>
            <w:tcBorders>
              <w:right w:val="single" w:sz="8" w:color="CCEEFF"/>
            </w:tcBorders>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(exclusive of depreciation and</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5"/>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322,216</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2"/>
              </w:rPr>
              <w:t>275,788</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544,781</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491,100</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366,476</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93,194</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403,486</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305,591</w:t>
            </w: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331,690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286,655</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585,030</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526,751</w:t>
            </w:r>
          </w:p>
        </w:tc>
        <w:tc>
          <w:tcPr>
            <w:tcW w:w="10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382,146</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93,873</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390,029</w:t>
            </w: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379,197</w:t>
            </w:r>
          </w:p>
        </w:tc>
      </w:tr>
      <w:tr>
        <w:trPr>
          <w:trHeight w:val="26"/>
        </w:trPr>
        <w:tc>
          <w:tcPr>
            <w:tcW w:w="20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55,422</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66,384</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44,677</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(12,942)</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46,531</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31,731</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26,114</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19,649</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39,092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36,741</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26,823</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4,757</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23,254</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29,142</w:t>
            </w:r>
          </w:p>
        </w:tc>
      </w:tr>
      <w:tr>
        <w:trPr>
          <w:trHeight w:val="169"/>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1,742</w:t>
            </w:r>
          </w:p>
        </w:tc>
      </w:tr>
      <w:tr>
        <w:trPr>
          <w:trHeight w:val="26"/>
        </w:trPr>
        <w:tc>
          <w:tcPr>
            <w:tcW w:w="20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w w:val="97"/>
              </w:rPr>
              <w:t>Earnings (loss) before income taxes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24,678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35,773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27,292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5,385</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(39,765)</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5,193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23,277</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847</w:t>
            </w:r>
          </w:p>
        </w:tc>
      </w:tr>
      <w:tr>
        <w:trPr>
          <w:trHeight w:val="169"/>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14,332</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12,534</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2,061</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9,165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r>
      <w:tr>
        <w:trPr>
          <w:trHeight w:val="26"/>
        </w:trPr>
        <w:tc>
          <w:tcPr>
            <w:tcW w:w="20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15,574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21,441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3,617</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(27,050)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3,132</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14,112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738</w:t>
            </w:r>
          </w:p>
        </w:tc>
      </w:tr>
      <w:tr>
        <w:trPr>
          <w:trHeight w:val="25"/>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0.14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0.13</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0.03</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(0.25)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24.06</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108.48</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5.73</w:t>
            </w: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23.76</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107.66</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5.68</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Dividends: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Common share dividends paid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167,355</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144,655</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117,670</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Dividends per common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872</w:t>
            </w:r>
          </w:p>
        </w:tc>
      </w:tr>
      <w:tr>
        <w:trPr>
          <w:trHeight w:val="160"/>
        </w:trPr>
        <w:tc>
          <w:tcPr>
            <w:tcW w:w="2220" w:type="dxa"/>
            <w:vAlign w:val="bottom"/>
            <w:tcBorders>
              <w:right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9"/>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110,774</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110,422</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110,474</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110,036</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109,732</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130</w:t>
            </w: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114,711</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2"/>
              </w:rPr>
              <w:t>111,362</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112,080</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110,036</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109,732</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7"/>
              </w:rPr>
              <w:t>Successor</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1"/>
                <w:szCs w:val="11"/>
                <w:color w:val="auto"/>
              </w:rPr>
            </w:pPr>
          </w:p>
        </w:tc>
        <w:tc>
          <w:tcPr>
            <w:tcW w:w="6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8"/>
              </w:rPr>
              <w:t>December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March 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6"/>
              </w:rPr>
              <w:t>Year Ended</w:t>
            </w: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9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2013 to</w:t>
            </w:r>
          </w:p>
        </w:tc>
        <w:tc>
          <w:tcPr>
            <w:tcW w:w="102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Year Ended</w:t>
            </w:r>
          </w:p>
        </w:tc>
        <w:tc>
          <w:tcPr>
            <w:tcW w:w="78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December</w:t>
            </w: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7"/>
              </w:rPr>
              <w:t>July 1,</w:t>
            </w:r>
          </w:p>
        </w:tc>
        <w:tc>
          <w:tcPr>
            <w:tcW w:w="7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July 2,</w:t>
            </w:r>
          </w:p>
        </w:tc>
        <w:tc>
          <w:tcPr>
            <w:tcW w:w="10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January 2,</w:t>
            </w:r>
          </w:p>
        </w:tc>
        <w:tc>
          <w:tcPr>
            <w:tcW w:w="7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January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2"/>
              </w:rPr>
              <w:t>March 12,</w:t>
            </w:r>
          </w:p>
        </w:tc>
        <w:tc>
          <w:tcPr>
            <w:tcW w:w="10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54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2"/>
                <w:szCs w:val="12"/>
                <w:color w:val="auto"/>
              </w:rPr>
            </w:pPr>
          </w:p>
        </w:tc>
      </w:tr>
      <w:tr>
        <w:trPr>
          <w:trHeight w:val="174"/>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5"/>
                <w:szCs w:val="15"/>
                <w:color w:val="auto"/>
              </w:rPr>
            </w:pPr>
          </w:p>
        </w:tc>
      </w:tr>
      <w:tr>
        <w:trPr>
          <w:trHeight w:val="176"/>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Statement of Cash Flows Data:</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140" w:type="dxa"/>
            <w:vAlign w:val="bottom"/>
            <w:gridSpan w:val="2"/>
          </w:tcPr>
          <w:p>
            <w:pPr>
              <w:spacing w:after="0"/>
              <w:rPr>
                <w:sz w:val="20"/>
                <w:szCs w:val="20"/>
                <w:color w:val="auto"/>
              </w:rPr>
            </w:pPr>
            <w:r>
              <w:rPr>
                <w:rFonts w:ascii="Arial" w:cs="Arial" w:eastAsia="Arial" w:hAnsi="Arial"/>
                <w:sz w:val="14"/>
                <w:szCs w:val="14"/>
                <w:color w:val="auto"/>
              </w:rPr>
              <w:t>Net cash provided by operating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67,933</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64,172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97,588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83,131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17,996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31,008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57,989</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53,482</w:t>
            </w:r>
          </w:p>
        </w:tc>
      </w:tr>
      <w:tr>
        <w:trPr>
          <w:trHeight w:val="164"/>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for investing</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2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(44,548)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8"/>
              </w:rPr>
              <w:t>(47,522)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(91,664)</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(80,051)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(11,958)</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(47,311)</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(39,506)</w:t>
            </w:r>
          </w:p>
        </w:tc>
      </w:tr>
      <w:tr>
        <w:trPr>
          <w:trHeight w:val="164"/>
        </w:trPr>
        <w:tc>
          <w:tcPr>
            <w:tcW w:w="2140" w:type="dxa"/>
            <w:vAlign w:val="bottom"/>
            <w:gridSpan w:val="2"/>
          </w:tcPr>
          <w:p>
            <w:pPr>
              <w:spacing w:after="0"/>
              <w:rPr>
                <w:sz w:val="20"/>
                <w:szCs w:val="20"/>
                <w:color w:val="auto"/>
              </w:rPr>
            </w:pPr>
            <w:r>
              <w:rPr>
                <w:rFonts w:ascii="Arial" w:cs="Arial" w:eastAsia="Arial" w:hAnsi="Arial"/>
                <w:sz w:val="14"/>
                <w:szCs w:val="14"/>
                <w:color w:val="auto"/>
              </w:rPr>
              <w:t>Net cash (used for) provided by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(3,466)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(2,642)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(4,317)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7,130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(9,261)</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(15,000)</w:t>
            </w:r>
          </w:p>
        </w:tc>
      </w:tr>
      <w:tr>
        <w:trPr>
          <w:trHeight w:val="160"/>
        </w:trPr>
        <w:tc>
          <w:tcPr>
            <w:tcW w:w="214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Balance Sheet Data (at period</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9"/>
        </w:trPr>
        <w:tc>
          <w:tcPr>
            <w:tcW w:w="21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end):</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24,864</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4,945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5,595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6,832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6,424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5,007</w:t>
            </w: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3"/>
              </w:rPr>
              <w:t>1,576,673</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1,531,117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1,475,595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6"/>
              </w:rPr>
              <w:t>1,444,913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336,233</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322,605</w:t>
            </w: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922,904</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745,625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747,825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601,452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289,664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296,475</w:t>
            </w: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249,509</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401,887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386,230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523,594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(122,240)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(137,460)</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90"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and “Special Note Regarding Forward-Looking Statements”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6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i w:val="1"/>
          <w:iCs w:val="1"/>
          <w:color w:val="auto"/>
        </w:rPr>
        <w:t>We conduct substantially all of our activities through our direct wholly-owned subsidiary, NVI, and its subsidiaries. We operate on a fiscal calendar widely used by the retail industry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76" w:lineRule="exact"/>
        <w:rPr>
          <w:sz w:val="20"/>
          <w:szCs w:val="20"/>
          <w:color w:val="auto"/>
        </w:rPr>
      </w:pPr>
    </w:p>
    <w:p>
      <w:pPr>
        <w:ind w:right="320" w:firstLine="347"/>
        <w:spacing w:after="0" w:line="287" w:lineRule="auto"/>
        <w:rPr>
          <w:sz w:val="20"/>
          <w:szCs w:val="20"/>
          <w:color w:val="auto"/>
        </w:rPr>
      </w:pPr>
      <w:r>
        <w:rPr>
          <w:rFonts w:ascii="Arial" w:cs="Arial" w:eastAsia="Arial" w:hAnsi="Arial"/>
          <w:sz w:val="17"/>
          <w:szCs w:val="17"/>
          <w:i w:val="1"/>
          <w:iCs w:val="1"/>
          <w:color w:val="auto"/>
        </w:rPr>
        <w:t>References herein to “fiscal year 2016” relate to the 52 weeks ended December 31, 2016. References herein to “fiscal year 2015” relate to the 52 weeks ended January 2, 2016.</w:t>
      </w:r>
    </w:p>
    <w:p>
      <w:pPr>
        <w:spacing w:after="0" w:line="54" w:lineRule="exact"/>
        <w:rPr>
          <w:sz w:val="20"/>
          <w:szCs w:val="20"/>
          <w:color w:val="auto"/>
        </w:rPr>
      </w:pPr>
    </w:p>
    <w:p>
      <w:pPr>
        <w:ind w:right="220" w:firstLine="347"/>
        <w:spacing w:after="0" w:line="312" w:lineRule="auto"/>
        <w:rPr>
          <w:sz w:val="20"/>
          <w:szCs w:val="20"/>
          <w:color w:val="auto"/>
        </w:rPr>
      </w:pPr>
      <w:r>
        <w:rPr>
          <w:rFonts w:ascii="Arial" w:cs="Arial" w:eastAsia="Arial" w:hAnsi="Arial"/>
          <w:sz w:val="15"/>
          <w:szCs w:val="15"/>
          <w:i w:val="1"/>
          <w:iCs w:val="1"/>
          <w:color w:val="auto"/>
        </w:rPr>
        <w:t>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60" w:firstLine="347"/>
        <w:spacing w:after="0" w:line="280"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operations consist of two reportable segments:</w:t>
      </w:r>
    </w:p>
    <w:p>
      <w:pPr>
        <w:spacing w:after="0" w:line="117" w:lineRule="exact"/>
        <w:rPr>
          <w:sz w:val="20"/>
          <w:szCs w:val="20"/>
          <w:color w:val="auto"/>
        </w:rPr>
      </w:pPr>
    </w:p>
    <w:p>
      <w:pPr>
        <w:ind w:left="680" w:right="160" w:hanging="342"/>
        <w:spacing w:after="0" w:line="276" w:lineRule="auto"/>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Owned &amp; host – As of July 1, 2017, our owned brands consisted of 559 America’s Best retail stores and 108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customer orders and make repairs on site. Eyeglass World stores are primarily located in freestanding or in-suite locations near high-foot-traffic shopping centers. Our two host brands consisted of 57 Vista Optical locations on military bases and 29 Vista Optical locations within Fred Meyer stores as of July 1, 2017. We have strong, long-standing relationships with our host partners and have maintained each partnership for over 18 years. Both host brands compete within the value segment of the U.S. optical retail industry. These brands also utilize our centralized laboratories and provide eye exams principally by independent optometrists in nearly all locations. This segment also includes sales from our four store websites, three of which are omni-channel.</w:t>
      </w:r>
    </w:p>
    <w:p>
      <w:pPr>
        <w:spacing w:after="0" w:line="68" w:lineRule="exact"/>
        <w:rPr>
          <w:rFonts w:ascii="Arial" w:cs="Arial" w:eastAsia="Arial" w:hAnsi="Arial"/>
          <w:sz w:val="16"/>
          <w:szCs w:val="16"/>
          <w:color w:val="auto"/>
        </w:rPr>
      </w:pPr>
    </w:p>
    <w:p>
      <w:pPr>
        <w:ind w:left="680" w:right="20" w:hanging="342"/>
        <w:spacing w:after="0" w:line="263" w:lineRule="auto"/>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Legacy − We managed the operations of, and supplied inventory and laboratory processing services to, 227 Vision Centers in Walmart retail locations as of July 1, 2017.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20"/>
        <w:spacing w:after="0" w:line="276" w:lineRule="auto"/>
        <w:rPr>
          <w:sz w:val="20"/>
          <w:szCs w:val="20"/>
          <w:color w:val="auto"/>
        </w:rPr>
      </w:pPr>
      <w:r>
        <w:rPr>
          <w:rFonts w:ascii="Arial" w:cs="Arial" w:eastAsia="Arial" w:hAnsi="Arial"/>
          <w:sz w:val="16"/>
          <w:szCs w:val="16"/>
          <w:color w:val="auto"/>
        </w:rPr>
        <w:t>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associated with the manufacture of finished eyeglasses for our legacy partner’s customers in stores that we manage. We lease space from Walmart within or adjacent to each of the locations we manage and use this space for providing optometric examination services. During fiscal year 2016, sales to our legacy partner represented 12.7% of consolidated net revenue. This exposes us to concentration of customer risk. Our agreements with our legacy partner expire on August 23, 2020, and will automatically renew for a three-year period unless a party elects not to renew.</w:t>
      </w:r>
    </w:p>
    <w:p>
      <w:pPr>
        <w:spacing w:after="0" w:line="71" w:lineRule="exact"/>
        <w:rPr>
          <w:sz w:val="20"/>
          <w:szCs w:val="20"/>
          <w:color w:val="auto"/>
        </w:rPr>
      </w:pPr>
    </w:p>
    <w:p>
      <w:pPr>
        <w:ind w:right="480" w:firstLine="347"/>
        <w:spacing w:after="0" w:line="287" w:lineRule="auto"/>
        <w:rPr>
          <w:sz w:val="20"/>
          <w:szCs w:val="20"/>
          <w:color w:val="auto"/>
        </w:rPr>
      </w:pPr>
      <w:r>
        <w:rPr>
          <w:rFonts w:ascii="Arial" w:cs="Arial" w:eastAsia="Arial" w:hAnsi="Arial"/>
          <w:sz w:val="17"/>
          <w:szCs w:val="17"/>
          <w:color w:val="auto"/>
        </w:rPr>
        <w:t>Our consolidated results also include other non-reportable segment activity recorded in our corporate/other category, and includes:</w:t>
      </w:r>
    </w:p>
    <w:p>
      <w:pPr>
        <w:spacing w:after="0" w:line="54" w:lineRule="exact"/>
        <w:rPr>
          <w:sz w:val="20"/>
          <w:szCs w:val="20"/>
          <w:color w:val="auto"/>
        </w:rPr>
      </w:pPr>
    </w:p>
    <w:p>
      <w:pPr>
        <w:ind w:left="680" w:right="40" w:hanging="342"/>
        <w:spacing w:after="0" w:line="284" w:lineRule="auto"/>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our wholly-owned subsidiary, AC Lens. Our e-commerce business consists of seven proprietary branded websites, including aclens.com and discountcontactlenses.com, and eight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58" w:lineRule="exact"/>
        <w:rPr>
          <w:rFonts w:ascii="Arial" w:cs="Arial" w:eastAsia="Arial" w:hAnsi="Arial"/>
          <w:sz w:val="16"/>
          <w:szCs w:val="16"/>
          <w:color w:val="auto"/>
        </w:rPr>
      </w:pPr>
    </w:p>
    <w:p>
      <w:pPr>
        <w:ind w:left="680" w:hanging="342"/>
        <w:spacing w:after="0" w:line="271"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 Lens also distributes contact lenses to Walmart and Sam's Club under fee for service arrangements or wholesale order fulfillment. We record revenue for these activities at the price to retail customers, and we incur costs at a higher percentage of sales than other product categories, given the wholesale nature of the business.</w:t>
      </w:r>
    </w:p>
    <w:p>
      <w:pPr>
        <w:spacing w:after="0" w:line="67" w:lineRule="exact"/>
        <w:rPr>
          <w:rFonts w:ascii="Arial" w:cs="Arial" w:eastAsia="Arial" w:hAnsi="Arial"/>
          <w:sz w:val="17"/>
          <w:szCs w:val="17"/>
          <w:color w:val="auto"/>
        </w:rPr>
      </w:pPr>
    </w:p>
    <w:p>
      <w:pPr>
        <w:ind w:left="680" w:right="140" w:hanging="342"/>
        <w:spacing w:after="0" w:line="26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Managed care business conducted by FirstSight, our wholly-owned subsidiary that is licensed as a single-service health plan provider under California law, which arranges for the provision of optometric services at the optometric offices next to Eyeglass World, Walmart and Sam’s Club stores throughout California, and also issues individual vision care benefit plans in connection with our America’s Best operations in California.</w:t>
      </w:r>
    </w:p>
    <w:p>
      <w:pPr>
        <w:spacing w:after="0" w:line="71"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72" w:lineRule="exact"/>
        <w:rPr>
          <w:sz w:val="20"/>
          <w:szCs w:val="20"/>
          <w:color w:val="auto"/>
        </w:rPr>
      </w:pPr>
    </w:p>
    <w:p>
      <w:pPr>
        <w:ind w:right="160" w:firstLine="347"/>
        <w:spacing w:after="0" w:line="303" w:lineRule="auto"/>
        <w:rPr>
          <w:sz w:val="20"/>
          <w:szCs w:val="20"/>
          <w:color w:val="auto"/>
        </w:rPr>
      </w:pPr>
      <w:r>
        <w:rPr>
          <w:rFonts w:ascii="Arial" w:cs="Arial" w:eastAsia="Arial" w:hAnsi="Arial"/>
          <w:sz w:val="15"/>
          <w:szCs w:val="15"/>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or the CODM, regularly reviews. Reconciliations of segment results to consolidated results include financial information necessary to adjust reportable segment revenues to a consolidated GAAP basis, specifically the change in unearned and deferred revenues during the period. There are no revenue transactions between reportable segments, and there are no other items in reconciliations other than deferred and unearned revenue items previously described.</w:t>
      </w:r>
    </w:p>
    <w:p>
      <w:pPr>
        <w:spacing w:after="0" w:line="49"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our Segment Reporting footnote to adjust segment revenues on a cash basis to revenues as presented in our consolidated financial statements.</w:t>
      </w:r>
    </w:p>
    <w:p>
      <w:pPr>
        <w:spacing w:after="0" w:line="76"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Due to the application of purchase accounting in connection with the KKR Acquisition, our deferred revenue was adjusted to fair value, resulting in a reduction of the carrying value of deferred revenue of approximately $25.5 million on the date of the KKR Acquisition. The adjustment reduced the subsequent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recognition of previously deferred revenues by $14.8 million, $7.4 million and $3.0 million in the 2014 Successor period, fiscal year 2015, and fiscal year 2016, respectively. These reductions in recognition of previous deferrals drove higher increases in deferred revenue balances in the respective periods.</w:t>
      </w:r>
    </w:p>
    <w:p>
      <w:pPr>
        <w:spacing w:after="0" w:line="68" w:lineRule="exact"/>
        <w:rPr>
          <w:sz w:val="20"/>
          <w:szCs w:val="20"/>
          <w:color w:val="auto"/>
        </w:rPr>
      </w:pPr>
    </w:p>
    <w:p>
      <w:pPr>
        <w:ind w:right="320" w:firstLine="347"/>
        <w:spacing w:after="0" w:line="271" w:lineRule="auto"/>
        <w:rPr>
          <w:sz w:val="20"/>
          <w:szCs w:val="20"/>
          <w:color w:val="auto"/>
        </w:rPr>
      </w:pPr>
      <w:r>
        <w:rPr>
          <w:rFonts w:ascii="Arial" w:cs="Arial" w:eastAsia="Arial" w:hAnsi="Arial"/>
          <w:sz w:val="17"/>
          <w:szCs w:val="17"/>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Other Factors Affecting Our Business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Various trends and other factors affect or have affected our operating results, including:</w:t>
      </w:r>
    </w:p>
    <w:p>
      <w:pPr>
        <w:spacing w:after="0" w:line="117" w:lineRule="exact"/>
        <w:rPr>
          <w:sz w:val="20"/>
          <w:szCs w:val="20"/>
          <w:color w:val="auto"/>
        </w:rPr>
      </w:pPr>
    </w:p>
    <w:p>
      <w:pPr>
        <w:ind w:right="20" w:firstLine="347"/>
        <w:spacing w:after="0" w:line="276"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We expect that new stores will be a key driver of growth in our net revenue and operating profit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Our results of operations have been and will continue to be materially affected by the timing and number of new store openings. As stores mature, profitability increases significantly.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68" w:lineRule="exact"/>
        <w:rPr>
          <w:sz w:val="20"/>
          <w:szCs w:val="20"/>
          <w:color w:val="auto"/>
        </w:rPr>
      </w:pPr>
    </w:p>
    <w:p>
      <w:pPr>
        <w:ind w:right="640" w:firstLine="347"/>
        <w:spacing w:after="0" w:line="287" w:lineRule="auto"/>
        <w:rPr>
          <w:sz w:val="20"/>
          <w:szCs w:val="20"/>
          <w:color w:val="auto"/>
        </w:rPr>
      </w:pPr>
      <w:r>
        <w:rPr>
          <w:rFonts w:ascii="Arial" w:cs="Arial" w:eastAsia="Arial" w:hAnsi="Arial"/>
          <w:sz w:val="17"/>
          <w:szCs w:val="17"/>
          <w:b w:val="1"/>
          <w:bCs w:val="1"/>
          <w:i w:val="1"/>
          <w:iCs w:val="1"/>
          <w:color w:val="auto"/>
        </w:rPr>
        <w:t xml:space="preserve">Comparable Store Sales Growth. </w:t>
      </w:r>
      <w:r>
        <w:rPr>
          <w:rFonts w:ascii="Arial" w:cs="Arial" w:eastAsia="Arial" w:hAnsi="Arial"/>
          <w:sz w:val="17"/>
          <w:szCs w:val="17"/>
          <w:color w:val="auto"/>
        </w:rPr>
        <w:t>Comparable store sales growth is a key driver of our business. Various factors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sales, including:</w:t>
      </w:r>
    </w:p>
    <w:p>
      <w:pPr>
        <w:spacing w:after="0" w:line="54" w:lineRule="exact"/>
        <w:rPr>
          <w:sz w:val="20"/>
          <w:szCs w:val="20"/>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consumer preferences, buying trends and overall economic trends;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recurring nature of eye care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identify and respond effectively to customer preferences and trends;</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provide an assortment of high quality/low cost product offerings that generate new and repeat visits to our stores;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customer experience we provide in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availability of vision care professionals;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source and receive products accurately and timely;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changes in product pricing, including promotional activities;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items purchased per store visit;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stores that have been in operation for more than 12 months.</w:t>
      </w:r>
    </w:p>
    <w:p>
      <w:pPr>
        <w:spacing w:after="0" w:line="117" w:lineRule="exact"/>
        <w:rPr>
          <w:sz w:val="20"/>
          <w:szCs w:val="20"/>
          <w:color w:val="auto"/>
        </w:rPr>
      </w:pPr>
    </w:p>
    <w:p>
      <w:pPr>
        <w:ind w:right="40" w:firstLine="347"/>
        <w:spacing w:after="0" w:line="323" w:lineRule="auto"/>
        <w:rPr>
          <w:sz w:val="20"/>
          <w:szCs w:val="20"/>
          <w:color w:val="auto"/>
        </w:rPr>
      </w:pPr>
      <w:r>
        <w:rPr>
          <w:rFonts w:ascii="Arial" w:cs="Arial" w:eastAsia="Arial" w:hAnsi="Arial"/>
          <w:sz w:val="15"/>
          <w:szCs w:val="15"/>
          <w:color w:val="auto"/>
        </w:rPr>
        <w:t>A new store is included in the comparable store sales calculation during the thirteenth full fiscal month following the store’s opening. Closed stores are excluded from the calculation of comparable store sales. In the past, we have closed our stores as a result of low store performance, lease expiration or non-renewal and/or the terms of our arrangements with our host and legacy partners.</w:t>
      </w:r>
    </w:p>
    <w:p>
      <w:pPr>
        <w:spacing w:after="0" w:line="34" w:lineRule="exact"/>
        <w:rPr>
          <w:sz w:val="20"/>
          <w:szCs w:val="20"/>
          <w:color w:val="auto"/>
        </w:rPr>
      </w:pPr>
    </w:p>
    <w:p>
      <w:pPr>
        <w:ind w:right="540" w:firstLine="347"/>
        <w:spacing w:after="0" w:line="320" w:lineRule="auto"/>
        <w:rPr>
          <w:sz w:val="20"/>
          <w:szCs w:val="20"/>
          <w:color w:val="auto"/>
        </w:rPr>
      </w:pPr>
      <w:r>
        <w:rPr>
          <w:rFonts w:ascii="Arial" w:cs="Arial" w:eastAsia="Arial" w:hAnsi="Arial"/>
          <w:sz w:val="16"/>
          <w:szCs w:val="16"/>
          <w:b w:val="1"/>
          <w:bCs w:val="1"/>
          <w:i w:val="1"/>
          <w:iCs w:val="1"/>
          <w:color w:val="auto"/>
        </w:rPr>
        <w:t xml:space="preserve">Managed Care and Insurance. </w:t>
      </w:r>
      <w:r>
        <w:rPr>
          <w:rFonts w:ascii="Arial" w:cs="Arial" w:eastAsia="Arial" w:hAnsi="Arial"/>
          <w:sz w:val="16"/>
          <w:szCs w:val="16"/>
          <w:color w:val="auto"/>
        </w:rPr>
        <w:t>Managed care has become increasingly important to the optical retail industry.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almost all vision care insurers in the United States and with all of the major carriers.</w:t>
      </w:r>
    </w:p>
    <w:p>
      <w:pPr>
        <w:spacing w:after="0" w:line="31"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b w:val="1"/>
          <w:bCs w:val="1"/>
          <w:i w:val="1"/>
          <w:iCs w:val="1"/>
          <w:color w:val="auto"/>
        </w:rPr>
        <w:t xml:space="preserve">Vision Care Professional Recruitment and Coverage. </w:t>
      </w:r>
      <w:r>
        <w:rPr>
          <w:rFonts w:ascii="Arial" w:cs="Arial" w:eastAsia="Arial" w:hAnsi="Arial"/>
          <w:sz w:val="17"/>
          <w:szCs w:val="17"/>
          <w:color w:val="auto"/>
        </w:rPr>
        <w:t>Our ability to operate our stores is largely dependent upon our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attract and retain qualified vision care professionals, and to maintain our relationships with independent optometrists and professional corporations owned by eye care practitioners that provide vision care services in our stores.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0" w:firstLine="347"/>
        <w:spacing w:after="0" w:line="262"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Macroeconomic factors that may affect customer spending patterns, and thereby 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75"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b w:val="1"/>
          <w:bCs w:val="1"/>
          <w:i w:val="1"/>
          <w:iCs w:val="1"/>
          <w:color w:val="auto"/>
        </w:rPr>
        <w:t xml:space="preserve">Consumer Preferences and Demand. </w:t>
      </w:r>
      <w:r>
        <w:rPr>
          <w:rFonts w:ascii="Arial" w:cs="Arial" w:eastAsia="Arial" w:hAnsi="Arial"/>
          <w:sz w:val="16"/>
          <w:szCs w:val="16"/>
          <w:color w:val="auto"/>
        </w:rPr>
        <w:t>Our ability to maintain our appeal to existing customers and attract new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63"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b w:val="1"/>
          <w:bCs w:val="1"/>
          <w:i w:val="1"/>
          <w:iCs w:val="1"/>
          <w:color w:val="auto"/>
        </w:rPr>
        <w:t xml:space="preserve">Infrastructure Investment. </w:t>
      </w:r>
      <w:r>
        <w:rPr>
          <w:rFonts w:ascii="Arial" w:cs="Arial" w:eastAsia="Arial" w:hAnsi="Arial"/>
          <w:sz w:val="17"/>
          <w:szCs w:val="17"/>
          <w:color w:val="auto"/>
        </w:rPr>
        <w:t>Our historical results of operations reflect the impact of our ongoing investments in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support our growth. We have made significant investments in information technology systems, supply chain systems and marketing. These investments include significant additions to our personnel, including experienced industry executives, management and merchandising teams to support our long-term growth objectives. We intend to continue making targeted investments in our infrastructure as necessary to support our growth.</w:t>
      </w:r>
    </w:p>
    <w:p>
      <w:pPr>
        <w:spacing w:after="0" w:line="76" w:lineRule="exact"/>
        <w:rPr>
          <w:sz w:val="20"/>
          <w:szCs w:val="20"/>
          <w:color w:val="auto"/>
        </w:rPr>
      </w:pPr>
    </w:p>
    <w:p>
      <w:pPr>
        <w:ind w:right="220" w:firstLine="347"/>
        <w:spacing w:after="0" w:line="357" w:lineRule="auto"/>
        <w:rPr>
          <w:sz w:val="20"/>
          <w:szCs w:val="20"/>
          <w:color w:val="auto"/>
        </w:rPr>
      </w:pPr>
      <w:r>
        <w:rPr>
          <w:rFonts w:ascii="Arial" w:cs="Arial" w:eastAsia="Arial" w:hAnsi="Arial"/>
          <w:sz w:val="15"/>
          <w:szCs w:val="15"/>
          <w:b w:val="1"/>
          <w:bCs w:val="1"/>
          <w:i w:val="1"/>
          <w:iCs w:val="1"/>
          <w:color w:val="auto"/>
        </w:rPr>
        <w:t xml:space="preserve">Pricing Strategy. </w:t>
      </w:r>
      <w:r>
        <w:rPr>
          <w:rFonts w:ascii="Arial" w:cs="Arial" w:eastAsia="Arial" w:hAnsi="Arial"/>
          <w:sz w:val="15"/>
          <w:szCs w:val="15"/>
          <w:color w:val="auto"/>
        </w:rPr>
        <w:t>We are committed to providing our products to our customers at low prices. We generally employ a simple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low price/high value strategy that consistently delivers savings to our customers without the need for extensive promotions.</w:t>
      </w:r>
    </w:p>
    <w:p>
      <w:pPr>
        <w:spacing w:after="0" w:line="8"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b w:val="1"/>
          <w:bCs w:val="1"/>
          <w:i w:val="1"/>
          <w:iCs w:val="1"/>
          <w:color w:val="auto"/>
        </w:rPr>
        <w:t xml:space="preserve">Our Ability to Source and Distribute Products Effectively. </w:t>
      </w:r>
      <w:r>
        <w:rPr>
          <w:rFonts w:ascii="Arial" w:cs="Arial" w:eastAsia="Arial" w:hAnsi="Arial"/>
          <w:sz w:val="16"/>
          <w:szCs w:val="16"/>
          <w:color w:val="auto"/>
        </w:rPr>
        <w:t>Our revenue and operating income are affected by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some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w:t>
      </w:r>
    </w:p>
    <w:p>
      <w:pPr>
        <w:spacing w:after="0" w:line="68" w:lineRule="exact"/>
        <w:rPr>
          <w:sz w:val="20"/>
          <w:szCs w:val="20"/>
          <w:color w:val="auto"/>
        </w:rPr>
      </w:pPr>
    </w:p>
    <w:p>
      <w:pPr>
        <w:ind w:right="160" w:firstLine="347"/>
        <w:spacing w:after="0" w:line="296" w:lineRule="auto"/>
        <w:rPr>
          <w:sz w:val="20"/>
          <w:szCs w:val="20"/>
          <w:color w:val="auto"/>
        </w:rPr>
      </w:pPr>
      <w:r>
        <w:rPr>
          <w:rFonts w:ascii="Arial" w:cs="Arial" w:eastAsia="Arial" w:hAnsi="Arial"/>
          <w:sz w:val="16"/>
          <w:szCs w:val="16"/>
          <w:b w:val="1"/>
          <w:bCs w:val="1"/>
          <w:i w:val="1"/>
          <w:iCs w:val="1"/>
          <w:color w:val="auto"/>
        </w:rPr>
        <w:t xml:space="preserve">Inflation. </w:t>
      </w:r>
      <w:r>
        <w:rPr>
          <w:rFonts w:ascii="Arial" w:cs="Arial" w:eastAsia="Arial" w:hAnsi="Arial"/>
          <w:sz w:val="16"/>
          <w:szCs w:val="16"/>
          <w:color w:val="auto"/>
        </w:rPr>
        <w:t>Our financial results can be expected to be directly impacted by substantial increases in product costs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49"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b w:val="1"/>
          <w:bCs w:val="1"/>
          <w:i w:val="1"/>
          <w:iCs w:val="1"/>
          <w:color w:val="auto"/>
        </w:rPr>
        <w:t xml:space="preserve">53rd Week. </w:t>
      </w:r>
      <w:r>
        <w:rPr>
          <w:rFonts w:ascii="Arial" w:cs="Arial" w:eastAsia="Arial" w:hAnsi="Arial"/>
          <w:sz w:val="17"/>
          <w:szCs w:val="17"/>
          <w:color w:val="auto"/>
        </w:rPr>
        <w:t>Our full year 2014 consisted of 53 weeks. Fiscal years 2015 and 2016 each consisted of 52 weeks. The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full year 2014 contributed approximately $17.0 million of incremental net revenue.</w:t>
      </w:r>
    </w:p>
    <w:p>
      <w:pPr>
        <w:spacing w:after="0" w:line="54"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Historically, our business has realized a higher portion of net revenue, operating income,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recognizing revenue only after the product has been accepted by the customer (see “―Critical Accounting Policies and Estimates” for details relating to our revenue recognition policy), further contributing to higher first quarter results. For fiscal 2015 and 2016, approximately 23% of our revenues were recorded in the fourth quarter. However, approximately 24% and 25% of annual SG&amp;A costs were recorded in the fourth quarter for fiscal 2015 and 2016, respectively, due to certain SG&amp;A costs being more fixed in nature. In addition to reduced revenues in the fourth quarter compared to the other quarters, our fourth quarter operating income includes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6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U.S. optical retail industry is highly competitive. Competition is generally based upon brand name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5" w:lineRule="exact"/>
        <w:rPr>
          <w:sz w:val="20"/>
          <w:szCs w:val="20"/>
          <w:color w:val="auto"/>
        </w:rPr>
      </w:pPr>
    </w:p>
    <w:p>
      <w:pPr>
        <w:ind w:right="120" w:firstLine="347"/>
        <w:spacing w:after="0" w:line="284" w:lineRule="auto"/>
        <w:rPr>
          <w:sz w:val="20"/>
          <w:szCs w:val="20"/>
          <w:color w:val="auto"/>
        </w:rPr>
      </w:pPr>
      <w:r>
        <w:rPr>
          <w:rFonts w:ascii="Arial" w:cs="Arial" w:eastAsia="Arial" w:hAnsi="Arial"/>
          <w:sz w:val="16"/>
          <w:szCs w:val="16"/>
          <w:b w:val="1"/>
          <w:bCs w:val="1"/>
          <w:i w:val="1"/>
          <w:iCs w:val="1"/>
          <w:color w:val="auto"/>
        </w:rPr>
        <w:t xml:space="preserve">Consolidation in the Industry. </w:t>
      </w:r>
      <w:r>
        <w:rPr>
          <w:rFonts w:ascii="Arial" w:cs="Arial" w:eastAsia="Arial" w:hAnsi="Arial"/>
          <w:sz w:val="16"/>
          <w:szCs w:val="16"/>
          <w:color w:val="auto"/>
        </w:rPr>
        <w:t>Recently announced mergers of large, global competitors will create organizations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23"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and Adjusted EBITDA.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eye exams, discount clubs membership fees, product protection plans (i.e. warranties), and HMO membership fees. Net sales of services and plans also includes fees we earn for managing certain Vision Centers located in Walmart stores, for laboratory services to Walmart, and fulfillment fees earned by AC Lens.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Applicable to Revenue</w:t>
      </w:r>
    </w:p>
    <w:p>
      <w:pPr>
        <w:spacing w:after="0" w:line="117"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 We expect slight decreases in SG&amp;A as a percentage of net revenue given our ongoing focus on cost containment.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Store Openings</w:t>
      </w:r>
    </w:p>
    <w:p>
      <w:pPr>
        <w:spacing w:after="0" w:line="117"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The total number of new stores per year and the timing of store openings has, and will continue to have, an impact on our results as described above in “—Trends and Other Factors Affecting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Comparable Store Sales Growth</w:t>
      </w:r>
    </w:p>
    <w:p>
      <w:pPr>
        <w:spacing w:after="0" w:line="117"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data in this prospectus regarding our adjusted comparable store sales may not be comparable to similar data made available by other retailers.</w:t>
      </w:r>
    </w:p>
    <w:p>
      <w:pPr>
        <w:spacing w:after="0" w:line="59"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7"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We define Adjusted EBITDA as net income (loss), plus interest expense, income tax provision (benefit) and depreciation and amortization, as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Adjusted EBITDA is a key metric used by management to assess our financial performance. Adjusted EBITDA is also frequently used by analysts, investors and other interested parties. We use Adjusted EBITDA to supplement GAAP measures of performance to evaluate the effectiveness of our business strategies, to make budgeting decisions, to establish discretionary annual incentive compensation and to compare our performance against that of other peer companies using similar measures.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KKR Acquisition</w:t>
      </w:r>
    </w:p>
    <w:p>
      <w:pPr>
        <w:spacing w:after="0" w:line="123" w:lineRule="exact"/>
        <w:rPr>
          <w:sz w:val="20"/>
          <w:szCs w:val="20"/>
          <w:color w:val="auto"/>
        </w:rPr>
      </w:pPr>
    </w:p>
    <w:p>
      <w:pPr>
        <w:ind w:firstLine="347"/>
        <w:spacing w:after="0" w:line="296" w:lineRule="auto"/>
        <w:rPr>
          <w:sz w:val="20"/>
          <w:szCs w:val="20"/>
          <w:color w:val="auto"/>
        </w:rPr>
      </w:pPr>
      <w:r>
        <w:rPr>
          <w:rFonts w:ascii="Arial" w:cs="Arial" w:eastAsia="Arial" w:hAnsi="Arial"/>
          <w:sz w:val="16"/>
          <w:szCs w:val="16"/>
          <w:color w:val="auto"/>
        </w:rPr>
        <w:t>On March 13, 2014, majority ownership of the Company was transferred from private equity funds managed by Berkshire to affiliates of KKR Sponsor. For the purpose of discussing our financial results, we refer to ourselves as the “Successor” in the periods following the KKR Acquisition and the “Predecessor” during the periods preceding the KKR Acquisition.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All acquisition-related transactions were pushed down to National Vision Holdings, Inc. using purchase accounting. As a result, our consolidated financial statements for the periods prior to the KKR Acquisition are not comparable to those for the periods after the KKR Acquisition. The primary impact of the application of purchase accounting to the Successor was related to the following:</w:t>
      </w:r>
    </w:p>
    <w:p>
      <w:pPr>
        <w:spacing w:after="0" w:line="72" w:lineRule="exact"/>
        <w:rPr>
          <w:sz w:val="20"/>
          <w:szCs w:val="20"/>
          <w:color w:val="auto"/>
        </w:rPr>
      </w:pPr>
    </w:p>
    <w:p>
      <w:pPr>
        <w:ind w:left="680" w:right="260" w:hanging="342"/>
        <w:spacing w:after="0" w:line="27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in the carrying values of inventory. The total step-up to fair value was $6.2 million, resulting in incremental increases in costs of products as a percentage of product sales during the 2014 Successor period. The inventory step-up had no significant impact beyond the 2014 Successor period.</w:t>
      </w:r>
    </w:p>
    <w:p>
      <w:pPr>
        <w:spacing w:after="0" w:line="67" w:lineRule="exact"/>
        <w:rPr>
          <w:rFonts w:ascii="Arial" w:cs="Arial" w:eastAsia="Arial" w:hAnsi="Arial"/>
          <w:sz w:val="17"/>
          <w:szCs w:val="17"/>
          <w:color w:val="auto"/>
        </w:rPr>
      </w:pPr>
    </w:p>
    <w:p>
      <w:pPr>
        <w:ind w:left="680" w:right="120" w:hanging="342"/>
        <w:spacing w:after="0" w:line="288" w:lineRule="auto"/>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Increase in the depreciable carrying values of property and equipment. The total step-up to fair value was $40.2 million. However, in conjunction with acquisition accounting, the estimated useful lives of property and equipment were adjusted to reflect their remaining useful lives as of the acquisition date, resulting in an overall decrease of depreciation expense over comparable depreciation periods prior to and subsequent to the KKR Acquisition.</w:t>
      </w:r>
    </w:p>
    <w:p>
      <w:pPr>
        <w:spacing w:after="0" w:line="55" w:lineRule="exact"/>
        <w:rPr>
          <w:rFonts w:ascii="Arial" w:cs="Arial" w:eastAsia="Arial" w:hAnsi="Arial"/>
          <w:sz w:val="16"/>
          <w:szCs w:val="16"/>
          <w:color w:val="auto"/>
        </w:rPr>
      </w:pPr>
    </w:p>
    <w:p>
      <w:pPr>
        <w:ind w:left="680" w:right="40" w:hanging="342"/>
        <w:spacing w:after="0" w:line="287"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in the carrying values of amortizing intangible assets, primarily customer and contractual relationships, of $106.2 million.</w:t>
      </w:r>
    </w:p>
    <w:p>
      <w:pPr>
        <w:spacing w:after="0" w:line="53" w:lineRule="exact"/>
        <w:rPr>
          <w:rFonts w:ascii="Arial" w:cs="Arial" w:eastAsia="Arial" w:hAnsi="Arial"/>
          <w:sz w:val="17"/>
          <w:szCs w:val="17"/>
          <w:color w:val="auto"/>
        </w:rPr>
      </w:pPr>
    </w:p>
    <w:p>
      <w:pPr>
        <w:ind w:left="680" w:right="140" w:hanging="342"/>
        <w:spacing w:after="0" w:line="27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in the carrying value of tradenames of $213.1 million. Tradenames are not amortized, and therefore adjustments to tradename values made in the KKR Acquisition had no impact on amortization expense. Instead, tradenames are evaluated annually for impairment.</w:t>
      </w:r>
    </w:p>
    <w:p>
      <w:pPr>
        <w:spacing w:after="0" w:line="67"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Goodwill of $806.2 million. Goodwill is not amortized, and therefore goodwill recorded in the KKR Acquisition had no impact on amortization expense. Instead, goodwill is evaluated annually for impairment.</w:t>
      </w:r>
    </w:p>
    <w:p>
      <w:pPr>
        <w:spacing w:after="0" w:line="53" w:lineRule="exact"/>
        <w:rPr>
          <w:rFonts w:ascii="Arial" w:cs="Arial" w:eastAsia="Arial" w:hAnsi="Arial"/>
          <w:sz w:val="17"/>
          <w:szCs w:val="17"/>
          <w:color w:val="auto"/>
        </w:rPr>
      </w:pPr>
    </w:p>
    <w:p>
      <w:pPr>
        <w:jc w:val="both"/>
        <w:ind w:left="680" w:right="100" w:hanging="342"/>
        <w:spacing w:after="0" w:line="271"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Increase to long-term debt, resulting from the replacement of Predecessor credit agreements with new credit agreements. The increase in the long-term debt balance resulted in increases in interest expense, and to a lesser extent, amortization of related debt discounts.</w:t>
      </w:r>
    </w:p>
    <w:p>
      <w:pPr>
        <w:spacing w:after="0" w:line="67" w:lineRule="exact"/>
        <w:rPr>
          <w:rFonts w:ascii="Arial" w:cs="Arial" w:eastAsia="Arial" w:hAnsi="Arial"/>
          <w:sz w:val="17"/>
          <w:szCs w:val="17"/>
          <w:color w:val="auto"/>
        </w:rPr>
      </w:pPr>
    </w:p>
    <w:p>
      <w:pPr>
        <w:ind w:left="680" w:right="100" w:hanging="342"/>
        <w:spacing w:after="0" w:line="263"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Decrease in the remaining carrying value of deferred revenue at KKR Acquisition of $25.5 million. The decrease in the carrying value of deferred revenue resulted in a reduced amount of revenue associated with warranty plans, discount club memberships, and managed care memberships that could be recognized ratably over the remaining service period of approximately three years, with the majority of the revenue reductions occurring in the 2014 Successor period and fiscal year 2015.</w:t>
      </w:r>
    </w:p>
    <w:p>
      <w:pPr>
        <w:spacing w:after="0" w:line="76"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Net increase in deferred income tax liabilities of $127.5 million, primarily the result of deferred income tax liabilities associated with intangible assets acquired.</w:t>
      </w:r>
    </w:p>
    <w:p>
      <w:pPr>
        <w:spacing w:after="0" w:line="54" w:lineRule="exact"/>
        <w:rPr>
          <w:sz w:val="20"/>
          <w:szCs w:val="20"/>
          <w:color w:val="auto"/>
        </w:rPr>
      </w:pPr>
    </w:p>
    <w:p>
      <w:pPr>
        <w:ind w:right="160" w:firstLine="347"/>
        <w:spacing w:after="0" w:line="281" w:lineRule="auto"/>
        <w:rPr>
          <w:sz w:val="20"/>
          <w:szCs w:val="20"/>
          <w:color w:val="auto"/>
        </w:rPr>
      </w:pPr>
      <w:r>
        <w:rPr>
          <w:rFonts w:ascii="Arial" w:cs="Arial" w:eastAsia="Arial" w:hAnsi="Arial"/>
          <w:sz w:val="16"/>
          <w:szCs w:val="16"/>
          <w:color w:val="auto"/>
        </w:rPr>
        <w:t>The loss from operations of $12.9 million and net loss of $27.1 million during the 2014 Successor period was primarily the result of non-recurring acquisition-related expenses of $13.7 million, $6.0 million of new amortization expense related to $100.0 million in new intangible assets identified during the KKR Acquisition, and stock compensation expense of $7.1 million related to the 2014 stock incentive plan implemented in conjunction with the KKR Acquisition. However, stock compensation expense declined to $6.6 million and $4.3 million for fiscal years 2015 and 2016, respectively. The higher amortization expense related to customer relationships will continue until those assets are fully amortized.</w:t>
      </w:r>
    </w:p>
    <w:p>
      <w:pPr>
        <w:spacing w:after="0" w:line="6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Excluding the impact of previously described purchase accounting adjustments, the KKR Acquisition did not have a significant impact on the primary business operations of the Company, including the key measures that we use to determine how our business is performing, such as net revenue, costs applicable to revenue, SG&amp;A, store growth, adjusted comparable store sales growth and Adjusted EBITDA.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 following tables summarize key components of our results of operations for the periods indicated, both in dollars and as a percentage of our net revenue.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From</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4"/>
          </w:tcPr>
          <w:p>
            <w:pPr>
              <w:jc w:val="center"/>
              <w:ind w:right="24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2014 to</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January</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86"/>
              </w:rPr>
              <w:t>2013 to</w:t>
            </w:r>
          </w:p>
        </w:tc>
        <w:tc>
          <w:tcPr>
            <w:tcW w:w="0" w:type="dxa"/>
            <w:vAlign w:val="bottom"/>
          </w:tcPr>
          <w:p>
            <w:pPr>
              <w:spacing w:after="0"/>
              <w:rPr>
                <w:sz w:val="1"/>
                <w:szCs w:val="1"/>
                <w:color w:val="auto"/>
              </w:rPr>
            </w:pPr>
          </w:p>
        </w:tc>
      </w:tr>
      <w:tr>
        <w:trPr>
          <w:trHeight w:val="156"/>
        </w:trPr>
        <w:tc>
          <w:tcPr>
            <w:tcW w:w="33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7"/>
              </w:rPr>
              <w:t>July 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1"/>
              </w:rPr>
              <w:t>July 2,</w:t>
            </w:r>
          </w:p>
        </w:tc>
        <w:tc>
          <w:tcPr>
            <w:tcW w:w="180" w:type="dxa"/>
            <w:vAlign w:val="bottom"/>
          </w:tcPr>
          <w:p>
            <w:pPr>
              <w:spacing w:after="0"/>
              <w:rPr>
                <w:sz w:val="13"/>
                <w:szCs w:val="13"/>
                <w:color w:val="auto"/>
              </w:rPr>
            </w:pPr>
          </w:p>
        </w:tc>
        <w:tc>
          <w:tcPr>
            <w:tcW w:w="8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13"/>
                <w:szCs w:val="13"/>
                <w:color w:val="auto"/>
              </w:rPr>
            </w:pPr>
          </w:p>
        </w:tc>
        <w:tc>
          <w:tcPr>
            <w:tcW w:w="8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w w:val="94"/>
              </w:rPr>
              <w:t>Fiscal Year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5"/>
              </w:rPr>
              <w:t>March 12,</w:t>
            </w:r>
          </w:p>
        </w:tc>
        <w:tc>
          <w:tcPr>
            <w:tcW w:w="0" w:type="dxa"/>
            <w:vAlign w:val="bottom"/>
          </w:tcPr>
          <w:p>
            <w:pPr>
              <w:spacing w:after="0"/>
              <w:rPr>
                <w:sz w:val="1"/>
                <w:szCs w:val="1"/>
                <w:color w:val="auto"/>
              </w:rPr>
            </w:pPr>
          </w:p>
        </w:tc>
      </w:tr>
      <w:tr>
        <w:trPr>
          <w:trHeight w:val="172"/>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Net product sales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583,544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510,149</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980,953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870,463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603,085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158,795</w:t>
            </w:r>
          </w:p>
        </w:tc>
        <w:tc>
          <w:tcPr>
            <w:tcW w:w="0" w:type="dxa"/>
            <w:vAlign w:val="bottom"/>
          </w:tcPr>
          <w:p>
            <w:pPr>
              <w:spacing w:after="0"/>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sales of 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107,716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132,595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38,222</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Total net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617,865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1,196,195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1,062,528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735,680</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197,017</w:t>
            </w:r>
          </w:p>
        </w:tc>
        <w:tc>
          <w:tcPr>
            <w:tcW w:w="0" w:type="dxa"/>
            <w:vAlign w:val="bottom"/>
          </w:tcPr>
          <w:p>
            <w:pPr>
              <w:spacing w:after="0"/>
              <w:rPr>
                <w:sz w:val="1"/>
                <w:szCs w:val="1"/>
                <w:color w:val="auto"/>
              </w:rPr>
            </w:pPr>
          </w:p>
        </w:tc>
      </w:tr>
      <w:tr>
        <w:trPr>
          <w:trHeight w:val="193"/>
        </w:trPr>
        <w:tc>
          <w:tcPr>
            <w:tcW w:w="332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w w:val="98"/>
              </w:rPr>
              <w:t>Costs applicable to revenue (exclusive of</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depreciation and amortization)</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200,324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390,369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353,894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266,627</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67,785</w:t>
            </w:r>
          </w:p>
        </w:tc>
        <w:tc>
          <w:tcPr>
            <w:tcW w:w="0" w:type="dxa"/>
            <w:vAlign w:val="bottom"/>
          </w:tcPr>
          <w:p>
            <w:pPr>
              <w:spacing w:after="0"/>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99,849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25,409</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275,788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544,781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491,100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366,476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93,194</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5"/>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260,924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524,238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474,053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331,475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79,133</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51,993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44,069</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31,566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7,267</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Impairment of goodwill and other long-lived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4,672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13,742</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7,537</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691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286,655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382,146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93,873</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55,422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66,384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44,677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(12,942)</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9,950</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19,649</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39,092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4,757</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(39,765)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5,193</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14,332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21,441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Number of stores open at end of period</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New stores opened</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86,065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137,774</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112,585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55,653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26,447</w:t>
            </w:r>
          </w:p>
        </w:tc>
        <w:tc>
          <w:tcPr>
            <w:tcW w:w="0" w:type="dxa"/>
            <w:vAlign w:val="bottom"/>
          </w:tcPr>
          <w:p>
            <w:pPr>
              <w:spacing w:after="0"/>
              <w:rPr>
                <w:sz w:val="1"/>
                <w:szCs w:val="1"/>
                <w:color w:val="auto"/>
              </w:rPr>
            </w:pPr>
          </w:p>
        </w:tc>
      </w:tr>
      <w:tr>
        <w:trPr>
          <w:trHeight w:val="52"/>
        </w:trPr>
        <w:tc>
          <w:tcPr>
            <w:tcW w:w="3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5"/>
              </w:rPr>
              <w:t>Successor</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85"/>
              </w:rPr>
              <w:t>Predecessor</w:t>
            </w:r>
          </w:p>
        </w:tc>
        <w:tc>
          <w:tcPr>
            <w:tcW w:w="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37"/>
              <w:spacing w:after="0"/>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4"/>
                <w:szCs w:val="14"/>
                <w:color w:val="auto"/>
              </w:rPr>
            </w:pPr>
          </w:p>
        </w:tc>
        <w:tc>
          <w:tcPr>
            <w:tcW w:w="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97"/>
              </w:rPr>
              <w:t>From</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Months</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right w:val="single" w:sz="8" w:color="auto"/>
            </w:tcBorders>
            <w:gridSpan w:val="5"/>
          </w:tcPr>
          <w:p>
            <w:pPr>
              <w:jc w:val="center"/>
              <w:ind w:right="34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center"/>
              <w:ind w:right="137"/>
              <w:spacing w:after="0" w:line="157"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4"/>
          </w:tcPr>
          <w:p>
            <w:pPr>
              <w:jc w:val="center"/>
              <w:ind w:right="50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1"/>
              </w:rPr>
              <w:t>2013 to</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center"/>
              <w:ind w:right="137"/>
              <w:spacing w:after="0" w:line="157" w:lineRule="exact"/>
              <w:rPr>
                <w:sz w:val="20"/>
                <w:szCs w:val="20"/>
                <w:color w:val="auto"/>
              </w:rPr>
            </w:pPr>
            <w:r>
              <w:rPr>
                <w:rFonts w:ascii="Arial" w:cs="Arial" w:eastAsia="Arial" w:hAnsi="Arial"/>
                <w:sz w:val="14"/>
                <w:szCs w:val="14"/>
                <w:b w:val="1"/>
                <w:bCs w:val="1"/>
                <w:color w:val="auto"/>
                <w:w w:val="91"/>
              </w:rPr>
              <w:t>July 1,</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July 2,</w:t>
            </w:r>
          </w:p>
        </w:tc>
        <w:tc>
          <w:tcPr>
            <w:tcW w:w="1000" w:type="dxa"/>
            <w:vAlign w:val="bottom"/>
            <w:gridSpan w:val="4"/>
          </w:tcPr>
          <w:p>
            <w:pPr>
              <w:jc w:val="right"/>
              <w:ind w:right="257"/>
              <w:spacing w:after="0" w:line="157" w:lineRule="exact"/>
              <w:rPr>
                <w:sz w:val="20"/>
                <w:szCs w:val="20"/>
                <w:color w:val="auto"/>
              </w:rPr>
            </w:pPr>
            <w:r>
              <w:rPr>
                <w:rFonts w:ascii="Arial" w:cs="Arial" w:eastAsia="Arial" w:hAnsi="Arial"/>
                <w:sz w:val="14"/>
                <w:szCs w:val="14"/>
                <w:b w:val="1"/>
                <w:bCs w:val="1"/>
                <w:color w:val="auto"/>
                <w:w w:val="86"/>
              </w:rPr>
              <w:t>Fiscal Year</w:t>
            </w:r>
          </w:p>
        </w:tc>
        <w:tc>
          <w:tcPr>
            <w:tcW w:w="1020" w:type="dxa"/>
            <w:vAlign w:val="bottom"/>
            <w:gridSpan w:val="4"/>
          </w:tcPr>
          <w:p>
            <w:pPr>
              <w:jc w:val="right"/>
              <w:ind w:right="217"/>
              <w:spacing w:after="0" w:line="157" w:lineRule="exact"/>
              <w:rPr>
                <w:sz w:val="20"/>
                <w:szCs w:val="20"/>
                <w:color w:val="auto"/>
              </w:rPr>
            </w:pPr>
            <w:r>
              <w:rPr>
                <w:rFonts w:ascii="Arial" w:cs="Arial" w:eastAsia="Arial" w:hAnsi="Arial"/>
                <w:sz w:val="14"/>
                <w:szCs w:val="14"/>
                <w:b w:val="1"/>
                <w:bCs w:val="1"/>
                <w:color w:val="auto"/>
                <w:w w:val="94"/>
              </w:rPr>
              <w:t>Fiscal Year</w:t>
            </w:r>
          </w:p>
        </w:tc>
        <w:tc>
          <w:tcPr>
            <w:tcW w:w="1100" w:type="dxa"/>
            <w:vAlign w:val="bottom"/>
            <w:tcBorders>
              <w:right w:val="single" w:sz="8" w:color="auto"/>
            </w:tcBorders>
            <w:gridSpan w:val="5"/>
          </w:tcPr>
          <w:p>
            <w:pPr>
              <w:jc w:val="center"/>
              <w:ind w:right="320"/>
              <w:spacing w:after="0" w:line="157" w:lineRule="exact"/>
              <w:rPr>
                <w:sz w:val="20"/>
                <w:szCs w:val="20"/>
                <w:color w:val="auto"/>
              </w:rPr>
            </w:pPr>
            <w:r>
              <w:rPr>
                <w:rFonts w:ascii="Arial" w:cs="Arial" w:eastAsia="Arial" w:hAnsi="Arial"/>
                <w:sz w:val="14"/>
                <w:szCs w:val="14"/>
                <w:b w:val="1"/>
                <w:bCs w:val="1"/>
                <w:color w:val="auto"/>
                <w:w w:val="89"/>
              </w:rPr>
              <w:t>January 3,</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March 12,</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45.5%</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44.6%</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45.5%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5"/>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7"/>
                <w:szCs w:val="17"/>
                <w:color w:val="auto"/>
              </w:rPr>
              <w:t>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7"/>
                <w:szCs w:val="17"/>
                <w:color w:val="auto"/>
                <w:w w:val="82"/>
              </w:rPr>
              <w:t>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7"/>
                <w:szCs w:val="17"/>
                <w:color w:val="auto"/>
              </w:rPr>
              <w:t>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45.1%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46.4%</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48.9%</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49.6%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51.9%</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7"/>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13.9%</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11.5%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10.6%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0" w:name="page81"/>
    <w:bookmarkEnd w:id="8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right="3620"/>
        <w:spacing w:after="0" w:line="387" w:lineRule="auto"/>
        <w:rPr>
          <w:sz w:val="20"/>
          <w:szCs w:val="20"/>
          <w:color w:val="auto"/>
        </w:rPr>
      </w:pPr>
      <w:r>
        <w:rPr>
          <w:rFonts w:ascii="Arial" w:cs="Arial" w:eastAsia="Arial" w:hAnsi="Arial"/>
          <w:sz w:val="17"/>
          <w:szCs w:val="17"/>
          <w:b w:val="1"/>
          <w:bCs w:val="1"/>
          <w:color w:val="auto"/>
        </w:rPr>
        <w:t xml:space="preserve">Six Months Ended July 1, 2017 compared to Six Months Ended July 2, 2016 </w:t>
      </w:r>
      <w:r>
        <w:rPr>
          <w:rFonts w:ascii="Arial" w:cs="Arial" w:eastAsia="Arial" w:hAnsi="Arial"/>
          <w:sz w:val="17"/>
          <w:szCs w:val="17"/>
          <w:i w:val="1"/>
          <w:iCs w:val="1"/>
          <w:color w:val="auto"/>
        </w:rPr>
        <w:t>Net revenue</w:t>
      </w:r>
    </w:p>
    <w:p>
      <w:pPr>
        <w:spacing w:after="0" w:line="1"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the six months ended July 1, 2017 compared to the six months ended July 2, 2016.</w:t>
      </w:r>
    </w:p>
    <w:tbl>
      <w:tblPr>
        <w:tblLayout w:type="fixed"/>
        <w:tblInd w:w="1"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5"/>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Comparable store</w:t>
            </w:r>
          </w:p>
        </w:tc>
        <w:tc>
          <w:tcPr>
            <w:tcW w:w="1640" w:type="dxa"/>
            <w:vAlign w:val="bottom"/>
            <w:gridSpan w:val="7"/>
          </w:tcPr>
          <w:p>
            <w:pPr>
              <w:ind w:left="100"/>
              <w:spacing w:after="0" w:line="159" w:lineRule="exact"/>
              <w:rPr>
                <w:sz w:val="20"/>
                <w:szCs w:val="20"/>
                <w:color w:val="auto"/>
              </w:rPr>
            </w:pPr>
            <w:r>
              <w:rPr>
                <w:rFonts w:ascii="Arial" w:cs="Arial" w:eastAsia="Arial" w:hAnsi="Arial"/>
                <w:sz w:val="14"/>
                <w:szCs w:val="14"/>
                <w:b w:val="1"/>
                <w:bCs w:val="1"/>
                <w:color w:val="auto"/>
              </w:rPr>
              <w:t>Stores open at end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line="181" w:lineRule="exact"/>
              <w:rPr>
                <w:sz w:val="20"/>
                <w:szCs w:val="20"/>
                <w:color w:val="auto"/>
              </w:rPr>
            </w:pPr>
            <w:r>
              <w:rPr>
                <w:rFonts w:ascii="Arial" w:cs="Arial" w:eastAsia="Arial" w:hAnsi="Arial"/>
                <w:sz w:val="12"/>
                <w:szCs w:val="12"/>
                <w:b w:val="1"/>
                <w:bCs w:val="1"/>
                <w:color w:val="auto"/>
                <w:w w:val="98"/>
              </w:rPr>
              <w:t>sales growth</w:t>
            </w:r>
            <w:r>
              <w:rPr>
                <w:rFonts w:ascii="Arial" w:cs="Arial" w:eastAsia="Arial" w:hAnsi="Arial"/>
                <w:sz w:val="20"/>
                <w:szCs w:val="20"/>
                <w:b w:val="1"/>
                <w:bCs w:val="1"/>
                <w:color w:val="auto"/>
                <w:w w:val="98"/>
                <w:vertAlign w:val="superscript"/>
              </w:rPr>
              <w:t>(1)</w:t>
            </w:r>
          </w:p>
        </w:tc>
        <w:tc>
          <w:tcPr>
            <w:tcW w:w="180" w:type="dxa"/>
            <w:vAlign w:val="bottom"/>
            <w:gridSpan w:val="2"/>
          </w:tcPr>
          <w:p>
            <w:pPr>
              <w:spacing w:after="0"/>
              <w:rPr>
                <w:sz w:val="15"/>
                <w:szCs w:val="15"/>
                <w:color w:val="auto"/>
              </w:rPr>
            </w:pPr>
          </w:p>
        </w:tc>
        <w:tc>
          <w:tcPr>
            <w:tcW w:w="9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88"/>
              </w:rPr>
              <w:t>period</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Net revenue</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Six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Six</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Months</w:t>
            </w:r>
          </w:p>
        </w:tc>
        <w:tc>
          <w:tcPr>
            <w:tcW w:w="74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Months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July 1,</w:t>
            </w:r>
          </w:p>
        </w:tc>
        <w:tc>
          <w:tcPr>
            <w:tcW w:w="7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July 2,</w:t>
            </w:r>
          </w:p>
        </w:tc>
        <w:tc>
          <w:tcPr>
            <w:tcW w:w="940" w:type="dxa"/>
            <w:vAlign w:val="bottom"/>
            <w:gridSpan w:val="4"/>
          </w:tcPr>
          <w:p>
            <w:pPr>
              <w:ind w:left="120"/>
              <w:spacing w:after="0" w:line="157" w:lineRule="exact"/>
              <w:rPr>
                <w:sz w:val="20"/>
                <w:szCs w:val="20"/>
                <w:color w:val="auto"/>
              </w:rPr>
            </w:pPr>
            <w:r>
              <w:rPr>
                <w:rFonts w:ascii="Arial" w:cs="Arial" w:eastAsia="Arial" w:hAnsi="Arial"/>
                <w:sz w:val="14"/>
                <w:szCs w:val="14"/>
                <w:b w:val="1"/>
                <w:bCs w:val="1"/>
                <w:color w:val="auto"/>
              </w:rPr>
              <w:t>July 1,</w:t>
            </w:r>
          </w:p>
        </w:tc>
        <w:tc>
          <w:tcPr>
            <w:tcW w:w="7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July 2,</w:t>
            </w:r>
          </w:p>
        </w:tc>
        <w:tc>
          <w:tcPr>
            <w:tcW w:w="1640" w:type="dxa"/>
            <w:vAlign w:val="bottom"/>
            <w:gridSpan w:val="6"/>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Six Months Ended</w:t>
            </w:r>
          </w:p>
        </w:tc>
        <w:tc>
          <w:tcPr>
            <w:tcW w:w="1520" w:type="dxa"/>
            <w:vAlign w:val="bottom"/>
            <w:gridSpan w:val="4"/>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Six Months Ended</w:t>
            </w:r>
          </w:p>
        </w:tc>
      </w:tr>
      <w:tr>
        <w:trPr>
          <w:trHeight w:val="17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July 1, 2017</w:t>
            </w:r>
          </w:p>
        </w:tc>
        <w:tc>
          <w:tcPr>
            <w:tcW w:w="180" w:type="dxa"/>
            <w:vAlign w:val="bottom"/>
            <w:gridSpan w:val="3"/>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July 2, 2016</w:t>
            </w:r>
          </w:p>
        </w:tc>
        <w:tc>
          <w:tcPr>
            <w:tcW w:w="80" w:type="dxa"/>
            <w:vAlign w:val="bottom"/>
          </w:tcPr>
          <w:p>
            <w:pPr>
              <w:spacing w:after="0"/>
              <w:rPr>
                <w:sz w:val="14"/>
                <w:szCs w:val="14"/>
                <w:color w:val="auto"/>
              </w:rPr>
            </w:pPr>
          </w:p>
        </w:tc>
      </w:tr>
      <w:tr>
        <w:trPr>
          <w:trHeight w:val="235"/>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9.3%</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$ 438,837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$ 368,508</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60.0%</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77,653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68,938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(7.1)%</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13,089</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13,719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34"/>
        </w:trPr>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678</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$ 536,787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$ 458,626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74.0%</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31"/>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96,114</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84,737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14.0%</w:t>
            </w:r>
          </w:p>
        </w:tc>
      </w:tr>
      <w:tr>
        <w:trPr>
          <w:trHeight w:val="232"/>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296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w:t>
            </w:r>
          </w:p>
        </w:tc>
        <w:tc>
          <w:tcPr>
            <w:tcW w:w="7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7.0%</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7.7%</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$ 707,400</w:t>
            </w: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100.0%</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$ 617,865</w:t>
            </w: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960" w:type="dxa"/>
            <w:vAlign w:val="bottom"/>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160" w:hanging="341"/>
        <w:spacing w:after="0" w:line="245" w:lineRule="auto"/>
        <w:tabs>
          <w:tab w:leader="none" w:pos="341"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hanging="341"/>
        <w:spacing w:after="0" w:line="260"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0.4% and 0.4% from total comparable store sales growth based on consolidated net revenue for the six months ended July 1, 2017 and July 2, 2016, respectively, and (ii) adjusted comparable store sales growth includes retail sales to the legacy partner’s customers (rather than the revenues recognized consistent with the management and services agreement), resulting in a decrease of 0.1% and 0.3% from total comparable store sales growth based on consolidated net revenue for the six months ended July 1, 2017 and July 2, 2016, respectively.</w:t>
      </w:r>
    </w:p>
    <w:p>
      <w:pPr>
        <w:spacing w:after="0" w:line="64" w:lineRule="exact"/>
        <w:rPr>
          <w:sz w:val="20"/>
          <w:szCs w:val="20"/>
          <w:color w:val="auto"/>
        </w:rPr>
      </w:pPr>
    </w:p>
    <w:p>
      <w:pPr>
        <w:ind w:left="1" w:right="180" w:firstLine="347"/>
        <w:spacing w:after="0" w:line="296" w:lineRule="auto"/>
        <w:rPr>
          <w:sz w:val="20"/>
          <w:szCs w:val="20"/>
          <w:color w:val="auto"/>
        </w:rPr>
      </w:pPr>
      <w:r>
        <w:rPr>
          <w:rFonts w:ascii="Arial" w:cs="Arial" w:eastAsia="Arial" w:hAnsi="Arial"/>
          <w:sz w:val="16"/>
          <w:szCs w:val="16"/>
          <w:color w:val="auto"/>
        </w:rPr>
        <w:t>Total net revenue of $707.4 million for the six months ended July 1, 2017 increased $89.5 million, or 14.5%, from $617.9 million for the six months ended July 2, 2016. This increase was driven approximately 50% by new stores, approximately 40% by comparable store sales growth and approximately 10% by order volume in our AC Lens business.</w:t>
      </w:r>
    </w:p>
    <w:p>
      <w:pPr>
        <w:spacing w:after="0" w:line="49" w:lineRule="exact"/>
        <w:rPr>
          <w:sz w:val="20"/>
          <w:szCs w:val="20"/>
          <w:color w:val="auto"/>
        </w:rPr>
      </w:pPr>
    </w:p>
    <w:p>
      <w:pPr>
        <w:ind w:left="1" w:firstLine="347"/>
        <w:spacing w:after="0" w:line="295" w:lineRule="auto"/>
        <w:rPr>
          <w:sz w:val="20"/>
          <w:szCs w:val="20"/>
          <w:color w:val="auto"/>
        </w:rPr>
      </w:pPr>
      <w:r>
        <w:rPr>
          <w:rFonts w:ascii="Arial" w:cs="Arial" w:eastAsia="Arial" w:hAnsi="Arial"/>
          <w:sz w:val="15"/>
          <w:szCs w:val="15"/>
          <w:color w:val="auto"/>
        </w:rPr>
        <w:t>In the 12 months preceding July 1, 2017, we opened 79 new stores, including 66 new America’s Best stores, eight new Eyeglass World stores and five new Vista Optical locations on military bases. Overall, store count grew 8.3% (net of four America’s Best store closures in the 12 months ended July 1, 2017) from July 2, 2016 to July 1, 2017. Additionally, adjusted comparable store sales growth of 6.5% for the six months ended July 1, 2017 contributed to our sales growth. Overall comparable store sales growth is driven by comparable store sales growth in newer stores (stores opened between 13 months to five years) and mature stores (stores opened longer than five years), as well as other factors impacting retail foot traffic such as advertising and expansion of our participation in managed care programs. Net revenue for our owned &amp; host segment grew $78.2 million, or 17.0%, impacted by new stores and comparable store sales growth as previously described. Within our owned &amp; host segment, net revenue from our Vista Optical locations on military bases declined $0.6 million, or 4.6%, and net revenue from our Vista Optical locations in Fred Meyer stores declined $0.3 million, or 3.4%. The declines were a result of lower customer transaction volume in the six months ended July 1, 2017. Customer transaction volume also drove a $0.2 million, or 0.2%, decline in our legacy segment. Other net revenue activities increased $11.4 million, or 13.4%, driven by unit growth in our wholesale order fulfillment business. We believe that our first quarter of fiscal year 2017 was negatively impacted by the Earned Income Tax Credit processing rules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implemented by the federal government in 2017 which caused a two- to three-week delay in many federal tax refunds in the first quarter. This delay caused our store traffic, and ultimately net revenue, to fall short of planned levels in the first quarter. A weaker than expected first quarter was partially offset by strong performance in our comparable store sales growth and overall customer traffic in the second quarter of fiscal year 2017.</w:t>
      </w:r>
    </w:p>
    <w:p>
      <w:pPr>
        <w:spacing w:after="0" w:line="72"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Net product sales increased $73.4 million, or 14.4%, in the six months ended July 1, 2017 compared to the six months ended July 2, 2016, driven primarily by strong eyeglass sales. To a lesser extent, unit growth in our wholesale order fulfillment business and contact lenses also contributed to the increase. Net sales of services and plans increased $16.1 million, or 15.0%, driven primarily by strong eye exam sales in our owned &amp; host segment. The eye exam increase was driven primarily by our expanding participation in managed care programs. To a lesser extent, Eyecare Club membership sales and warranty program sales, driven by increased sales in our America’s Best brand, also contributed to the increase.</w:t>
      </w:r>
    </w:p>
    <w:p>
      <w:pPr>
        <w:spacing w:after="0" w:line="63" w:lineRule="exact"/>
        <w:rPr>
          <w:sz w:val="20"/>
          <w:szCs w:val="20"/>
          <w:color w:val="auto"/>
        </w:rPr>
      </w:pPr>
    </w:p>
    <w:p>
      <w:pPr>
        <w:ind w:right="20" w:firstLine="347"/>
        <w:spacing w:after="0" w:line="297" w:lineRule="auto"/>
        <w:rPr>
          <w:sz w:val="20"/>
          <w:szCs w:val="20"/>
          <w:color w:val="auto"/>
        </w:rPr>
      </w:pPr>
      <w:r>
        <w:rPr>
          <w:rFonts w:ascii="Arial" w:cs="Arial" w:eastAsia="Arial" w:hAnsi="Arial"/>
          <w:sz w:val="15"/>
          <w:szCs w:val="15"/>
          <w:color w:val="auto"/>
        </w:rPr>
        <w:t>Reconciliations include increases in deferred revenue of $7.6 million (8.7%) and $9.0 million (11.6%), and decreases in unearned revenue of $2.8 million (10.9%) and $4.0 million (18.8%) for the six months ended July 1, 2017 and July 2, 2016, respectively. The 2014 purchase accounting adjustment described in “—Overview” above contributed to the increases in deferred revenue by $0.2 million and $2.0 million for the six months ended July 1, 2017 and July 2, 2016, respectively, resulting in larger increases in deferred revenue compared to corresponding periods. Absent the impact of the KKR Acquisition, increases in deferred revenue for each respective period is consistent with our growth in overall net sales of services and plans. The decrease in unearned revenue was primarily the result of seasonal influences on cash basis sales of prescription eyewear in our stores the last few days of the respective month ending each quarter. We have consistently observed that cash basis sales of prescription eyewear that must be deferred to the next fiscal period is higher the last week of December compared to the following June month-end, resulting in a decrease in unearned revenue between year-end and the second fiscal quarter end of the next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160" w:firstLine="347"/>
        <w:spacing w:after="0" w:line="357" w:lineRule="auto"/>
        <w:rPr>
          <w:sz w:val="20"/>
          <w:szCs w:val="20"/>
          <w:color w:val="auto"/>
        </w:rPr>
      </w:pPr>
      <w:r>
        <w:rPr>
          <w:rFonts w:ascii="Arial" w:cs="Arial" w:eastAsia="Arial" w:hAnsi="Arial"/>
          <w:sz w:val="15"/>
          <w:szCs w:val="15"/>
          <w:color w:val="auto"/>
        </w:rPr>
        <w:t>Costs applicable to revenue of $322.2 million for the six months ended July 1, 2017 increased $46.4 million, or 16.8%, from $275.8 million for the six months ended July 2, 2016. We analyze the costs applicable to revenue as a percentage of net revenue.</w:t>
      </w:r>
    </w:p>
    <w:p>
      <w:pPr>
        <w:spacing w:after="0" w:line="8"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As a percentage of net revenue, costs applicable to revenue increased from 44.6% for the six months ended July 2, 2016 to 45.5% for the six months ended July 1, 2017. Costs of products as a percentage of net product sales increased from 39.3% for the six months ended July 2, 2016 to 40.0% for the six months ended July 1, 2017, primarily driven by unfavorable product cost. During the six months ended July 1, 2017, we wrote off $2.3 million of inventory related to a slow-moving contact lens product which had expired or would expire prior to possible sale. The mix of our wholesale product sales also contributed to the increased costs of products as a percentage of net product sales. Our wholesale order fulfillment units, which have a higher cost as a percentage of sales than other product categories, increased. Partially offsetting the unfavorable variances was a lower mix of contact lens sales, which generate lower product margin compared to other product categories. The mix shift was driven by higher growth in our owned &amp; host segment compared to our e-commerce business.</w:t>
      </w:r>
    </w:p>
    <w:p>
      <w:pPr>
        <w:spacing w:after="0" w:line="63"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In the owned &amp; host segment, costs of products as a percentage of net product sales increased from 28.9% for the six months ended July 2, 2016 to 29.1% for the six months ended July 1, 2017. The increase was primarily driven by inventory shrinkage. In the legacy segment, costs of products as a percentage of net product sales increased from 47.0% for the six months ended July 2, 2016 to 47.3% for the six months ended July 1, 2017. The increase was driven by the one-time sale of contact lens inventory at cost to our wholesale partner, partially offset by favorable eyeglass costs as a result of our centralized laboratory efficiencies and a favorable mix shift. Our eyeglass orders, which have a lower cost as a percentage of sales than other product categories, increased.</w:t>
      </w:r>
    </w:p>
    <w:p>
      <w:pPr>
        <w:spacing w:after="0" w:line="49"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Costs of services and plans as a percentage of net sales of services and plans increased from 70.1% for the six months ended July 2, 2016 to 71.8% for the six months ended July 1, 2017. The increase was primarily driven by higher optometrist costs as a result of increased store coverage and overall wage pressure. In the first quarter of fiscal year 2017, our optometrists were staffed in anticipation of our seasonally strong first quarter. When sales fell short of plan (as discussed above), we maintained optometrist staffing in anticipation of customer traffic recovery.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From a segment perspective, costs of services and plans as a percentage of net sales of services and plans in the owned &amp; host segment increased from 75.5% for the six months ended July 2, 2016 to 75.8% for the six months ended July 1, 2017. In the legacy segment, costs of services and plans as a percentage of net sales of services and plans increased from 22.7% for the six months ended July 2, 2016 to 29.3% for the six months ended July 1, 2017. The increases in both the owned &amp; host and legacy segments were driven by higher optometrist costs as a result of increased store coverage and overall wage pressure discussed above. Additionally, in the legacy segment, fixed optometrist labor costs paired with declining revenue also contributed to the increase.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100" w:firstLine="347"/>
        <w:spacing w:after="0" w:line="276" w:lineRule="auto"/>
        <w:rPr>
          <w:sz w:val="20"/>
          <w:szCs w:val="20"/>
          <w:color w:val="auto"/>
        </w:rPr>
      </w:pPr>
      <w:r>
        <w:rPr>
          <w:rFonts w:ascii="Arial" w:cs="Arial" w:eastAsia="Arial" w:hAnsi="Arial"/>
          <w:sz w:val="16"/>
          <w:szCs w:val="16"/>
          <w:color w:val="auto"/>
        </w:rPr>
        <w:t>SG&amp;A of $294.5 million for the six months ended July 1, 2017 increased $33.5 million, or 12.9%, from the comparable prior year period. As a percentage of net revenue, SG&amp;A decreased from 42.2% for the six months ended July 2, 2016 to 41.6% for the six months ended July 1, 2017. The decrease as a percentage of net revenue was primarily driven by performance-based incentive compensation and corporate payroll and, to a lesser extent, occupancy costs and stock option compensation expense. We incurred lower performance-based incentive compensation expense as a percentage of net revenue in the six months ended July 1, 2017 compared to the six months ended July 2, 2016 as a result of our actual sales performance compared to our planned levels. The decrease in corporate payroll is primarily driven by consistent year-over-year corporate payroll spend compared to growing net revenue. In fiscal year 2017, we began signing an increased number of capital leases compared to the comparable prior year period and our occupancy expense as a percentage of net revenue decreased accordingly. We recorded lower stock option compensation expense as a percentage of net revenue as a result of declining amortization of grant date fair value due to the use of graded vesting (i.e. accelerated method).</w:t>
      </w:r>
    </w:p>
    <w:p>
      <w:pPr>
        <w:spacing w:after="0" w:line="71"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In the owned &amp; host segment, SG&amp;A as a percentage of net revenue was 37.3% for the six months ended July 1, 2017 compared to 37.0% for the six months ended July 2, 2016, driven primarily by store payroll and advertising, partially offset by occupancy expense as described above. The increase in store payroll as a percentage of net revenue was driven by lower than anticipated store traffic in the first quarter of fiscal year 2017. Our stores were fully staffed in anticipation of our seasonally strong first quarter. When sales fell short of plan, we maintained store staffing in anticipation of customer traffic recovery. The increase to advertising expense as a percentage of net revenue is primarily driven by timing. Our fiscal year 2017 planned advertising expense as a percentage of net revenue is in line with fiscal year 2016 results. However, the fiscal year 2017 spend is more heavily weighted to the first half of the year. The weighting shift is a result of our launch of national advertising in the first quarter of fiscal year 2017, as well as adjustments to our advertising placement approach. Additionally, net revenue results that came in lower than the planned levels (due to the factors described above under “―</w:t>
      </w:r>
      <w:r>
        <w:rPr>
          <w:rFonts w:ascii="Arial" w:cs="Arial" w:eastAsia="Arial" w:hAnsi="Arial"/>
          <w:sz w:val="16"/>
          <w:szCs w:val="16"/>
          <w:i w:val="1"/>
          <w:iCs w:val="1"/>
          <w:color w:val="auto"/>
        </w:rPr>
        <w:t>Net revenue</w:t>
      </w:r>
      <w:r>
        <w:rPr>
          <w:rFonts w:ascii="Arial" w:cs="Arial" w:eastAsia="Arial" w:hAnsi="Arial"/>
          <w:sz w:val="16"/>
          <w:szCs w:val="16"/>
          <w:color w:val="auto"/>
        </w:rPr>
        <w:t>”) also drove the increase in advertising expense as a percentage of net revenue. The majority of our advertising in the first quarter had already been purchased and, when lower than expected sales materialized, these costs could not be immediately curtailed.</w:t>
      </w:r>
    </w:p>
    <w:p>
      <w:pPr>
        <w:spacing w:after="0" w:line="68"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In the legacy segment, SG&amp;A as a percentage of net revenue decreased from 33.7% for the six months ended July 2, 2016 to 33.0% for the six months ended July 1, 2017, driven primarily by decreases in store payroll as a percentage of net revenue, partially offset by increased direct mail advertising spend and fees associated with certain managed care providers.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60" w:firstLine="347"/>
        <w:spacing w:after="0" w:line="299" w:lineRule="auto"/>
        <w:rPr>
          <w:sz w:val="20"/>
          <w:szCs w:val="20"/>
          <w:color w:val="auto"/>
        </w:rPr>
      </w:pPr>
      <w:r>
        <w:rPr>
          <w:rFonts w:ascii="Arial" w:cs="Arial" w:eastAsia="Arial" w:hAnsi="Arial"/>
          <w:sz w:val="15"/>
          <w:szCs w:val="15"/>
          <w:color w:val="auto"/>
        </w:rPr>
        <w:t>Depreciation and amortization expense of $29.1 million for the six months ended July 1, 2017 increased $4.0 million, or 16.1%, from $25.0 million for the six months ended July 2, 2016. The increase is substantially reflective of depreciation resulting from new store openings and other ongoing growth capital projects related to building our information technology, or IT, infrastructure, eyeglass manufacturing labs, and distribution centers. Our property and equipment balance increased $24.9 million, or 9.7%, during the six months ended July 1, 2017, reflective of $43.7 million in purchases of property and equipment, $6.0 million in new capital leases, less $24.8 million in depreciation expense.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Interest expense, net, of $26.1 million for the six months ended July 1, 2017 increased $6.5 million, or 32.9%, from $19.6 million for the six months ended July 2,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 Interest expense, net, increased $2.8 million resulting from the additional principal outstanding under the first lien credit agreement during the last five months of the period ended July 1, 2017. Additionally, we accrued $3.5 million in additional interest expense during the six months ended July 1, 2017 related to interest payments due to counterparties associated with our derivative cash flow hedges. See “Liquidity and Capital Resources” below for further discussion related to our derivative hedging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200" w:firstLine="347"/>
        <w:spacing w:after="0" w:line="357" w:lineRule="auto"/>
        <w:rPr>
          <w:sz w:val="20"/>
          <w:szCs w:val="20"/>
          <w:color w:val="auto"/>
        </w:rPr>
      </w:pPr>
      <w:r>
        <w:rPr>
          <w:rFonts w:ascii="Arial" w:cs="Arial" w:eastAsia="Arial" w:hAnsi="Arial"/>
          <w:sz w:val="15"/>
          <w:szCs w:val="15"/>
          <w:color w:val="auto"/>
        </w:rPr>
        <w:t>We recorded $2.7 million in fees associated with the incurrence of additional term loans under the first lien credit agreement discussed above during the six months ended July 1, 2017. No such transaction occurred in the six months ended July 2, 2016.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right="40" w:firstLine="347"/>
        <w:spacing w:after="0" w:line="301" w:lineRule="auto"/>
        <w:rPr>
          <w:sz w:val="20"/>
          <w:szCs w:val="20"/>
          <w:color w:val="auto"/>
        </w:rPr>
      </w:pPr>
      <w:r>
        <w:rPr>
          <w:rFonts w:ascii="Arial" w:cs="Arial" w:eastAsia="Arial" w:hAnsi="Arial"/>
          <w:sz w:val="15"/>
          <w:szCs w:val="15"/>
          <w:color w:val="auto"/>
        </w:rPr>
        <w:t>Our effective income tax rate, or ETR, was 36.9% during the six months ended July 1, 2017 compared to 40.1% during the six months ended July 2, 2016. The ETR during the six months ended July 2, 2016 primarily reflected the 2016 expected combined statutory federal and state rate. During the six months ended July 1, 2017, our expected combined statutory federal and state rate was reduced by a $1.4 million income tax benefit (5.7%) resulting from the recapitalization dividend described in Note 5 to our unaudited condensed consolidated financial statements included elsewhere in this prospectus. Other items aggregated to a 1.8% further reduction in the rate for the period. These benefits were partially offset by an increase in tax expense of $0.4 million (1.7%) associated with the non-deductibility of $1.0 million in impairment expense related to a cost method investment.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84" w:name="page85"/>
    <w:bookmarkEnd w:id="8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Fiscal Year 2016 compared to Fiscal Year 2015</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fiscal year 2016 compared to fiscal year 2015.</w:t>
      </w:r>
    </w:p>
    <w:tbl>
      <w:tblPr>
        <w:tblLayout w:type="fixed"/>
        <w:tblInd w:w="1"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4"/>
          </w:tcPr>
          <w:p>
            <w:pPr>
              <w:jc w:val="right"/>
              <w:ind w:right="280"/>
              <w:spacing w:after="0" w:line="159" w:lineRule="exact"/>
              <w:rPr>
                <w:sz w:val="20"/>
                <w:szCs w:val="20"/>
                <w:color w:val="auto"/>
              </w:rPr>
            </w:pPr>
            <w:r>
              <w:rPr>
                <w:rFonts w:ascii="Arial" w:cs="Arial" w:eastAsia="Arial" w:hAnsi="Arial"/>
                <w:sz w:val="14"/>
                <w:szCs w:val="14"/>
                <w:b w:val="1"/>
                <w:bCs w:val="1"/>
                <w:color w:val="auto"/>
                <w:w w:val="97"/>
              </w:rPr>
              <w:t>Comparable store</w:t>
            </w:r>
          </w:p>
        </w:tc>
        <w:tc>
          <w:tcPr>
            <w:tcW w:w="1460" w:type="dxa"/>
            <w:vAlign w:val="bottom"/>
            <w:gridSpan w:val="4"/>
          </w:tcPr>
          <w:p>
            <w:pPr>
              <w:ind w:left="100"/>
              <w:spacing w:after="0" w:line="159" w:lineRule="exact"/>
              <w:rPr>
                <w:sz w:val="20"/>
                <w:szCs w:val="20"/>
                <w:color w:val="auto"/>
              </w:rPr>
            </w:pPr>
            <w:r>
              <w:rPr>
                <w:rFonts w:ascii="Arial" w:cs="Arial" w:eastAsia="Arial" w:hAnsi="Arial"/>
                <w:sz w:val="14"/>
                <w:szCs w:val="14"/>
                <w:b w:val="1"/>
                <w:bCs w:val="1"/>
                <w:color w:val="auto"/>
              </w:rPr>
              <w:t>Stores open at end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117"/>
              <w:spacing w:after="0" w:line="181"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Net revenue</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 2016</w:t>
            </w:r>
          </w:p>
        </w:tc>
        <w:tc>
          <w:tcPr>
            <w:tcW w:w="2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 2015</w:t>
            </w:r>
          </w:p>
        </w:tc>
        <w:tc>
          <w:tcPr>
            <w:tcW w:w="80" w:type="dxa"/>
            <w:vAlign w:val="bottom"/>
          </w:tcPr>
          <w:p>
            <w:pPr>
              <w:spacing w:after="0"/>
              <w:rPr>
                <w:sz w:val="14"/>
                <w:szCs w:val="14"/>
                <w:color w:val="auto"/>
              </w:rPr>
            </w:pPr>
          </w:p>
        </w:tc>
      </w:tr>
      <w:tr>
        <w:trPr>
          <w:trHeight w:val="235"/>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11.4%</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529</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461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714,431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601,241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57%</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133,979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26,444</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25,288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14,554</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716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631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889,408</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759,325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152,210</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155,013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1"/>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168,616</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164,262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26"/>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(14,039)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22"/>
        </w:trPr>
        <w:tc>
          <w:tcPr>
            <w:tcW w:w="2960" w:type="dxa"/>
            <w:vAlign w:val="bottom"/>
            <w:gridSpan w:val="3"/>
          </w:tcPr>
          <w:p>
            <w:pPr>
              <w:spacing w:after="0"/>
              <w:rPr>
                <w:sz w:val="20"/>
                <w:szCs w:val="20"/>
                <w:color w:val="auto"/>
              </w:rPr>
            </w:pPr>
            <w:r>
              <w:rPr>
                <w:rFonts w:ascii="Arial" w:cs="Arial" w:eastAsia="Arial" w:hAnsi="Arial"/>
                <w:sz w:val="17"/>
                <w:szCs w:val="17"/>
                <w:color w:val="auto"/>
              </w:rPr>
              <w:t>Total</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943</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858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1,196,195</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1,062,528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r>
      <w:tr>
        <w:trPr>
          <w:trHeight w:val="19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960" w:type="dxa"/>
            <w:vAlign w:val="bottom"/>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w:t>
            </w: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160" w:hanging="341"/>
        <w:spacing w:after="0" w:line="245" w:lineRule="auto"/>
        <w:tabs>
          <w:tab w:leader="none" w:pos="341"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hanging="341"/>
        <w:spacing w:after="0" w:line="238" w:lineRule="auto"/>
        <w:tabs>
          <w:tab w:leader="none" w:pos="341"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0.4% and 0.4% from total comparable store sales growth based on consolidated net revenue for fiscal year 2016 and fiscal year 2015, respectively, and (ii) adjusted comparable store sales growth includes retail sales to the legacy partner’s customers (rather than the revenues recognized consistent with the management and services agreement), resulting in a decrease of 0.4% and 2.0% from total comparable store sales growth based on consolidated net revenue for fiscal year 2016 and fiscal year 2015, respectively.</w:t>
      </w:r>
    </w:p>
    <w:p>
      <w:pPr>
        <w:spacing w:after="0" w:line="78" w:lineRule="exact"/>
        <w:rPr>
          <w:sz w:val="20"/>
          <w:szCs w:val="20"/>
          <w:color w:val="auto"/>
        </w:rPr>
      </w:pPr>
    </w:p>
    <w:p>
      <w:pPr>
        <w:jc w:val="both"/>
        <w:ind w:left="1" w:right="100" w:firstLine="347"/>
        <w:spacing w:after="0" w:line="296" w:lineRule="auto"/>
        <w:rPr>
          <w:sz w:val="20"/>
          <w:szCs w:val="20"/>
          <w:color w:val="auto"/>
        </w:rPr>
      </w:pPr>
      <w:r>
        <w:rPr>
          <w:rFonts w:ascii="Arial" w:cs="Arial" w:eastAsia="Arial" w:hAnsi="Arial"/>
          <w:sz w:val="16"/>
          <w:szCs w:val="16"/>
          <w:color w:val="auto"/>
        </w:rPr>
        <w:t>Total net revenue of $1,196.2 million for fiscal year 2016 increased $133.7 million, or 12.6%, from $1,062.5 million for fiscal year 2015. This increase was driven approximately 50% by new stores, approximately 45% by comparable store sales growth and approximately 5% by increased AC Lens order volume paired with a decrease in recognized deferred revenue.</w:t>
      </w:r>
    </w:p>
    <w:p>
      <w:pPr>
        <w:spacing w:after="0" w:line="49" w:lineRule="exact"/>
        <w:rPr>
          <w:sz w:val="20"/>
          <w:szCs w:val="20"/>
          <w:color w:val="auto"/>
        </w:rPr>
      </w:pPr>
    </w:p>
    <w:p>
      <w:pPr>
        <w:ind w:left="1" w:firstLine="347"/>
        <w:spacing w:after="0" w:line="296" w:lineRule="auto"/>
        <w:rPr>
          <w:sz w:val="20"/>
          <w:szCs w:val="20"/>
          <w:color w:val="auto"/>
        </w:rPr>
      </w:pPr>
      <w:r>
        <w:rPr>
          <w:rFonts w:ascii="Arial" w:cs="Arial" w:eastAsia="Arial" w:hAnsi="Arial"/>
          <w:sz w:val="15"/>
          <w:szCs w:val="15"/>
          <w:color w:val="auto"/>
        </w:rPr>
        <w:t>During fiscal year 2016, we opened 86 new stores, including 69 new America’s Best stores, nine new Eyeglass World stores and eight new Vista Optical locations on military bases. Overall, store count grew 9.9% (net of one America’s Best store closure in fiscal year 2016) from the end of fiscal year 2015 to the end of fiscal year 2016. Secondarily, adjusted comparable store sales growth of 6.1% contributed to our sales growth. Overall comparable store sales growth is driven primarily by comparable store sales growth in newer stores (store opened between 13 months to five years) compared to mature stores (stores opened longer than five years), as well as other factors impacting retail foot traffic such as advertising and expansion of our participation in managed care programs. Net revenue for our owned &amp; host segment grew $130.1 million, or 17.1%, impacted by new stores and comparable store sales growth as previously described. Within our owned &amp; host segment, net revenue from our Vista Optical locations in Fred Meyer stores declined $0.3 million, or 2.2%, as a result of lower overall customer transaction volume. Net revenue for our legacy segment decreased by $2.8 million, or 1.8%, driven by customer transaction volume. Other net revenue activities increased $4.4 million, or 2.7%, driven by unit growth in our wholesale order fulfillment business, partially offset by contractual rate concessions.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color w:val="auto"/>
        </w:rPr>
        <w:t>Net product sales increased $110.5 million, or 12.7%, compared to fiscal year 2015, driven primarily by strong eyeglass sales. Net sales of services and plans increased $23.2 million, or 12.1%, driven primarily by strong eye exam and Eyecare Club sales in our owned &amp; host segment. The eye exam increase was driven primarily by our expanding participation in managed care programs. The increase in Eyecare Club sales was driven by increased sales in our America's Best brand.</w:t>
      </w:r>
    </w:p>
    <w:p>
      <w:pPr>
        <w:spacing w:after="0" w:line="55"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Reconciliations includes increases in deferred revenue of $9.6 million (12.3%) and $13.7 million (21.3%), and increases in unearned revenue of $4.5 million (21.5%) and $2.4 million (13.1%) for fiscal year 2016 and fiscal year 2015, respectively. The 2014 purchase accounting adjustment contributed to the increases in deferred revenue by $3.0 million and $7.4 million for fiscal year 2016 and fiscal year 2015, respectively, resulting in larger increases in deferred revenue compared to corresponding periods. Absent the impact of the KKR Acquisition, increases in deferred revenue for each respective period is consistent with our growth in overall net sales of services and plans. The increases in unearned revenue were the result of overall increases in cash basis sales of prescription eyewear in our stores the last week of fiscal year 2016 compared to the last week of fiscal year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Costs applicable to revenue of $544.8 million for fiscal year 2016 increased $53.7 million, or 10.9%, from $491.1 million for fiscal year 2015. We analyze the costs applicable to revenue as a percentage of net revenue.</w:t>
      </w:r>
    </w:p>
    <w:p>
      <w:pPr>
        <w:spacing w:after="0" w:line="54"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As a percentage of net revenue, costs applicable to revenue improved from 46.2% for fiscal year 2015 to 45.5% for fiscal year 2016. Costs of products as a percentage of net product sales improved from 40.7% for fiscal year 2015 to 39.8% for fiscal year 2016, primarily driven by favorable product mix. During fiscal year 2016 compared to the prior year, we sold a higher mix of eyeglasses, which generate higher product margin, compared to other product categories. Over the past few years, we have invested in new technology in our optical laboratories equipment, improving capacity and efficiency. Additionally, increased sales resulting from new stores and comparable store sales growth drove improved utilization of capacity and scale improvements in our optical laboratories.</w:t>
      </w:r>
    </w:p>
    <w:p>
      <w:pPr>
        <w:spacing w:after="0" w:line="76"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In the owned &amp; host segment, costs of products as a percentage of net product sales was 29.0% for both fiscal years 2015 and 2016. In the legacy segment, costs of products as a percentage of net product sales improved from 47.7% for fiscal year 2015 to 46.4% for fiscal year 2016, driven primarily by favorable eyeglass product mix.</w:t>
      </w:r>
    </w:p>
    <w:p>
      <w:pPr>
        <w:spacing w:after="0" w:line="68" w:lineRule="exact"/>
        <w:rPr>
          <w:sz w:val="20"/>
          <w:szCs w:val="20"/>
          <w:color w:val="auto"/>
        </w:rPr>
      </w:pPr>
    </w:p>
    <w:p>
      <w:pPr>
        <w:jc w:val="both"/>
        <w:ind w:right="420" w:firstLine="347"/>
        <w:spacing w:after="0" w:line="271" w:lineRule="auto"/>
        <w:rPr>
          <w:sz w:val="20"/>
          <w:szCs w:val="20"/>
          <w:color w:val="auto"/>
        </w:rPr>
      </w:pPr>
      <w:r>
        <w:rPr>
          <w:rFonts w:ascii="Arial" w:cs="Arial" w:eastAsia="Arial" w:hAnsi="Arial"/>
          <w:sz w:val="17"/>
          <w:szCs w:val="17"/>
          <w:color w:val="auto"/>
        </w:rPr>
        <w:t>Costs of services and plans as a percentage of net sales of services and plans increased from 71.4% for fiscal year 2015 to 71.7% for fiscal year 2016. The increase was primarily driven by higher optometrist costs in our legacy segment and warranty expense, partially offset by favorable HMO claims expense.</w:t>
      </w:r>
    </w:p>
    <w:p>
      <w:pPr>
        <w:spacing w:after="0" w:line="68"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improved from 81.6% for fiscal year 2015 to 80.6% for fiscal year 2016, driven primarily by favorable optometrist wages, partially offset by unfavorable warranty expense and optometrist health care costs. In the legacy segment, costs of services and plans as a percentage of net sales of services and plans increased from 21.2% for fiscal year 2015 to 23.7% for fiscal year 2016 driven primarily by fixed optometrist labor costs with declining revenue.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40" w:firstLine="347"/>
        <w:spacing w:after="0" w:line="299" w:lineRule="auto"/>
        <w:rPr>
          <w:sz w:val="20"/>
          <w:szCs w:val="20"/>
          <w:color w:val="auto"/>
        </w:rPr>
      </w:pPr>
      <w:r>
        <w:rPr>
          <w:rFonts w:ascii="Arial" w:cs="Arial" w:eastAsia="Arial" w:hAnsi="Arial"/>
          <w:sz w:val="15"/>
          <w:szCs w:val="15"/>
          <w:color w:val="auto"/>
        </w:rPr>
        <w:t>SG&amp;A of $524.2 million for fiscal year 2016 increased $50.2 million, or 10.6%, from fiscal year 2015. As a percentage of net revenue, SG&amp;A improved from 44.6% for fiscal year 2015 to 43.8% for fiscal year 2016 driven primarily by a $3.4 million expense incurred in fiscal year 2015 related to our agreement with the Boys and Girls Clubs of America and associated cash contributions promised over a three-year period. Stock option compensation expense and corporate performance-based incentive compensation also contributed to favorability as a percentage of net revenue. We recorded lower stock option compensation expense in fiscal year 2016 when compared to fiscal year 2015 as a result of declining amortization of grant date fair value due to the use of graded vesting (i.e. accelerated method). We incurred lower performance-based incentive compensation expense in fiscal year 2016 compared to fiscal year 2015. Unfavorable store associate wage pressure in fiscal year 2016 partially offset the favorable variances.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320" w:firstLine="347"/>
        <w:spacing w:after="0" w:line="271" w:lineRule="auto"/>
        <w:rPr>
          <w:sz w:val="20"/>
          <w:szCs w:val="20"/>
          <w:color w:val="auto"/>
        </w:rPr>
      </w:pPr>
      <w:r>
        <w:rPr>
          <w:rFonts w:ascii="Arial" w:cs="Arial" w:eastAsia="Arial" w:hAnsi="Arial"/>
          <w:sz w:val="17"/>
          <w:szCs w:val="17"/>
          <w:color w:val="auto"/>
        </w:rPr>
        <w:t>In the owned &amp; host segment, SG&amp;A as a percentage of net revenue was 38.7% for both fiscal years 2015 and 2016. In the legacy segment, SG&amp;A as a percentage of net revenue increased from 34.1% for fiscal year 2015 to 34.8% for fiscal year 2016 driven primarily by fixed store associate labor costs paired with declining revenue.</w:t>
      </w:r>
    </w:p>
    <w:p>
      <w:pPr>
        <w:spacing w:after="0" w:line="68"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During fiscal year 2015 and 2014, in order to support the growth in our business, we invested in headcount and related infrastructure at our corporate resource center driving higher SG&amp;A costs as a percentage of net revenue compared to the previous year. This investment relative to net revenue growth subsided in fiscal year 2016.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Depreciation and amortization expense of $52.0 million for fiscal year 2016 increased $7.9 million, or 18.0%, from $44.1 million for fiscal year 2015. The increase is substantially reflective of depreciation resulting from new store openings, purchases of new information technology infrastructure, optical laboratories equipment and our expanded distribution center. Our property and equipment balance increased $49.2 million on a net basis from 2015 to 2016, reflective of $94.0 million in purchases of property and equipment, less $42.8 million in depreciation expense, less $2.0 million in impairment and other adjustments.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right="120" w:firstLine="347"/>
        <w:spacing w:after="0" w:line="262" w:lineRule="auto"/>
        <w:rPr>
          <w:sz w:val="20"/>
          <w:szCs w:val="20"/>
          <w:color w:val="auto"/>
        </w:rPr>
      </w:pPr>
      <w:r>
        <w:rPr>
          <w:rFonts w:ascii="Arial" w:cs="Arial" w:eastAsia="Arial" w:hAnsi="Arial"/>
          <w:sz w:val="17"/>
          <w:szCs w:val="17"/>
          <w:color w:val="auto"/>
        </w:rPr>
        <w:t>Impairment expenses of $7.1 million were recorded for fiscal year 2016 compared to $7.7 million for fiscal year 2015. See “―Critical Accounting Policies and Estimates” below for details regarding specific testing performed on various long-lived assets. The majority of the impairment charges are associated with our AC Lens business, primarily as a result of competitive pressure in the e-commerce contact lens business. We recorded impairment charges of $5.8 million related to AC Lens for fiscal year 2016. Impairment charges of $1.2 million related to our retail store long-lived assets were recorded for fiscal year 2016, resulting from decreased cash flow projections at individual stores.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Interest expense, net, of $39.1 million for fiscal year 2016 increased $2.4 million, or 6.4%, from $36.7 million for fiscal year 2015. On June 1, 2015, we declared a recapitalization dividend to our stockholders. The dividend was funded with $150.0 million of incremental term loans under our first lien credit agreement. The borrowing rate was consistent with the initial term loans under the first lien credit agreement. Therefore, the increase in interest expense, net, is primarily the result of the additional principal outstanding under the first lien credit agreement for the entire fiscal year 2016, compared to fiscal year 2015, where the additional principal was only outstanding from June 1, 2015 to January 2,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We recorded $2.6 million in fees associated with the incurrence of additional term loans under the first lien credit agreement discussed above during fiscal year 2015. No such transaction occurred in fiscal year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The ETR for fiscal year 2016 was 45.9%. The ETR for fiscal year 2015 was 32.8%. During fiscal year 2016 our income tax provision differed from the statutory rate as a result of $1.0 million valuation allowance for deferred income tax assets recorded in association with cumulative losses on our equity method investment, and $1.0 million income tax impact of non-deductible permanent items in the normal course of business, offset by $0.5 million in federal employment credits. During fiscal year 2015, our income tax provision differed from the statutory rate primarily as a result of decreases in deferred tax asset valuation allowances and Federal employment credits, providing income tax benefits of $0.5 million and $0.2 million, respectively, offset by the impact to the provision of $0.3 million related to non-deductible items.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7" w:name="page88"/>
    <w:bookmarkEnd w:id="8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right="120"/>
        <w:spacing w:after="0" w:line="278" w:lineRule="auto"/>
        <w:rPr>
          <w:sz w:val="20"/>
          <w:szCs w:val="20"/>
          <w:color w:val="auto"/>
        </w:rPr>
      </w:pPr>
      <w:r>
        <w:rPr>
          <w:rFonts w:ascii="Arial" w:cs="Arial" w:eastAsia="Arial" w:hAnsi="Arial"/>
          <w:sz w:val="17"/>
          <w:szCs w:val="17"/>
          <w:b w:val="1"/>
          <w:bCs w:val="1"/>
          <w:color w:val="auto"/>
        </w:rPr>
        <w:t>Fiscal Year 2015 Compared to the Periods March 13, 2014 to January 3, 2015 (Successor) and December 29, 2013 to March 12, 2014 (Predecessor)</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300" w:firstLine="347"/>
        <w:spacing w:after="0" w:line="287" w:lineRule="auto"/>
        <w:rPr>
          <w:sz w:val="20"/>
          <w:szCs w:val="20"/>
          <w:color w:val="auto"/>
        </w:rPr>
      </w:pPr>
      <w:r>
        <w:rPr>
          <w:rFonts w:ascii="Arial" w:cs="Arial" w:eastAsia="Arial" w:hAnsi="Arial"/>
          <w:sz w:val="17"/>
          <w:szCs w:val="17"/>
          <w:color w:val="auto"/>
        </w:rPr>
        <w:t>The following presents by segment and brand comparable store sales growth, stores opened at the end of the period and net revenue for fiscal year 2015 compared to full year 2014.</w:t>
      </w:r>
    </w:p>
    <w:tbl>
      <w:tblPr>
        <w:tblLayout w:type="fixed"/>
        <w:tblInd w:w="1" w:type="dxa"/>
        <w:tblCellMar>
          <w:top w:w="0" w:type="dxa"/>
          <w:left w:w="0" w:type="dxa"/>
          <w:bottom w:w="0" w:type="dxa"/>
          <w:right w:w="0" w:type="dxa"/>
        </w:tblCellMar>
      </w:tblPr>
      <w:tr>
        <w:trPr>
          <w:trHeight w:val="160"/>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w w:val="99"/>
              </w:rPr>
              <w:t>Comparable store</w:t>
            </w:r>
          </w:p>
        </w:tc>
        <w:tc>
          <w:tcPr>
            <w:tcW w:w="180" w:type="dxa"/>
            <w:vAlign w:val="bottom"/>
          </w:tcPr>
          <w:p>
            <w:pPr>
              <w:spacing w:after="0"/>
              <w:rPr>
                <w:sz w:val="13"/>
                <w:szCs w:val="13"/>
                <w:color w:val="auto"/>
              </w:rPr>
            </w:pPr>
          </w:p>
        </w:tc>
        <w:tc>
          <w:tcPr>
            <w:tcW w:w="138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w w:val="96"/>
              </w:rPr>
              <w:t>Stores open at end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auto"/>
            </w:tcBorders>
            <w:gridSpan w:val="3"/>
          </w:tcPr>
          <w:p>
            <w:pPr>
              <w:ind w:left="240"/>
              <w:spacing w:after="0" w:line="181"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5"/>
                <w:szCs w:val="15"/>
                <w:color w:val="auto"/>
              </w:rPr>
            </w:pPr>
          </w:p>
        </w:tc>
        <w:tc>
          <w:tcPr>
            <w:tcW w:w="19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84"/>
              </w:rPr>
              <w:t>Net revenue</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Full</w:t>
            </w: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Full</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 except</w:t>
            </w:r>
          </w:p>
        </w:tc>
        <w:tc>
          <w:tcPr>
            <w:tcW w:w="5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Full Year 2014</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5"/>
                <w:szCs w:val="15"/>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7"/>
              </w:rPr>
              <w:t>2014</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7"/>
              </w:rPr>
              <w:t>2014</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Fiscal Year 2015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8"/>
        </w:trPr>
        <w:tc>
          <w:tcPr>
            <w:tcW w:w="2700" w:type="dxa"/>
            <w:vAlign w:val="bottom"/>
            <w:gridSpan w:val="2"/>
          </w:tcPr>
          <w:p>
            <w:pPr>
              <w:spacing w:after="0"/>
              <w:rPr>
                <w:sz w:val="20"/>
                <w:szCs w:val="20"/>
                <w:color w:val="auto"/>
              </w:rPr>
            </w:pPr>
            <w:r>
              <w:rPr>
                <w:rFonts w:ascii="Arial" w:cs="Arial" w:eastAsia="Arial" w:hAnsi="Arial"/>
                <w:sz w:val="17"/>
                <w:szCs w:val="17"/>
                <w:color w:val="auto"/>
              </w:rPr>
              <w:t>America’s Best</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11.4%</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9.5%</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461</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407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601,241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$ 506,361</w:t>
            </w:r>
          </w:p>
        </w:tc>
        <w:tc>
          <w:tcPr>
            <w:tcW w:w="6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41"/>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9.1%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117,919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105,461</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8"/>
        </w:trPr>
        <w:tc>
          <w:tcPr>
            <w:tcW w:w="2700" w:type="dxa"/>
            <w:vAlign w:val="bottom"/>
            <w:gridSpan w:val="2"/>
          </w:tcPr>
          <w:p>
            <w:pPr>
              <w:spacing w:after="0"/>
              <w:rPr>
                <w:sz w:val="20"/>
                <w:szCs w:val="20"/>
                <w:color w:val="auto"/>
              </w:rPr>
            </w:pPr>
            <w:r>
              <w:rPr>
                <w:rFonts w:ascii="Arial" w:cs="Arial" w:eastAsia="Arial" w:hAnsi="Arial"/>
                <w:sz w:val="17"/>
                <w:szCs w:val="17"/>
                <w:color w:val="auto"/>
              </w:rPr>
              <w:t>Military</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0.7%</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680" w:type="dxa"/>
            <w:vAlign w:val="bottom"/>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25,288</w:t>
            </w: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25,486</w:t>
            </w: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4"/>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Fred Meyer</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14,877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14,979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Owned &amp; host segment total</w:t>
            </w:r>
          </w:p>
        </w:tc>
        <w:tc>
          <w:tcPr>
            <w:tcW w:w="10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759,325</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$ 652,287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41"/>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155,013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152,057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1"/>
        </w:trPr>
        <w:tc>
          <w:tcPr>
            <w:tcW w:w="2700" w:type="dxa"/>
            <w:vAlign w:val="bottom"/>
            <w:gridSpan w:val="2"/>
          </w:tcPr>
          <w:p>
            <w:pPr>
              <w:spacing w:after="0"/>
              <w:rPr>
                <w:sz w:val="20"/>
                <w:szCs w:val="20"/>
                <w:color w:val="auto"/>
              </w:rPr>
            </w:pPr>
            <w:r>
              <w:rPr>
                <w:rFonts w:ascii="Arial" w:cs="Arial" w:eastAsia="Arial" w:hAnsi="Arial"/>
                <w:sz w:val="17"/>
                <w:szCs w:val="17"/>
                <w:b w:val="1"/>
                <w:bCs w:val="1"/>
                <w:color w:val="auto"/>
              </w:rPr>
              <w:t>Corporate/Other</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164,262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156,953</w:t>
            </w: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2"/>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(28,600)</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CCEEFF"/>
            </w:tcBorders>
          </w:tcPr>
          <w:p>
            <w:pPr>
              <w:jc w:val="right"/>
              <w:ind w:right="53"/>
              <w:spacing w:after="0"/>
              <w:rPr>
                <w:sz w:val="20"/>
                <w:szCs w:val="20"/>
                <w:color w:val="auto"/>
              </w:rPr>
            </w:pPr>
            <w:r>
              <w:rPr>
                <w:rFonts w:ascii="Arial" w:cs="Arial" w:eastAsia="Arial" w:hAnsi="Arial"/>
                <w:sz w:val="17"/>
                <w:szCs w:val="17"/>
                <w:color w:val="auto"/>
              </w:rPr>
              <w:t>11.3%</w:t>
            </w:r>
          </w:p>
        </w:tc>
        <w:tc>
          <w:tcPr>
            <w:tcW w:w="720" w:type="dxa"/>
            <w:vAlign w:val="bottom"/>
            <w:tcBorders>
              <w:top w:val="single" w:sz="8" w:color="CCEEFF"/>
            </w:tcBorders>
          </w:tcPr>
          <w:p>
            <w:pPr>
              <w:jc w:val="right"/>
              <w:ind w:right="33"/>
              <w:spacing w:after="0"/>
              <w:rPr>
                <w:sz w:val="20"/>
                <w:szCs w:val="20"/>
                <w:color w:val="auto"/>
              </w:rPr>
            </w:pPr>
            <w:r>
              <w:rPr>
                <w:rFonts w:ascii="Arial" w:cs="Arial" w:eastAsia="Arial" w:hAnsi="Arial"/>
                <w:sz w:val="17"/>
                <w:szCs w:val="17"/>
                <w:color w:val="auto"/>
              </w:rPr>
              <w:t>3.7%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1,062,528</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$ 932,697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8"/>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45"/>
        </w:trPr>
        <w:tc>
          <w:tcPr>
            <w:tcW w:w="2700" w:type="dxa"/>
            <w:vAlign w:val="bottom"/>
            <w:gridSpan w:val="2"/>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(3)</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7.5%</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99" w:lineRule="exact"/>
        <w:rPr>
          <w:sz w:val="20"/>
          <w:szCs w:val="20"/>
          <w:color w:val="auto"/>
        </w:rPr>
      </w:pPr>
    </w:p>
    <w:p>
      <w:pPr>
        <w:jc w:val="both"/>
        <w:ind w:left="341" w:right="40" w:hanging="341"/>
        <w:spacing w:after="0" w:line="245" w:lineRule="auto"/>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right="120" w:hanging="341"/>
        <w:spacing w:after="0" w:line="266"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the combined results of the Predecessor and the Successor periods for full year 2014. This combination (excluding comparable store sales figures) was performed by mathematical addition and is not a presentation made in accordance with GAAP. However, we believe it provides a meaningful method of comparison of net revenues for fiscal year 2015 to full year 2014. Revenue accounts were not impacted by the KKR Acquisition, except for the impact of an unfavorable purchase accounting adjustment to deferred revenue of $25.5 million discussed above.</w:t>
      </w:r>
    </w:p>
    <w:p>
      <w:pPr>
        <w:spacing w:after="0" w:line="67" w:lineRule="exact"/>
        <w:rPr>
          <w:rFonts w:ascii="Arial" w:cs="Arial" w:eastAsia="Arial" w:hAnsi="Arial"/>
          <w:sz w:val="13"/>
          <w:szCs w:val="13"/>
          <w:color w:val="auto"/>
        </w:rPr>
      </w:pPr>
    </w:p>
    <w:p>
      <w:pPr>
        <w:ind w:left="341" w:right="80" w:hanging="341"/>
        <w:spacing w:after="0" w:line="260"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includes the effect of deferred and unearned revenue as if such sales were earned at the point of sale, resulting in a decrease of 0.4% for fiscal year 2015 and an increase of 0.4% for full year 2014, respectively, from total comparable store sales growth based on consolidated net revenue and (ii) adjusted comparable store sales growth includes retail sales to the legacy partner’s customers (rather than the revenues recognized consistent with the management and services agreement), resulting in a decrease of 2.0% for fiscal year 2015 and an increase of 3.4% for full year 2014, respectively, from total comparable store sales growth based on consolidated net revenue.</w:t>
      </w:r>
    </w:p>
    <w:p>
      <w:pPr>
        <w:spacing w:after="0" w:line="64" w:lineRule="exact"/>
        <w:rPr>
          <w:sz w:val="20"/>
          <w:szCs w:val="20"/>
          <w:color w:val="auto"/>
        </w:rPr>
      </w:pPr>
    </w:p>
    <w:p>
      <w:pPr>
        <w:jc w:val="both"/>
        <w:ind w:left="1" w:right="80" w:firstLine="347"/>
        <w:spacing w:after="0" w:line="284" w:lineRule="auto"/>
        <w:rPr>
          <w:sz w:val="20"/>
          <w:szCs w:val="20"/>
          <w:color w:val="auto"/>
        </w:rPr>
      </w:pPr>
      <w:r>
        <w:rPr>
          <w:rFonts w:ascii="Arial" w:cs="Arial" w:eastAsia="Arial" w:hAnsi="Arial"/>
          <w:sz w:val="16"/>
          <w:szCs w:val="16"/>
          <w:color w:val="auto"/>
        </w:rPr>
        <w:t>Total net revenue of $1,062.5 million for fiscal year 2015 increased $129.8 million, or 13.9% from $932.7 million for full year 2014, including $735.7 million in the Successor period ended January 3, 2015 and $197.0 million for the Predecessor period ended March 12, 2014. This increase was driven approximately 60% by comparable store sales growth, approximately 40% by new stores and approximately 15% by increased AC Lens order volume paired with a decrease in recognized deferred revenue, partially offset by approximately 15% negative impact from the additional week in full year 2014, a 53-week fiscal year.</w:t>
      </w:r>
    </w:p>
    <w:p>
      <w:pPr>
        <w:spacing w:after="0" w:line="59" w:lineRule="exact"/>
        <w:rPr>
          <w:sz w:val="20"/>
          <w:szCs w:val="20"/>
          <w:color w:val="auto"/>
        </w:rPr>
      </w:pPr>
    </w:p>
    <w:p>
      <w:pPr>
        <w:ind w:left="1" w:right="140" w:firstLine="347"/>
        <w:spacing w:after="0" w:line="278" w:lineRule="auto"/>
        <w:rPr>
          <w:sz w:val="20"/>
          <w:szCs w:val="20"/>
          <w:color w:val="auto"/>
        </w:rPr>
      </w:pPr>
      <w:r>
        <w:rPr>
          <w:rFonts w:ascii="Arial" w:cs="Arial" w:eastAsia="Arial" w:hAnsi="Arial"/>
          <w:sz w:val="16"/>
          <w:szCs w:val="16"/>
          <w:color w:val="auto"/>
        </w:rPr>
        <w:t>The increase in total net revenue from full year 2014 to fiscal year 2015 was primarily driven by comparable store sales growth. Adjusted comparable store sales were 8.9% for fiscal year 2015. Also contributing to net revenue growth was new store openings in our owned brands. During fiscal year 2015, we opened 70 new stores, including 56 new America’s Best stores and 14 new Eyeglass World stores. Overall store count grew 8.3% (net of four closures of stores opened in previous years, including closures of two America’s Best stores, one Vista Optical location within a Fred Meyer store and one in Other) from the end of the 2014 Successor period to the end of fiscal year 2015. The additional week in the 53-week full year 2014 generated incremental net revenue of approximately $17.0 million, while fiscal year 2015 consisted of 52 weeks. Net revenue for our owned &amp; host segment grew $107.0 million, or 16.4%, impacted by new stores and comparable store sales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previously described. Net revenue for our legacy segment increased by $3.0 million, or 1.9%, driven primarily by transaction volume. Other net revenue activities increased $7.3 million, or 4.7%, primarily impacted by increased activity in our e-commerce and order fulfillment businesses.</w:t>
      </w:r>
    </w:p>
    <w:p>
      <w:pPr>
        <w:spacing w:after="0" w:line="68"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$108.6 million, or 14.3%, increase in net product sales, compared to full year 2014, was primarily driven by strong eyeglass sales. Net sales of services and plans increased $21.2 million, or 12.4%, compared to full year 2014, driven primarily by strong Eyecare Club and eye exam sales in our owned &amp; host segment.</w:t>
      </w:r>
    </w:p>
    <w:p>
      <w:pPr>
        <w:spacing w:after="0" w:line="68"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For fiscal year 2015, reconciliations includes increases in deferred revenue of $13.7 million (21.3%), consistent with increases in overall cash basis sales of product protection plans and club memberships, which is consistent with our growth in overall net sales of services and plans. Our full year 2014 deferred revenue was adjusted to fair value in the application of purchase accounting, resulting in a reduction of the carrying value of deferred revenue of approximately $25.5 million on the date of the KKR Acquisition. Exclusive of the KKR Acquisition adjustment, our deferred revenue balances grew during both the 2014 Successor period and the 2014 Predecessor period by $17.2 million and $3.9 million, respectively. For fiscal year 2015, reconciliations includes increases in unearned revenue of $2.4 million (13.1%). The increase in unearned revenue was the result of overall increases in cash basis sales of prescription eyewear in our stores the last week of fiscal year 2015 compared to the last week of the 2014 Successor period. Unearned revenue reported at the end of each of the 2014 Predecessor period and the 2014 Successor period was not impacted by the KKR Acquisition, and increased $556,000 and $6.9 million during the 2014 Successor period and the 2014 Predecessor period, respectively, primarily as a result of seasonal differences associated with the timing of period-ends relative to the date of the KKR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Costs applicable to revenue were $491.1 million for fiscal year 2015 compared to $366.5 million for the Successor period ended January 3, 2015 and $93.2 million for the Predecessor period ended March 12, 2014. As a percentage of net revenue, costs applicable to revenue improved from 49.8% in the 2014 Successor period and 47.3% for the 2014 Predecessor period to 46.2% for fiscal year 2015. Costs of products as a percentage of net product sales improved from 44.2% and 42.7% for the Successor period ended January 3, 2015 and the Predecessor period ended March 12, 2014, respectively, to 40.7% for fiscal year 2015. Compared to both the Successor and Predecessor periods, the improvement in fiscal year 2015 was driven primarily by favorable product cost and, to a lesser extent, favorable product mix. Favorable product cost was driven primarily by eyeglasses versus the 2014 Successor period and contact lenses and eyeglasses versus the 2014 Predecessor period. Compared to both the 2014 Successor and Predecessor periods, fiscal year 2015 favorable product mix was driven by a lower mix of sales of inventory to Walmart and Sam’s Club.</w:t>
      </w:r>
    </w:p>
    <w:p>
      <w:pPr>
        <w:spacing w:after="0" w:line="54" w:lineRule="exact"/>
        <w:rPr>
          <w:sz w:val="20"/>
          <w:szCs w:val="20"/>
          <w:color w:val="auto"/>
        </w:rPr>
      </w:pPr>
    </w:p>
    <w:p>
      <w:pPr>
        <w:ind w:right="120" w:firstLine="347"/>
        <w:spacing w:after="0" w:line="293" w:lineRule="auto"/>
        <w:rPr>
          <w:sz w:val="20"/>
          <w:szCs w:val="20"/>
          <w:color w:val="auto"/>
        </w:rPr>
      </w:pPr>
      <w:r>
        <w:rPr>
          <w:rFonts w:ascii="Arial" w:cs="Arial" w:eastAsia="Arial" w:hAnsi="Arial"/>
          <w:sz w:val="15"/>
          <w:szCs w:val="15"/>
          <w:color w:val="auto"/>
        </w:rPr>
        <w:t>In the owned &amp; host segment, costs of products as a percentage of net product sales improved from 30.3% and 29.6% for the 2014 Successor period and the 2014 Predecessor period, respectively, to 29.0% for fiscal year 2015. Compared to the 2014 Successor period, the improvement was driven primarily by favorable eyeglass cost. Compared to the 2014 Predecessor period, the improvement was driven primarily by favorable contact lens cost. In the legacy segment, costs of products as a percentage of net product sales improved from 49.5% and 50.5% for the 2014 Successor period and the 2014 Predecessor period, respectively, to</w:t>
      </w:r>
    </w:p>
    <w:p>
      <w:pPr>
        <w:spacing w:after="0" w:line="2"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47.7% for fiscal year 2015. Compared to both the 2014 Successor period and the 2014 Predecessor period, the improvement for fiscal year 2015 was driven primarily by favorable contact lens cost. Additionally, eyeglass product cost was favorable when comparing the 2014 Predecessor period to fiscal year 2015.</w:t>
      </w:r>
    </w:p>
    <w:p>
      <w:pPr>
        <w:spacing w:after="0" w:line="73" w:lineRule="exact"/>
        <w:rPr>
          <w:sz w:val="20"/>
          <w:szCs w:val="20"/>
          <w:color w:val="auto"/>
        </w:rPr>
      </w:pPr>
    </w:p>
    <w:p>
      <w:pPr>
        <w:ind w:right="100" w:firstLine="347"/>
        <w:spacing w:after="0" w:line="260" w:lineRule="auto"/>
        <w:rPr>
          <w:sz w:val="20"/>
          <w:szCs w:val="20"/>
          <w:color w:val="auto"/>
        </w:rPr>
      </w:pPr>
      <w:r>
        <w:rPr>
          <w:rFonts w:ascii="Arial" w:cs="Arial" w:eastAsia="Arial" w:hAnsi="Arial"/>
          <w:sz w:val="17"/>
          <w:szCs w:val="17"/>
          <w:color w:val="auto"/>
        </w:rPr>
        <w:t>Costs of services and plans as a percentage of net sales of services and plans improved from 75.3% for the 2014 Successor period to 71.4% for fiscal year 2015 driven primarily by seasonality of optometrist payroll and benefits and, to a lesser extent, favorable warranty expense mix. Our optometrist payroll and benefits typically have a lower cost as a percentage of net sales and services in the first quarter of the year when our sales are highest. The 2014 Successor period did not include the benefit of the first two and a half months of the year while fiscal year 2015 results did include that benefit. As such, fiscal year 2015 costs of services and plans as a percentage of net sales of services and plans were lower. Costs of services and plans as a percentage of net sales of services and plans increased from 66.5% for the 2014 Predecessor period to 71.4% for fiscal year 2015 driven primarily by seasonality of optometrist payroll and benefits.</w:t>
      </w:r>
    </w:p>
    <w:p>
      <w:pPr>
        <w:spacing w:after="0" w:line="79"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was 84.2% for the 2014 Successor period and 73.4% for the 2014 Predecessor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compared to 81.6% for fiscal year 2015. The improvement in comparison to the 2014 Successor period and the increase in comparison to the 2014 Predecessor period were both driven primarily by seasonality of optometrist payroll and benefits. To a lesser extent, warranty expense mix was favorable for the 2015 fiscal year compared to the 2014 Successor period. In the legacy segment, costs of services and plans as a percentage of net sales of services and plans improved from 21.4% and 21.9% for the 2014 Successor period and the 2014 Predecessor period, respectively, to 21.2% for fiscal year 2015 driven primarily by favorable warranty expense mix.</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firstLine="347"/>
        <w:spacing w:after="0" w:line="294" w:lineRule="auto"/>
        <w:rPr>
          <w:sz w:val="20"/>
          <w:szCs w:val="20"/>
          <w:color w:val="auto"/>
        </w:rPr>
      </w:pPr>
      <w:r>
        <w:rPr>
          <w:rFonts w:ascii="Arial" w:cs="Arial" w:eastAsia="Arial" w:hAnsi="Arial"/>
          <w:sz w:val="15"/>
          <w:szCs w:val="15"/>
          <w:color w:val="auto"/>
        </w:rPr>
        <w:t>SG&amp;A was $474.1 million for fiscal year 2015 compared to $331.5 million for the Successor period ended January 3, 2015 and $79.1 million for the Predecessor period ended March 12, 2014. As a percentage of net revenue, SG&amp;A was 44.6% for fiscal year 2015 compared to 45.1% for the Successor period ended January 3, 2015 and 40.2% for the Predecessor period ended March 12, 2014. The improvement in SG&amp;A as a percentage of net revenue between the Successor period and fiscal year 2015 was driven primarily by seasonality of our store associate (including optician) payroll and benefits and favorable stock-based compensation expense, partially offset by unfavorable advertising expense. Similar to the optometrist payroll and benefits seasonality described above, our store associate (including optician) payroll and benefits typically have a lower cost as a percentage of net sales in the first quarter of the year when our sales dollars are the highest. The 2014 Successor period did not include the benefit of the first two and a half months of the year while fiscal year 2015 results did include that benefit. As such, fiscal year 2015 SG&amp;A as a percentage of net revenue were lower than in the 2014 Successor period. We recorded more stock option compensation expense as a percentage of net revenue in the 2014 Successor period compared to fiscal year 2015 due to the KKR Acquisition. Increased advertising expense as a percentage of net revenue was driven by a general strategic increase in TV and radio advertising as well as incremental costs associated with new advertising campaigns launched in late 2015 for both our America’s Best and Eyeglass World retail brands. The increase in SG&amp;A expense as a percentage of net revenue for fiscal year 2015 compared to the 2014 Predecessor period was driven primarily by seasonality of store associate (including optician) payroll and benefits. To a lesser extent, the increase was driven by corporate performance-based incentive compensation, an increase in fiscal year 2015 advertising spend associated with new advertising campaigns launched in late 2015 for both America’s Best and Eyeglass World brands, unfavorable stock-based compensation expense, and unfavorable rent expense as a result of seasonality.</w:t>
      </w:r>
    </w:p>
    <w:p>
      <w:pPr>
        <w:spacing w:after="0" w:line="267"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In the owned &amp; host segment, SG&amp;A as a percentage of net revenue was 39.1% for the 2014 Successor period and 35.0% for the 2014 Predecessor period compared to 38.7% for fiscal year 2015. The improvement compared to the 2014 Successor period and the increase compared to the 2014 Predecessor period were driven primarily by seasonality of store associate payroll and benefits and rent expense. Additionally, owned &amp; host advertising expense as a percentage of net revenue increased in fiscal year 2015 in comparison to both the 2014 Successor period and the 2014 Predecessor period. In the legacy segment, SG&amp;A as a percentage of net revenue was 34.5% in the 2014 Successor period and 31.2% in the 2014 Predecessor period compared to 34.1% in fiscal year 2015. The improvement compared to the 2014 Successor period was driven primarily by management fees. The increase compared to the 2014 Predecessor period was driven primarily by seasonality of store associate payroll and benefits expense, partially offset by favorable management fees.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Depreciation and amortization expense was $44.1 million for fiscal year 2015 compared to $31.6 million for the Successor period ended January 3, 2015 and $7.3 million for the Predecessor period ended March 12, 2014. The increase is primarily the result of additional depreciation resulting from overall Company growth, including new stores, information technology infrastructure, optical laboratories equipment and our expanded distribution center. New assets are out-pacing retirements by a significant margin and therefore, we expect continued increases in depreciation expense for the foreseeable future as we continue to execute our growth strategy. Our property and equipment balance increased $39.8 million on a net basis from January 3, 2015 to January 2, 2016, reflective of $77.4 million in purchases of property and equipment, less $34.9 million in depreciation expense, less impairment and other adjustments of $2.7 million. In addition, as a result of the KKR Acquisition and the related application of purchase accounting, increases in the values of our amortizing intangible assets resulted in a $1.5 million increase in amortization for fiscal year 2015 when compared to the 2014 Successor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Impairment expenses of $7.7 million were recorded for fiscal year 2015 compared to $4.7 million for the Successor period ended January 3, 2015 and $0 for the Predecessor period ended March 12, 2014. Our annual impairment testing date is the first day of the fourth fiscal quarter, and therefore all impairment charges relating to the full year 2014 were recorded in the Successor period. The majority of the impairment charges are associated with goodwill. A goodwill impairment charge of $4.8 million was recorded related to AC Lens for fiscal year 2015, primarily as a result of competitive pricing pressure in the wholesale fulfillment business. In addition, impairment charges of $2.4 million were recorded at our retail store long-lived assets for fiscal year 2015, resulting from decreased cash flow projections at individual stores. A goodwill impairment charge of $4.2 million was recorded at our Vista Optical within Fred Meyer brand for the 2014 Successor period, primarily as a result of decreases in long-range revenue projections from the date of the KKR Acquisition to the impairment measurement 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Interest expense, net was $36.7 million for fiscal year 2015 compared to $26.8 million for the Successor period ended January 3, 2015 and $4.8 million for the Predecessor period ended March 12, 2014. On June 1, 2015, we declared a recapitalization dividend to our stockholders. The dividend was funded with $150.0 million in incremental term loans under our first lien credit agreement. The weighted average borrowing rate of 4.45% was unchanged as a result of the transaction. Therefore, the net increase in interest expense is the result of the additional principal outstanding under the first lien credit agreement from June 1, 2015 to January 2,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340" w:firstLine="347"/>
        <w:spacing w:after="0" w:line="357" w:lineRule="auto"/>
        <w:rPr>
          <w:sz w:val="20"/>
          <w:szCs w:val="20"/>
          <w:color w:val="auto"/>
        </w:rPr>
      </w:pPr>
      <w:r>
        <w:rPr>
          <w:rFonts w:ascii="Arial" w:cs="Arial" w:eastAsia="Arial" w:hAnsi="Arial"/>
          <w:sz w:val="15"/>
          <w:szCs w:val="15"/>
          <w:color w:val="auto"/>
        </w:rPr>
        <w:t>We recorded $2.6 million in fees associated with the incurrence of the additional term loans under the first lien credit agreement discussed above during fiscal year 2015. No such transaction occurred in the 2014 Successor or Predecessor periods.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117"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ETR for fiscal year 2015 was 32.8%. The ETR was 32.0% for the Successor period ended January 3, 2015 and 39.7% for the Predecessor period ended March 12, 2014. During the Successor period ended January 3, 2015, a non-deductible goodwill impairment of $1.6 million and non-deductible transaction costs of $1.9 million reduced our income tax benefit and therefore, since we were in a pre-tax loss position, our overall ETR was reduced when compared to the Predecessor period ended March 12, 2014. See Note 7 in our consolidated financial statements for further details related to our income tax accounts, including deferred income taxes and other items impacting our income tax rate.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EBITDA and Adjusted EBITDA</w:t>
      </w:r>
    </w:p>
    <w:p>
      <w:pPr>
        <w:spacing w:after="0" w:line="123" w:lineRule="exact"/>
        <w:rPr>
          <w:sz w:val="20"/>
          <w:szCs w:val="20"/>
          <w:color w:val="auto"/>
        </w:rPr>
      </w:pPr>
    </w:p>
    <w:p>
      <w:pPr>
        <w:ind w:right="180" w:firstLine="347"/>
        <w:spacing w:after="0" w:line="312" w:lineRule="auto"/>
        <w:rPr>
          <w:sz w:val="20"/>
          <w:szCs w:val="20"/>
          <w:color w:val="auto"/>
        </w:rPr>
      </w:pPr>
      <w:r>
        <w:rPr>
          <w:rFonts w:ascii="Arial" w:cs="Arial" w:eastAsia="Arial" w:hAnsi="Arial"/>
          <w:sz w:val="15"/>
          <w:szCs w:val="15"/>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w:t>
      </w:r>
    </w:p>
    <w:p>
      <w:pPr>
        <w:spacing w:after="0" w:line="42" w:lineRule="exact"/>
        <w:rPr>
          <w:sz w:val="20"/>
          <w:szCs w:val="20"/>
          <w:color w:val="auto"/>
        </w:rPr>
      </w:pPr>
    </w:p>
    <w:p>
      <w:pPr>
        <w:ind w:right="80" w:firstLine="347"/>
        <w:spacing w:after="0" w:line="278" w:lineRule="auto"/>
        <w:rPr>
          <w:sz w:val="20"/>
          <w:szCs w:val="20"/>
          <w:color w:val="auto"/>
        </w:rPr>
      </w:pPr>
      <w:r>
        <w:rPr>
          <w:rFonts w:ascii="Arial" w:cs="Arial" w:eastAsia="Arial" w:hAnsi="Arial"/>
          <w:sz w:val="16"/>
          <w:szCs w:val="16"/>
          <w:color w:val="auto"/>
        </w:rPr>
        <w:t>EBITDA and Adjusted EBITDA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and Adjusted EBITDA are useful to investors in highlighting trends in our core operating performance, while other measures can differ significantly depending on long-term strategic decisions regarding capital structure, the tax jurisdictions in which companies operate, and capital investments. We also use EBITDA and Adjusted EBITDA to supplement GAAP measures of performance in the evaluation of the effectiveness of our business strategies; to make budgeting decisions; to establish discretionary annual incentive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1" w:name="page92"/>
    <w:bookmarkEnd w:id="91"/>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340"/>
        <w:spacing w:after="0" w:line="271" w:lineRule="auto"/>
        <w:rPr>
          <w:sz w:val="20"/>
          <w:szCs w:val="20"/>
          <w:color w:val="auto"/>
        </w:rPr>
      </w:pPr>
      <w:r>
        <w:rPr>
          <w:rFonts w:ascii="Arial" w:cs="Arial" w:eastAsia="Arial" w:hAnsi="Arial"/>
          <w:sz w:val="17"/>
          <w:szCs w:val="17"/>
          <w:color w:val="auto"/>
        </w:rPr>
        <w:t>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8" w:lineRule="exact"/>
        <w:rPr>
          <w:sz w:val="20"/>
          <w:szCs w:val="20"/>
          <w:color w:val="auto"/>
        </w:rPr>
      </w:pPr>
    </w:p>
    <w:p>
      <w:pPr>
        <w:ind w:left="1" w:right="40" w:firstLine="347"/>
        <w:spacing w:after="0" w:line="260" w:lineRule="auto"/>
        <w:rPr>
          <w:sz w:val="20"/>
          <w:szCs w:val="20"/>
          <w:color w:val="auto"/>
        </w:rPr>
      </w:pPr>
      <w:r>
        <w:rPr>
          <w:rFonts w:ascii="Arial" w:cs="Arial" w:eastAsia="Arial" w:hAnsi="Arial"/>
          <w:sz w:val="17"/>
          <w:szCs w:val="17"/>
          <w:color w:val="auto"/>
        </w:rPr>
        <w:t>You are encouraged to evaluate these adjustments and the reasons we consider them appropriate for supplemental analysis. In evaluating EBITDA and Adjusted EBITDA, you should be aware that in the future we may incur expenses that are the same as or similar to some of the adjustments in our presentation of EBITDA and Adjusted EBITDA. There can be no assurance that we will not modify the presentation of EBITDA and Adjusted EBITDA following this offering, and any such modification may be material. Our presentations of EBITDA and Adjusted EBITDA should not be construed to imply that our future results will be unaffected by any such adjustments. Management relies on our GAAP results in addition to using EBITDA and Adjusted EBITDA in a supplemental manner. Our measures of EBITDA and Adjusted EBITDA are not necessarily comparable to other similarly titled captions of other companies due to different methods of calculation.</w:t>
      </w:r>
    </w:p>
    <w:p>
      <w:pPr>
        <w:spacing w:after="0" w:line="79" w:lineRule="exact"/>
        <w:rPr>
          <w:sz w:val="20"/>
          <w:szCs w:val="20"/>
          <w:color w:val="auto"/>
        </w:rPr>
      </w:pPr>
    </w:p>
    <w:p>
      <w:pPr>
        <w:ind w:left="1" w:right="180" w:firstLine="347"/>
        <w:spacing w:after="0" w:line="262" w:lineRule="auto"/>
        <w:rPr>
          <w:sz w:val="20"/>
          <w:szCs w:val="20"/>
          <w:color w:val="auto"/>
        </w:rPr>
      </w:pPr>
      <w:r>
        <w:rPr>
          <w:rFonts w:ascii="Arial" w:cs="Arial" w:eastAsia="Arial" w:hAnsi="Arial"/>
          <w:sz w:val="17"/>
          <w:szCs w:val="17"/>
          <w:color w:val="auto"/>
        </w:rPr>
        <w:t>EBITDA and Adjusted EBITDA are not GAAP measures of our financial performance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EBITDA and Adjusted EBITDA are not intended to be measures of free cash flow for management’s discretionary use, as they do not reflect certain cash requirements such as tax payments, debt service requirements, capital expenditures, store openings, and certain other cash costs that may recur in the future.</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reconciles our net income (loss) to EBITDA and Adjusted EBITDA for the periods presented:</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Six</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From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From</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December 29,</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2014 to</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3"/>
                <w:szCs w:val="13"/>
                <w:color w:val="auto"/>
              </w:rPr>
            </w:pPr>
          </w:p>
        </w:tc>
        <w:tc>
          <w:tcPr>
            <w:tcW w:w="90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2"/>
              </w:rPr>
              <w:t>January 2,</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January 3,</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5"/>
              </w:rPr>
              <w:t>March 12,</w:t>
            </w:r>
          </w:p>
        </w:tc>
      </w:tr>
      <w:tr>
        <w:trPr>
          <w:trHeight w:val="179"/>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5"/>
                <w:szCs w:val="15"/>
                <w:color w:val="auto"/>
              </w:rPr>
            </w:pPr>
          </w:p>
        </w:tc>
      </w:tr>
      <w:tr>
        <w:trPr>
          <w:trHeight w:val="228"/>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21,441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3,132</w:t>
            </w:r>
          </w:p>
        </w:tc>
      </w:tr>
      <w:tr>
        <w:trPr>
          <w:trHeight w:val="228"/>
        </w:trPr>
        <w:tc>
          <w:tcPr>
            <w:tcW w:w="30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Plus: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19,649</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36,741</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4,757</w:t>
            </w:r>
          </w:p>
        </w:tc>
      </w:tr>
      <w:tr>
        <w:trPr>
          <w:trHeight w:val="228"/>
        </w:trPr>
        <w:tc>
          <w:tcPr>
            <w:tcW w:w="3040" w:type="dxa"/>
            <w:vAlign w:val="bottom"/>
            <w:gridSpan w:val="3"/>
          </w:tcPr>
          <w:p>
            <w:pPr>
              <w:spacing w:after="0"/>
              <w:rPr>
                <w:sz w:val="20"/>
                <w:szCs w:val="20"/>
                <w:color w:val="auto"/>
              </w:rPr>
            </w:pPr>
            <w:r>
              <w:rPr>
                <w:rFonts w:ascii="Arial" w:cs="Arial" w:eastAsia="Arial" w:hAnsi="Arial"/>
                <w:sz w:val="17"/>
                <w:szCs w:val="17"/>
                <w:color w:val="auto"/>
              </w:rPr>
              <w:t>Income tax provision (benefit)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14,332</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12,534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2,061</w:t>
            </w:r>
          </w:p>
        </w:tc>
      </w:tr>
      <w:tr>
        <w:trPr>
          <w:trHeight w:val="241"/>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44,069</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31,566</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7,267</w:t>
            </w: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304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79,844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80,442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118,377</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86,195</w:t>
            </w: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17,217</w:t>
            </w:r>
          </w:p>
        </w:tc>
      </w:tr>
      <w:tr>
        <w:trPr>
          <w:trHeight w:val="241"/>
        </w:trPr>
        <w:tc>
          <w:tcPr>
            <w:tcW w:w="3040" w:type="dxa"/>
            <w:vAlign w:val="bottom"/>
            <w:tcBorders>
              <w:right w:val="single" w:sz="8" w:color="CCEEFF"/>
            </w:tcBorders>
            <w:gridSpan w:val="3"/>
            <w:shd w:val="clear" w:color="auto" w:fill="CCEEFF"/>
          </w:tcPr>
          <w:p>
            <w:pPr>
              <w:spacing w:after="0" w:line="241"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7"/>
                <w:szCs w:val="27"/>
                <w:color w:val="auto"/>
                <w:vertAlign w:val="superscript"/>
              </w:rPr>
              <w:t>(a)</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7"/>
                <w:szCs w:val="27"/>
                <w:color w:val="auto"/>
                <w:vertAlign w:val="superscript"/>
              </w:rPr>
              <w:t>(b)</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Asset impairment</w:t>
            </w:r>
            <w:r>
              <w:rPr>
                <w:rFonts w:ascii="Arial" w:cs="Arial" w:eastAsia="Arial" w:hAnsi="Arial"/>
                <w:sz w:val="27"/>
                <w:szCs w:val="27"/>
                <w:color w:val="auto"/>
                <w:vertAlign w:val="superscript"/>
              </w:rPr>
              <w:t>(c)</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4,672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7"/>
                <w:szCs w:val="27"/>
                <w:color w:val="auto"/>
                <w:vertAlign w:val="superscript"/>
              </w:rPr>
              <w:t>(d)</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8"/>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Purchase accounting inventory</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3040" w:type="dxa"/>
            <w:vAlign w:val="bottom"/>
            <w:tcBorders>
              <w:right w:val="single" w:sz="8" w:color="CCEEFF"/>
            </w:tcBorders>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adjustment</w:t>
            </w:r>
            <w:r>
              <w:rPr>
                <w:rFonts w:ascii="Arial" w:cs="Arial" w:eastAsia="Arial" w:hAnsi="Arial"/>
                <w:sz w:val="28"/>
                <w:szCs w:val="28"/>
                <w:color w:val="auto"/>
                <w:vertAlign w:val="superscript"/>
              </w:rPr>
              <w:t>(e)</w:t>
            </w:r>
          </w:p>
        </w:tc>
        <w:tc>
          <w:tcPr>
            <w:tcW w:w="1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6,216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Acquisition-related expenses</w:t>
            </w:r>
            <w:r>
              <w:rPr>
                <w:rFonts w:ascii="Arial" w:cs="Arial" w:eastAsia="Arial" w:hAnsi="Arial"/>
                <w:sz w:val="27"/>
                <w:szCs w:val="27"/>
                <w:color w:val="auto"/>
                <w:vertAlign w:val="superscript"/>
              </w:rPr>
              <w:t>(f)</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13,742</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7,537</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Management fees</w:t>
            </w:r>
            <w:r>
              <w:rPr>
                <w:rFonts w:ascii="Arial" w:cs="Arial" w:eastAsia="Arial" w:hAnsi="Arial"/>
                <w:sz w:val="27"/>
                <w:szCs w:val="27"/>
                <w:color w:val="auto"/>
                <w:vertAlign w:val="superscript"/>
              </w:rPr>
              <w:t>(g)</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0"/>
                <w:szCs w:val="20"/>
                <w:color w:val="auto"/>
              </w:rPr>
            </w:pP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7"/>
                <w:szCs w:val="27"/>
                <w:color w:val="auto"/>
                <w:vertAlign w:val="superscript"/>
              </w:rPr>
              <w:t>(h)</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1,983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424</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Non-cash rent</w:t>
            </w:r>
            <w:r>
              <w:rPr>
                <w:rFonts w:ascii="Arial" w:cs="Arial" w:eastAsia="Arial" w:hAnsi="Arial"/>
                <w:sz w:val="27"/>
                <w:szCs w:val="27"/>
                <w:color w:val="auto"/>
                <w:vertAlign w:val="superscript"/>
              </w:rPr>
              <w:t>(i)</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7"/>
                <w:szCs w:val="27"/>
                <w:color w:val="auto"/>
                <w:vertAlign w:val="superscript"/>
              </w:rPr>
              <w:t>(j)</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Other</w:t>
            </w:r>
            <w:r>
              <w:rPr>
                <w:rFonts w:ascii="Arial" w:cs="Arial" w:eastAsia="Arial" w:hAnsi="Arial"/>
                <w:sz w:val="27"/>
                <w:szCs w:val="27"/>
                <w:color w:val="auto"/>
                <w:vertAlign w:val="superscript"/>
              </w:rPr>
              <w:t>(k)</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3,520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w:t>
            </w: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304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98,525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86,065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137,774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112,585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55,653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26,447</w:t>
            </w:r>
          </w:p>
        </w:tc>
      </w:tr>
      <w:tr>
        <w:trPr>
          <w:trHeight w:val="25"/>
        </w:trPr>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99" w:lineRule="exact"/>
        <w:rPr>
          <w:rFonts w:ascii="Arial" w:cs="Arial" w:eastAsia="Arial" w:hAnsi="Arial"/>
          <w:sz w:val="14"/>
          <w:szCs w:val="14"/>
          <w:color w:val="auto"/>
        </w:rPr>
      </w:pPr>
    </w:p>
    <w:p>
      <w:pPr>
        <w:ind w:left="341" w:right="140" w:hanging="341"/>
        <w:spacing w:after="0" w:line="296" w:lineRule="auto"/>
        <w:tabs>
          <w:tab w:leader="none" w:pos="341" w:val="left"/>
        </w:tabs>
        <w:numPr>
          <w:ilvl w:val="0"/>
          <w:numId w:val="65"/>
        </w:numPr>
        <w:rPr>
          <w:rFonts w:ascii="Arial" w:cs="Arial" w:eastAsia="Arial" w:hAnsi="Arial"/>
          <w:sz w:val="13"/>
          <w:szCs w:val="13"/>
          <w:color w:val="auto"/>
        </w:rPr>
      </w:pPr>
      <w:r>
        <w:rPr>
          <w:rFonts w:ascii="Arial" w:cs="Arial" w:eastAsia="Arial" w:hAnsi="Arial"/>
          <w:sz w:val="13"/>
          <w:szCs w:val="13"/>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48" w:lineRule="exact"/>
        <w:rPr>
          <w:rFonts w:ascii="Arial" w:cs="Arial" w:eastAsia="Arial" w:hAnsi="Arial"/>
          <w:sz w:val="13"/>
          <w:szCs w:val="13"/>
          <w:color w:val="auto"/>
        </w:rPr>
      </w:pPr>
    </w:p>
    <w:p>
      <w:pPr>
        <w:ind w:left="341" w:hanging="341"/>
        <w:spacing w:after="0"/>
        <w:tabs>
          <w:tab w:leader="none" w:pos="341" w:val="left"/>
        </w:tabs>
        <w:numPr>
          <w:ilvl w:val="0"/>
          <w:numId w:val="65"/>
        </w:numPr>
        <w:rPr>
          <w:rFonts w:ascii="Arial" w:cs="Arial" w:eastAsia="Arial" w:hAnsi="Arial"/>
          <w:sz w:val="13"/>
          <w:szCs w:val="13"/>
          <w:color w:val="auto"/>
        </w:rPr>
      </w:pPr>
      <w:r>
        <w:rPr>
          <w:rFonts w:ascii="Arial" w:cs="Arial" w:eastAsia="Arial" w:hAnsi="Arial"/>
          <w:sz w:val="13"/>
          <w:szCs w:val="13"/>
          <w:color w:val="auto"/>
        </w:rPr>
        <w:t>Non-cash charges related to impairment of long-lived assets, primarily goodwill in our Vista Optical in Fred Meyer brand and our AC Lens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2" w:name="page93"/>
    <w:bookmarkEnd w:id="9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hanging="341"/>
        <w:spacing w:after="0"/>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99" w:lineRule="exact"/>
        <w:rPr>
          <w:rFonts w:ascii="Arial" w:cs="Arial" w:eastAsia="Arial" w:hAnsi="Arial"/>
          <w:sz w:val="14"/>
          <w:szCs w:val="14"/>
          <w:color w:val="auto"/>
        </w:rPr>
      </w:pPr>
    </w:p>
    <w:p>
      <w:pPr>
        <w:ind w:left="341" w:right="240" w:hanging="341"/>
        <w:spacing w:after="0" w:line="258"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an inventory step-up resulting from the application of purchase accounting to the Successor, which is recorded in costs applicable to revenue in the statement of operations.</w:t>
      </w:r>
    </w:p>
    <w:p>
      <w:pPr>
        <w:spacing w:after="0" w:line="71" w:lineRule="exact"/>
        <w:rPr>
          <w:rFonts w:ascii="Arial" w:cs="Arial" w:eastAsia="Arial" w:hAnsi="Arial"/>
          <w:sz w:val="14"/>
          <w:szCs w:val="14"/>
          <w:color w:val="auto"/>
        </w:rPr>
      </w:pPr>
    </w:p>
    <w:p>
      <w:pPr>
        <w:ind w:left="341" w:hanging="341"/>
        <w:spacing w:after="0"/>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expenses associated with the KKR Acquisition.</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w:t>
      </w:r>
    </w:p>
    <w:p>
      <w:pPr>
        <w:spacing w:after="0" w:line="99" w:lineRule="exact"/>
        <w:rPr>
          <w:rFonts w:ascii="Arial" w:cs="Arial" w:eastAsia="Arial" w:hAnsi="Arial"/>
          <w:sz w:val="14"/>
          <w:szCs w:val="14"/>
          <w:color w:val="auto"/>
        </w:rPr>
      </w:pPr>
    </w:p>
    <w:p>
      <w:pPr>
        <w:ind w:left="341" w:right="20" w:hanging="341"/>
        <w:spacing w:after="0" w:line="239"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84" w:lineRule="exact"/>
        <w:rPr>
          <w:rFonts w:ascii="Arial" w:cs="Arial" w:eastAsia="Arial" w:hAnsi="Arial"/>
          <w:sz w:val="14"/>
          <w:szCs w:val="14"/>
          <w:color w:val="auto"/>
        </w:rPr>
      </w:pPr>
    </w:p>
    <w:p>
      <w:pPr>
        <w:ind w:left="341" w:right="20" w:hanging="341"/>
        <w:spacing w:after="0" w:line="241"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3" w:lineRule="exact"/>
        <w:rPr>
          <w:rFonts w:ascii="Arial" w:cs="Arial" w:eastAsia="Arial" w:hAnsi="Arial"/>
          <w:sz w:val="14"/>
          <w:szCs w:val="14"/>
          <w:color w:val="auto"/>
        </w:rPr>
      </w:pPr>
    </w:p>
    <w:p>
      <w:pPr>
        <w:ind w:left="341" w:right="560" w:hanging="341"/>
        <w:spacing w:after="0" w:line="258"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“Business–Legal Proceedings” and Note 8 in our unaudited condensed consolidated financial statements included elsewhere in this prospectus for further details.</w:t>
      </w:r>
    </w:p>
    <w:p>
      <w:pPr>
        <w:spacing w:after="0" w:line="71" w:lineRule="exact"/>
        <w:rPr>
          <w:rFonts w:ascii="Arial" w:cs="Arial" w:eastAsia="Arial" w:hAnsi="Arial"/>
          <w:sz w:val="14"/>
          <w:szCs w:val="14"/>
          <w:color w:val="auto"/>
        </w:rPr>
      </w:pPr>
    </w:p>
    <w:p>
      <w:pPr>
        <w:ind w:left="341" w:hanging="341"/>
        <w:spacing w:after="0" w:line="277" w:lineRule="auto"/>
        <w:tabs>
          <w:tab w:leader="none" w:pos="341" w:val="left"/>
        </w:tabs>
        <w:numPr>
          <w:ilvl w:val="0"/>
          <w:numId w:val="66"/>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$0.2 million, $0.7 million, $0.5 million, $1.1 million, $0.4 million and $0.3 million for the 2014 Predecessor period, the 2014 Successor period, the fiscal years 2015 and 2016 and the six months ended July 2, 2016, and July 1, 2017, respectively; non-cash write-down of property and equipment of $0.5 million, $1.2 million, $0.2 million and $0.2 million for the 2014 Predecessor period, the 2014 Successor period, fiscal years 2015 and 2016, respectively; and other expenses and adjustments totaling $0.1 million, $0.9 million, $0.8 million, $0.6 million, $0.1 million and $71,000 for the 2014 Predecessor period, the 2014 Successor period, the fiscal years 2015 and 2016 and the six months ended July 2, 2016 and July 1, 2017, respectively.</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Quarterly Results of Operations</w:t>
      </w:r>
    </w:p>
    <w:p>
      <w:pPr>
        <w:spacing w:after="0" w:line="123"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The following table sets forth our historical quarterly results of operations as well as certain operating data for each of our most recent nine fiscal quarters. This unaudited quarterly information (other than EBITDA and Adjusted EBITDA) has been prepared on the same basis as our annual audited financial statements appearing elsewhere in this prospectus, and includes all adjustments, consisting only of normal recurring adjustments, that we consider necessary to present fairly the financial information for the fiscal quarters presented.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Fiscal Year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9"/>
              </w:rPr>
              <w:t>Fiscal Year 2016</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Fiscal Year 2015</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14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except percentage</w:t>
            </w:r>
          </w:p>
        </w:tc>
        <w:tc>
          <w:tcPr>
            <w:tcW w:w="100" w:type="dxa"/>
            <w:vAlign w:val="bottom"/>
          </w:tcPr>
          <w:p>
            <w:pPr>
              <w:spacing w:after="0"/>
              <w:rPr>
                <w:sz w:val="13"/>
                <w:szCs w:val="13"/>
                <w:color w:val="auto"/>
              </w:rPr>
            </w:pPr>
          </w:p>
        </w:tc>
        <w:tc>
          <w:tcPr>
            <w:tcW w:w="6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First</w:t>
            </w:r>
          </w:p>
        </w:tc>
        <w:tc>
          <w:tcPr>
            <w:tcW w:w="7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First</w:t>
            </w:r>
          </w:p>
        </w:tc>
        <w:tc>
          <w:tcPr>
            <w:tcW w:w="78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3"/>
                <w:szCs w:val="13"/>
                <w:color w:val="auto"/>
              </w:rPr>
            </w:pPr>
          </w:p>
        </w:tc>
        <w:tc>
          <w:tcPr>
            <w:tcW w:w="72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9"/>
              </w:rPr>
              <w:t>Fourth</w:t>
            </w:r>
          </w:p>
        </w:tc>
      </w:tr>
      <w:tr>
        <w:trPr>
          <w:trHeight w:val="179"/>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store data)</w:t>
            </w:r>
          </w:p>
        </w:tc>
        <w:tc>
          <w:tcPr>
            <w:tcW w:w="200" w:type="dxa"/>
            <w:vAlign w:val="bottom"/>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5"/>
                <w:szCs w:val="15"/>
                <w:color w:val="auto"/>
              </w:rPr>
            </w:pPr>
          </w:p>
        </w:tc>
      </w:tr>
      <w:tr>
        <w:trPr>
          <w:trHeight w:val="176"/>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369,859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337,541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326,809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291,056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301,216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6"/>
              </w:rPr>
              <w:t>277,114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292,613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256,291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6"/>
              </w:rPr>
              <w:t>269,951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86"/>
              </w:rPr>
              <w:t>243,673</w:t>
            </w:r>
          </w:p>
        </w:tc>
        <w:tc>
          <w:tcPr>
            <w:tcW w:w="80" w:type="dxa"/>
            <w:vAlign w:val="bottom"/>
            <w:shd w:val="clear" w:color="auto" w:fill="CCEEFF"/>
          </w:tcPr>
          <w:p>
            <w:pPr>
              <w:spacing w:after="0"/>
              <w:rPr>
                <w:sz w:val="15"/>
                <w:szCs w:val="15"/>
                <w:color w:val="auto"/>
              </w:rPr>
            </w:pPr>
          </w:p>
        </w:tc>
      </w:tr>
      <w:tr>
        <w:trPr>
          <w:trHeight w:val="164"/>
        </w:trPr>
        <w:tc>
          <w:tcPr>
            <w:tcW w:w="14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8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39,722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13,772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39,685</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15,737</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14,323</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(3,361)</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33,379</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8,640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6,898</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(4,240)</w:t>
            </w:r>
          </w:p>
        </w:tc>
        <w:tc>
          <w:tcPr>
            <w:tcW w:w="80" w:type="dxa"/>
            <w:vAlign w:val="bottom"/>
          </w:tcPr>
          <w:p>
            <w:pPr>
              <w:spacing w:after="0"/>
              <w:rPr>
                <w:sz w:val="15"/>
                <w:szCs w:val="15"/>
                <w:color w:val="auto"/>
              </w:rPr>
            </w:pP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17,070</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80" w:type="dxa"/>
            <w:vAlign w:val="bottom"/>
            <w:shd w:val="clear" w:color="auto" w:fill="CCEEFF"/>
          </w:tcPr>
          <w:p>
            <w:pPr>
              <w:spacing w:after="0"/>
              <w:rPr>
                <w:sz w:val="15"/>
                <w:szCs w:val="15"/>
                <w:color w:val="auto"/>
              </w:rPr>
            </w:pPr>
          </w:p>
        </w:tc>
      </w:tr>
      <w:tr>
        <w:trPr>
          <w:trHeight w:val="183"/>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Operating data</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stores open</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1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at end of period</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842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5"/>
                <w:szCs w:val="15"/>
                <w:color w:val="auto"/>
              </w:rPr>
            </w:pPr>
          </w:p>
        </w:tc>
      </w:tr>
      <w:tr>
        <w:trPr>
          <w:trHeight w:val="160"/>
        </w:trPr>
        <w:tc>
          <w:tcPr>
            <w:tcW w:w="14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Percentage of annual</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results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22.9%</w:t>
            </w:r>
          </w:p>
        </w:tc>
      </w:tr>
      <w:tr>
        <w:trPr>
          <w:trHeight w:val="164"/>
        </w:trPr>
        <w:tc>
          <w:tcPr>
            <w:tcW w:w="14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8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(226.6)%</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640" w:type="dxa"/>
            <w:vAlign w:val="bottom"/>
            <w:gridSpan w:val="3"/>
          </w:tcPr>
          <w:p>
            <w:pPr>
              <w:spacing w:after="0"/>
              <w:rPr>
                <w:rFonts w:ascii="Arial" w:cs="Arial" w:eastAsia="Arial" w:hAnsi="Arial"/>
                <w:sz w:val="14"/>
                <w:szCs w:val="14"/>
                <w:b w:val="1"/>
                <w:bCs w:val="1"/>
                <w:color w:val="0000EE"/>
              </w:rPr>
            </w:pPr>
            <w:hyperlink w:anchor="page7">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Fiscal Year 2016</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Fiscal Year 2015</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 in thousands, except</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8"/>
              </w:rPr>
              <w:t>First</w:t>
            </w:r>
          </w:p>
        </w:tc>
        <w:tc>
          <w:tcPr>
            <w:tcW w:w="76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4"/>
              </w:rPr>
              <w:t>Second</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7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Third</w:t>
            </w:r>
          </w:p>
        </w:tc>
        <w:tc>
          <w:tcPr>
            <w:tcW w:w="780" w:type="dxa"/>
            <w:vAlign w:val="bottom"/>
            <w:gridSpan w:val="3"/>
          </w:tcPr>
          <w:p>
            <w:pPr>
              <w:jc w:val="right"/>
              <w:ind w:right="280"/>
              <w:spacing w:after="0" w:line="15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7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79"/>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data)</w:t>
            </w:r>
          </w:p>
        </w:tc>
        <w:tc>
          <w:tcPr>
            <w:tcW w:w="180" w:type="dxa"/>
            <w:vAlign w:val="bottom"/>
            <w:gridSpan w:val="2"/>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17,070</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17,854</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15,040</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Plus: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11,492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14,622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9,753</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9,715</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9,643</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8,458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11,935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2,397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(3,359)</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10,028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(5,909)</w:t>
            </w:r>
          </w:p>
        </w:tc>
        <w:tc>
          <w:tcPr>
            <w:tcW w:w="0" w:type="dxa"/>
            <w:vAlign w:val="bottom"/>
          </w:tcPr>
          <w:p>
            <w:pPr>
              <w:spacing w:after="0"/>
              <w:rPr>
                <w:sz w:val="1"/>
                <w:szCs w:val="1"/>
                <w:color w:val="auto"/>
              </w:rPr>
            </w:pPr>
          </w:p>
        </w:tc>
      </w:tr>
      <w:tr>
        <w:trPr>
          <w:trHeight w:val="164"/>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14,423</w:t>
            </w: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14,629</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12,540</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12,480</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13,217</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13,756</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10,544</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10,543</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11,142</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11,840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40" w:type="dxa"/>
            <w:vAlign w:val="bottom"/>
            <w:gridSpan w:val="3"/>
          </w:tcPr>
          <w:p>
            <w:pPr>
              <w:spacing w:after="0"/>
              <w:rPr>
                <w:sz w:val="20"/>
                <w:szCs w:val="20"/>
                <w:color w:val="auto"/>
              </w:rPr>
            </w:pPr>
            <w:r>
              <w:rPr>
                <w:rFonts w:ascii="Arial" w:cs="Arial" w:eastAsia="Arial" w:hAnsi="Arial"/>
                <w:sz w:val="14"/>
                <w:szCs w:val="14"/>
                <w:color w:val="auto"/>
              </w:rPr>
              <w:t>EBITDA</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51,443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28,401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52,225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28,217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10,403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43,925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16,644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18,027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Stock compensation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2,117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1,386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Asset Impairment</w:t>
            </w: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Non-cash inventory write-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offs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New store pre-opening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Non-cash rent</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color w:val="auto"/>
              </w:rPr>
              <w:t>Litigation settlement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58,906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39,619</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55,476</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30,589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30,738</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20,971</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47,862</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22,548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23,780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18,395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color w:val="auto"/>
                <w:w w:val="96"/>
              </w:rPr>
              <w:t>Percentage of net revenue</w:t>
            </w: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4"/>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Percentage of annual</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42.5%</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See “—Non-GAAP Measures” above for a description of adjustments used to calculate EBITDA and Adjusted EBITDA and a reconciliation of net income (loss) to EBITDA and Adjusted EBITDA.</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We principally rely on cash flows from operations as our primary source of liquidity and, if needed, up to $75.0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63" w:lineRule="exact"/>
        <w:rPr>
          <w:sz w:val="20"/>
          <w:szCs w:val="20"/>
          <w:color w:val="auto"/>
        </w:rPr>
      </w:pPr>
    </w:p>
    <w:p>
      <w:pPr>
        <w:ind w:right="280" w:firstLine="347"/>
        <w:spacing w:after="0" w:line="271" w:lineRule="auto"/>
        <w:rPr>
          <w:sz w:val="20"/>
          <w:szCs w:val="20"/>
          <w:color w:val="auto"/>
        </w:rPr>
      </w:pPr>
      <w:r>
        <w:rPr>
          <w:rFonts w:ascii="Arial" w:cs="Arial" w:eastAsia="Arial" w:hAnsi="Arial"/>
          <w:sz w:val="17"/>
          <w:szCs w:val="17"/>
          <w:color w:val="auto"/>
        </w:rPr>
        <w:t>As of July 1, 2017, we had $24.9 million in cash and cash equivalents and $69.5 million of additional availability under our revolving credit facility, which represents the full available amount under the revolving credit facility, less $5.5 million in outstanding letters of credit.</w:t>
      </w:r>
    </w:p>
    <w:p>
      <w:pPr>
        <w:spacing w:after="0" w:line="68" w:lineRule="exact"/>
        <w:rPr>
          <w:sz w:val="20"/>
          <w:szCs w:val="20"/>
          <w:color w:val="auto"/>
        </w:rPr>
      </w:pPr>
    </w:p>
    <w:p>
      <w:pPr>
        <w:ind w:right="120" w:firstLine="347"/>
        <w:spacing w:after="0" w:line="260" w:lineRule="auto"/>
        <w:rPr>
          <w:sz w:val="20"/>
          <w:szCs w:val="20"/>
          <w:color w:val="auto"/>
        </w:rPr>
      </w:pPr>
      <w:r>
        <w:rPr>
          <w:rFonts w:ascii="Arial" w:cs="Arial" w:eastAsia="Arial" w:hAnsi="Arial"/>
          <w:sz w:val="17"/>
          <w:szCs w:val="17"/>
          <w:color w:val="auto"/>
        </w:rPr>
        <w:t>We plan to spend approximately $92.9 million in capital expenditures during fiscal year 2017, including approximately $46 million in connection with our store growth and improvement plans, approximately $23 million for labs, distribution centers, and optometric equipment, and approximately $24 million for maintenance and infrastructure. We spent $44.2 million in capital expenditures in the six months ended July 1, 2017. We estimate that approximately 80% of our planned capital spend is related to our expected growth (i.e. new stores, optometric equipment, additional capacity in our optical laboratories and distribution centers, and our IT infrastructure). We plan on opening at least 75 stores during fiscal year 2017. Our working capital requirements for inventory will increase as we continue to open additional stores. We primarily fund our working capital needs using cash provided by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65" w:right="1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0" w:firstLine="347"/>
        <w:spacing w:after="0" w:line="287" w:lineRule="auto"/>
        <w:rPr>
          <w:sz w:val="20"/>
          <w:szCs w:val="20"/>
          <w:color w:val="auto"/>
        </w:rPr>
      </w:pPr>
      <w:r>
        <w:rPr>
          <w:rFonts w:ascii="Arial" w:cs="Arial" w:eastAsia="Arial" w:hAnsi="Arial"/>
          <w:sz w:val="17"/>
          <w:szCs w:val="17"/>
          <w:color w:val="auto"/>
        </w:rPr>
        <w:t>The following table summarizes the net cash provided by (used for) operating activities, investing activities and financing activities for the periods indicated: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Successor</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From</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5"/>
              </w:rPr>
              <w:t>March 13,</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6"/>
              </w:rPr>
              <w:t>2014 to</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3"/>
                <w:szCs w:val="13"/>
                <w:color w:val="auto"/>
              </w:rPr>
            </w:pPr>
          </w:p>
        </w:tc>
        <w:tc>
          <w:tcPr>
            <w:tcW w:w="9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98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January 3,</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March 12,</w:t>
            </w:r>
          </w:p>
        </w:tc>
        <w:tc>
          <w:tcPr>
            <w:tcW w:w="0" w:type="dxa"/>
            <w:vAlign w:val="bottom"/>
          </w:tcPr>
          <w:p>
            <w:pPr>
              <w:spacing w:after="0"/>
              <w:rPr>
                <w:sz w:val="1"/>
                <w:szCs w:val="1"/>
                <w:color w:val="auto"/>
              </w:rPr>
            </w:pPr>
          </w:p>
        </w:tc>
      </w:tr>
      <w:tr>
        <w:trPr>
          <w:trHeight w:val="179"/>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Year 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Year 2015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Provided By</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(Used For):</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40" w:type="dxa"/>
            <w:vAlign w:val="bottom"/>
            <w:gridSpan w:val="2"/>
          </w:tcPr>
          <w:p>
            <w:pPr>
              <w:spacing w:after="0"/>
              <w:rPr>
                <w:sz w:val="20"/>
                <w:szCs w:val="20"/>
                <w:color w:val="auto"/>
              </w:rPr>
            </w:pPr>
            <w:r>
              <w:rPr>
                <w:rFonts w:ascii="Arial" w:cs="Arial" w:eastAsia="Arial" w:hAnsi="Arial"/>
                <w:sz w:val="17"/>
                <w:szCs w:val="17"/>
                <w:color w:val="auto"/>
              </w:rPr>
              <w:t>Operating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67,933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64,172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97,588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83,131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17,996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6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(44,548)</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(47,522)</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(80,051)</w:t>
            </w:r>
          </w:p>
        </w:tc>
        <w:tc>
          <w:tcPr>
            <w:tcW w:w="14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(43,740)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(11,958)</w:t>
            </w:r>
          </w:p>
        </w:tc>
        <w:tc>
          <w:tcPr>
            <w:tcW w:w="0" w:type="dxa"/>
            <w:vAlign w:val="bottom"/>
          </w:tcPr>
          <w:p>
            <w:pPr>
              <w:spacing w:after="0"/>
              <w:rPr>
                <w:sz w:val="1"/>
                <w:szCs w:val="1"/>
                <w:color w:val="auto"/>
              </w:rPr>
            </w:pPr>
          </w:p>
        </w:tc>
      </w:tr>
      <w:tr>
        <w:trPr>
          <w:trHeight w:val="235"/>
        </w:trPr>
        <w:tc>
          <w:tcPr>
            <w:tcW w:w="2240" w:type="dxa"/>
            <w:vAlign w:val="bottom"/>
            <w:gridSpan w:val="2"/>
          </w:tcPr>
          <w:p>
            <w:pPr>
              <w:spacing w:after="0"/>
              <w:rPr>
                <w:sz w:val="20"/>
                <w:szCs w:val="20"/>
                <w:color w:val="auto"/>
              </w:rPr>
            </w:pPr>
            <w:r>
              <w:rPr>
                <w:rFonts w:ascii="Arial" w:cs="Arial" w:eastAsia="Arial" w:hAnsi="Arial"/>
                <w:sz w:val="17"/>
                <w:szCs w:val="17"/>
                <w:color w:val="auto"/>
              </w:rPr>
              <w:t>Financing activities</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(2,642)</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(6,574)</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(4,317)</w:t>
            </w:r>
          </w:p>
        </w:tc>
        <w:tc>
          <w:tcPr>
            <w:tcW w:w="14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7,130</w:t>
            </w: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increase (decrease)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19,919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14,008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(1,237)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(18,614)</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19,022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Operating Activities</w:t>
      </w:r>
    </w:p>
    <w:p>
      <w:pPr>
        <w:spacing w:after="0" w:line="117"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including depreciation and amortization, asset impairment, deferred income taxes, non-cash stock option compensation and changes in operating assets and liabilities.</w:t>
      </w:r>
    </w:p>
    <w:p>
      <w:pPr>
        <w:spacing w:after="0" w:line="68"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Net cash provided by operating activities increased $3.8 million, or 5.9%, during the six months ended July 1, 2017 compared to the six months ended July 2, 2016. Net cash provided by operating activities was $67.9 million for the six months ended July 1, 2017, as non-cash items of $49.5 million were combined with $15.6 million of net income and a decrease in net working capital and other assets and liabilities of $2.9 million. Net cash provided by operating activities was $64.2 million for the six months ended July 2, 2016, as non-cash items of $44.8 million were combined with $21.4 million of net income and an increase in net working capital and other assets and liabilities of $2.1 million.</w:t>
      </w:r>
    </w:p>
    <w:p>
      <w:pPr>
        <w:spacing w:after="0" w:line="75"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The decrease in net working capital and other assets and liabilities during the six months ended July 1, 2017 was primarily due to an increase in accrued expenses and other liabilities of $11.4 million and deferred and unearned revenues of $4.6 million. Increases in accrued expenses and other liabilities is reflective of our growth as new stores are added monthly. We opened 40 new stores during the six months ended July 1, 2017, with three closures.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stores and positive comparable store sales growth. These changes were partially offset by an increase in inventories of $6.2 million, increase in accounts receivable of $3.8 million and a decrease in accounts payable of $5.0 million. Increases in accounts receivable primarily reflect our overall net revenue growth, and decreases in accounts payable reflect availability of cash to pay vendors. Increases in inventory are generally expected each period, and reflect our growth in sales of products, including product replenishment needs at existing stores and inventory needed to outfit new stores.</w:t>
      </w:r>
    </w:p>
    <w:p>
      <w:pPr>
        <w:spacing w:after="0" w:line="71"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The increase in net working capital and other assets and liabilities during the six months ended July 2, 2016 was primarily due to decreases in accounts payable of $9.5 million and an increase in inventory of $3.5 million, offset by a decrease in accounts receivable of $2.3 million, increases in accrued expenses and other liabilities of $3.3 million, and increases in deferred and unearned revenues of $5.1 million. Increases in accrued expenses, deferred revenue and inventory reflect the Company’s overall growth. We opened 47 new stores during the six months ended July 2, 2016, with no closures. Decreases in accounts payable reflect availability of cash to pay vendors.</w:t>
      </w:r>
    </w:p>
    <w:p>
      <w:pPr>
        <w:spacing w:after="0" w:line="75"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Net cash provided by operating activities increased $14.5 million, or 17.4%, during fiscal year 2016 compared to fiscal year 2015. Net cash provided by operating activities was $97.6 million for fiscal year 2016, as non-cash items of $79.5 million were combined with $14.8 million of net income and a decrease in net working capital and other assets and liabilities of $3.3 million. Net cash provided by operating activities was $83.1 million for fiscal year 2015, as non-cash items of $66.3 million were combined with $3.6 million of net income and a decrease in net working capital and other assets and liabilities of $13.2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The decrease in net working capital and other assets and liabilities during fiscal year 2016 was due to an increase in deferred and unearned revenue of $14.3 million, accounts payable of $5.6 million, and accrued expenses and other liabilities of $4.6 million, offset by an increase in inventories of $12.1 million, accounts receivable of $5.0 million, and prepaid expenses and other assets of $4.1 million. Decreases in overall working capital and other assets and liabilities are generally expected from year to year, which is primarily driven by an increase in deferred and unearned revenues and accrued expenses and other liabilities. Consistent growth in the number of stores and positive comparable store sales has resulted in consistent increases in deferred and unearned revenue. We opened 86 new stores, with one closure during fiscal year 2016, which also drove an increase in accrued expenses and other liabilities as our scale increases with store growth. Increases in accounts receivable and inventories from year to year are also reflective of our growth as new stores are added. Decreases in accounts payable primarily reflect availability of cash to pay vendors.</w:t>
      </w:r>
    </w:p>
    <w:p>
      <w:pPr>
        <w:spacing w:after="0" w:line="54" w:lineRule="exact"/>
        <w:rPr>
          <w:sz w:val="20"/>
          <w:szCs w:val="20"/>
          <w:color w:val="auto"/>
        </w:rPr>
      </w:pPr>
    </w:p>
    <w:p>
      <w:pPr>
        <w:ind w:right="160" w:firstLine="347"/>
        <w:spacing w:after="0" w:line="307" w:lineRule="auto"/>
        <w:rPr>
          <w:sz w:val="20"/>
          <w:szCs w:val="20"/>
          <w:color w:val="auto"/>
        </w:rPr>
      </w:pPr>
      <w:r>
        <w:rPr>
          <w:rFonts w:ascii="Arial" w:cs="Arial" w:eastAsia="Arial" w:hAnsi="Arial"/>
          <w:sz w:val="15"/>
          <w:szCs w:val="15"/>
          <w:color w:val="auto"/>
        </w:rPr>
        <w:t>The decrease in net working capital and other assets and liabilities during fiscal year 2015 was due to an increase in deferred and unearned revenue of $16.2 million and accrued expenses and other liabilities of $13.2 million, offset by an increase in inventories of $8.6 million, accounts receivable of $3.0 million, and prepaid expenses and other assets of $4.6 million. Consistent with 2016 discussed above, growth in the number of stores and positive comparable store sales growth is the primary driver of the change in working capital and other assets and liabilities. We opened 70 new stores and closed four stores during fiscal year 2015.</w:t>
      </w:r>
    </w:p>
    <w:p>
      <w:pPr>
        <w:spacing w:after="0" w:line="4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Net cash provided by operating activities was $83.1 million for fiscal year 2015, as non-cash items of $66.3 million were combined with $3.6 million of net income and a decrease in net working capital and other assets and liabilities of $13.2 million. Net cash provided by operating activities was $18.0 million in the 2014 Successor period, as non-cash items of $35.0 million were combined with a $27.1 million net loss and a decrease in net working capital and other assets and liabilities of $10.1 million. Net cash provided by operating activities was $31.0 million in the 2014 Predecessor period, as non-cash items of $7.4 million were combined with a $3.1 million of net income and a decrease in net working capital and other assets and liabilities of $20.5 million.</w:t>
      </w:r>
    </w:p>
    <w:p>
      <w:pPr>
        <w:spacing w:after="0" w:line="63"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The decrease in net working capital and other assets and liabilities during the 2014 Successor period was due to an increase in deferred and unearned revenue of $17.5 million and accounts payable of $11.6 million, offset by decreases in accrued expenses and other liabilities of $7.5 million, an increase in inventories of $2.8 million, an increase in accounts receivable of $4.2 million, and an increase in prepaid expenses and other assets of $4.5 million. Consistent with fiscal year 2015 discussed above, growth in the number of stores and positive comparable store sales growth is the primary driver of the change in working capital and other assets and liabilities. We opened 40 new stores and closed four stores during the 2014 Successor period. We generally expect increases in accrued expenses and other liabilities as we grow. However, the decrease in accrued expenses and other liabilities was due to preservation of cash immediately preceding the KKR Acquisition, and the availability of cash to pay down of vendors subsequent to the KKR Acquisition. As noted below, accrued expenses and other liabilities increased $28.6 million during the 2014 Predecessor period, which we substantially paid down during the 2014 Successor period.</w:t>
      </w:r>
    </w:p>
    <w:p>
      <w:pPr>
        <w:spacing w:after="0" w:line="67" w:lineRule="exact"/>
        <w:rPr>
          <w:sz w:val="20"/>
          <w:szCs w:val="20"/>
          <w:color w:val="auto"/>
        </w:rPr>
      </w:pPr>
    </w:p>
    <w:p>
      <w:pPr>
        <w:ind w:right="20" w:firstLine="347"/>
        <w:spacing w:after="0" w:line="303" w:lineRule="auto"/>
        <w:rPr>
          <w:sz w:val="20"/>
          <w:szCs w:val="20"/>
          <w:color w:val="auto"/>
        </w:rPr>
      </w:pPr>
      <w:r>
        <w:rPr>
          <w:rFonts w:ascii="Arial" w:cs="Arial" w:eastAsia="Arial" w:hAnsi="Arial"/>
          <w:sz w:val="15"/>
          <w:szCs w:val="15"/>
          <w:color w:val="auto"/>
        </w:rPr>
        <w:t>The decrease in net working capital and other assets and liabilities during the 2014 Predecessor period was due to an increase in accrued expenses and other liabilities of $28.6 million and deferred and unearned revenue of $10.9 million, offset by decreases in accounts payable of $6.1 million, an increase in prepaid expenses and other assets of $6.4 million, an increase of inventories of $4.6 million, and an increase in accounts receivable of $1.8 million. Consistent with 2015 and Successor period discussed above, growth in the number of stores and positive comparable store sales growth is the primary driver of the change in working capital and other assets and liabilities. We opened 12 new stores and closed one store during the 2014 Predecessor period.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Investing Activities</w:t>
      </w:r>
    </w:p>
    <w:p>
      <w:pPr>
        <w:spacing w:after="0" w:line="117"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Net cash used for investing activities decreased by $3.0 million, to $44.5 million, during the six months ended July 1, 2017 from $47.5 million during the six months ended July 2, 2016. The change in cash used for investing activities included a decrease of $2.4 million in purchases of property and equipment driven by timing of purchases. In addition, during the six months ended July 2, 2016, we purchased an investment for $1.0 million but made no investments during the six months ended July 1, 2017.</w:t>
      </w:r>
    </w:p>
    <w:p>
      <w:pPr>
        <w:spacing w:after="0" w:line="55"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Net cash used for investing activities increased by $11.6 million, to $91.7 million, during fiscal year 2016 from $80.1 million during fiscal year 2015. The change in cash used for investing activities included an increase of $12.9 million in purchases of property and equipment to support our growth, including new stores,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improvements to our optical laboratories and distribution centers, and continued development of our IT infrastructure. Offsetting the increase in capital expenditures was a decrease of $1.9 million in purchases of investments from fiscal year 2015 to fiscal year 2016.</w:t>
      </w:r>
    </w:p>
    <w:p>
      <w:pPr>
        <w:spacing w:after="0" w:line="8" w:lineRule="exact"/>
        <w:rPr>
          <w:sz w:val="20"/>
          <w:szCs w:val="20"/>
          <w:color w:val="auto"/>
        </w:rPr>
      </w:pPr>
    </w:p>
    <w:p>
      <w:pPr>
        <w:ind w:right="140" w:firstLine="347"/>
        <w:spacing w:after="0" w:line="261" w:lineRule="auto"/>
        <w:rPr>
          <w:sz w:val="20"/>
          <w:szCs w:val="20"/>
          <w:color w:val="auto"/>
        </w:rPr>
      </w:pPr>
      <w:r>
        <w:rPr>
          <w:rFonts w:ascii="Arial" w:cs="Arial" w:eastAsia="Arial" w:hAnsi="Arial"/>
          <w:sz w:val="17"/>
          <w:szCs w:val="17"/>
          <w:color w:val="auto"/>
        </w:rPr>
        <w:t>Net cash used for investing activities was $80.1 million, $43.7 million, and $12.0 million for fiscal year 2015, the 2014 Successor period, and the 2014 Predecessor period, respectively. The increase in cash used for investing activities was the result of increasing purchases of property and equipment, which were $77.2 million during fiscal year 2015 compared to $40.5 million and $11.5 million during the 2014 Successor and Predecessor periods, respectively. We opened 70 new stores during fiscal year 2015, compared to 40 and 12 new stores during the 2014 Successor and Predecessor periods, respectively. To a lesser extent, we also increased capital spending for our optical laboratories and distribution centers, maintenance of existing stores and equipment, and new optometric equipment.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Financing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for financing activities increased by $0.8 million, to $3.5 million, during the six months ended July 1, 2017 from</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$2.6 million during the six months ended July 2, 2016. The primary driver of the overall cash used for financing activities was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quarterly principal payments required under our first lien credit agreement. We paid $4.2 million and $3.3 million in principal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payments during the six months ended July 1, 2017 and July 2, 2016, respectively. This was partially offset by $1.1 million and $0.9</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million in proceeds related to the exercise of stock options during the six months ended July 1, 2017 and July 2, 2016,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Also, on February 2, 2017, we declared a recapitalization dividend to our stockholders. The dividend was funded with $175.0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million of incremental term loans under our first lien credit agreement. Proceeds from the additional first lien term loans were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$173.7 million, net of discounts and fees, offset by the dividend payment of $171.0 million and $2.7 million in debt issuance costs.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 such transaction occurred in the six months ended July 2, 2016.</w:t>
      </w:r>
    </w:p>
    <w:p>
      <w:pPr>
        <w:spacing w:after="0" w:line="105"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Net cash used for financing activities increased by $2.3 million, to $6.6 million, during fiscal year 2016 from $4.3 million during fiscal year 2015. The primary driver of the overall cash used for financing activities is quarterly principal payments required under our first lien credit agreement. We paid $6.5 million and $6.1 million in principal payments during fiscal years 2016 and 2015, respectively. Also, on June 1, 2015, we declared a recapitalization dividend to our stockholders. The dividend was funded with $150.0 million of incremental term loans under our first lien credit agreement. Proceeds from the additional first lien term loans were $145.6 million net of discounts and fees, offset by the dividend payment of $145.7 million. No such transaction occurred in fiscal year 2016. The increase in net cash used for financing activities in fiscal year 2016 was most significantly the result of a decrease of $1.4 million in net cash provided by transactions in our outstanding equity, including purchases of stock by employees, exercises of stock options by employees, and the related income tax benefit of stock option exercises.</w:t>
      </w:r>
    </w:p>
    <w:p>
      <w:pPr>
        <w:spacing w:after="0" w:line="63"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Net cash used for financing activities was $4.3 million in fiscal year 2015, compared to net cash provided by financing activities of $7.1 million during the 2014 Successor period and net cash used for financing activities of $28,000 during the 2014 Predecessor period. Net cash used during fiscal year 2015 was primarily driven by $6.1 million in principal payments required on our first lien credit agreement. Cash provided by transactions on our outstanding equity, including purchases of stock by employees, exercises of stock options by employees, and the related income tax benefit of stock option exercises offset debt principal payments by $2.3 million. Except for $0.1 million in payments on capital lease obligations, cash provided by financing activities in the 2014 Successor period was primarily related to financing the KKR Acquisition, including $624.5 million in proceeds from the issuance of long-term debt, $429.2 million in cash contributions from affiliates of KKR Sponsor at KKR Acquisition, offset by $646.5 million used to purchase predecessor stock at KKR Acquisition, $295.8 million to pay off our previously outstanding term loan, $56.3 million paid to holders of predecessor stock options, $30.0 million in the KKR Acquisition transaction costs, and $17.9 million in deferred financing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In connection with the KKR Acquisition, we repaid our previously outstanding term loan on March 13, 2014 and entered into a new first lien credit agreement and a new second lien credit agreement. Our borrowings under the first lien credit agreement consist of $500.0 million initial term loans incurred in March 2014 and $325.0 million of incremental term loans, $150.0 million of which was incurred in May 2015 and $175.0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7" w:name="page98"/>
    <w:bookmarkEnd w:id="9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60"/>
        <w:spacing w:after="0" w:line="292" w:lineRule="auto"/>
        <w:rPr>
          <w:sz w:val="20"/>
          <w:szCs w:val="20"/>
          <w:color w:val="auto"/>
        </w:rPr>
      </w:pPr>
      <w:r>
        <w:rPr>
          <w:rFonts w:ascii="Arial" w:cs="Arial" w:eastAsia="Arial" w:hAnsi="Arial"/>
          <w:sz w:val="15"/>
          <w:szCs w:val="15"/>
          <w:color w:val="auto"/>
        </w:rPr>
        <w:t>of which was incurred in February 2017, each maturing on March 13, 2021. The description of our first lien term loans below gives effect to both May 2015 and February 2017 incremental term loans. The first lien credit agreement also provides for a $75.0 million revolving credit facility, which matures on March 13, 2019. A portion of the revolving credit facility is available for letters of credit and swingline loans. Substantially concurrent with this offering, we intend to amend our first lien revolving credit facility to increase its size and extend its maturity. See “Prospectus Summary—Recent Developments— Revolving Credit Facility Amendment.” The second lien credit agreement provides for $125.0 million term loan facility that matures on March 13, 2022. We intend to use the net proceeds to us from this offering to repay all outstanding aggregate amount of our second lien term loans and</w:t>
      </w:r>
    </w:p>
    <w:p>
      <w:pPr>
        <w:spacing w:after="0" w:line="3" w:lineRule="exact"/>
        <w:rPr>
          <w:sz w:val="20"/>
          <w:szCs w:val="20"/>
          <w:color w:val="auto"/>
        </w:rPr>
      </w:pPr>
    </w:p>
    <w:p>
      <w:pPr>
        <w:ind w:left="1"/>
        <w:spacing w:after="0" w:line="260" w:lineRule="auto"/>
        <w:rPr>
          <w:sz w:val="20"/>
          <w:szCs w:val="20"/>
          <w:color w:val="auto"/>
        </w:rPr>
      </w:pPr>
      <w:r>
        <w:rPr>
          <w:rFonts w:ascii="Arial" w:cs="Arial" w:eastAsia="Arial" w:hAnsi="Arial"/>
          <w:sz w:val="17"/>
          <w:szCs w:val="17"/>
          <w:color w:val="auto"/>
        </w:rPr>
        <w:t>pay accrued interest, applicable premiums and related fees and expenses and to repay $ million of the outstanding amount of our first lien term loans and pay accrued interest, applicable premiums and related fees and expenses.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 See “Use of Proceeds.”</w:t>
      </w:r>
    </w:p>
    <w:p>
      <w:pPr>
        <w:spacing w:after="0" w:line="76" w:lineRule="exact"/>
        <w:rPr>
          <w:sz w:val="20"/>
          <w:szCs w:val="20"/>
          <w:color w:val="auto"/>
        </w:rPr>
      </w:pPr>
    </w:p>
    <w:p>
      <w:pPr>
        <w:ind w:left="1" w:right="60" w:firstLine="347"/>
        <w:spacing w:after="0" w:line="271" w:lineRule="auto"/>
        <w:rPr>
          <w:sz w:val="20"/>
          <w:szCs w:val="20"/>
          <w:color w:val="auto"/>
        </w:rPr>
      </w:pPr>
      <w:r>
        <w:rPr>
          <w:rFonts w:ascii="Arial" w:cs="Arial" w:eastAsia="Arial" w:hAnsi="Arial"/>
          <w:sz w:val="17"/>
          <w:szCs w:val="17"/>
          <w:color w:val="auto"/>
        </w:rPr>
        <w:t>The following table sets forth the amounts owed under our first lien credit agreement and our second lien credit agreement, the effective interest rates on such outstanding amounts, and the amount available for additional borrowing thereunder, as of July 1, 2017:</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 Available for</w:t>
            </w:r>
          </w:p>
        </w:tc>
      </w:tr>
      <w:tr>
        <w:trPr>
          <w:trHeight w:val="17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Effective Interest Rate</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 Outstanding</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Additional Borrowing</w:t>
            </w:r>
          </w:p>
        </w:tc>
        <w:tc>
          <w:tcPr>
            <w:tcW w:w="80" w:type="dxa"/>
            <w:vAlign w:val="bottom"/>
          </w:tcPr>
          <w:p>
            <w:pPr>
              <w:spacing w:after="0"/>
              <w:rPr>
                <w:sz w:val="15"/>
                <w:szCs w:val="15"/>
                <w:color w:val="auto"/>
              </w:rPr>
            </w:pPr>
          </w:p>
        </w:tc>
      </w:tr>
      <w:tr>
        <w:trPr>
          <w:trHeight w:val="228"/>
        </w:trPr>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loans</w:t>
            </w:r>
          </w:p>
        </w:tc>
        <w:tc>
          <w:tcPr>
            <w:tcW w:w="2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30"/>
        </w:trPr>
        <w:tc>
          <w:tcPr>
            <w:tcW w:w="3700" w:type="dxa"/>
            <w:vAlign w:val="bottom"/>
            <w:gridSpan w:val="2"/>
          </w:tcPr>
          <w:p>
            <w:pPr>
              <w:spacing w:after="0"/>
              <w:rPr>
                <w:sz w:val="20"/>
                <w:szCs w:val="20"/>
                <w:color w:val="auto"/>
              </w:rPr>
            </w:pPr>
            <w:r>
              <w:rPr>
                <w:rFonts w:ascii="Arial" w:cs="Arial" w:eastAsia="Arial" w:hAnsi="Arial"/>
                <w:sz w:val="17"/>
                <w:szCs w:val="17"/>
                <w:color w:val="auto"/>
              </w:rPr>
              <w:t>First lien revolving credit facility</w:t>
            </w:r>
          </w:p>
        </w:tc>
        <w:tc>
          <w:tcPr>
            <w:tcW w:w="2060" w:type="dxa"/>
            <w:vAlign w:val="bottom"/>
            <w:gridSpan w:val="3"/>
          </w:tcPr>
          <w:p>
            <w:pPr>
              <w:jc w:val="right"/>
              <w:ind w:right="8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69,500</w:t>
            </w:r>
            <w:r>
              <w:rPr>
                <w:rFonts w:ascii="Arial" w:cs="Arial" w:eastAsia="Arial" w:hAnsi="Arial"/>
                <w:sz w:val="14"/>
                <w:szCs w:val="14"/>
                <w:color w:val="auto"/>
              </w:rPr>
              <w:t>(1)</w:t>
            </w:r>
          </w:p>
        </w:tc>
      </w:tr>
      <w:tr>
        <w:trPr>
          <w:trHeight w:val="240"/>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Second lien term loans</w:t>
            </w:r>
          </w:p>
        </w:tc>
        <w:tc>
          <w:tcPr>
            <w:tcW w:w="2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6.98%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gridSpan w:val="2"/>
            <w:shd w:val="clear" w:color="auto" w:fill="CCEEFF"/>
          </w:tcPr>
          <w:p>
            <w:pPr>
              <w:spacing w:after="0"/>
              <w:rPr>
                <w:sz w:val="20"/>
                <w:szCs w:val="20"/>
                <w:color w:val="auto"/>
              </w:rPr>
            </w:pPr>
          </w:p>
        </w:tc>
      </w:tr>
      <w:tr>
        <w:trPr>
          <w:trHeight w:val="215"/>
        </w:trPr>
        <w:tc>
          <w:tcPr>
            <w:tcW w:w="3700" w:type="dxa"/>
            <w:vAlign w:val="bottom"/>
            <w:gridSpan w:val="2"/>
          </w:tcPr>
          <w:p>
            <w:pPr>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929,441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69,500</w:t>
            </w:r>
          </w:p>
        </w:tc>
        <w:tc>
          <w:tcPr>
            <w:tcW w:w="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138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9" w:lineRule="exact"/>
        <w:rPr>
          <w:sz w:val="20"/>
          <w:szCs w:val="20"/>
          <w:color w:val="auto"/>
        </w:rPr>
      </w:pPr>
    </w:p>
    <w:p>
      <w:pPr>
        <w:ind w:left="341" w:hanging="341"/>
        <w:spacing w:after="0"/>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At July 1, 2017, the amount available under our revolving credit facility reflected a reduction of $5.5 million of letters of credit.</w:t>
      </w:r>
    </w:p>
    <w:p>
      <w:pPr>
        <w:spacing w:after="0" w:line="93" w:lineRule="exact"/>
        <w:rPr>
          <w:sz w:val="20"/>
          <w:szCs w:val="20"/>
          <w:color w:val="auto"/>
        </w:rPr>
      </w:pPr>
    </w:p>
    <w:p>
      <w:pPr>
        <w:ind w:left="1" w:right="120" w:firstLine="347"/>
        <w:spacing w:after="0" w:line="262" w:lineRule="auto"/>
        <w:rPr>
          <w:sz w:val="20"/>
          <w:szCs w:val="20"/>
          <w:color w:val="auto"/>
        </w:rPr>
      </w:pPr>
      <w:r>
        <w:rPr>
          <w:rFonts w:ascii="Arial" w:cs="Arial" w:eastAsia="Arial" w:hAnsi="Arial"/>
          <w:sz w:val="17"/>
          <w:szCs w:val="17"/>
          <w:color w:val="auto"/>
        </w:rPr>
        <w:t>The first lien term loans bear interest, at our election, at either 2.0% over “ABR” (as defined below) or 3.0% over the London Interbank Offered Rate, or LIBOR. The second lien term loans bear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75"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The first lien credit agreement is payable in equal installments of $2.1 million on the last business day of each of our fiscal quarters. Commencing in 2015, we are required to prepay an amount equal to 50% of the preceding fiscal year’s excess cash flow, as defined in the first lien credit agreement. The required prepayment is reduced to 25% of the preceding year’s excess cash flow if our consolidated earnings before interest, tax, depreciation and amortization, or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3" w:lineRule="exact"/>
        <w:rPr>
          <w:sz w:val="20"/>
          <w:szCs w:val="20"/>
          <w:color w:val="auto"/>
        </w:rPr>
      </w:pPr>
    </w:p>
    <w:p>
      <w:pPr>
        <w:ind w:left="1" w:right="60" w:firstLine="347"/>
        <w:spacing w:after="0" w:line="287"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54" w:lineRule="exact"/>
        <w:rPr>
          <w:sz w:val="20"/>
          <w:szCs w:val="20"/>
          <w:color w:val="auto"/>
        </w:rPr>
      </w:pPr>
    </w:p>
    <w:p>
      <w:pPr>
        <w:ind w:left="1" w:firstLine="347"/>
        <w:spacing w:after="0" w:line="278" w:lineRule="auto"/>
        <w:rPr>
          <w:sz w:val="20"/>
          <w:szCs w:val="20"/>
          <w:color w:val="auto"/>
        </w:rPr>
      </w:pPr>
      <w:r>
        <w:rPr>
          <w:rFonts w:ascii="Arial" w:cs="Arial" w:eastAsia="Arial" w:hAnsi="Arial"/>
          <w:sz w:val="16"/>
          <w:szCs w:val="16"/>
          <w:color w:val="auto"/>
        </w:rPr>
        <w:t>Amounts borrowed under the revolving credit facility bear interest, at our election, at either 2.0% over ABR or 3.0% over LIBOR. These interest rate spreads will decline to 1.75% and 2.75%, respectively, if our consolidated Credit Agreement EBITDA ratio declines to 4.25 to 1.00 or less, and further decline to 1.50% and 2.50%, respectively, if such ratio declines to 3.75 to 1.00 or less. We may use up to $20 million of the revolving credit facility to issue letters of credit. Letter of credit fees are charged at the same rate as the then-applicable LIBOR spread for revolving loans. As of July 1, 2017, we had no outstanding revolving loan obligation and had $5.5 million in outstanding letters of credit related to the revolving credit facility. Our first lien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8" w:name="page99"/>
    <w:bookmarkEnd w:id="9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60" w:firstLine="347"/>
        <w:spacing w:after="0" w:line="323" w:lineRule="auto"/>
        <w:rPr>
          <w:sz w:val="20"/>
          <w:szCs w:val="20"/>
          <w:color w:val="auto"/>
        </w:rPr>
      </w:pPr>
      <w:r>
        <w:rPr>
          <w:rFonts w:ascii="Arial" w:cs="Arial" w:eastAsia="Arial" w:hAnsi="Arial"/>
          <w:sz w:val="15"/>
          <w:szCs w:val="15"/>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Indebtedness.”</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jc w:val="both"/>
        <w:ind w:left="1" w:right="280" w:firstLine="347"/>
        <w:spacing w:after="0" w:line="271" w:lineRule="auto"/>
        <w:rPr>
          <w:sz w:val="20"/>
          <w:szCs w:val="20"/>
          <w:color w:val="auto"/>
        </w:rPr>
      </w:pPr>
      <w:r>
        <w:rPr>
          <w:rFonts w:ascii="Arial" w:cs="Arial" w:eastAsia="Arial" w:hAnsi="Arial"/>
          <w:sz w:val="17"/>
          <w:szCs w:val="17"/>
          <w:color w:val="auto"/>
        </w:rPr>
        <w:t>We are a party to three pay-fixed and receive-floating interest rate swap agreements to offset the variability of cash flows in LIBOR-indexed debt interest payments attributable to changes in the benchmark interest rate from March 13, 2017 to March 13, 2021 related to our first lien credit agreement and second lien credit agreement.</w:t>
      </w:r>
    </w:p>
    <w:p>
      <w:pPr>
        <w:spacing w:after="0" w:line="68" w:lineRule="exact"/>
        <w:rPr>
          <w:sz w:val="20"/>
          <w:szCs w:val="20"/>
          <w:color w:val="auto"/>
        </w:rPr>
      </w:pPr>
    </w:p>
    <w:p>
      <w:pPr>
        <w:jc w:val="both"/>
        <w:ind w:left="1" w:right="100" w:firstLine="347"/>
        <w:spacing w:after="0" w:line="321" w:lineRule="auto"/>
        <w:rPr>
          <w:sz w:val="20"/>
          <w:szCs w:val="20"/>
          <w:color w:val="auto"/>
        </w:rPr>
      </w:pPr>
      <w:r>
        <w:rPr>
          <w:rFonts w:ascii="Arial" w:cs="Arial" w:eastAsia="Arial" w:hAnsi="Arial"/>
          <w:sz w:val="15"/>
          <w:szCs w:val="15"/>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Our cash flow hedge position related to interest rate derivative contracts is as follows (Successor):</w:t>
      </w:r>
    </w:p>
    <w:tbl>
      <w:tblPr>
        <w:tblLayout w:type="fixed"/>
        <w:tblInd w:w="1"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Accumulated</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Final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payables and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7"/>
              </w:rPr>
              <w:t>Comprehensive</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Notional</w:t>
            </w: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Maturity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accrued</w:t>
            </w:r>
          </w:p>
        </w:tc>
        <w:tc>
          <w:tcPr>
            <w:tcW w:w="80" w:type="dxa"/>
            <w:vAlign w:val="bottom"/>
          </w:tcPr>
          <w:p>
            <w:pPr>
              <w:spacing w:after="0"/>
              <w:rPr>
                <w:sz w:val="13"/>
                <w:szCs w:val="13"/>
                <w:color w:val="auto"/>
              </w:rPr>
            </w:pPr>
          </w:p>
        </w:tc>
        <w:tc>
          <w:tcPr>
            <w:tcW w:w="84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Loss, Net of</w:t>
            </w:r>
          </w:p>
        </w:tc>
      </w:t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1"/>
              </w:rPr>
              <w:t>expenses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0"/>
              </w:rPr>
              <w:t>liabilities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5"/>
                <w:szCs w:val="15"/>
                <w:color w:val="auto"/>
              </w:rPr>
            </w:pPr>
          </w:p>
        </w:tc>
      </w:tr>
      <w:tr>
        <w:trPr>
          <w:trHeight w:val="228"/>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14,605</w:t>
            </w:r>
          </w:p>
        </w:tc>
        <w:tc>
          <w:tcPr>
            <w:tcW w:w="80" w:type="dxa"/>
            <w:vAlign w:val="bottom"/>
            <w:shd w:val="clear" w:color="auto" w:fill="CCEEFF"/>
          </w:tcPr>
          <w:p>
            <w:pPr>
              <w:spacing w:after="0"/>
              <w:rPr>
                <w:sz w:val="19"/>
                <w:szCs w:val="19"/>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15,518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14,556</w:t>
            </w:r>
          </w:p>
        </w:tc>
        <w:tc>
          <w:tcPr>
            <w:tcW w:w="80" w:type="dxa"/>
            <w:vAlign w:val="bottom"/>
          </w:tcPr>
          <w:p>
            <w:pPr>
              <w:spacing w:after="0"/>
              <w:rPr>
                <w:sz w:val="19"/>
                <w:szCs w:val="19"/>
                <w:color w:val="auto"/>
              </w:rPr>
            </w:pPr>
          </w:p>
        </w:tc>
      </w:tr>
      <w:tr>
        <w:trPr>
          <w:trHeight w:val="241"/>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January 2, 2016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80" w:type="dxa"/>
            <w:vAlign w:val="bottom"/>
            <w:shd w:val="clear" w:color="auto" w:fill="CCEEFF"/>
          </w:tcPr>
          <w:p>
            <w:pPr>
              <w:spacing w:after="0"/>
              <w:rPr>
                <w:sz w:val="20"/>
                <w:szCs w:val="20"/>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7"/>
                <w:szCs w:val="17"/>
                <w:color w:val="auto"/>
              </w:rPr>
              <w:t>As of January 3, 2015</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1120" w:type="dxa"/>
            <w:vAlign w:val="bottom"/>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11,555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7,056</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1" w:firstLine="347"/>
        <w:spacing w:after="0" w:line="296" w:lineRule="auto"/>
        <w:rPr>
          <w:sz w:val="20"/>
          <w:szCs w:val="20"/>
          <w:color w:val="auto"/>
        </w:rPr>
      </w:pPr>
      <w:r>
        <w:rPr>
          <w:rFonts w:ascii="Arial" w:cs="Arial" w:eastAsia="Arial" w:hAnsi="Arial"/>
          <w:sz w:val="16"/>
          <w:szCs w:val="16"/>
          <w:color w:val="auto"/>
        </w:rPr>
        <w:t>We designated these swap agreements as cash flow hedges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49"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We are required to net settle monthly with counterparties beginning in the second quarter of fiscal year 2017. These settlements will result in the reclassification into earnings of losses that are reported in accumulated other comprehensive loss. See Notes 3 and 11 in the unaudited condensed consolidated financial statements included elsewhere in this prospectus for further details relating to amounts reclassified or expected to be reclassified out of accumulated other comprehensive income into earnings for the six months ended July 1, 2017.</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Capital Expenditures</w:t>
      </w:r>
    </w:p>
    <w:p>
      <w:pPr>
        <w:spacing w:after="0" w:line="8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Ended July 1,</w:t>
            </w:r>
          </w:p>
        </w:tc>
        <w:tc>
          <w:tcPr>
            <w:tcW w:w="12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Full Year</w:t>
            </w:r>
          </w:p>
        </w:tc>
      </w:tr>
      <w:tr>
        <w:trPr>
          <w:trHeight w:val="193"/>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9"/>
              <w:spacing w:after="0" w:line="193" w:lineRule="exact"/>
              <w:rPr>
                <w:sz w:val="20"/>
                <w:szCs w:val="20"/>
                <w:color w:val="auto"/>
              </w:rPr>
            </w:pPr>
            <w:r>
              <w:rPr>
                <w:rFonts w:ascii="Arial" w:cs="Arial" w:eastAsia="Arial" w:hAnsi="Arial"/>
                <w:sz w:val="13"/>
                <w:szCs w:val="13"/>
                <w:b w:val="1"/>
                <w:bCs w:val="1"/>
                <w:color w:val="auto"/>
              </w:rPr>
              <w:t>2014</w:t>
            </w:r>
            <w:r>
              <w:rPr>
                <w:rFonts w:ascii="Arial" w:cs="Arial" w:eastAsia="Arial" w:hAnsi="Arial"/>
                <w:sz w:val="22"/>
                <w:szCs w:val="22"/>
                <w:b w:val="1"/>
                <w:bCs w:val="1"/>
                <w:color w:val="auto"/>
                <w:vertAlign w:val="superscript"/>
              </w:rPr>
              <w:t>(1)</w:t>
            </w:r>
          </w:p>
        </w:tc>
        <w:tc>
          <w:tcPr>
            <w:tcW w:w="80" w:type="dxa"/>
            <w:vAlign w:val="bottom"/>
          </w:tcPr>
          <w:p>
            <w:pPr>
              <w:spacing w:after="0"/>
              <w:rPr>
                <w:sz w:val="16"/>
                <w:szCs w:val="16"/>
                <w:color w:val="auto"/>
              </w:rPr>
            </w:pPr>
          </w:p>
        </w:tc>
      </w:tr>
      <w:tr>
        <w:trPr>
          <w:trHeight w:val="228"/>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stores (owned brands)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21,071</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41,509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33,281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27,042</w:t>
            </w:r>
          </w:p>
        </w:tc>
        <w:tc>
          <w:tcPr>
            <w:tcW w:w="80" w:type="dxa"/>
            <w:vAlign w:val="bottom"/>
            <w:shd w:val="clear" w:color="auto" w:fill="CCEEFF"/>
          </w:tcPr>
          <w:p>
            <w:pPr>
              <w:spacing w:after="0"/>
              <w:rPr>
                <w:sz w:val="19"/>
                <w:szCs w:val="19"/>
                <w:color w:val="auto"/>
              </w:rPr>
            </w:pPr>
          </w:p>
        </w:tc>
      </w:tr>
      <w:tr>
        <w:trPr>
          <w:trHeight w:val="228"/>
        </w:trPr>
        <w:tc>
          <w:tcPr>
            <w:tcW w:w="4200" w:type="dxa"/>
            <w:vAlign w:val="bottom"/>
            <w:gridSpan w:val="2"/>
          </w:tcPr>
          <w:p>
            <w:pPr>
              <w:spacing w:after="0"/>
              <w:rPr>
                <w:sz w:val="20"/>
                <w:szCs w:val="20"/>
                <w:color w:val="auto"/>
              </w:rPr>
            </w:pPr>
            <w:r>
              <w:rPr>
                <w:rFonts w:ascii="Arial" w:cs="Arial" w:eastAsia="Arial" w:hAnsi="Arial"/>
                <w:sz w:val="17"/>
                <w:szCs w:val="17"/>
                <w:color w:val="auto"/>
                <w:w w:val="93"/>
              </w:rPr>
              <w:t>Laboratories, distribution centers and optometric equipment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17,996</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15,264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7,592</w:t>
            </w:r>
          </w:p>
        </w:tc>
        <w:tc>
          <w:tcPr>
            <w:tcW w:w="80" w:type="dxa"/>
            <w:vAlign w:val="bottom"/>
          </w:tcPr>
          <w:p>
            <w:pPr>
              <w:spacing w:after="0"/>
              <w:rPr>
                <w:sz w:val="19"/>
                <w:szCs w:val="19"/>
                <w:color w:val="auto"/>
              </w:rPr>
            </w:pPr>
          </w:p>
        </w:tc>
      </w:tr>
      <w:tr>
        <w:trPr>
          <w:trHeight w:val="24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Maintenance and infrastructure</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28,612</w:t>
            </w:r>
          </w:p>
        </w:tc>
        <w:tc>
          <w:tcPr>
            <w:tcW w:w="1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17,387</w:t>
            </w:r>
          </w:p>
        </w:tc>
        <w:tc>
          <w:tcPr>
            <w:tcW w:w="80" w:type="dxa"/>
            <w:vAlign w:val="bottom"/>
            <w:shd w:val="clear" w:color="auto" w:fill="CCEEFF"/>
          </w:tcPr>
          <w:p>
            <w:pPr>
              <w:spacing w:after="0"/>
              <w:rPr>
                <w:sz w:val="20"/>
                <w:szCs w:val="20"/>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44,219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90,026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77,157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52,021</w:t>
            </w:r>
          </w:p>
        </w:tc>
        <w:tc>
          <w:tcPr>
            <w:tcW w:w="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1380" w:type="dxa"/>
            <w:vAlign w:val="bottom"/>
            <w:tcBorders>
              <w:bottom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9" w:lineRule="exact"/>
        <w:rPr>
          <w:sz w:val="20"/>
          <w:szCs w:val="20"/>
          <w:color w:val="auto"/>
        </w:rPr>
      </w:pPr>
    </w:p>
    <w:p>
      <w:pPr>
        <w:ind w:left="341" w:right="380" w:hanging="341"/>
        <w:spacing w:after="0" w:line="245" w:lineRule="auto"/>
        <w:tabs>
          <w:tab w:leader="none" w:pos="3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combined capital expenditures of the Predecessor and the Successor periods for the full year 2014. This combination was performed by mathematical addition and is not a presentation made in accordance with GAAP. However, we believe it provides a meaningful method of comparison of capital expenditures for the full year 2014 to the other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9" w:name="page100"/>
    <w:bookmarkEnd w:id="9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 and Commercial Commitments</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As of July 1, 2017, our lease commitments and contractual obligations are as follows:</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Thereafter</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Term loans</w:t>
            </w:r>
            <w:r>
              <w:rPr>
                <w:rFonts w:ascii="Arial" w:cs="Arial" w:eastAsia="Arial" w:hAnsi="Arial"/>
                <w:sz w:val="27"/>
                <w:szCs w:val="27"/>
                <w:color w:val="auto"/>
                <w:vertAlign w:val="superscript"/>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8,315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775,340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929,442</w:t>
            </w:r>
          </w:p>
        </w:tc>
      </w:tr>
      <w:tr>
        <w:trPr>
          <w:trHeight w:val="235"/>
        </w:trPr>
        <w:tc>
          <w:tcPr>
            <w:tcW w:w="2320" w:type="dxa"/>
            <w:vAlign w:val="bottom"/>
            <w:gridSpan w:val="2"/>
          </w:tcPr>
          <w:p>
            <w:pPr>
              <w:spacing w:after="0" w:line="235"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7"/>
                <w:szCs w:val="27"/>
                <w:color w:val="auto"/>
                <w:vertAlign w:val="superscript"/>
              </w:rPr>
              <w:t>(b)</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Estimated interest</w:t>
            </w:r>
            <w:r>
              <w:rPr>
                <w:rFonts w:ascii="Arial" w:cs="Arial" w:eastAsia="Arial" w:hAnsi="Arial"/>
                <w:sz w:val="27"/>
                <w:szCs w:val="27"/>
                <w:color w:val="auto"/>
                <w:vertAlign w:val="superscript"/>
              </w:rPr>
              <w:t>(c)</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20,714</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40,946</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40,300</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40,099</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15,509</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1,922</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159,490</w:t>
            </w:r>
          </w:p>
        </w:tc>
      </w:tr>
      <w:tr>
        <w:trPr>
          <w:trHeight w:val="198"/>
        </w:trPr>
        <w:tc>
          <w:tcPr>
            <w:tcW w:w="2320" w:type="dxa"/>
            <w:vAlign w:val="bottom"/>
            <w:gridSpan w:val="2"/>
          </w:tcPr>
          <w:p>
            <w:pPr>
              <w:spacing w:after="0"/>
              <w:rPr>
                <w:sz w:val="20"/>
                <w:szCs w:val="20"/>
                <w:color w:val="auto"/>
              </w:rPr>
            </w:pPr>
            <w:r>
              <w:rPr>
                <w:rFonts w:ascii="Arial" w:cs="Arial" w:eastAsia="Arial" w:hAnsi="Arial"/>
                <w:sz w:val="17"/>
                <w:szCs w:val="17"/>
                <w:color w:val="auto"/>
              </w:rPr>
              <w:t>Non-cancelable operating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2320" w:type="dxa"/>
            <w:vAlign w:val="bottom"/>
            <w:gridSpan w:val="2"/>
          </w:tcPr>
          <w:p>
            <w:pPr>
              <w:ind w:left="180"/>
              <w:spacing w:after="0" w:line="245" w:lineRule="exact"/>
              <w:rPr>
                <w:sz w:val="20"/>
                <w:szCs w:val="20"/>
                <w:color w:val="auto"/>
              </w:rPr>
            </w:pPr>
            <w:r>
              <w:rPr>
                <w:rFonts w:ascii="Arial" w:cs="Arial" w:eastAsia="Arial" w:hAnsi="Arial"/>
                <w:sz w:val="17"/>
                <w:szCs w:val="17"/>
                <w:color w:val="auto"/>
              </w:rPr>
              <w:t>leases</w:t>
            </w:r>
            <w:r>
              <w:rPr>
                <w:rFonts w:ascii="Arial" w:cs="Arial" w:eastAsia="Arial" w:hAnsi="Arial"/>
                <w:sz w:val="28"/>
                <w:szCs w:val="28"/>
                <w:color w:val="auto"/>
                <w:vertAlign w:val="superscript"/>
              </w:rPr>
              <w:t>(d)</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37,614</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64,324</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53,428</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41,238</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27,373</w:t>
            </w: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64,384</w:t>
            </w: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288,361</w:t>
            </w: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Capital leases</w:t>
            </w:r>
            <w:r>
              <w:rPr>
                <w:rFonts w:ascii="Arial" w:cs="Arial" w:eastAsia="Arial" w:hAnsi="Arial"/>
                <w:sz w:val="27"/>
                <w:szCs w:val="27"/>
                <w:color w:val="auto"/>
                <w:vertAlign w:val="superscript"/>
              </w:rPr>
              <w:t>(e)</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1,556</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5,555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12,590</w:t>
            </w:r>
          </w:p>
        </w:tc>
      </w:tr>
      <w:tr>
        <w:trPr>
          <w:trHeight w:val="222"/>
        </w:trPr>
        <w:tc>
          <w:tcPr>
            <w:tcW w:w="2320" w:type="dxa"/>
            <w:vAlign w:val="bottom"/>
            <w:gridSpan w:val="2"/>
          </w:tcPr>
          <w:p>
            <w:pPr>
              <w:spacing w:after="0" w:line="222" w:lineRule="exact"/>
              <w:rPr>
                <w:sz w:val="20"/>
                <w:szCs w:val="20"/>
                <w:color w:val="auto"/>
              </w:rPr>
            </w:pPr>
            <w:r>
              <w:rPr>
                <w:rFonts w:ascii="Arial" w:cs="Arial" w:eastAsia="Arial" w:hAnsi="Arial"/>
                <w:sz w:val="16"/>
                <w:szCs w:val="16"/>
                <w:color w:val="auto"/>
              </w:rPr>
              <w:t>Other commitments</w:t>
            </w:r>
            <w:r>
              <w:rPr>
                <w:rFonts w:ascii="Arial" w:cs="Arial" w:eastAsia="Arial" w:hAnsi="Arial"/>
                <w:sz w:val="25"/>
                <w:szCs w:val="25"/>
                <w:color w:val="auto"/>
                <w:vertAlign w:val="superscript"/>
              </w:rPr>
              <w:t>(f)</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4,300</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3,300</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9,200</w:t>
            </w:r>
          </w:p>
        </w:tc>
      </w:tr>
      <w:tr>
        <w:trPr>
          <w:trHeight w:val="26"/>
        </w:trPr>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65,142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119,919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106,899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90,905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819,357</w:t>
            </w:r>
          </w:p>
        </w:tc>
        <w:tc>
          <w:tcPr>
            <w:tcW w:w="2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196,861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1,399,083</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bl>
    <w:p>
      <w:pPr>
        <w:spacing w:after="0" w:line="99" w:lineRule="exact"/>
        <w:rPr>
          <w:sz w:val="20"/>
          <w:szCs w:val="20"/>
          <w:color w:val="auto"/>
        </w:rPr>
      </w:pPr>
    </w:p>
    <w:p>
      <w:pPr>
        <w:ind w:left="341" w:right="40" w:hanging="341"/>
        <w:spacing w:after="0" w:line="296" w:lineRule="auto"/>
        <w:tabs>
          <w:tab w:leader="none" w:pos="341"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first lien credit agreement is payable in equal installments of $2.1 million on the last business day of each of our fiscal quarters. No principal payments are required under the second lien credit agreement until all of our obligations under the first lien credit agreement have been discharged.</w:t>
      </w:r>
    </w:p>
    <w:p>
      <w:pPr>
        <w:spacing w:after="0" w:line="48" w:lineRule="exact"/>
        <w:rPr>
          <w:rFonts w:ascii="Arial" w:cs="Arial" w:eastAsia="Arial" w:hAnsi="Arial"/>
          <w:sz w:val="13"/>
          <w:szCs w:val="13"/>
          <w:color w:val="auto"/>
        </w:rPr>
      </w:pPr>
    </w:p>
    <w:p>
      <w:pPr>
        <w:ind w:left="341" w:right="220" w:hanging="341"/>
        <w:spacing w:after="0" w:line="258"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 of July 1, 2017, we had no outstanding revolving loan obligation and had $5.5 million in outstanding letters of credit under our first lien revolving credit facility.</w:t>
      </w:r>
    </w:p>
    <w:p>
      <w:pPr>
        <w:spacing w:after="0" w:line="71" w:lineRule="exact"/>
        <w:rPr>
          <w:rFonts w:ascii="Arial" w:cs="Arial" w:eastAsia="Arial" w:hAnsi="Arial"/>
          <w:sz w:val="14"/>
          <w:szCs w:val="14"/>
          <w:color w:val="auto"/>
        </w:rPr>
      </w:pPr>
    </w:p>
    <w:p>
      <w:pPr>
        <w:ind w:left="341" w:right="120" w:hanging="341"/>
        <w:spacing w:after="0" w:line="241"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loans based on our current interest elections described in “Liquidity and Capital Resources.” Amounts and timing may be different from our estimated interest payments due to potential voluntary prepayments, borrowings and interest rate fluctuations. See “Liquidity and Capital Resources—Debt—Interest Rate Derivatives” above for details relating to expected obligations on our hedging instruments, which are excluded from estimated interest presented in the table above.</w:t>
      </w:r>
    </w:p>
    <w:p>
      <w:pPr>
        <w:spacing w:after="0" w:line="83" w:lineRule="exact"/>
        <w:rPr>
          <w:rFonts w:ascii="Arial" w:cs="Arial" w:eastAsia="Arial" w:hAnsi="Arial"/>
          <w:sz w:val="14"/>
          <w:szCs w:val="14"/>
          <w:color w:val="auto"/>
        </w:rPr>
      </w:pPr>
    </w:p>
    <w:p>
      <w:pPr>
        <w:ind w:left="341" w:right="280" w:hanging="341"/>
        <w:spacing w:after="0" w:line="241" w:lineRule="auto"/>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w:t>
      </w:r>
    </w:p>
    <w:p>
      <w:pPr>
        <w:spacing w:after="0" w:line="83" w:lineRule="exact"/>
        <w:rPr>
          <w:rFonts w:ascii="Arial" w:cs="Arial" w:eastAsia="Arial" w:hAnsi="Arial"/>
          <w:sz w:val="14"/>
          <w:szCs w:val="14"/>
          <w:color w:val="auto"/>
        </w:rPr>
      </w:pPr>
    </w:p>
    <w:p>
      <w:pPr>
        <w:ind w:left="341" w:right="60" w:hanging="341"/>
        <w:spacing w:after="0" w:line="295" w:lineRule="auto"/>
        <w:tabs>
          <w:tab w:leader="none" w:pos="341" w:val="left"/>
        </w:tabs>
        <w:numPr>
          <w:ilvl w:val="0"/>
          <w:numId w:val="69"/>
        </w:numPr>
        <w:rPr>
          <w:rFonts w:ascii="Arial" w:cs="Arial" w:eastAsia="Arial" w:hAnsi="Arial"/>
          <w:sz w:val="12"/>
          <w:szCs w:val="12"/>
          <w:color w:val="auto"/>
        </w:rPr>
      </w:pPr>
      <w:r>
        <w:rPr>
          <w:rFonts w:ascii="Arial" w:cs="Arial" w:eastAsia="Arial" w:hAnsi="Arial"/>
          <w:sz w:val="12"/>
          <w:szCs w:val="12"/>
          <w:color w:val="auto"/>
        </w:rPr>
        <w:t>For leases classified as capital leases, the capital lease asset is recorded as property and equipment and a corresponding amount is recorded as a long-term debt obligation in the consolidated balance sheets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 Capital lease amounts above represent required contractual cash payments in the periods presented.</w:t>
      </w:r>
    </w:p>
    <w:p>
      <w:pPr>
        <w:spacing w:after="0" w:line="51" w:lineRule="exact"/>
        <w:rPr>
          <w:rFonts w:ascii="Arial" w:cs="Arial" w:eastAsia="Arial" w:hAnsi="Arial"/>
          <w:sz w:val="12"/>
          <w:szCs w:val="12"/>
          <w:color w:val="auto"/>
        </w:rPr>
      </w:pPr>
    </w:p>
    <w:p>
      <w:pPr>
        <w:ind w:left="341" w:hanging="341"/>
        <w:spacing w:after="0"/>
        <w:tabs>
          <w:tab w:leader="none" w:pos="341" w:val="left"/>
        </w:tabs>
        <w:numPr>
          <w:ilvl w:val="0"/>
          <w:numId w:val="69"/>
        </w:numPr>
        <w:rPr>
          <w:rFonts w:ascii="Arial" w:cs="Arial" w:eastAsia="Arial" w:hAnsi="Arial"/>
          <w:sz w:val="14"/>
          <w:szCs w:val="14"/>
          <w:color w:val="auto"/>
        </w:rPr>
      </w:pPr>
      <w:r>
        <w:rPr>
          <w:rFonts w:ascii="Arial" w:cs="Arial" w:eastAsia="Arial" w:hAnsi="Arial"/>
          <w:sz w:val="14"/>
          <w:szCs w:val="14"/>
          <w:color w:val="auto"/>
        </w:rPr>
        <w:t>Other commitments include contributions made to our philanthropic endeavors and marketing and promotional agreements.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left="1" w:right="40" w:firstLine="347"/>
        <w:spacing w:after="0" w:line="312" w:lineRule="auto"/>
        <w:rPr>
          <w:sz w:val="20"/>
          <w:szCs w:val="20"/>
          <w:color w:val="auto"/>
        </w:rPr>
      </w:pPr>
      <w:r>
        <w:rPr>
          <w:rFonts w:ascii="Arial" w:cs="Arial" w:eastAsia="Arial" w:hAnsi="Arial"/>
          <w:sz w:val="15"/>
          <w:szCs w:val="15"/>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our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75" w:lineRule="exact"/>
        <w:rPr>
          <w:sz w:val="20"/>
          <w:szCs w:val="20"/>
          <w:color w:val="auto"/>
        </w:rPr>
      </w:pPr>
    </w:p>
    <w:p>
      <w:pPr>
        <w:ind w:left="1" w:right="60" w:firstLine="347"/>
        <w:spacing w:after="0" w:line="301" w:lineRule="auto"/>
        <w:rPr>
          <w:sz w:val="20"/>
          <w:szCs w:val="20"/>
          <w:color w:val="auto"/>
        </w:rPr>
      </w:pPr>
      <w:r>
        <w:rPr>
          <w:rFonts w:ascii="Arial" w:cs="Arial" w:eastAsia="Arial" w:hAnsi="Arial"/>
          <w:sz w:val="15"/>
          <w:szCs w:val="15"/>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and Significant Accounting Policies</w:t>
      </w:r>
      <w:r>
        <w:rPr>
          <w:rFonts w:ascii="Arial" w:cs="Arial" w:eastAsia="Arial" w:hAnsi="Arial"/>
          <w:sz w:val="15"/>
          <w:szCs w:val="15"/>
          <w:color w:val="auto"/>
        </w:rPr>
        <w:t>, to our audited consolidated financial statements included elsewhere in this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right="80" w:firstLine="347"/>
        <w:spacing w:after="0" w:line="323" w:lineRule="auto"/>
        <w:rPr>
          <w:sz w:val="20"/>
          <w:szCs w:val="20"/>
          <w:color w:val="auto"/>
        </w:rPr>
      </w:pPr>
      <w:r>
        <w:rPr>
          <w:rFonts w:ascii="Arial" w:cs="Arial" w:eastAsia="Arial" w:hAnsi="Arial"/>
          <w:sz w:val="15"/>
          <w:szCs w:val="15"/>
          <w:color w:val="auto"/>
        </w:rPr>
        <w:t>Property and equipment, or P&amp;E, is stated at cost less accumulated depreciation. When we retire or otherwise dispose of P&amp;E, the cost and related accumulated depreciation are removed from the accounts and record any gain or loss on sale of such assets. Major replacements, remodeling, or betterments are capitalized. Expenditures for maintenance and repairs are expensed.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not amortized and are evaluated annually for impairment.</w:t>
      </w:r>
    </w:p>
    <w:p>
      <w:pPr>
        <w:spacing w:after="0" w:line="54" w:lineRule="exact"/>
        <w:rPr>
          <w:sz w:val="20"/>
          <w:szCs w:val="20"/>
          <w:color w:val="auto"/>
        </w:rPr>
      </w:pPr>
    </w:p>
    <w:p>
      <w:pPr>
        <w:ind w:right="160" w:firstLine="347"/>
        <w:spacing w:after="0" w:line="271" w:lineRule="auto"/>
        <w:rPr>
          <w:sz w:val="20"/>
          <w:szCs w:val="20"/>
          <w:color w:val="auto"/>
        </w:rPr>
      </w:pPr>
      <w:r>
        <w:rPr>
          <w:rFonts w:ascii="Arial" w:cs="Arial" w:eastAsia="Arial" w:hAnsi="Arial"/>
          <w:sz w:val="17"/>
          <w:szCs w:val="17"/>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right="440" w:firstLine="347"/>
        <w:spacing w:after="0" w:line="266"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P&amp;E</w:t>
      </w:r>
    </w:p>
    <w:p>
      <w:pPr>
        <w:spacing w:after="0" w:line="117" w:lineRule="exact"/>
        <w:rPr>
          <w:sz w:val="20"/>
          <w:szCs w:val="20"/>
          <w:color w:val="auto"/>
        </w:rPr>
      </w:pPr>
    </w:p>
    <w:p>
      <w:pPr>
        <w:ind w:right="160" w:firstLine="347"/>
        <w:spacing w:after="0" w:line="284" w:lineRule="auto"/>
        <w:rPr>
          <w:sz w:val="20"/>
          <w:szCs w:val="20"/>
          <w:color w:val="auto"/>
        </w:rPr>
      </w:pPr>
      <w:r>
        <w:rPr>
          <w:rFonts w:ascii="Arial" w:cs="Arial" w:eastAsia="Arial" w:hAnsi="Arial"/>
          <w:sz w:val="16"/>
          <w:szCs w:val="16"/>
          <w:color w:val="auto"/>
        </w:rPr>
        <w:t>We evaluate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59"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goodwill and intangible assets</w:t>
      </w:r>
    </w:p>
    <w:p>
      <w:pPr>
        <w:spacing w:after="0" w:line="117" w:lineRule="exact"/>
        <w:rPr>
          <w:sz w:val="20"/>
          <w:szCs w:val="20"/>
          <w:color w:val="auto"/>
        </w:rPr>
      </w:pPr>
    </w:p>
    <w:p>
      <w:pPr>
        <w:ind w:right="200" w:firstLine="347"/>
        <w:spacing w:after="0" w:line="266"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w:t>
      </w:r>
    </w:p>
    <w:p>
      <w:pPr>
        <w:spacing w:after="0" w:line="72"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We record an impairment loss as the excess of carrying value over estimated fair value.</w:t>
      </w:r>
    </w:p>
    <w:p>
      <w:pPr>
        <w:spacing w:after="0" w:line="76"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Historically, we have utilized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and require significant judgment. In the first quarter 2017, we adopted new guidance that eliminates the second step in the goodwill impairment analysis. Accordingly, our policy now requires us to record goodwill impairment in an amount by which a reporting unit’s carrying value exceeds its fair value not to exceed the carrying value of goodwill.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Revenue Recognition</w:t>
      </w:r>
    </w:p>
    <w:p>
      <w:pPr>
        <w:spacing w:after="0" w:line="117"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located in Walmart stores, for laboratory services to Walmart, and fulfillment fees earned by AC Lens.</w:t>
      </w:r>
    </w:p>
    <w:p>
      <w:pPr>
        <w:spacing w:after="0" w:line="76" w:lineRule="exact"/>
        <w:rPr>
          <w:sz w:val="20"/>
          <w:szCs w:val="20"/>
          <w:color w:val="auto"/>
        </w:rPr>
      </w:pPr>
    </w:p>
    <w:p>
      <w:pPr>
        <w:ind w:right="40" w:firstLine="347"/>
        <w:spacing w:after="0" w:line="307" w:lineRule="auto"/>
        <w:rPr>
          <w:sz w:val="20"/>
          <w:szCs w:val="20"/>
          <w:color w:val="auto"/>
        </w:rPr>
      </w:pPr>
      <w:r>
        <w:rPr>
          <w:rFonts w:ascii="Arial" w:cs="Arial" w:eastAsia="Arial" w:hAnsi="Arial"/>
          <w:sz w:val="15"/>
          <w:szCs w:val="15"/>
          <w:color w:val="auto"/>
        </w:rPr>
        <w:t>Our retail customers generally make payments for prescription eyewear products at the time they place an order. Amounts we collect in advance for undelivered merchandise are reported as unearned revenue. Unearned revenue at the end of a reporting period is estimated based on delivery times throughout the concurrent month and generally ranges from four to ten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our legacy agreements, we earn management fees as a result of providing services to our legacy partner.</w:t>
      </w:r>
    </w:p>
    <w:p>
      <w:pPr>
        <w:spacing w:after="0" w:line="117" w:lineRule="exact"/>
        <w:rPr>
          <w:sz w:val="20"/>
          <w:szCs w:val="20"/>
          <w:color w:val="auto"/>
        </w:rPr>
      </w:pPr>
    </w:p>
    <w:p>
      <w:pPr>
        <w:ind w:right="100" w:firstLine="347"/>
        <w:spacing w:after="0" w:line="281" w:lineRule="auto"/>
        <w:rPr>
          <w:sz w:val="20"/>
          <w:szCs w:val="20"/>
          <w:color w:val="auto"/>
        </w:rPr>
      </w:pPr>
      <w:r>
        <w:rPr>
          <w:rFonts w:ascii="Arial" w:cs="Arial" w:eastAsia="Arial" w:hAnsi="Arial"/>
          <w:sz w:val="16"/>
          <w:szCs w:val="16"/>
          <w:color w:val="auto"/>
        </w:rPr>
        <w:t>At our America’s Best brand, our lead offer is two pairs of eyeglasses and a free eye exam for one low price (“two-pair deal”). We concluded the offer represents a multiple element arrangement. We have determined that the eye examinations sold to our America’s Best customers within its two-pair deal represent a separate unit of accounting. However, the arrangement with the customer requires delivery of acceptable prescription eyeglasses, otherwise we refund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3" w:lineRule="exact"/>
        <w:rPr>
          <w:sz w:val="20"/>
          <w:szCs w:val="20"/>
          <w:color w:val="auto"/>
        </w:rPr>
      </w:pPr>
    </w:p>
    <w:p>
      <w:pPr>
        <w:jc w:val="both"/>
        <w:ind w:firstLine="347"/>
        <w:spacing w:after="0" w:line="288" w:lineRule="auto"/>
        <w:rPr>
          <w:sz w:val="20"/>
          <w:szCs w:val="20"/>
          <w:color w:val="auto"/>
        </w:rPr>
      </w:pPr>
      <w:r>
        <w:rPr>
          <w:rFonts w:ascii="Arial" w:cs="Arial" w:eastAsia="Arial" w:hAnsi="Arial"/>
          <w:sz w:val="16"/>
          <w:szCs w:val="16"/>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subsidiary, FirstSight. We recognize service revenue under these programs on a straight-line basis over the warranty or service period. Amounts collected in advance for these programs are reported as deferred revenue.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We lease our owned &amp; host stores, optometric examination offices, distribution centers, vehicles, office space and optical laboratories, with the exception of our St. Cloud, Minnesota lab, which we own. Rent expense on operating leases is recorded in SG&amp;A on a straight-line basis over the term of the lease, commencing on the date we take possession of the leased property. Generally, we are required to pay base rent, real estate taxes, maintenance and insurance. Certain of our lease agreements include rent holidays and rent escalation provisions and may include contingent rent provisions for percentage of sales in excess of specified levels. We recognize rent holidays, including the time period during which we have control of the property prior to the opening of the store, as well as escalating rent provisions, as deferred rent expense and amortize these balances on a straight-line basis over the term of the lease.</w:t>
      </w:r>
    </w:p>
    <w:p>
      <w:pPr>
        <w:spacing w:after="0" w:line="79"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For leases classified as capital leases, the capital lease asset is recorded as P&amp;E and a corresponding amount is recorded as a long-term debt obligation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w:t>
      </w:r>
    </w:p>
    <w:p>
      <w:pPr>
        <w:spacing w:after="0" w:line="72" w:lineRule="exact"/>
        <w:rPr>
          <w:sz w:val="20"/>
          <w:szCs w:val="20"/>
          <w:color w:val="auto"/>
        </w:rPr>
      </w:pPr>
    </w:p>
    <w:p>
      <w:pPr>
        <w:ind w:right="160" w:firstLine="347"/>
        <w:spacing w:after="0" w:line="320" w:lineRule="auto"/>
        <w:rPr>
          <w:sz w:val="20"/>
          <w:szCs w:val="20"/>
          <w:color w:val="auto"/>
        </w:rPr>
      </w:pPr>
      <w:r>
        <w:rPr>
          <w:rFonts w:ascii="Arial" w:cs="Arial" w:eastAsia="Arial" w:hAnsi="Arial"/>
          <w:sz w:val="16"/>
          <w:szCs w:val="16"/>
          <w:color w:val="auto"/>
        </w:rPr>
        <w:t>Tenant improvement allowances, or TIAs, are contractual amounts received by a lessee from a lessor for improvements made to leased properties by the lessee, and are amortized against rent expense over the life of the respective leases.</w:t>
      </w:r>
    </w:p>
    <w:p>
      <w:pPr>
        <w:spacing w:after="0" w:line="31" w:lineRule="exact"/>
        <w:rPr>
          <w:sz w:val="20"/>
          <w:szCs w:val="20"/>
          <w:color w:val="auto"/>
        </w:rPr>
      </w:pPr>
    </w:p>
    <w:p>
      <w:pPr>
        <w:jc w:val="both"/>
        <w:ind w:right="60" w:firstLine="347"/>
        <w:spacing w:after="0" w:line="296" w:lineRule="auto"/>
        <w:rPr>
          <w:sz w:val="20"/>
          <w:szCs w:val="20"/>
          <w:color w:val="auto"/>
        </w:rPr>
      </w:pPr>
      <w:r>
        <w:rPr>
          <w:rFonts w:ascii="Arial" w:cs="Arial" w:eastAsia="Arial" w:hAnsi="Arial"/>
          <w:sz w:val="16"/>
          <w:szCs w:val="16"/>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ind w:firstLine="347"/>
        <w:spacing w:after="0" w:line="301" w:lineRule="auto"/>
        <w:rPr>
          <w:sz w:val="20"/>
          <w:szCs w:val="20"/>
          <w:color w:val="auto"/>
        </w:rPr>
      </w:pPr>
      <w:r>
        <w:rPr>
          <w:rFonts w:ascii="Arial" w:cs="Arial" w:eastAsia="Arial" w:hAnsi="Arial"/>
          <w:sz w:val="15"/>
          <w:szCs w:val="15"/>
          <w:color w:val="auto"/>
        </w:rPr>
        <w:t>We account for deferred income taxes based on the asset and liability method. We must make certain estimates and judgments in determining income tax expense. We are required to determine the aggregate amount of income tax expense to accrue and the amount which will be currently payable or refundable based upon tax statutes of each jurisdiction in which we do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w:t>
      </w:r>
    </w:p>
    <w:p>
      <w:pPr>
        <w:spacing w:after="0" w:line="50"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2"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8"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or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Reserves for shrinkage are estimated and recorded throughout the period as a percentage of cost of inventory based on historical results and current inventory levels. Actual shrinkage is recorded throughout the year based upon periodic physical counts.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on an undiscounted basis.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right="60" w:firstLine="347"/>
        <w:spacing w:after="0" w:line="307" w:lineRule="auto"/>
        <w:rPr>
          <w:sz w:val="20"/>
          <w:szCs w:val="20"/>
          <w:color w:val="auto"/>
        </w:rPr>
      </w:pPr>
      <w:r>
        <w:rPr>
          <w:rFonts w:ascii="Arial" w:cs="Arial" w:eastAsia="Arial" w:hAnsi="Arial"/>
          <w:sz w:val="15"/>
          <w:szCs w:val="15"/>
          <w:color w:val="auto"/>
        </w:rPr>
        <w:t>We use interest rate swaps to manage our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The effective portion of the gain or loss on the derivatives is reclassified into 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72"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6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3"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In May 2014, the Financial Accounting Standards Board, or FASB, issued Accounting Standards Update, or ASU, 2014-09, Revenue from Contracts with Customers,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Principal versus Agent Considerations (Reporting Revenue Gross versus Net) in March 2016, and ASU 2016-10, Identifying Performance Obligations and Licensing in April 2016. The guidance is effective for fiscal years beginning after December 15, 2017, and interim reporting periods within that fiscal year. We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and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71" w:lineRule="exact"/>
        <w:rPr>
          <w:sz w:val="20"/>
          <w:szCs w:val="20"/>
          <w:color w:val="auto"/>
        </w:rPr>
      </w:pPr>
    </w:p>
    <w:p>
      <w:pPr>
        <w:ind w:right="60" w:firstLine="347"/>
        <w:spacing w:after="0" w:line="298" w:lineRule="auto"/>
        <w:rPr>
          <w:sz w:val="20"/>
          <w:szCs w:val="20"/>
          <w:color w:val="auto"/>
        </w:rPr>
      </w:pPr>
      <w:r>
        <w:rPr>
          <w:rFonts w:ascii="Arial" w:cs="Arial" w:eastAsia="Arial" w:hAnsi="Arial"/>
          <w:sz w:val="15"/>
          <w:szCs w:val="15"/>
          <w:color w:val="auto"/>
        </w:rPr>
        <w:t>In February 2016, the FASB issued ASU 2016-02, Leases. The new guidance establishes a right-of-use, or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We will adopt this new guidance in the first quarter of 2019. We are evaluating the impact of implementation of this new guidance on our consolidated financial statements, but expect that adoption will have a material impact to our total assets and liabilities since we have a significant number of operating leases not currently recognized on our consolidated balance sheets.</w:t>
      </w:r>
    </w:p>
    <w:p>
      <w:pPr>
        <w:spacing w:after="0" w:line="54"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For additional information on recently issued accounting pronouncements, see Note 1 to our unaudited condensed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7"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firstLine="347"/>
        <w:spacing w:after="0" w:line="296" w:lineRule="auto"/>
        <w:rPr>
          <w:sz w:val="20"/>
          <w:szCs w:val="20"/>
          <w:color w:val="auto"/>
        </w:rPr>
      </w:pPr>
      <w:r>
        <w:rPr>
          <w:rFonts w:ascii="Arial" w:cs="Arial" w:eastAsia="Arial" w:hAnsi="Arial"/>
          <w:sz w:val="16"/>
          <w:szCs w:val="16"/>
          <w:color w:val="auto"/>
        </w:rPr>
        <w:t xml:space="preserve">We have market risk exposure from changes in interest rates. We, when appropriate, use derivative financial instruments to mitigate the risk from such exposure. A discussion of our accounting policies for derivative financial instruments is included in Note 8, </w:t>
      </w:r>
      <w:r>
        <w:rPr>
          <w:rFonts w:ascii="Arial" w:cs="Arial" w:eastAsia="Arial" w:hAnsi="Arial"/>
          <w:sz w:val="16"/>
          <w:szCs w:val="16"/>
          <w:i w:val="1"/>
          <w:iCs w:val="1"/>
          <w:color w:val="auto"/>
        </w:rPr>
        <w:t>Interest Rate Derivatives</w:t>
      </w:r>
      <w:r>
        <w:rPr>
          <w:rFonts w:ascii="Arial" w:cs="Arial" w:eastAsia="Arial" w:hAnsi="Arial"/>
          <w:sz w:val="16"/>
          <w:szCs w:val="16"/>
          <w:color w:val="auto"/>
        </w:rPr>
        <w:t>, to our audited consolidated financial statements included elsewhere in this prospectus.</w:t>
      </w:r>
    </w:p>
    <w:p>
      <w:pPr>
        <w:spacing w:after="0" w:line="49" w:lineRule="exact"/>
        <w:rPr>
          <w:sz w:val="20"/>
          <w:szCs w:val="20"/>
          <w:color w:val="auto"/>
        </w:rPr>
      </w:pPr>
    </w:p>
    <w:p>
      <w:pPr>
        <w:ind w:right="100" w:firstLine="347"/>
        <w:spacing w:after="0" w:line="280"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bank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w:t>
      </w:r>
    </w:p>
    <w:p>
      <w:pPr>
        <w:spacing w:after="0" w:line="62"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As of July 1, 2017, all of our $929.4 million in term loan debt was subject to variable interest rates, subject to a weighted average borrowing rate of 4.50%. After inclusion of the notional amount of $500.0 million of interest rate swaps fixing a portion of the variable rate debt, $429.4 million, or 46.2% of our debt is subject to variable rates. Assuming an increase to market rates of 1% as of July 1, 2017, we would incur an annual increase to interest expense of approximately $4.3 million related to debt subject to variable rates.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5" w:name="page106"/>
    <w:bookmarkEnd w:id="10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1" w:right="59" w:firstLine="347"/>
        <w:spacing w:after="0" w:line="280"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62" w:lineRule="exact"/>
        <w:rPr>
          <w:sz w:val="20"/>
          <w:szCs w:val="20"/>
          <w:color w:val="auto"/>
        </w:rPr>
      </w:pPr>
    </w:p>
    <w:p>
      <w:pPr>
        <w:ind w:left="1" w:right="39" w:firstLine="347"/>
        <w:spacing w:after="0" w:line="303" w:lineRule="auto"/>
        <w:rPr>
          <w:sz w:val="20"/>
          <w:szCs w:val="20"/>
          <w:color w:val="auto"/>
        </w:rPr>
      </w:pPr>
      <w:r>
        <w:rPr>
          <w:rFonts w:ascii="Arial" w:cs="Arial" w:eastAsia="Arial" w:hAnsi="Arial"/>
          <w:sz w:val="15"/>
          <w:szCs w:val="15"/>
          <w:color w:val="auto"/>
        </w:rPr>
        <w:t>We believe our focus on the value segment, breadth of product assortment, committed employees and consultative selling approach generate customer goodwill for our brands. By targeting the high-growth value segment, we have grown revenue at three times the rate of the U.S. optical retail industry over the past five years, gained significant market share and generated a record 62 consecutive quarters of positive comparable store sales growth. Our long-serving and motivated management team of optical retail experts has delivered a highly-consistent track record of strong results. The current team, averaging 23 years of optical or similar retail experience, has been a cohesive unit averaging 13 years at National Vision, with low senior management turnover.</w:t>
      </w:r>
    </w:p>
    <w:p>
      <w:pPr>
        <w:spacing w:after="0" w:line="49"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chart depicts our comparable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82550</wp:posOffset>
            </wp:positionV>
            <wp:extent cx="4801235" cy="32613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01235" cy="326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1" w:right="219" w:hanging="341"/>
        <w:spacing w:after="0" w:line="258" w:lineRule="auto"/>
        <w:tabs>
          <w:tab w:leader="none" w:pos="3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 month “transition” period following our acquisition of Eyeglass World.</w:t>
      </w:r>
    </w:p>
    <w:p>
      <w:pPr>
        <w:spacing w:after="0" w:line="71" w:lineRule="exact"/>
        <w:rPr>
          <w:rFonts w:ascii="Arial" w:cs="Arial" w:eastAsia="Arial" w:hAnsi="Arial"/>
          <w:sz w:val="14"/>
          <w:szCs w:val="14"/>
          <w:color w:val="auto"/>
        </w:rPr>
      </w:pPr>
    </w:p>
    <w:p>
      <w:pPr>
        <w:ind w:left="341" w:right="159" w:hanging="341"/>
        <w:spacing w:after="0" w:line="258" w:lineRule="auto"/>
        <w:tabs>
          <w:tab w:leader="none" w:pos="3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39" w:top="273"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firstLine="347"/>
        <w:spacing w:after="0" w:line="296"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72390</wp:posOffset>
            </wp:positionV>
            <wp:extent cx="4594225" cy="1440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9422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Note: Represents stores in operations across all five company brands at the end of each fiscal year or quarterly period.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fundamentals of our model are:</w:t>
      </w:r>
    </w:p>
    <w:p>
      <w:pPr>
        <w:spacing w:after="0" w:line="117" w:lineRule="exact"/>
        <w:rPr>
          <w:sz w:val="20"/>
          <w:szCs w:val="20"/>
          <w:color w:val="auto"/>
        </w:rPr>
      </w:pPr>
    </w:p>
    <w:p>
      <w:pPr>
        <w:ind w:left="680" w:right="80" w:hanging="342"/>
        <w:spacing w:after="0" w:line="278"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and Defensible Value Proposition. </w:t>
      </w:r>
      <w:r>
        <w:rPr>
          <w:rFonts w:ascii="Arial" w:cs="Arial" w:eastAsia="Arial" w:hAnsi="Arial"/>
          <w:sz w:val="16"/>
          <w:szCs w:val="16"/>
          <w:color w:val="auto"/>
        </w:rPr>
        <w:t>We believe our success is driven by our low prices, convenient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67" w:lineRule="exact"/>
        <w:rPr>
          <w:rFonts w:ascii="Arial" w:cs="Arial" w:eastAsia="Arial" w:hAnsi="Arial"/>
          <w:sz w:val="16"/>
          <w:szCs w:val="16"/>
          <w:color w:val="auto"/>
        </w:rPr>
      </w:pPr>
    </w:p>
    <w:p>
      <w:pPr>
        <w:ind w:left="680" w:hanging="342"/>
        <w:spacing w:after="0" w:line="262"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75" w:lineRule="exact"/>
        <w:rPr>
          <w:rFonts w:ascii="Arial" w:cs="Arial" w:eastAsia="Arial" w:hAnsi="Arial"/>
          <w:sz w:val="17"/>
          <w:szCs w:val="17"/>
          <w:color w:val="auto"/>
        </w:rPr>
      </w:pPr>
    </w:p>
    <w:p>
      <w:pPr>
        <w:ind w:left="680" w:hanging="342"/>
        <w:spacing w:after="0" w:line="276"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Store Economics and Embedded Earnings Growth. </w:t>
      </w:r>
      <w:r>
        <w:rPr>
          <w:rFonts w:ascii="Arial" w:cs="Arial" w:eastAsia="Arial" w:hAnsi="Arial"/>
          <w:sz w:val="16"/>
          <w:szCs w:val="16"/>
          <w:color w:val="auto"/>
        </w:rPr>
        <w:t>Over the last decade, we have opened 512 stores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aggregate, including 487 stores under our America’s Best and Eyeglass World retail brands. Our store economics are based on low capital investment, steady ramping of sales in new locations, low operating costs and consistent sales volume and earnings growth in mature stores, which result in attractive returns on capital. From 2012 to 2016, we invested approximately $300,000 to $375,000 per store in furniture, fixtures, leaseholds and equipment for our new America’s Best stores and approximately $475,000 to $600,000 per store for our new Eyeglass World stores, in each case net of tenant incentives. America’s Best stores that were opened and operating at least twelve months during this period achieved revenues in their first year of approximately $750,000 to $1.2 million per store, equal to approximately 64% of the year five revenues of America’s Best stores that were opened in 2012 and operating through 2016. Eyeglass World stores that were opened and operating at least twelve months during this period achieved revenues in their first year of approximately $675,000 to $1.0 million per store, equal to approximately 60% of the year five revenues of Eyeglass World stores that were opened in 2012 and operating through 2016. On average, our owned stores achieve profitability shortly after their first-year opening anniversary and pay back invested capital in less than four years.</w:t>
      </w:r>
    </w:p>
    <w:p>
      <w:pPr>
        <w:spacing w:after="0" w:line="6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By consistently replicating the key characteristics of our store model, we execute a formula-based approach to opening new stores and managing existing stores, which has delivered predictable store performance across vintages, diverse geographies and new and existing markets. Over the past five years, we have opened 298 new stores that are currently at various stages of realizing full maturity. Historically, this maturation process has been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consistent across our owned store base because of our systematic and replicated approach.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million, $840 million, $933 million, $1.1 billion and $1.2 billion, respectively, representing a CAGR of approximately 14% from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fiscal year 2012 to fiscal year 2016. Our net income (loss) for these same periods was $0.7 million, $14 million, $(24) million, $4</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million and $15 million, respectively. Our Adjusted EBITDA for these same periods was $80 million, $89 million, $82 million,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$113 million and $138 million, respectively, representing a CAGR of approximately 15% from fiscal year 2012 to fiscal year 2016.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Our Adjusted Net Income for these same periods was $9 million, $19 million, $9 million, $26 million and $33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representing a CAGR of approximately 40% from fiscal year 2012 to fiscal year 2016. For definitions of Adjusted EBITDA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and a reconciliation of Adjusted EBITDA and Adjusted Net Income to net income (loss), see “Prospectus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Summary―Summary Historical Consolidated Financial and Other Data.”</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 and Philanthropic Efforts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Our mission is to help people by making quality eye care and eyewear more affordable and accessible. Our financial success has helped fuel our ever-growing philanthropic engine. Through multiple charitable partnerships with organizations such as VisionSpring, RestoringVision and Vosh International, we have directly assisted approximately 700,000 individuals to see and have indirectly helped improve the vision of approximately 11.5 million individuals globally. In addition, we recently started a multi-year partnership with the Boys &amp; Girls Clubs of America to provide free vision screenings, eye exams and eyeglasses to thousands of young Americans. We also work diligently to help a portion of the world’s population who live with uncorrected vision problems.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 In addition, our mission has been essential to the formation and retention of our cohesive management team, whose extensive experience and minimal turnover are unique components of our business success.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8" w:name="page109"/>
    <w:bookmarkEnd w:id="10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Business</w:t>
      </w:r>
    </w:p>
    <w:p>
      <w:pPr>
        <w:spacing w:after="0" w:line="123" w:lineRule="exact"/>
        <w:rPr>
          <w:sz w:val="20"/>
          <w:szCs w:val="20"/>
          <w:color w:val="auto"/>
        </w:rPr>
      </w:pPr>
    </w:p>
    <w:p>
      <w:pPr>
        <w:ind w:left="1" w:right="120" w:firstLine="347"/>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86360</wp:posOffset>
            </wp:positionV>
            <wp:extent cx="5107305" cy="2607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0730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
        <w:spacing w:after="0"/>
        <w:rPr>
          <w:sz w:val="20"/>
          <w:szCs w:val="20"/>
          <w:color w:val="auto"/>
        </w:rPr>
      </w:pPr>
      <w:r>
        <w:rPr>
          <w:rFonts w:ascii="Arial" w:cs="Arial" w:eastAsia="Arial" w:hAnsi="Arial"/>
          <w:sz w:val="14"/>
          <w:szCs w:val="14"/>
          <w:color w:val="auto"/>
        </w:rPr>
        <w:t>Note: Store count as of July 1, 2017. SKU figures refer to eyeglass frame SKUs. ODs are Doctors of Optometry.</w:t>
      </w:r>
    </w:p>
    <w:p>
      <w:pPr>
        <w:spacing w:after="0" w:line="100" w:lineRule="exact"/>
        <w:rPr>
          <w:sz w:val="20"/>
          <w:szCs w:val="20"/>
          <w:color w:val="auto"/>
        </w:rPr>
      </w:pPr>
    </w:p>
    <w:p>
      <w:pPr>
        <w:ind w:left="341" w:hanging="341"/>
        <w:spacing w:after="0"/>
        <w:tabs>
          <w:tab w:leader="none" w:pos="341" w:val="left"/>
        </w:tabs>
        <w:numPr>
          <w:ilvl w:val="0"/>
          <w:numId w:val="72"/>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93" w:lineRule="exact"/>
        <w:rPr>
          <w:sz w:val="20"/>
          <w:szCs w:val="20"/>
          <w:color w:val="auto"/>
        </w:rPr>
      </w:pPr>
    </w:p>
    <w:p>
      <w:pPr>
        <w:jc w:val="both"/>
        <w:ind w:left="1" w:firstLine="347"/>
        <w:spacing w:after="0" w:line="296" w:lineRule="auto"/>
        <w:rPr>
          <w:sz w:val="20"/>
          <w:szCs w:val="20"/>
          <w:color w:val="auto"/>
        </w:rPr>
      </w:pPr>
      <w:r>
        <w:rPr>
          <w:rFonts w:ascii="Arial" w:cs="Arial" w:eastAsia="Arial" w:hAnsi="Arial"/>
          <w:sz w:val="16"/>
          <w:szCs w:val="16"/>
          <w:color w:val="auto"/>
        </w:rPr>
        <w:t>All of our brands leverage our highly-efficient centralized laboratory network and distribution system, which helps us minimize production and distribution costs. As one of the largest purchasers of eyeglass frames, optical lenses and contact lenses in the United States, we also benefit from centralized procurement efforts and purchasing economies of scale.</w:t>
      </w:r>
    </w:p>
    <w:p>
      <w:pPr>
        <w:spacing w:after="0" w:line="49"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Our stores present our products in an inviting and engaging atmosphere. Our merchandise is showcased to highlight the products and maximize the appeal of our image and brands. Our stores are clean and spacious, with orderly merchandising and strategic product placements to optimize our selling space, increase productivity and optimize customer flow. We utilize display samples to foster customer interaction with products, while providing price transparency and simplicity. We provide a hands-on, solutions-based service approach and further enhance the customer’s store experience with convenient, time-saving and value-added services.</w:t>
      </w:r>
    </w:p>
    <w:p>
      <w:pPr>
        <w:spacing w:after="0" w:line="75" w:lineRule="exact"/>
        <w:rPr>
          <w:sz w:val="20"/>
          <w:szCs w:val="20"/>
          <w:color w:val="auto"/>
        </w:rPr>
      </w:pPr>
    </w:p>
    <w:p>
      <w:pPr>
        <w:ind w:left="1" w:right="60" w:firstLine="347"/>
        <w:spacing w:after="0" w:line="303" w:lineRule="auto"/>
        <w:rPr>
          <w:sz w:val="20"/>
          <w:szCs w:val="20"/>
          <w:color w:val="auto"/>
        </w:rPr>
      </w:pPr>
      <w:r>
        <w:rPr>
          <w:rFonts w:ascii="Arial" w:cs="Arial" w:eastAsia="Arial" w:hAnsi="Arial"/>
          <w:sz w:val="15"/>
          <w:szCs w:val="15"/>
          <w:b w:val="1"/>
          <w:bCs w:val="1"/>
          <w:i w:val="1"/>
          <w:iCs w:val="1"/>
          <w:color w:val="auto"/>
        </w:rPr>
        <w:t xml:space="preserve">Our America’s Best Brand. </w:t>
      </w:r>
      <w:r>
        <w:rPr>
          <w:rFonts w:ascii="Arial" w:cs="Arial" w:eastAsia="Arial" w:hAnsi="Arial"/>
          <w:sz w:val="15"/>
          <w:szCs w:val="15"/>
          <w:color w:val="auto"/>
        </w:rPr>
        <w:t>America’s Best strives to be the value leader in virtually every market in which it operates.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signature offer of two pairs of 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This model facilitates the brand’s bundled offer and its Eyecare Club programs, which offer two free eye exams per year for the duration of the membership plus a discount on replacement contact lenses and eyeglasses. By leveraging our efficient centralized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deeply discounted well-known frame brands. America’s Best stores, which average 3,500 square feet, are primarily located in high-traffic strip centers next to similar off-price designer retailers, such as Marshalls stores.</w:t>
      </w:r>
    </w:p>
    <w:p>
      <w:pPr>
        <w:spacing w:after="0" w:line="55"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b w:val="1"/>
          <w:bCs w:val="1"/>
          <w:i w:val="1"/>
          <w:iCs w:val="1"/>
          <w:color w:val="auto"/>
        </w:rPr>
        <w:t xml:space="preserve">Our Eyeglass World Brand. </w:t>
      </w:r>
      <w:r>
        <w:rPr>
          <w:rFonts w:ascii="Arial" w:cs="Arial" w:eastAsia="Arial" w:hAnsi="Arial"/>
          <w:sz w:val="16"/>
          <w:szCs w:val="16"/>
          <w:color w:val="auto"/>
        </w:rPr>
        <w:t>Eyeglass World also offers a value price point for customers, with an opening offer of “two pairs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eyeglasses for $78” and eye exams starting at $39. This brand is positioned as an eyeglass superstore that caters to a more cost-conscious customer base, with a broader selection of designer brands and price points, and offers more personalized levels of service. We source eyeglass frames for our Eyeglass World stores from leading designer brands, private label manufacturers, overstock inventories and low-cost overseas manufacturers. Eyeglass World locations offer eye exams, primarily from independent optometrists, and have on-site laboratories that enable stores to quickly fulfill customer orders and make repairs. On-site laboratories can process a variety of lens options, with same-day service. Lens orders that are not completed in-store are completed by our centralized laboratory network. Due to the wider brand selection and on-site laboratories, Eyeglass World stores are larger, averaging approximately 4,500 square feet and typically stocking approximately 1,935 eyeglass frame SKUs. These stores are primarily located in freestanding or in-line locations near high-foot-traffic shopping centers.</w:t>
      </w:r>
    </w:p>
    <w:p>
      <w:pPr>
        <w:spacing w:after="0" w:line="6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b w:val="1"/>
          <w:bCs w:val="1"/>
          <w:i w:val="1"/>
          <w:iCs w:val="1"/>
          <w:color w:val="auto"/>
        </w:rPr>
        <w:t xml:space="preserve">Our Partner Brands. </w:t>
      </w:r>
      <w:r>
        <w:rPr>
          <w:rFonts w:ascii="Arial" w:cs="Arial" w:eastAsia="Arial" w:hAnsi="Arial"/>
          <w:sz w:val="16"/>
          <w:szCs w:val="16"/>
          <w:color w:val="auto"/>
        </w:rPr>
        <w:t>We have three partner brands consisting of 227 Vision Centers in Walmart stores across the country, 57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Vista Optical locations on military bases and 29 Vista Optical locations within Fred Meyer stores as of July 1, 2017. We have strong, long-standing relationships with these partners. Our strategic relationship with Walmart extends over 27 years and our partnerships with Fred Meyer and the U.S. military have been maintained for over 18 years. Our partner brands all compete within the value segment of the U.S. optical retail industry, with a starting price point for a pair of eyeglasses in the $38 to $99 range. These brands combine a broad selection of products and attentive customer service with the convenience of one-stop shopping. These brands also utilize our centralized laboratories and provide eye exams principally by independent optometrists in nearly all locations. Our partner brands are attractive businesses with relatively light capital requirements.</w:t>
      </w:r>
    </w:p>
    <w:p>
      <w:pPr>
        <w:spacing w:after="0" w:line="68" w:lineRule="exact"/>
        <w:rPr>
          <w:sz w:val="20"/>
          <w:szCs w:val="20"/>
          <w:color w:val="auto"/>
        </w:rPr>
      </w:pPr>
    </w:p>
    <w:p>
      <w:pPr>
        <w:ind w:right="40" w:firstLine="347"/>
        <w:spacing w:after="0" w:line="260" w:lineRule="auto"/>
        <w:rPr>
          <w:sz w:val="20"/>
          <w:szCs w:val="20"/>
          <w:color w:val="auto"/>
        </w:rPr>
      </w:pPr>
      <w:r>
        <w:rPr>
          <w:rFonts w:ascii="Arial" w:cs="Arial" w:eastAsia="Arial" w:hAnsi="Arial"/>
          <w:sz w:val="17"/>
          <w:szCs w:val="17"/>
          <w:b w:val="1"/>
          <w:bCs w:val="1"/>
          <w:i w:val="1"/>
          <w:iCs w:val="1"/>
          <w:color w:val="auto"/>
        </w:rPr>
        <w:t xml:space="preserve">Our Omni-Channel and E-Commerce Platforms. </w:t>
      </w:r>
      <w:r>
        <w:rPr>
          <w:rFonts w:ascii="Arial" w:cs="Arial" w:eastAsia="Arial" w:hAnsi="Arial"/>
          <w:sz w:val="17"/>
          <w:szCs w:val="17"/>
          <w:color w:val="auto"/>
        </w:rPr>
        <w:t>We offer our customers an engaging digital shopping experience through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platform of four store websites, three of which are omni-channel, and 15 dedicated e-commerce consumer websites. Our three omni-channel websites augment our America’s Best, Eyeglass World and Vista Optical in military brands and provide a customer experience that extends across our in-store, mobile and e-commerce channels. We offer a range of services to customers, including eyeglass purchasing for our America’s Best stores and Vista Optical locations on U.S. military bases, online scheduling and appointment reminders, contact lens purchasing, “buy-in-store and ship-to-home” capabilities, online frame browsing and virtual frame try-on, among others. Our omni-channel offerings work in concert with these brands to enhance the overall quality of the customer experience.</w:t>
      </w:r>
    </w:p>
    <w:p>
      <w:pPr>
        <w:spacing w:after="0" w:line="79"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Our 15 dedicated e-commerce websites are managed by our subsidiary, AC Lens. AC Lens operates seven proprietary branded websites, including aclens.com and discountcontacts.com. In addition, AC Lens operates and provides support services for eight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4% of our net revenue in fiscal year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23"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Size of U.S. Optical Retail Market ($ in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86360</wp:posOffset>
            </wp:positionV>
            <wp:extent cx="3700145" cy="19532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00145"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72"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 need for eyesight correction is diagnosed through eye tests and eye exams. Generally, the need for vision correction results from one of a number of conditions, such as:</w:t>
      </w:r>
    </w:p>
    <w:p>
      <w:pPr>
        <w:spacing w:after="0" w:line="54" w:lineRule="exact"/>
        <w:rPr>
          <w:sz w:val="20"/>
          <w:szCs w:val="20"/>
          <w:color w:val="auto"/>
        </w:rPr>
      </w:pPr>
    </w:p>
    <w:p>
      <w:pPr>
        <w:ind w:left="680" w:right="220" w:hanging="342"/>
        <w:spacing w:after="0" w:line="287"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Myopia</w:t>
      </w:r>
      <w:r>
        <w:rPr>
          <w:rFonts w:ascii="Arial" w:cs="Arial" w:eastAsia="Arial" w:hAnsi="Arial"/>
          <w:sz w:val="17"/>
          <w:szCs w:val="17"/>
          <w:color w:val="auto"/>
        </w:rPr>
        <w:t>, or nearsightedness, which is the most common refractive vision condition. Individuals with myopia struggle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identify objects at a distance.</w:t>
      </w:r>
    </w:p>
    <w:p>
      <w:pPr>
        <w:spacing w:after="0" w:line="53"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Hyperopia</w:t>
      </w:r>
      <w:r>
        <w:rPr>
          <w:rFonts w:ascii="Arial" w:cs="Arial" w:eastAsia="Arial" w:hAnsi="Arial"/>
          <w:sz w:val="17"/>
          <w:szCs w:val="17"/>
          <w:color w:val="auto"/>
        </w:rPr>
        <w:t>, or farsightedness, which is a condition in which objects at a distance can be seen with precision, but objects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closer to the eye are difficult to discern.</w:t>
      </w:r>
    </w:p>
    <w:p>
      <w:pPr>
        <w:spacing w:after="0" w:line="53" w:lineRule="exact"/>
        <w:rPr>
          <w:rFonts w:ascii="Arial" w:cs="Arial" w:eastAsia="Arial" w:hAnsi="Arial"/>
          <w:sz w:val="17"/>
          <w:szCs w:val="17"/>
          <w:color w:val="auto"/>
        </w:rPr>
      </w:pPr>
    </w:p>
    <w:p>
      <w:pPr>
        <w:ind w:left="680" w:right="780" w:hanging="342"/>
        <w:spacing w:after="0" w:line="320"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Presbyopia</w:t>
      </w:r>
      <w:r>
        <w:rPr>
          <w:rFonts w:ascii="Arial" w:cs="Arial" w:eastAsia="Arial" w:hAnsi="Arial"/>
          <w:sz w:val="16"/>
          <w:szCs w:val="16"/>
          <w:color w:val="auto"/>
        </w:rPr>
        <w:t>, which is an age-related condition that generally begins around the age of 40. People suffering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presbyopia struggle to read text at a close distance, for example, books, screens and newspapers.</w:t>
      </w:r>
    </w:p>
    <w:p>
      <w:pPr>
        <w:spacing w:after="0" w:line="30" w:lineRule="exact"/>
        <w:rPr>
          <w:rFonts w:ascii="Arial" w:cs="Arial" w:eastAsia="Arial" w:hAnsi="Arial"/>
          <w:sz w:val="16"/>
          <w:szCs w:val="16"/>
          <w:color w:val="auto"/>
        </w:rPr>
      </w:pPr>
    </w:p>
    <w:p>
      <w:pPr>
        <w:ind w:left="680" w:hanging="342"/>
        <w:spacing w:after="0"/>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Astigmatism</w:t>
      </w:r>
      <w:r>
        <w:rPr>
          <w:rFonts w:ascii="Arial" w:cs="Arial" w:eastAsia="Arial" w:hAnsi="Arial"/>
          <w:sz w:val="17"/>
          <w:szCs w:val="17"/>
          <w:color w:val="auto"/>
        </w:rPr>
        <w:t>, which is a condition that causes blurred vision. It is caused by an irregularly shaped cornea.</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UV Damage</w:t>
      </w:r>
      <w:r>
        <w:rPr>
          <w:rFonts w:ascii="Arial" w:cs="Arial" w:eastAsia="Arial" w:hAnsi="Arial"/>
          <w:sz w:val="17"/>
          <w:szCs w:val="17"/>
          <w:color w:val="auto"/>
        </w:rPr>
        <w:t>, which occurs when the eyes are exposed to excessive amounts of ultraviolet radiation. UV rays can cause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optical conditions such as cataracts, macular degeneration and other forms of vision loss.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 optical retail industry:</w:t>
      </w:r>
    </w:p>
    <w:p>
      <w:pPr>
        <w:spacing w:after="0" w:line="105" w:lineRule="exact"/>
        <w:rPr>
          <w:sz w:val="20"/>
          <w:szCs w:val="20"/>
          <w:color w:val="auto"/>
        </w:rPr>
      </w:pPr>
    </w:p>
    <w:p>
      <w:pPr>
        <w:ind w:left="680" w:right="20" w:hanging="342"/>
        <w:spacing w:after="0" w:line="278" w:lineRule="auto"/>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Aging Population</w:t>
      </w:r>
      <w:r>
        <w:rPr>
          <w:rFonts w:ascii="Arial" w:cs="Arial" w:eastAsia="Arial" w:hAnsi="Arial"/>
          <w:sz w:val="16"/>
          <w:szCs w:val="16"/>
          <w:color w:val="auto"/>
        </w:rPr>
        <w:t>. According to The Vision Council, approximately 76% of adults in the United States used some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85725</wp:posOffset>
            </wp:positionV>
            <wp:extent cx="4411980" cy="1854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1198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80" w:hanging="342"/>
        <w:spacing w:after="0" w:line="276" w:lineRule="auto"/>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Frequent Replacement Cycle</w:t>
      </w:r>
      <w:r>
        <w:rPr>
          <w:rFonts w:ascii="Arial" w:cs="Arial" w:eastAsia="Arial" w:hAnsi="Arial"/>
          <w:sz w:val="16"/>
          <w:szCs w:val="16"/>
          <w:color w:val="auto"/>
        </w:rPr>
        <w:t>. The repetitive and predictable nature of customer behavior results in a significant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 A collection of 21 optical industry leaders, including us, have supported the multi-million dollar national advertising campaign, “Think About Your Eyes,” which is designed to encourage consumers to schedule an eye exam, among other things. According to The Vision Council, the national multimedia campaign generated more than 1.3 billion impressions in 2016 and the website received more than 2.8 million visitors since the campaign launched. According to the American Optometric Association, in 2015, nearly 828,500 additional eye exams were attributable to the campaign.</w:t>
      </w:r>
    </w:p>
    <w:p>
      <w:pPr>
        <w:spacing w:after="0" w:line="65" w:lineRule="exact"/>
        <w:rPr>
          <w:rFonts w:ascii="Arial" w:cs="Arial" w:eastAsia="Arial" w:hAnsi="Arial"/>
          <w:sz w:val="16"/>
          <w:szCs w:val="16"/>
          <w:color w:val="auto"/>
        </w:rPr>
      </w:pPr>
    </w:p>
    <w:p>
      <w:pPr>
        <w:ind w:left="680" w:hanging="342"/>
        <w:spacing w:after="0" w:line="280" w:lineRule="auto"/>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Usage of Computer and Mobile Screens</w:t>
      </w:r>
      <w:r>
        <w:rPr>
          <w:rFonts w:ascii="Arial" w:cs="Arial" w:eastAsia="Arial" w:hAnsi="Arial"/>
          <w:sz w:val="16"/>
          <w:szCs w:val="16"/>
          <w:color w:val="auto"/>
        </w:rPr>
        <w:t>. Due to the proliferation of smartphones, laptops and tablets,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has experienced a dramatic increase in the amount of time spent viewing electronic screens. According to The Vision Council, almost 90% of Americans use digital devices for two or more hours each day, with almost 60% using them for five or more hours each day and approximately 70% using multiple devices simultaneously.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61" w:lineRule="exact"/>
        <w:rPr>
          <w:rFonts w:ascii="Arial" w:cs="Arial" w:eastAsia="Arial" w:hAnsi="Arial"/>
          <w:sz w:val="16"/>
          <w:szCs w:val="16"/>
          <w:color w:val="auto"/>
        </w:rPr>
      </w:pPr>
    </w:p>
    <w:p>
      <w:pPr>
        <w:ind w:left="680" w:hanging="342"/>
        <w:spacing w:after="0" w:line="259" w:lineRule="auto"/>
        <w:tabs>
          <w:tab w:leader="none" w:pos="68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Growing Focus on Health and Wellness</w:t>
      </w:r>
      <w:r>
        <w:rPr>
          <w:rFonts w:ascii="Arial" w:cs="Arial" w:eastAsia="Arial" w:hAnsi="Arial"/>
          <w:sz w:val="17"/>
          <w:szCs w:val="17"/>
          <w:color w:val="auto"/>
        </w:rPr>
        <w:t>. The optical retail industry is poised to benefit from expansive trends underlying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3" w:lineRule="exact"/>
        <w:rPr>
          <w:sz w:val="20"/>
          <w:szCs w:val="20"/>
          <w:color w:val="auto"/>
        </w:rPr>
      </w:pPr>
    </w:p>
    <w:p>
      <w:pPr>
        <w:ind w:right="80" w:firstLine="347"/>
        <w:spacing w:after="0" w:line="271" w:lineRule="auto"/>
        <w:rPr>
          <w:sz w:val="20"/>
          <w:szCs w:val="20"/>
          <w:color w:val="auto"/>
        </w:rPr>
      </w:pPr>
      <w:r>
        <w:rPr>
          <w:rFonts w:ascii="Arial" w:cs="Arial" w:eastAsia="Arial" w:hAnsi="Arial"/>
          <w:sz w:val="17"/>
          <w:szCs w:val="17"/>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75"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There are several types of optical retailers with differing approaches to fulfilling consumer needs at each step of the vision care process. The types of optical retailers include:</w:t>
      </w:r>
    </w:p>
    <w:p>
      <w:pPr>
        <w:spacing w:after="0" w:line="54" w:lineRule="exact"/>
        <w:rPr>
          <w:sz w:val="20"/>
          <w:szCs w:val="20"/>
          <w:color w:val="auto"/>
        </w:rPr>
      </w:pPr>
    </w:p>
    <w:p>
      <w:pPr>
        <w:ind w:left="680" w:hanging="342"/>
        <w:spacing w:after="0" w:line="266"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Independent eye care practitioners</w:t>
      </w:r>
      <w:r>
        <w:rPr>
          <w:rFonts w:ascii="Arial" w:cs="Arial" w:eastAsia="Arial" w:hAnsi="Arial"/>
          <w:sz w:val="17"/>
          <w:szCs w:val="17"/>
          <w:color w:val="auto"/>
        </w:rPr>
        <w:t>: Optometrists and some ophthalmologists that practice independently often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corrective lenses. They rely on relationships with outsourced optical laboratories and distributors that represent lens, frame and contact lens manufacturers. They source clients mainly through word-of-mouth, local advertising and managed care arrangements.</w:t>
      </w:r>
    </w:p>
    <w:p>
      <w:pPr>
        <w:spacing w:after="0" w:line="71" w:lineRule="exact"/>
        <w:rPr>
          <w:rFonts w:ascii="Arial" w:cs="Arial" w:eastAsia="Arial" w:hAnsi="Arial"/>
          <w:sz w:val="17"/>
          <w:szCs w:val="17"/>
          <w:color w:val="auto"/>
        </w:rPr>
      </w:pPr>
    </w:p>
    <w:p>
      <w:pPr>
        <w:ind w:left="680" w:right="60" w:hanging="342"/>
        <w:spacing w:after="0" w:line="263"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Multi-doctor purchasing alliances</w:t>
      </w:r>
      <w:r>
        <w:rPr>
          <w:rFonts w:ascii="Arial" w:cs="Arial" w:eastAsia="Arial" w:hAnsi="Arial"/>
          <w:sz w:val="17"/>
          <w:szCs w:val="17"/>
          <w:color w:val="auto"/>
        </w:rPr>
        <w:t>: Multiple independent optometrists and/or ophthalmologists form an alliance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competitive advantages to each member of the network. The eye care practitioners in the network benefit from purchasing power synergies with vendors, network brand identification to drive new customer traffic, strategic marketing, best practice education and a number of other services. Leveraging these tools, each independent eye care practitioner can offer more comprehensive eye care to their patients.</w:t>
      </w:r>
    </w:p>
    <w:p>
      <w:pPr>
        <w:spacing w:after="0" w:line="76" w:lineRule="exact"/>
        <w:rPr>
          <w:rFonts w:ascii="Arial" w:cs="Arial" w:eastAsia="Arial" w:hAnsi="Arial"/>
          <w:sz w:val="17"/>
          <w:szCs w:val="17"/>
          <w:color w:val="auto"/>
        </w:rPr>
      </w:pPr>
    </w:p>
    <w:p>
      <w:pPr>
        <w:ind w:left="680" w:right="40" w:hanging="342"/>
        <w:spacing w:after="0" w:line="266"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National and regional optical retail chains</w:t>
      </w:r>
      <w:r>
        <w:rPr>
          <w:rFonts w:ascii="Arial" w:cs="Arial" w:eastAsia="Arial" w:hAnsi="Arial"/>
          <w:sz w:val="17"/>
          <w:szCs w:val="17"/>
          <w:color w:val="auto"/>
        </w:rPr>
        <w:t>: Multiple optical retail chains operate freestanding and mall stores under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more brands. These retailers are positioned to target a range of consumers across price points, from value to premium. This category includes smaller chains with stores concentrated in a particular geographic region, as well as national chains with store footprints across the United States.</w:t>
      </w:r>
    </w:p>
    <w:p>
      <w:pPr>
        <w:spacing w:after="0" w:line="71" w:lineRule="exact"/>
        <w:rPr>
          <w:rFonts w:ascii="Arial" w:cs="Arial" w:eastAsia="Arial" w:hAnsi="Arial"/>
          <w:sz w:val="17"/>
          <w:szCs w:val="17"/>
          <w:color w:val="auto"/>
        </w:rPr>
      </w:pPr>
    </w:p>
    <w:p>
      <w:pPr>
        <w:ind w:left="680" w:right="100" w:hanging="342"/>
        <w:spacing w:after="0" w:line="262"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Mass merchant / Warehouse club retail chains</w:t>
      </w:r>
      <w:r>
        <w:rPr>
          <w:rFonts w:ascii="Arial" w:cs="Arial" w:eastAsia="Arial" w:hAnsi="Arial"/>
          <w:sz w:val="17"/>
          <w:szCs w:val="17"/>
          <w:color w:val="auto"/>
        </w:rPr>
        <w:t>: Frequently, mass merchant and warehouse club chains seek to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care products in order to offer consumers a “one-stop shop” value proposition. These optical offerings are often set up as “shop-in-shop” host arrangements, whereby an optical retailer will operate its own store within the context of a larger mass merchandise or warehouse club store. These host arrangements fulfill customers’ desire for convenience, customer service and competitive value and leverage the retail chain’s scale and expertise to source desirable products from a wide range of corrective lens and frame manufacturers.</w:t>
      </w:r>
    </w:p>
    <w:p>
      <w:pPr>
        <w:spacing w:after="0" w:line="75" w:lineRule="exact"/>
        <w:rPr>
          <w:rFonts w:ascii="Arial" w:cs="Arial" w:eastAsia="Arial" w:hAnsi="Arial"/>
          <w:sz w:val="17"/>
          <w:szCs w:val="17"/>
          <w:color w:val="auto"/>
        </w:rPr>
      </w:pPr>
    </w:p>
    <w:p>
      <w:pPr>
        <w:ind w:left="680" w:right="80" w:hanging="342"/>
        <w:spacing w:after="0" w:line="303" w:lineRule="auto"/>
        <w:tabs>
          <w:tab w:leader="none" w:pos="680" w:val="left"/>
        </w:tabs>
        <w:numPr>
          <w:ilvl w:val="0"/>
          <w:numId w:val="76"/>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Because of the prescription requirements, fit and fashion aspects of eyewear purchases, online purchases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eye care products represent a small portion of industry sales and the majority of e-commerce activity derives from recurring purchases such as daily use contact lenses. There are retailers that operate exclusively online, but many retail chains also offer some e-commerce capabilities to complement physical stores. E-commerce enables retailers to save on operating costs and capital expenditures associated with physical stores, and also to offer a wider selection of products as inventory can be centralized. E-commerce retailers most frequently use digital advertising strategies to attract customers.</w:t>
      </w:r>
    </w:p>
    <w:p>
      <w:pPr>
        <w:spacing w:after="0" w:line="49"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Some optical retail chains, like us, have vertically integrated some or all of the sectors of the industry. However, the industry remains highly fragmented.</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680" w:right="60" w:hanging="342"/>
        <w:spacing w:after="0" w:line="303" w:lineRule="auto"/>
        <w:tabs>
          <w:tab w:leader="none" w:pos="680" w:val="left"/>
        </w:tabs>
        <w:numPr>
          <w:ilvl w:val="0"/>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Optical Retail Chains Gaining Market Share From Independents</w:t>
      </w:r>
      <w:r>
        <w:rPr>
          <w:rFonts w:ascii="Arial" w:cs="Arial" w:eastAsia="Arial" w:hAnsi="Arial"/>
          <w:sz w:val="15"/>
          <w:szCs w:val="15"/>
          <w:color w:val="auto"/>
        </w:rPr>
        <w:t>. National and regional optical retail chains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gradually gain share from independent vision care providers, benefitting from economies of scale that are unavailable to smaller players. This includes benefits related to purchasing advantages, marketing advantages and leveraging management capabilities across a larger revenue base. Additionally, customers desire the convenience of a one-stop shop with a broad product selection, strong customer service and competitive prices. As a result of these factors, larger optical retailers have gained market share from independent practitioners over the past approximately 20 years, with total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left="700"/>
        <w:spacing w:after="0" w:line="271" w:lineRule="auto"/>
        <w:rPr>
          <w:sz w:val="20"/>
          <w:szCs w:val="20"/>
          <w:color w:val="auto"/>
        </w:rPr>
      </w:pPr>
      <w:r>
        <w:rPr>
          <w:rFonts w:ascii="Arial" w:cs="Arial" w:eastAsia="Arial" w:hAnsi="Arial"/>
          <w:sz w:val="17"/>
          <w:szCs w:val="17"/>
          <w:color w:val="auto"/>
        </w:rPr>
        <w:t>market share of the ten largest optical retailers in the United States increasing from 18% in 1992 to 32% in 2016, as shown in the chart below. Despite this growth, the top ten optical retailers still have a relatively small share of the overall market and the largest optical retailers are well-positioned to continue increasing their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-14605</wp:posOffset>
            </wp:positionV>
            <wp:extent cx="2740025" cy="1539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40025"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right="60" w:hanging="342"/>
        <w:spacing w:after="0" w:line="263" w:lineRule="auto"/>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Value Chains Are Growing Faster Than Industry</w:t>
      </w:r>
      <w:r>
        <w:rPr>
          <w:rFonts w:ascii="Arial" w:cs="Arial" w:eastAsia="Arial" w:hAnsi="Arial"/>
          <w:sz w:val="17"/>
          <w:szCs w:val="17"/>
          <w:color w:val="auto"/>
        </w:rPr>
        <w:t>. According to Vision Monday estimates, from 2007 to 2016, the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of the U.S. optical retail industry grew at a CAGR of 6.6%, nearly twice the rate of the broader optical retail industry. Increased consumer cost consciousness has shifted market share toward value optical retail chains and mass merchants that serve the value segment, as shown in the chart below. To the extent this trend continues, the value segment is expected to continue to outpace overall industry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56515</wp:posOffset>
            </wp:positionV>
            <wp:extent cx="3667125" cy="18707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6712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Source: Vision Monday</w:t>
      </w:r>
    </w:p>
    <w:p>
      <w:pPr>
        <w:spacing w:after="0" w:line="93" w:lineRule="exact"/>
        <w:rPr>
          <w:sz w:val="20"/>
          <w:szCs w:val="20"/>
          <w:color w:val="auto"/>
        </w:rPr>
      </w:pPr>
    </w:p>
    <w:p>
      <w:pPr>
        <w:ind w:left="680" w:right="80" w:hanging="342"/>
        <w:spacing w:after="0" w:line="296" w:lineRule="auto"/>
        <w:tabs>
          <w:tab w:leader="none" w:pos="680" w:val="left"/>
        </w:tabs>
        <w:numPr>
          <w:ilvl w:val="0"/>
          <w:numId w:val="79"/>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The optical retail industry is currently underpenetrated in the e-commerce channel relative to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categories of retail. According to the U.S. Census Bureau, e-commerce represented more than 8.1% of 2016 retail sales. The Vision Council estimates that in the 12-month period ended September 2016, U.S. e-commerce sales as a percentage of the total optical retail industry was only 4.4%, with approximately 4.1% of eyeglass purchases made online and approximately 18.9% of all contact lenses purchases made online.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frame. Lastly, service and sales consultations are a key part of the vision corrective product purchase, which cannot be replicated online. Due to the more commoditized nature of contact lenses (i.e., every box with a certain prescription by a certain manufacturer is the same) and to the more frequent purchase cycle, contact lenses lend themselves more to online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20"/>
        <w:spacing w:after="0" w:line="296" w:lineRule="auto"/>
        <w:rPr>
          <w:sz w:val="20"/>
          <w:szCs w:val="20"/>
          <w:color w:val="auto"/>
        </w:rPr>
      </w:pPr>
      <w:r>
        <w:rPr>
          <w:rFonts w:ascii="Arial" w:cs="Arial" w:eastAsia="Arial" w:hAnsi="Arial"/>
          <w:sz w:val="16"/>
          <w:szCs w:val="16"/>
          <w:color w:val="auto"/>
        </w:rPr>
        <w:t>purchases than do eyeglasses. However, contact lens prescriptions are typically valid for only one or two years, depending on state law, and as such, contact lens users frequently need to return to eye care practitioners or stores for a prescription update. Such visits are an opportunity to sell an annual supply of contact lenses to the customer.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Optometrists, Ophthalmologists and Opticians</w:t>
      </w:r>
    </w:p>
    <w:p>
      <w:pPr>
        <w:spacing w:after="0" w:line="123" w:lineRule="exact"/>
        <w:rPr>
          <w:sz w:val="20"/>
          <w:szCs w:val="20"/>
          <w:color w:val="auto"/>
        </w:rPr>
      </w:pPr>
    </w:p>
    <w:p>
      <w:pPr>
        <w:ind w:right="840" w:firstLine="347"/>
        <w:spacing w:after="0" w:line="287" w:lineRule="auto"/>
        <w:rPr>
          <w:sz w:val="20"/>
          <w:szCs w:val="20"/>
          <w:color w:val="auto"/>
        </w:rPr>
      </w:pPr>
      <w:r>
        <w:rPr>
          <w:rFonts w:ascii="Arial" w:cs="Arial" w:eastAsia="Arial" w:hAnsi="Arial"/>
          <w:sz w:val="17"/>
          <w:szCs w:val="17"/>
          <w:color w:val="auto"/>
        </w:rPr>
        <w:t>Within the vision care industry, there are multiple providers of eye care and vision services, including optometrists, ophthalmologists and opticians.</w:t>
      </w:r>
    </w:p>
    <w:p>
      <w:pPr>
        <w:spacing w:after="0" w:line="54" w:lineRule="exact"/>
        <w:rPr>
          <w:sz w:val="20"/>
          <w:szCs w:val="20"/>
          <w:color w:val="auto"/>
        </w:rPr>
      </w:pPr>
    </w:p>
    <w:p>
      <w:pPr>
        <w:ind w:left="680" w:right="240" w:hanging="342"/>
        <w:spacing w:after="0" w:line="266"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Optometrists </w:t>
      </w:r>
      <w:r>
        <w:rPr>
          <w:rFonts w:ascii="Arial" w:cs="Arial" w:eastAsia="Arial" w:hAnsi="Arial"/>
          <w:sz w:val="17"/>
          <w:szCs w:val="17"/>
          <w:color w:val="auto"/>
        </w:rPr>
        <w:t>are healthcare professionals who have received a four-year doctor of optometry, or OD, degree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licensed to perform vision tests, prescribe and dispense vision correction devices such as eyeglasses and contact lenses, perform diagnostic eye exams and prescribe certain types of ocular medication. In a few states, optometrists may also perform surgery.</w:t>
      </w:r>
    </w:p>
    <w:p>
      <w:pPr>
        <w:spacing w:after="0" w:line="71" w:lineRule="exact"/>
        <w:rPr>
          <w:rFonts w:ascii="Arial" w:cs="Arial" w:eastAsia="Arial" w:hAnsi="Arial"/>
          <w:sz w:val="17"/>
          <w:szCs w:val="17"/>
          <w:color w:val="auto"/>
        </w:rPr>
      </w:pPr>
    </w:p>
    <w:p>
      <w:pPr>
        <w:ind w:left="680" w:right="640" w:hanging="342"/>
        <w:spacing w:after="0" w:line="357" w:lineRule="auto"/>
        <w:tabs>
          <w:tab w:leader="none" w:pos="680" w:val="left"/>
        </w:tabs>
        <w:numPr>
          <w:ilvl w:val="0"/>
          <w:numId w:val="8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Ophthalmologists </w:t>
      </w:r>
      <w:r>
        <w:rPr>
          <w:rFonts w:ascii="Arial" w:cs="Arial" w:eastAsia="Arial" w:hAnsi="Arial"/>
          <w:sz w:val="15"/>
          <w:szCs w:val="15"/>
          <w:color w:val="auto"/>
        </w:rPr>
        <w:t>are medical doctors specializing in vision and eye care. These doctors are licensed to prescribe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medication and perform surgery and may also perform eye exams and dispense vision correction products.</w:t>
      </w:r>
    </w:p>
    <w:p>
      <w:pPr>
        <w:spacing w:after="0" w:line="8" w:lineRule="exact"/>
        <w:rPr>
          <w:rFonts w:ascii="Arial" w:cs="Arial" w:eastAsia="Arial" w:hAnsi="Arial"/>
          <w:sz w:val="15"/>
          <w:szCs w:val="15"/>
          <w:color w:val="auto"/>
        </w:rPr>
      </w:pPr>
    </w:p>
    <w:p>
      <w:pPr>
        <w:ind w:left="680" w:right="560" w:hanging="342"/>
        <w:spacing w:after="0" w:line="320" w:lineRule="auto"/>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Opticians </w:t>
      </w:r>
      <w:r>
        <w:rPr>
          <w:rFonts w:ascii="Arial" w:cs="Arial" w:eastAsia="Arial" w:hAnsi="Arial"/>
          <w:sz w:val="16"/>
          <w:szCs w:val="16"/>
          <w:color w:val="auto"/>
        </w:rPr>
        <w:t>are technicians who use prescriptions written by optometrists or ophthalmologists to dispense corrective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eyeglasses and contact lenses. However, they are not licensed to diagnose or treat ocular conditions.</w:t>
      </w:r>
    </w:p>
    <w:p>
      <w:pPr>
        <w:spacing w:after="0" w:line="31"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As of 2012, according to Jobson Medical Information estimates, there were approximately 40,000 optometrists and approximately 18,000 ophthalmologists in the United States. As shown below, these approximately 40,000 optometrists worked in a variety of practice settings, ranging from independent practices to optical chain affiliation to government employment.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Optometrists by Primary Practice Setting, 2012</w:t>
      </w:r>
    </w:p>
    <w:p>
      <w:pPr>
        <w:spacing w:after="0" w:line="48" w:lineRule="exact"/>
        <w:rPr>
          <w:sz w:val="20"/>
          <w:szCs w:val="20"/>
          <w:color w:val="auto"/>
        </w:rPr>
      </w:pPr>
    </w:p>
    <w:tbl>
      <w:tblPr>
        <w:tblLayout w:type="fixed"/>
        <w:tblInd w:w="420" w:type="dxa"/>
        <w:tblCellMar>
          <w:top w:w="0" w:type="dxa"/>
          <w:left w:w="0" w:type="dxa"/>
          <w:bottom w:w="0" w:type="dxa"/>
          <w:right w:w="0" w:type="dxa"/>
        </w:tblCellMar>
      </w:tblPr>
      <w:tr>
        <w:trPr>
          <w:trHeight w:val="179"/>
        </w:trPr>
        <w:tc>
          <w:tcPr>
            <w:tcW w:w="6420" w:type="dxa"/>
            <w:vAlign w:val="bottom"/>
          </w:tcPr>
          <w:p>
            <w:pPr>
              <w:spacing w:after="0"/>
              <w:rPr>
                <w:sz w:val="15"/>
                <w:szCs w:val="15"/>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Number (000’s)</w:t>
            </w:r>
          </w:p>
        </w:tc>
        <w:tc>
          <w:tcPr>
            <w:tcW w:w="180" w:type="dxa"/>
            <w:vAlign w:val="bottom"/>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 of Total</w:t>
            </w:r>
          </w:p>
        </w:tc>
        <w:tc>
          <w:tcPr>
            <w:tcW w:w="100" w:type="dxa"/>
            <w:vAlign w:val="bottom"/>
          </w:tcPr>
          <w:p>
            <w:pPr>
              <w:spacing w:after="0"/>
              <w:rPr>
                <w:sz w:val="15"/>
                <w:szCs w:val="15"/>
                <w:color w:val="auto"/>
              </w:rPr>
            </w:pPr>
          </w:p>
        </w:tc>
      </w:tr>
      <w:tr>
        <w:trPr>
          <w:trHeight w:val="228"/>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Independent Practice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Optical Chain Affiliation</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Ophthalmology Practice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 Medical</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Government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Source: American Optometric Association</w:t>
      </w:r>
    </w:p>
    <w:p>
      <w:pPr>
        <w:spacing w:after="0" w:line="9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According to the Association of Schools and Colleges of Optometry, or ASCO, there are currently 22 optometry schools in the United States and Puerto Rico. According to ASCO, the 2016 graduating class of 1,666 represents an increase in size of approximately 7% from the 2015 graduating class of 1,557 and an increase of approximately 23% from the 2010 graduating class of 1,356. In addition, the number of optometry schools has been mostly flat in recent years.</w:t>
      </w:r>
    </w:p>
    <w:p>
      <w:pPr>
        <w:spacing w:after="0" w:line="72" w:lineRule="exact"/>
        <w:rPr>
          <w:sz w:val="20"/>
          <w:szCs w:val="20"/>
          <w:color w:val="auto"/>
        </w:rPr>
      </w:pPr>
    </w:p>
    <w:p>
      <w:pPr>
        <w:ind w:right="100" w:firstLine="347"/>
        <w:spacing w:after="0" w:line="261" w:lineRule="auto"/>
        <w:rPr>
          <w:sz w:val="20"/>
          <w:szCs w:val="20"/>
          <w:color w:val="auto"/>
        </w:rPr>
      </w:pPr>
      <w:r>
        <w:rPr>
          <w:rFonts w:ascii="Arial" w:cs="Arial" w:eastAsia="Arial" w:hAnsi="Arial"/>
          <w:sz w:val="17"/>
          <w:szCs w:val="17"/>
          <w:color w:val="auto"/>
        </w:rPr>
        <w:t>The ability to recruit sufficient optometry talent is crucial to success for optical retailers. We believe that the high cost of optometry programs will aid us in recruiting optometrists. According to ASCO, in academic year 2016-2017, the average total cost for tuition, fees, books and instruments for a first-year non-resident student totaled $48,426 for public schools and $41,910 for private schools, and for a first-year resident student totaled $30,614 for public schools and $40,417 for private schools. This high cost of attendance has led to significant student debt burdens for many students graduating from optometry programs. As a result, we expect that an increasing number of optometry graduates will turn to corporate affiliations rather than independent practices for employment.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Categories and Suppliers</w:t>
      </w:r>
    </w:p>
    <w:p>
      <w:pPr>
        <w:spacing w:after="0" w:line="123" w:lineRule="exact"/>
        <w:rPr>
          <w:sz w:val="20"/>
          <w:szCs w:val="20"/>
          <w:color w:val="auto"/>
        </w:rPr>
      </w:pPr>
    </w:p>
    <w:p>
      <w:pPr>
        <w:ind w:right="200" w:firstLine="347"/>
        <w:spacing w:after="0" w:line="357" w:lineRule="auto"/>
        <w:rPr>
          <w:sz w:val="20"/>
          <w:szCs w:val="20"/>
          <w:color w:val="auto"/>
        </w:rPr>
      </w:pPr>
      <w:r>
        <w:rPr>
          <w:rFonts w:ascii="Arial" w:cs="Arial" w:eastAsia="Arial" w:hAnsi="Arial"/>
          <w:sz w:val="15"/>
          <w:szCs w:val="15"/>
          <w:color w:val="auto"/>
        </w:rPr>
        <w:t>The optical retail market consists of multiple product categories, including vision correction devices such as eyeglass lenses, frames and contact lenses and other products and services, including sunglasses, eyeglass accessories and refractive surgery.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85725</wp:posOffset>
            </wp:positionV>
            <wp:extent cx="4229735" cy="1589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29735" cy="158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Source: The Vision Council</w:t>
      </w:r>
    </w:p>
    <w:p>
      <w:pPr>
        <w:spacing w:after="0" w:line="93" w:lineRule="exact"/>
        <w:rPr>
          <w:sz w:val="20"/>
          <w:szCs w:val="20"/>
          <w:color w:val="auto"/>
        </w:rPr>
      </w:pPr>
    </w:p>
    <w:p>
      <w:pPr>
        <w:ind w:left="680" w:right="40" w:hanging="342"/>
        <w:spacing w:after="0" w:line="262"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frames </w:t>
      </w:r>
      <w:r>
        <w:rPr>
          <w:rFonts w:ascii="Arial" w:cs="Arial" w:eastAsia="Arial" w:hAnsi="Arial"/>
          <w:sz w:val="17"/>
          <w:szCs w:val="17"/>
          <w:color w:val="auto"/>
        </w:rPr>
        <w:t>are generally available in a wide range of materials, styles, designs and brands. The most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used to manufacture frames include plastic, cellulose acetate and metal. For many customers, eyeglasses are not only an eye care solution but also a fashion accessory, and therefore brand and aesthetics are important factors in customers’ purchasing decisions. There are many recognized eyeglass frame brands, some of which are controlled by vertically-integrated optical retail chains. There are numerous suppliers that offer unbranded, white-label or generic eyeglass frames.</w:t>
      </w:r>
    </w:p>
    <w:p>
      <w:pPr>
        <w:spacing w:after="0" w:line="75" w:lineRule="exact"/>
        <w:rPr>
          <w:rFonts w:ascii="Arial" w:cs="Arial" w:eastAsia="Arial" w:hAnsi="Arial"/>
          <w:sz w:val="17"/>
          <w:szCs w:val="17"/>
          <w:color w:val="auto"/>
        </w:rPr>
      </w:pPr>
    </w:p>
    <w:p>
      <w:pPr>
        <w:ind w:left="680" w:hanging="342"/>
        <w:spacing w:after="0" w:line="263"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lenses </w:t>
      </w:r>
      <w:r>
        <w:rPr>
          <w:rFonts w:ascii="Arial" w:cs="Arial" w:eastAsia="Arial" w:hAnsi="Arial"/>
          <w:sz w:val="17"/>
          <w:szCs w:val="17"/>
          <w:color w:val="auto"/>
        </w:rPr>
        <w:t>are manufactured using a range of standard and proprietary organic and inorganic materials.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have the option of selecting individualized features such as lightweight designs, photochromatic capabilities and special coatings for ultraviolet protection, anti-fog, anti-reflection, anti-scratch protection. There are several global manufacturers of lenses, with some additionally offering integrated lens finishing services through owned optical laboratories.</w:t>
      </w:r>
    </w:p>
    <w:p>
      <w:pPr>
        <w:spacing w:after="0" w:line="76" w:lineRule="exact"/>
        <w:rPr>
          <w:rFonts w:ascii="Arial" w:cs="Arial" w:eastAsia="Arial" w:hAnsi="Arial"/>
          <w:sz w:val="17"/>
          <w:szCs w:val="17"/>
          <w:color w:val="auto"/>
        </w:rPr>
      </w:pPr>
    </w:p>
    <w:p>
      <w:pPr>
        <w:ind w:left="680" w:right="20" w:hanging="342"/>
        <w:spacing w:after="0" w:line="278" w:lineRule="auto"/>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Contact lenses </w:t>
      </w:r>
      <w:r>
        <w:rPr>
          <w:rFonts w:ascii="Arial" w:cs="Arial" w:eastAsia="Arial" w:hAnsi="Arial"/>
          <w:sz w:val="16"/>
          <w:szCs w:val="16"/>
          <w:color w:val="auto"/>
        </w:rPr>
        <w:t>are available in soft or rigid formats. Soft lenses are typically made from silicone hydrogels and are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characterized by the period of use (primarily daily disposable or monthly reusable). Rigid lenses are typically made with oxygen-permeable polymers and can often be used for several years without replacement. Contact lenses are primarily manufactured by a relatively concentrated group of four major suppliers. Re-useable contact lenses require the regular use of cleaning solutions. Demand for contact lenses is driven by structural growth, as more consumers come to recognize the benefits of the more comfortable modern lenses and existing contact lens users switch to monthly, weekly or daily disposable lenses. Despite the attractiveness of contact lens usage, most consumers do not rely exclusively on contact lenses, opting to also purchase traditional eyeglasses for secondary use.</w:t>
      </w:r>
    </w:p>
    <w:p>
      <w:pPr>
        <w:spacing w:after="0" w:line="67" w:lineRule="exact"/>
        <w:rPr>
          <w:rFonts w:ascii="Arial" w:cs="Arial" w:eastAsia="Arial" w:hAnsi="Arial"/>
          <w:sz w:val="16"/>
          <w:szCs w:val="16"/>
          <w:color w:val="auto"/>
        </w:rPr>
      </w:pPr>
    </w:p>
    <w:p>
      <w:pPr>
        <w:ind w:left="680" w:hanging="342"/>
        <w:spacing w:after="0" w:line="263"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Sunglasses </w:t>
      </w:r>
      <w:r>
        <w:rPr>
          <w:rFonts w:ascii="Arial" w:cs="Arial" w:eastAsia="Arial" w:hAnsi="Arial"/>
          <w:sz w:val="17"/>
          <w:szCs w:val="17"/>
          <w:color w:val="auto"/>
        </w:rPr>
        <w:t>are also sold by many optical retailers. These sunglasses can come with or without prescription lenses,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worn both for fashion and protection of the eyes from UV rays. Sunglasses are more of a discretionary purchase than prescription eyewear, and sales of sunglasses are therefore more sensitive to the economic environment. According to The Vision Council, for most optical retailers (as opposed to non-prescription sunglass retailers), prescription sunglasses make up the majority of their sunglass sales.</w:t>
      </w:r>
    </w:p>
    <w:p>
      <w:pPr>
        <w:spacing w:after="0" w:line="76" w:lineRule="exact"/>
        <w:rPr>
          <w:rFonts w:ascii="Arial" w:cs="Arial" w:eastAsia="Arial" w:hAnsi="Arial"/>
          <w:sz w:val="17"/>
          <w:szCs w:val="17"/>
          <w:color w:val="auto"/>
        </w:rPr>
      </w:pPr>
    </w:p>
    <w:p>
      <w:pPr>
        <w:ind w:left="680" w:right="180" w:hanging="342"/>
        <w:spacing w:after="0" w:line="288" w:lineRule="auto"/>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Refractive surgery </w:t>
      </w:r>
      <w:r>
        <w:rPr>
          <w:rFonts w:ascii="Arial" w:cs="Arial" w:eastAsia="Arial" w:hAnsi="Arial"/>
          <w:sz w:val="16"/>
          <w:szCs w:val="16"/>
          <w:color w:val="auto"/>
        </w:rPr>
        <w:t>offers a permanent solution to vision correction problems. The most common refractive surgical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are LASIK and PRK. Both technologies utilize lasers to reshape the curvature of the cornea. Due to the high cost, lack of insurance coverage, potential for side effects and invasive nature of the procedures, refractive surgery as a method of vision correction has low penetration relative to traditional eyeglasses or contact lenses.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Optical Laboratories</w:t>
      </w:r>
    </w:p>
    <w:p>
      <w:pPr>
        <w:spacing w:after="0" w:line="12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Optical laboratories transform semi-finished and finished lenses to match the specifications from an optician or prescriber’s order and fit them into the requested eyeglass frames. The process entails surfacing and polishing the lens, followed by the application of any requested special coatings. Some retailers have in-store laboratories to provide convenience and speed to customers. Laboratories can also be operated on a centralized basis by the retailer or on an outsourced basis, offering economies of scale and expertise across a wide range of lens types and prescriptions.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Party Payors</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Similar to other healthcare services, optical retail chains often receive payment for services and products from third parties, including managed vision care programs, other insurance programs and government healthcare programs such as Medicare and Medicaid. Managed care has become increasingly important to the optical retail industry. Managed vision care programs provide benefits across all optical retail sales channels, including independent eye care practitioners and national and regional chains, though some managed care programs are affiliated with specific integrated optical retail chains. According to The Vision Council, managed care accounts for a substantial percentage of sales of prescription eyeglasses and, in the 12 months ended September 30, 2016, approximately half of the U.S. adult population surveyed stated they were enrolled in vision care plans. Moreover, the enrolled child population is increasing, as federal health care reform includes pediatric vision as a covered benefit. These trends could be reversed, however, if federal health care reform is repealed or its scope is reduced.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Advantages</w:t>
      </w:r>
    </w:p>
    <w:p>
      <w:pPr>
        <w:spacing w:after="0" w:line="123"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a number of factors have established our market-leading position and differentiate us from our competitors. These include: our value positioning and compelling customer offers, decades of brand building, low-cost operating model, store network and portfolio of brands, size and scale, strong industry partnerships, highly-experienced management team and disciplined real estate strategy, among others.</w:t>
      </w:r>
    </w:p>
    <w:p>
      <w:pPr>
        <w:spacing w:after="0" w:line="76" w:lineRule="exact"/>
        <w:rPr>
          <w:sz w:val="20"/>
          <w:szCs w:val="20"/>
          <w:color w:val="auto"/>
        </w:rPr>
      </w:pPr>
    </w:p>
    <w:p>
      <w:pPr>
        <w:ind w:firstLine="347"/>
        <w:spacing w:after="0" w:line="297" w:lineRule="auto"/>
        <w:rPr>
          <w:sz w:val="20"/>
          <w:szCs w:val="20"/>
          <w:color w:val="auto"/>
        </w:rPr>
      </w:pPr>
      <w:r>
        <w:rPr>
          <w:rFonts w:ascii="Arial" w:cs="Arial" w:eastAsia="Arial" w:hAnsi="Arial"/>
          <w:sz w:val="15"/>
          <w:szCs w:val="15"/>
          <w:b w:val="1"/>
          <w:bCs w:val="1"/>
          <w:i w:val="1"/>
          <w:iCs w:val="1"/>
          <w:color w:val="auto"/>
        </w:rPr>
        <w:t>Highly-differentiated and Defensible Value Proposition</w:t>
      </w:r>
      <w:r>
        <w:rPr>
          <w:rFonts w:ascii="Arial" w:cs="Arial" w:eastAsia="Arial" w:hAnsi="Arial"/>
          <w:sz w:val="15"/>
          <w:szCs w:val="15"/>
          <w:color w:val="auto"/>
        </w:rPr>
        <w:t>. Our value price positioning extends across our entire portfolio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 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86360</wp:posOffset>
            </wp:positionV>
            <wp:extent cx="5049520" cy="31788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49520" cy="317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80"/>
        <w:spacing w:after="0" w:line="249"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ind w:left="34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84" w:lineRule="exact"/>
        <w:rPr>
          <w:sz w:val="20"/>
          <w:szCs w:val="20"/>
          <w:color w:val="auto"/>
        </w:rPr>
      </w:pPr>
    </w:p>
    <w:p>
      <w:pPr>
        <w:ind w:right="320" w:firstLine="347"/>
        <w:spacing w:after="0" w:line="278" w:lineRule="auto"/>
        <w:rPr>
          <w:sz w:val="20"/>
          <w:szCs w:val="20"/>
          <w:color w:val="auto"/>
        </w:rPr>
      </w:pPr>
      <w:r>
        <w:rPr>
          <w:rFonts w:ascii="Arial" w:cs="Arial" w:eastAsia="Arial" w:hAnsi="Arial"/>
          <w:sz w:val="16"/>
          <w:szCs w:val="16"/>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The quality care provided by vision care professionals is then complemented by our highly-trained in-store sales associates. Through one-on-one consultations, we can better understand the complete scope of our customers’ needs and recommend the appropriate products and services. Our customers are then able to choose from a broad assortment of frames, including high-quality designer and private label frames, and contact lenses. We believe that the comprehensive proposition of our value pricing, the breadth and quality of our product mix and high levels of customer service drive repeat visits and customer loyalty, engagement and ambassadorship.</w:t>
      </w:r>
    </w:p>
    <w:p>
      <w:pPr>
        <w:spacing w:after="0" w:line="68"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49" w:lineRule="exact"/>
        <w:rPr>
          <w:sz w:val="20"/>
          <w:szCs w:val="20"/>
          <w:color w:val="auto"/>
        </w:rPr>
      </w:pPr>
    </w:p>
    <w:p>
      <w:pPr>
        <w:ind w:right="60" w:firstLine="347"/>
        <w:spacing w:after="0" w:line="260" w:lineRule="auto"/>
        <w:rPr>
          <w:sz w:val="20"/>
          <w:szCs w:val="20"/>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color w:val="auto"/>
        </w:rPr>
        <w:t>. Our low-cost structure allows us to maintain our low prices to our customers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Further, as one of the largest purchasers of eyeglass frames and contact lenses in the United States, we benefit from procurement and cost advantages. Additionally, we have enhanced our supply chain process and related vendor relationships to allow us to source high-quality frames at low prices. By strategically placing our new stores in or near high traffic “strip centers” and shopping locations, we avoid paying the high rents associated with malls. Our real estate strategy clusters stores within the same markets, allowing us to leverage our advertising spend. We maintain a flexible in-store labor cost structure that helps us achieve consistent profitability across a range of sales levels and a variety of markets. We also operate an efficient corporate office that centrally standardizes all major decisions related to merchandising, pricing, product assortment and allocation. As a result of these factors, we are able to drive attractive profitable growth while maintaining industry-low prices for our customers.</w:t>
      </w:r>
    </w:p>
    <w:p>
      <w:pPr>
        <w:spacing w:after="0" w:line="55"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b w:val="1"/>
          <w:bCs w:val="1"/>
          <w:i w:val="1"/>
          <w:iCs w:val="1"/>
          <w:color w:val="auto"/>
        </w:rPr>
        <w:t>Best-in-class Management Team With Deep Optical Experience</w:t>
      </w:r>
      <w:r>
        <w:rPr>
          <w:rFonts w:ascii="Arial" w:cs="Arial" w:eastAsia="Arial" w:hAnsi="Arial"/>
          <w:sz w:val="16"/>
          <w:szCs w:val="16"/>
          <w:color w:val="auto"/>
        </w:rPr>
        <w:t>. Our company is led by a highly-accomplished and proven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3"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b w:val="1"/>
          <w:bCs w:val="1"/>
          <w:i w:val="1"/>
          <w:iCs w:val="1"/>
          <w:color w:val="auto"/>
        </w:rPr>
        <w:t>Diverse Portfolio of Attractive Brands</w:t>
      </w:r>
      <w:r>
        <w:rPr>
          <w:rFonts w:ascii="Arial" w:cs="Arial" w:eastAsia="Arial" w:hAnsi="Arial"/>
          <w:sz w:val="15"/>
          <w:szCs w:val="15"/>
          <w:color w:val="auto"/>
        </w:rPr>
        <w:t>. We have a differentiated collection of five complementary brands, four of which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supported by either our omni-channel or e-commerce platform that all target the fast-growing value segment within the U.S. optical retail industry. With an aggregate 980 retail stores and 19 consumer websites as of July 1, 2017, the size and scale of our brand portfolio provide us high proximity to customers and allow us to engage customers across a variety of sales channels. We believe these brands collectively constitute a portfolio with both attractive economics and growth potential.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Our omni-channel platform also allows us to deliver several customer convenience capabilities, such as online scheduling and reminders for eye exams, purchases and shipping of contact lenses and eyeglasses, online frame browsing and virtual frame try-on, among others. In the aggregate, we believe that this diverse combination of brands exhibits a strong economic profile that combines robust growth potential with significant free cash flow generation.</w:t>
      </w:r>
    </w:p>
    <w:p>
      <w:pPr>
        <w:spacing w:after="0" w:line="54" w:lineRule="exact"/>
        <w:rPr>
          <w:sz w:val="20"/>
          <w:szCs w:val="20"/>
          <w:color w:val="auto"/>
        </w:rPr>
      </w:pPr>
    </w:p>
    <w:p>
      <w:pPr>
        <w:ind w:right="60" w:firstLine="347"/>
        <w:spacing w:after="0" w:line="259" w:lineRule="auto"/>
        <w:rPr>
          <w:sz w:val="20"/>
          <w:szCs w:val="20"/>
          <w:color w:val="auto"/>
        </w:rPr>
      </w:pPr>
      <w:r>
        <w:rPr>
          <w:rFonts w:ascii="Arial" w:cs="Arial" w:eastAsia="Arial" w:hAnsi="Arial"/>
          <w:sz w:val="17"/>
          <w:szCs w:val="17"/>
          <w:b w:val="1"/>
          <w:bCs w:val="1"/>
          <w:i w:val="1"/>
          <w:iCs w:val="1"/>
          <w:color w:val="auto"/>
        </w:rPr>
        <w:t>Proven Real Estate Site Selection Process</w:t>
      </w:r>
      <w:r>
        <w:rPr>
          <w:rFonts w:ascii="Arial" w:cs="Arial" w:eastAsia="Arial" w:hAnsi="Arial"/>
          <w:sz w:val="17"/>
          <w:szCs w:val="17"/>
          <w:color w:val="auto"/>
        </w:rPr>
        <w:t>. We locate our owned stores in highly-desirable retail developments surrounded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dense concentrations of our target customers. We maintain a disciplined approach to new store growth and perform comprehensive market research before selecting a new site based on customer demographics and data from our existing customer database. Our data-driven approach, desirable locations and consistent new store model have resulted in strong performance across our store base. We have rarely closed or relocated a store due to underperformance, and our five-year rolling average new store success rate— 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83" w:lineRule="exact"/>
        <w:rPr>
          <w:sz w:val="20"/>
          <w:szCs w:val="20"/>
          <w:color w:val="auto"/>
        </w:rPr>
      </w:pPr>
    </w:p>
    <w:p>
      <w:pPr>
        <w:ind w:right="20" w:firstLine="347"/>
        <w:spacing w:after="0" w:line="301" w:lineRule="auto"/>
        <w:rPr>
          <w:sz w:val="20"/>
          <w:szCs w:val="20"/>
          <w:color w:val="auto"/>
        </w:rPr>
      </w:pPr>
      <w:r>
        <w:rPr>
          <w:rFonts w:ascii="Arial" w:cs="Arial" w:eastAsia="Arial" w:hAnsi="Arial"/>
          <w:sz w:val="15"/>
          <w:szCs w:val="15"/>
          <w:b w:val="1"/>
          <w:bCs w:val="1"/>
          <w:i w:val="1"/>
          <w:iCs w:val="1"/>
          <w:color w:val="auto"/>
        </w:rPr>
        <w:t>Strong Partnerships With Retail Partners and Vendors</w:t>
      </w:r>
      <w:r>
        <w:rPr>
          <w:rFonts w:ascii="Arial" w:cs="Arial" w:eastAsia="Arial" w:hAnsi="Arial"/>
          <w:sz w:val="15"/>
          <w:szCs w:val="15"/>
          <w:color w:val="auto"/>
        </w:rPr>
        <w:t>. We have developed extensive and long-term strategic relationships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our frame and lens suppliers, our host and legacy partners and managed 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lens orders. Our host and legacy partnerships enjoy operational efficiencies, which rely on our centralized laboratory network and best practices implemented over the course of these long partnerships.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75"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b w:val="1"/>
          <w:bCs w:val="1"/>
          <w:i w:val="1"/>
          <w:iCs w:val="1"/>
          <w:color w:val="auto"/>
        </w:rPr>
        <w:t>Deep Experience with the Regulatory Complexity of the Optical Industry</w:t>
      </w:r>
      <w:r>
        <w:rPr>
          <w:rFonts w:ascii="Arial" w:cs="Arial" w:eastAsia="Arial" w:hAnsi="Arial"/>
          <w:sz w:val="16"/>
          <w:szCs w:val="16"/>
          <w:color w:val="auto"/>
        </w:rPr>
        <w:t>. There are extensive and diverse sets of laws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We believe that we have the right strategy and execution capabilities to capitalize on the substantial growth opportunities afforded by our business model. We intend to further drive growth from five distinct sources: growing our store base, increasing comparable store sales, optimizing our existing business, leveraging technology and exploiting strategic opportunities.</w:t>
      </w:r>
    </w:p>
    <w:p>
      <w:pPr>
        <w:spacing w:after="0" w:line="76" w:lineRule="exact"/>
        <w:rPr>
          <w:sz w:val="20"/>
          <w:szCs w:val="20"/>
          <w:color w:val="auto"/>
        </w:rPr>
      </w:pPr>
    </w:p>
    <w:p>
      <w:pPr>
        <w:ind w:right="40" w:firstLine="347"/>
        <w:spacing w:after="0" w:line="275" w:lineRule="auto"/>
        <w:rPr>
          <w:sz w:val="20"/>
          <w:szCs w:val="20"/>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color w:val="auto"/>
        </w:rPr>
        <w:t>. We believe that our expansion opportunities in the United States are significant. We have adopted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believe that our consistent track record of successfully opening stores across vintages, geographies and markets demonstrates our ability to further increase our store count. In the aggregate, we have opened 458 stores on a net basis (opened 512 new stores and closed 54 stores) over the last decade and in the past three years, we have increased our new store growth to 75 new stores per annum. Historically, we have self-funded our new store growth from operating cash flows. Our rigorous analytical approach to site selection combines detailed customer demographic data with other store-specific variables and maps this data against existing store performance.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To successfully open and operate these stores, we will need to attract a sufficient number of optometrists. Our management team includes a network of seasoned professionals with substantial experience in recruitment of optometrists. Our recruitment efforts have kept pace with our store growth. As a result, we believe that our current level of new store growth of 75 stores per annum is sustainable for the foreseeable future.</w:t>
      </w:r>
    </w:p>
    <w:p>
      <w:pPr>
        <w:spacing w:after="0" w:line="66"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b w:val="1"/>
          <w:bCs w:val="1"/>
          <w:i w:val="1"/>
          <w:iCs w:val="1"/>
          <w:color w:val="auto"/>
        </w:rPr>
        <w:t>Drive Comparable Store Sales Growth</w:t>
      </w:r>
      <w:r>
        <w:rPr>
          <w:rFonts w:ascii="Arial" w:cs="Arial" w:eastAsia="Arial" w:hAnsi="Arial"/>
          <w:sz w:val="16"/>
          <w:szCs w:val="16"/>
          <w:color w:val="auto"/>
        </w:rPr>
        <w:t>. We expect that our value proposition will generate profitable comparable store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For instance, we began purchasing national television advertising for our America’s Best brand in the first quarter of fiscal year 2017. Further, we expect to continue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color w:val="auto"/>
        </w:rPr>
        <w:t>. We believe that our continued growth will provide further opportunities to improve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62"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63"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b w:val="1"/>
          <w:bCs w:val="1"/>
          <w:i w:val="1"/>
          <w:iCs w:val="1"/>
          <w:color w:val="auto"/>
        </w:rPr>
        <w:t>Leverage Technology to Optimize and Expand the Business</w:t>
      </w:r>
      <w:r>
        <w:rPr>
          <w:rFonts w:ascii="Arial" w:cs="Arial" w:eastAsia="Arial" w:hAnsi="Arial"/>
          <w:sz w:val="17"/>
          <w:szCs w:val="17"/>
          <w:color w:val="auto"/>
        </w:rPr>
        <w:t>. Our experienced management team has consistently leveraged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strategies to grow our business and remain at the forefront of technological development in the optical retail industry. We have invested significantly in technological improvements to position us for future growth. Several strategies that will continue to leverage and grow our technology leadership include:</w:t>
      </w:r>
    </w:p>
    <w:p>
      <w:pPr>
        <w:spacing w:after="0" w:line="72" w:lineRule="exact"/>
        <w:rPr>
          <w:sz w:val="20"/>
          <w:szCs w:val="20"/>
          <w:color w:val="auto"/>
        </w:rPr>
      </w:pPr>
    </w:p>
    <w:p>
      <w:pPr>
        <w:ind w:left="680" w:right="80" w:hanging="342"/>
        <w:spacing w:after="0" w:line="276" w:lineRule="auto"/>
        <w:tabs>
          <w:tab w:leader="none" w:pos="6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Further development of our omni-channel platform</w:t>
      </w:r>
      <w:r>
        <w:rPr>
          <w:rFonts w:ascii="Arial" w:cs="Arial" w:eastAsia="Arial" w:hAnsi="Arial"/>
          <w:sz w:val="16"/>
          <w:szCs w:val="16"/>
          <w:color w:val="auto"/>
        </w:rPr>
        <w:t>: We have invested in our omni-channel platform to offer our</w:t>
      </w:r>
      <w:r>
        <w:rPr>
          <w:rFonts w:ascii="Arial" w:cs="Arial" w:eastAsia="Arial" w:hAnsi="Arial"/>
          <w:sz w:val="16"/>
          <w:szCs w:val="16"/>
          <w:i w:val="1"/>
          <w:iCs w:val="1"/>
          <w:color w:val="auto"/>
        </w:rPr>
        <w:t xml:space="preserve"> </w:t>
      </w:r>
      <w:r>
        <w:rPr>
          <w:rFonts w:ascii="Arial" w:cs="Arial" w:eastAsia="Arial" w:hAnsi="Arial"/>
          <w:sz w:val="16"/>
          <w:szCs w:val="16"/>
          <w:color w:val="auto"/>
        </w:rPr>
        <w:t>America’s Best, Eyeglass World and Vista Optical military customers a wide range of services, including online exam scheduling, appointment reminders, “buy-in-store and ship-to-home” contact lens and eyeglass purchasing, online frame browsing and virtual frame try-on, among others. We are implementing additional software solutions that will allow all omni-channel purchases to be linked to a single customer profile that will be leveraged to develop a “single view of the customer” and to offer a seamless experience across our in-store, mobile and e-commerce channels. These solutions facilitate improved functionality and processes that are expected to enhance our omni-channel capabilities and deliver a more dynamic experience to our customers. Specifically, the omni-channel platform will be enabled to deliver personalized content and targeted promotions and to provide enhanced search experience and a streamlined checkout process. Our bolstered omni-channel platform has been designed to enable stronger customer communication and to drive traffic to our stores and websites.</w:t>
      </w:r>
    </w:p>
    <w:p>
      <w:pPr>
        <w:spacing w:after="0" w:line="71" w:lineRule="exact"/>
        <w:rPr>
          <w:rFonts w:ascii="Arial" w:cs="Arial" w:eastAsia="Arial" w:hAnsi="Arial"/>
          <w:sz w:val="16"/>
          <w:szCs w:val="16"/>
          <w:color w:val="auto"/>
        </w:rPr>
      </w:pPr>
    </w:p>
    <w:p>
      <w:pPr>
        <w:ind w:left="680" w:right="100" w:hanging="342"/>
        <w:spacing w:after="0" w:line="260"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Enhanced customer engagement</w:t>
      </w:r>
      <w:r>
        <w:rPr>
          <w:rFonts w:ascii="Arial" w:cs="Arial" w:eastAsia="Arial" w:hAnsi="Arial"/>
          <w:sz w:val="17"/>
          <w:szCs w:val="17"/>
          <w:color w:val="auto"/>
        </w:rPr>
        <w:t>: We intend to improve customer engagement and retention using next generation data</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and customer relationship management solutions. We intend to utilize these solutions to develop a single view of our customers and to deliver personalized recommendations and targeted promotions in real-time. We believe that the tailored nature of customer engagement will increase the conversion of our multi-touch marketing campaigns, expand cross-sell opportunities and increase transaction volume across our websites and retail locations. Given the necessary and recurring nature of eye care purchases, as well as the amount of personal data we are required to collect from our customers, we possess a significant amount of high quality customer data that we believe increases the effectiveness of these solutions.</w:t>
      </w:r>
    </w:p>
    <w:p>
      <w:pPr>
        <w:spacing w:after="0" w:line="78" w:lineRule="exact"/>
        <w:rPr>
          <w:rFonts w:ascii="Arial" w:cs="Arial" w:eastAsia="Arial" w:hAnsi="Arial"/>
          <w:sz w:val="17"/>
          <w:szCs w:val="17"/>
          <w:color w:val="auto"/>
        </w:rPr>
      </w:pPr>
    </w:p>
    <w:p>
      <w:pPr>
        <w:ind w:left="680" w:right="240" w:hanging="342"/>
        <w:spacing w:after="0" w:line="303" w:lineRule="auto"/>
        <w:tabs>
          <w:tab w:leader="none" w:pos="68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Continued investment in new eye exam technology</w:t>
      </w:r>
      <w:r>
        <w:rPr>
          <w:rFonts w:ascii="Arial" w:cs="Arial" w:eastAsia="Arial" w:hAnsi="Arial"/>
          <w:sz w:val="15"/>
          <w:szCs w:val="15"/>
          <w:color w:val="auto"/>
        </w:rPr>
        <w:t>: We leverage technology to make the eye exam process accurate and</w:t>
      </w:r>
      <w:r>
        <w:rPr>
          <w:rFonts w:ascii="Arial" w:cs="Arial" w:eastAsia="Arial" w:hAnsi="Arial"/>
          <w:sz w:val="15"/>
          <w:szCs w:val="15"/>
          <w:i w:val="1"/>
          <w:iCs w:val="1"/>
          <w:color w:val="auto"/>
        </w:rPr>
        <w:t xml:space="preserve"> </w:t>
      </w:r>
      <w:r>
        <w:rPr>
          <w:rFonts w:ascii="Arial" w:cs="Arial" w:eastAsia="Arial" w:hAnsi="Arial"/>
          <w:sz w:val="15"/>
          <w:szCs w:val="15"/>
          <w:color w:val="auto"/>
        </w:rPr>
        <w:t>efficient for our customers and optometrists. Over the past few years, we have invested in cutting-edge ophthalmic technology, such as digital phoropters and retinal cameras. Going forward, we will continue to invest in these and other technologies to improve the quality of the in-store eye exam experience for both our customers and optometrists who provide vision care services. Since eye exams are a critical service element of our business, we believe that investing in technology to improve this experience will aid in retention of both customers and optometric talent.</w:t>
      </w:r>
    </w:p>
    <w:p>
      <w:pPr>
        <w:spacing w:after="0" w:line="49" w:lineRule="exact"/>
        <w:rPr>
          <w:rFonts w:ascii="Arial" w:cs="Arial" w:eastAsia="Arial" w:hAnsi="Arial"/>
          <w:sz w:val="15"/>
          <w:szCs w:val="15"/>
          <w:color w:val="auto"/>
        </w:rPr>
      </w:pPr>
    </w:p>
    <w:p>
      <w:pPr>
        <w:ind w:left="680" w:right="140" w:hanging="342"/>
        <w:spacing w:after="0" w:line="271"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Leverage seed investments in emerging companies</w:t>
      </w:r>
      <w:r>
        <w:rPr>
          <w:rFonts w:ascii="Arial" w:cs="Arial" w:eastAsia="Arial" w:hAnsi="Arial"/>
          <w:sz w:val="17"/>
          <w:szCs w:val="17"/>
          <w:color w:val="auto"/>
        </w:rPr>
        <w:t>. Our leading position in the optical retail industry connects us with</w:t>
      </w:r>
      <w:r>
        <w:rPr>
          <w:rFonts w:ascii="Arial" w:cs="Arial" w:eastAsia="Arial" w:hAnsi="Arial"/>
          <w:sz w:val="17"/>
          <w:szCs w:val="17"/>
          <w:i w:val="1"/>
          <w:iCs w:val="1"/>
          <w:color w:val="auto"/>
        </w:rPr>
        <w:t xml:space="preserve"> </w:t>
      </w:r>
      <w:r>
        <w:rPr>
          <w:rFonts w:ascii="Arial" w:cs="Arial" w:eastAsia="Arial" w:hAnsi="Arial"/>
          <w:sz w:val="17"/>
          <w:szCs w:val="17"/>
          <w:color w:val="auto"/>
        </w:rPr>
        <w:t>other participants across the industry, including innovative companies. As one of the fastest-growing optical retail chains in the United States, we are a preferred partner for growing optical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60"/>
        <w:spacing w:after="0" w:line="303" w:lineRule="auto"/>
        <w:rPr>
          <w:sz w:val="20"/>
          <w:szCs w:val="20"/>
          <w:color w:val="auto"/>
        </w:rPr>
      </w:pPr>
      <w:r>
        <w:rPr>
          <w:rFonts w:ascii="Arial" w:cs="Arial" w:eastAsia="Arial" w:hAnsi="Arial"/>
          <w:sz w:val="15"/>
          <w:szCs w:val="15"/>
          <w:color w:val="auto"/>
        </w:rPr>
        <w:t>technology companies and we endeavor to engage in dialogue with technological innovators in our industry. As such, we have made seed investments in several emerging venture-backed optical technologies, including $8.6 million invested since June 2014 in Ditto (virtual glasses try-on), PQ Eyewear (custom fit, 3D-printed glasses) and Smart Vision Labs (handheld eye exam refraction technology). As a result of this strategy, we often have direct access when it comes to both understanding emerging trends and new developments in optical technology. These investments are consistent with our mission of making eye care affordable and accessible to our customers and position us for future growth.</w:t>
      </w:r>
    </w:p>
    <w:p>
      <w:pPr>
        <w:spacing w:after="0" w:line="49"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b w:val="1"/>
          <w:bCs w:val="1"/>
          <w:i w:val="1"/>
          <w:iCs w:val="1"/>
          <w:color w:val="auto"/>
        </w:rPr>
        <w:t>Explore Strategic Opportunities</w:t>
      </w:r>
      <w:r>
        <w:rPr>
          <w:rFonts w:ascii="Arial" w:cs="Arial" w:eastAsia="Arial" w:hAnsi="Arial"/>
          <w:sz w:val="17"/>
          <w:szCs w:val="17"/>
          <w:color w:val="auto"/>
        </w:rPr>
        <w:t>. We will selectively evaluate strategic acquisition opportunities from time to time as part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growth strategy.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Services</w:t>
      </w:r>
    </w:p>
    <w:p>
      <w:pPr>
        <w:spacing w:after="0" w:line="123" w:lineRule="exact"/>
        <w:rPr>
          <w:sz w:val="20"/>
          <w:szCs w:val="20"/>
          <w:color w:val="auto"/>
        </w:rPr>
      </w:pPr>
    </w:p>
    <w:p>
      <w:pPr>
        <w:ind w:right="100" w:firstLine="347"/>
        <w:spacing w:after="0" w:line="276" w:lineRule="auto"/>
        <w:rPr>
          <w:sz w:val="20"/>
          <w:szCs w:val="20"/>
          <w:color w:val="auto"/>
        </w:rPr>
      </w:pPr>
      <w:r>
        <w:rPr>
          <w:rFonts w:ascii="Arial" w:cs="Arial" w:eastAsia="Arial" w:hAnsi="Arial"/>
          <w:sz w:val="16"/>
          <w:szCs w:val="16"/>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frames are manufactured by market leaders such as Luxottica, Marchon and Zyloware, as well as private label brands made for us in Asia.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lenses and photochromatic options, which carry higher margins. In fiscal year 2016, approximately 82% of America’s Best customers and 93% of Eyeglass World customers who purchased eyeglasses chose upgraded lenses and/or frames instead of each brand’s base offer. We also offer contact lenses and accessories from all major contact lens manufacturers, including our own private label brand (Sofmed, made by CooperVision) that is offered in our America’s Best and Eyeglass World stores. Collectively, our broad product offerings deliver consistent financial results and reduce our reliance on any individual product, style or trend.</w:t>
      </w:r>
    </w:p>
    <w:p>
      <w:pPr>
        <w:spacing w:after="0" w:line="65" w:lineRule="exact"/>
        <w:rPr>
          <w:sz w:val="20"/>
          <w:szCs w:val="20"/>
          <w:color w:val="auto"/>
        </w:rPr>
      </w:pPr>
    </w:p>
    <w:p>
      <w:pPr>
        <w:ind w:right="620" w:firstLine="347"/>
        <w:spacing w:after="0" w:line="287" w:lineRule="auto"/>
        <w:rPr>
          <w:sz w:val="20"/>
          <w:szCs w:val="20"/>
          <w:color w:val="auto"/>
        </w:rPr>
      </w:pPr>
      <w:r>
        <w:rPr>
          <w:rFonts w:ascii="Arial" w:cs="Arial" w:eastAsia="Arial" w:hAnsi="Arial"/>
          <w:sz w:val="17"/>
          <w:szCs w:val="17"/>
          <w:color w:val="auto"/>
        </w:rPr>
        <w:t>In both of our reportable segments, eye exam services are provided by optometrists employed by us or by professional corporations owned by eye care practitioners with whom we have contractual arrangements.</w:t>
      </w:r>
    </w:p>
    <w:p>
      <w:pPr>
        <w:spacing w:after="0" w:line="54"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Within our owned &amp; host segment, America’s Best offers its Eyecare Club programs primarily to its contact lens customers. As of July 1, 2017, the Eyecare Club had 1.3 million active members. Benefits of the Eyecare Club include two free eye exams per year for the duration of the multi-year membership, 10% off all replacement contact lenses and eyeglasses and other periodic benefits and discounts, such as free samples of contact lens solutions. Memberships can be purchased in stores or on our America’s Best website. Two separate club memberships are available: the three-year Silver membership, which costs $99, and the five-year Gold membership, which costs $139. By comparison, the cost of a contact lens exam, exclusive of the Eyecare Club, is $79. There is a high adoption rate of Eyecare Club membership by America’s Best customers who are not part of a managed care program and who visited an America’s Best store for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facilitates repeat traffic to America’s Best stores for exams and contact lens purchases and builds customer loyalty. The Eyecare Club also has attractive working capital characteristics, as customers pay the full membership cost at the time that they join. See Note 15: “Segment Reporting” in our audited consolidated financial statements included elsewhere in this prospectus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3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Based on the in-depth knowledge we have of our customers, we have built an effective marketing strategy. Our brands are positioned to stand for low prices and great value, which resonate with our target consumers and leave a lasting impression that is distinct from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50800</wp:posOffset>
            </wp:positionV>
            <wp:extent cx="5115560" cy="45694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15560" cy="456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believe that television is a key channel for connecting with our customers. Approximately three-quarters of America’s Best and Eyeglass World’s advertising expenditures are on traffic-driving television advertisements, which we leverage broadly across multiple stores in each television market to gain a larger share of voice,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turn, drive traffic and margins. Our recent America’s Best expansion into California has allowed us to shift from local campaigns to purchasing television advertising nationally, starting in the first quarter of fiscal year 2017, which we believe is more cost effective. We expect that this national campaign will raise our brand awareness in both existing and new markets, allowing us to save advertising spend when entering new markets.</w:t>
      </w:r>
    </w:p>
    <w:p>
      <w:pPr>
        <w:spacing w:after="0" w:line="7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 2015, we engaged an outside advertising agency to help develop and sharpen America’s Best’s brand-positioning message and create a new television advertising campaign, ultimately based on a new owl icon. The “Owl” campaign focuses on showcasing America’s Best’s low prices and detailing the benefits to our customers. This campaign has been running since mid-2015 and we believe that this memorable advertising has raised brand awareness and has generated sales by both new and existing customers. We also engaged this advertising agency to design a new brand-positioning campaign for our Eyeglass World brand, including a brand refresh with updated imagery.</w:t>
      </w:r>
    </w:p>
    <w:p>
      <w:pPr>
        <w:spacing w:after="0" w:line="75"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8"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Our Customer Relationship Management, or CRM, system contains data on more than 14 million active customers who have purchased from us within the last five years. The customer demographic data that we capture includes age, mailing address, email addresses and phone number at the time of purchase. We utilize this information to know both when our customers buy from us and what items they purchase. With this information and the third-party data that we use to supplement the customer information, we create targeted mailing lists (both direct mail and email) to send communications to our customers based on their vision needs and interests to help improve retention of our existing customers.</w:t>
      </w:r>
    </w:p>
    <w:p>
      <w:pPr>
        <w:spacing w:after="0" w:line="6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 Such efforts enable us to direct the customer to the specific information they are seeking on our websites, which has dramatically improved conversion of digital visitors to customers by enabling them to find a store, schedule an exam or make a purchase.</w:t>
      </w:r>
    </w:p>
    <w:p>
      <w:pPr>
        <w:spacing w:after="0" w:line="76" w:lineRule="exact"/>
        <w:rPr>
          <w:sz w:val="20"/>
          <w:szCs w:val="20"/>
          <w:color w:val="auto"/>
        </w:rPr>
      </w:pPr>
    </w:p>
    <w:p>
      <w:pPr>
        <w:ind w:right="80" w:firstLine="347"/>
        <w:spacing w:after="0" w:line="287" w:lineRule="auto"/>
        <w:rPr>
          <w:sz w:val="20"/>
          <w:szCs w:val="20"/>
          <w:color w:val="auto"/>
        </w:rPr>
      </w:pPr>
      <w:r>
        <w:rPr>
          <w:rFonts w:ascii="Arial" w:cs="Arial" w:eastAsia="Arial" w:hAnsi="Arial"/>
          <w:sz w:val="17"/>
          <w:szCs w:val="17"/>
          <w:color w:val="auto"/>
        </w:rPr>
        <w:t>We believe that our brands have compelling marketing messages and that our advanced media tactics help maintain awareness of our consumers, leading to increased store visits and sales.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Sourcing and Supplier Relationships</w:t>
      </w:r>
    </w:p>
    <w:p>
      <w:pPr>
        <w:spacing w:after="0" w:line="123" w:lineRule="exact"/>
        <w:rPr>
          <w:sz w:val="20"/>
          <w:szCs w:val="20"/>
          <w:color w:val="auto"/>
        </w:rPr>
      </w:pPr>
    </w:p>
    <w:p>
      <w:pPr>
        <w:ind w:right="120" w:firstLine="347"/>
        <w:spacing w:after="0" w:line="276" w:lineRule="auto"/>
        <w:rPr>
          <w:sz w:val="20"/>
          <w:szCs w:val="20"/>
          <w:color w:val="auto"/>
        </w:rPr>
      </w:pPr>
      <w:r>
        <w:rPr>
          <w:rFonts w:ascii="Arial" w:cs="Arial" w:eastAsia="Arial" w:hAnsi="Arial"/>
          <w:sz w:val="16"/>
          <w:szCs w:val="16"/>
          <w:color w:val="auto"/>
        </w:rPr>
        <w:t>We purchase our merchandise from a wide variety of vendors, with no vendor accounting for more than 20% of our total cost of products sold.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Our agreement with Essilor expires on December 31, 2018, automatically renewing for one-year terms unless a party elects to terminate upon 90 days’ written notice. We are collaborative in our vendor negotiations so as to develop a partnership with our vendors and, in time, a sense of loyalty to National Vision. Each of our top ten vendors has been with us for at least ten years, and several of these vendors have been with us since our inception in 1990. We focus on sourcing low-cost products, including discounted closeouts of well-known frame brands, secondary frame brands, direct import frames and private label contact lenses under our Sofmed label. By investing in our sourcing operations, we have increased our direct importation of eyeglass frames, as a percentage of eyeglass frames units sold, from 50% in 2012 to 73% in 2016, which has enabled us to offer high quality frames at low prices while also generating strong gross margins.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Optical Laboratories</w:t>
      </w:r>
    </w:p>
    <w:p>
      <w:pPr>
        <w:spacing w:after="0" w:line="123"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We use a highly-efficient mix of three domestic, company-operated processing facilities and two international, outsourced facilities. We have state-of-the-art lens processing capabilities in our three, geographically-diverse company-operated production facilities in Lawrenceville, Georgia, St. Cloud, Minnesota and Salt Lake City, Utah. Our centralized optical laboratories handle all aspects of customizing eyeglass lenses, and have digital capabilities for grinding, coating and edging to customer prescription and eyeglass frame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4" w:name="page125"/>
    <w:bookmarkEnd w:id="12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w:t>
      </w:r>
    </w:p>
    <w:p>
      <w:pPr>
        <w:spacing w:after="0" w:line="2" w:lineRule="exact"/>
        <w:rPr>
          <w:sz w:val="20"/>
          <w:szCs w:val="20"/>
          <w:color w:val="auto"/>
        </w:rPr>
      </w:pPr>
    </w:p>
    <w:p>
      <w:pPr>
        <w:ind w:left="1" w:right="60" w:hanging="1"/>
        <w:spacing w:after="0" w:line="260" w:lineRule="auto"/>
        <w:tabs>
          <w:tab w:leader="none" w:pos="247"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 From fiscal year 2009 to fiscal year 2016, the number of orders processed through our laboratory network increased by more than 100%, while the cost per job decreased 13%.</w:t>
      </w:r>
    </w:p>
    <w:p>
      <w:pPr>
        <w:spacing w:after="0" w:line="76" w:lineRule="exact"/>
        <w:rPr>
          <w:sz w:val="20"/>
          <w:szCs w:val="20"/>
          <w:color w:val="auto"/>
        </w:rPr>
      </w:pPr>
    </w:p>
    <w:p>
      <w:pPr>
        <w:ind w:left="1" w:right="20" w:firstLine="347"/>
        <w:spacing w:after="0" w:line="266"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On-site laboratories can process a variety of lens options. For fiscal year 2016, over half of Eyeglass World in-store customer orders were processed entirely in the store. All lens orders that are not processed or completed in-store are processed or completed by our centralized laboratory network.</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Distribution Network</w:t>
      </w:r>
    </w:p>
    <w:p>
      <w:pPr>
        <w:spacing w:after="0" w:line="123" w:lineRule="exact"/>
        <w:rPr>
          <w:sz w:val="20"/>
          <w:szCs w:val="20"/>
          <w:color w:val="auto"/>
        </w:rPr>
      </w:pPr>
    </w:p>
    <w:p>
      <w:pPr>
        <w:ind w:left="1" w:right="320" w:firstLine="347"/>
        <w:spacing w:after="0" w:line="320" w:lineRule="auto"/>
        <w:rPr>
          <w:sz w:val="20"/>
          <w:szCs w:val="20"/>
          <w:color w:val="auto"/>
        </w:rPr>
      </w:pPr>
      <w:r>
        <w:rPr>
          <w:rFonts w:ascii="Arial" w:cs="Arial" w:eastAsia="Arial" w:hAnsi="Arial"/>
          <w:sz w:val="16"/>
          <w:szCs w:val="16"/>
          <w:color w:val="auto"/>
        </w:rPr>
        <w:t>Our approximately 99,000 square foot distribution center in Lawrenceville, Georgia is located near our corporate offices in Duluth, Georgia. We utilize third-party carriers to transport all of our products from this distribution center to our stores.</w:t>
      </w:r>
    </w:p>
    <w:p>
      <w:pPr>
        <w:spacing w:after="0" w:line="31" w:lineRule="exact"/>
        <w:rPr>
          <w:sz w:val="20"/>
          <w:szCs w:val="20"/>
          <w:color w:val="auto"/>
        </w:rPr>
      </w:pPr>
    </w:p>
    <w:p>
      <w:pPr>
        <w:jc w:val="both"/>
        <w:ind w:left="1" w:right="260" w:firstLine="347"/>
        <w:spacing w:after="0" w:line="271" w:lineRule="auto"/>
        <w:rPr>
          <w:sz w:val="20"/>
          <w:szCs w:val="20"/>
          <w:color w:val="auto"/>
        </w:rPr>
      </w:pPr>
      <w:r>
        <w:rPr>
          <w:rFonts w:ascii="Arial" w:cs="Arial" w:eastAsia="Arial" w:hAnsi="Arial"/>
          <w:sz w:val="17"/>
          <w:szCs w:val="17"/>
          <w:color w:val="auto"/>
        </w:rPr>
        <w:t>Our approximately 52,000 square foot distribution center in Columbus, Ohio is located close to the headquarters of our AC Lens subsidiary. We utilize third-party carriers to transport our products from this distribution center directly to customers and to store locations for our partners.</w:t>
      </w:r>
    </w:p>
    <w:p>
      <w:pPr>
        <w:spacing w:after="0" w:line="68"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We believe that the size and scalability of our distribution centers is more than sufficient to support our future expansion over the next four to five years.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Properties and Store Footprint</w:t>
      </w:r>
    </w:p>
    <w:p>
      <w:pPr>
        <w:spacing w:after="0" w:line="123" w:lineRule="exact"/>
        <w:rPr>
          <w:sz w:val="20"/>
          <w:szCs w:val="20"/>
          <w:color w:val="auto"/>
        </w:rPr>
      </w:pPr>
    </w:p>
    <w:p>
      <w:pPr>
        <w:jc w:val="both"/>
        <w:ind w:left="1" w:right="40" w:firstLine="347"/>
        <w:spacing w:after="0" w:line="312" w:lineRule="auto"/>
        <w:rPr>
          <w:sz w:val="20"/>
          <w:szCs w:val="20"/>
          <w:color w:val="auto"/>
        </w:rPr>
      </w:pPr>
      <w:r>
        <w:rPr>
          <w:rFonts w:ascii="Arial" w:cs="Arial" w:eastAsia="Arial" w:hAnsi="Arial"/>
          <w:sz w:val="15"/>
          <w:szCs w:val="15"/>
          <w:color w:val="auto"/>
        </w:rPr>
        <w:t>We lease all of our America’s Best and Eyeglass World retail stores. Our leases generally have a term of five to ten years, with renewal options that generally range from five to 15 years.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repair and maintenance expenses.</w:t>
      </w:r>
    </w:p>
    <w:p>
      <w:pPr>
        <w:spacing w:after="0" w:line="42" w:lineRule="exact"/>
        <w:rPr>
          <w:sz w:val="20"/>
          <w:szCs w:val="20"/>
          <w:color w:val="auto"/>
        </w:rPr>
      </w:pPr>
    </w:p>
    <w:p>
      <w:pPr>
        <w:jc w:val="both"/>
        <w:ind w:left="1" w:right="80" w:firstLine="347"/>
        <w:spacing w:after="0" w:line="271" w:lineRule="auto"/>
        <w:rPr>
          <w:sz w:val="20"/>
          <w:szCs w:val="20"/>
          <w:color w:val="auto"/>
        </w:rPr>
      </w:pPr>
      <w:r>
        <w:rPr>
          <w:rFonts w:ascii="Arial" w:cs="Arial" w:eastAsia="Arial" w:hAnsi="Arial"/>
          <w:sz w:val="17"/>
          <w:szCs w:val="17"/>
          <w:color w:val="auto"/>
        </w:rPr>
        <w:t>We occupy our host locations through master agreements with our host partners, which contain standard terms and conditions, such as fixed and percentage-based payments. We occupy our legacy locations through master agreements with standard terms and conditions, such as percentage-based payments.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our stores by location as of July 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82550</wp:posOffset>
            </wp:positionV>
            <wp:extent cx="5140325" cy="381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0325"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i w:val="1"/>
          <w:iCs w:val="1"/>
          <w:color w:val="auto"/>
        </w:rPr>
        <w:t>Note: ‘Other’ includes Vista Optical in Fred Meyer stores and on military bases. There is one America’s Best location in Washington, D.C. and one Vista Optical location in Puerto Rico.</w:t>
      </w:r>
    </w:p>
    <w:p>
      <w:pPr>
        <w:spacing w:after="0" w:line="64" w:lineRule="exact"/>
        <w:rPr>
          <w:sz w:val="20"/>
          <w:szCs w:val="20"/>
          <w:color w:val="auto"/>
        </w:rPr>
      </w:pPr>
    </w:p>
    <w:p>
      <w:pPr>
        <w:ind w:right="660" w:firstLine="347"/>
        <w:spacing w:after="0" w:line="287" w:lineRule="auto"/>
        <w:rPr>
          <w:sz w:val="20"/>
          <w:szCs w:val="20"/>
          <w:color w:val="auto"/>
        </w:rPr>
      </w:pPr>
      <w:r>
        <w:rPr>
          <w:rFonts w:ascii="Arial" w:cs="Arial" w:eastAsia="Arial" w:hAnsi="Arial"/>
          <w:sz w:val="17"/>
          <w:szCs w:val="17"/>
          <w:color w:val="auto"/>
        </w:rPr>
        <w:t>We lease laboratories in Georgia and Utah and distribution centers in Georgia and Ohio, and we own our laboratory in Minnesota.</w:t>
      </w:r>
    </w:p>
    <w:p>
      <w:pPr>
        <w:spacing w:after="0" w:line="54" w:lineRule="exact"/>
        <w:rPr>
          <w:sz w:val="20"/>
          <w:szCs w:val="20"/>
          <w:color w:val="auto"/>
        </w:rPr>
      </w:pPr>
    </w:p>
    <w:p>
      <w:pPr>
        <w:jc w:val="both"/>
        <w:ind w:right="80" w:firstLine="347"/>
        <w:spacing w:after="0" w:line="271" w:lineRule="auto"/>
        <w:rPr>
          <w:sz w:val="20"/>
          <w:szCs w:val="20"/>
          <w:color w:val="auto"/>
        </w:rPr>
      </w:pPr>
      <w:r>
        <w:rPr>
          <w:rFonts w:ascii="Arial" w:cs="Arial" w:eastAsia="Arial" w:hAnsi="Arial"/>
          <w:sz w:val="17"/>
          <w:szCs w:val="17"/>
          <w:color w:val="auto"/>
        </w:rPr>
        <w:t>Our corporate offices are located in approximately 73,000 square feet of leased space in Duluth, Georgia. In addition, we lease approximately 27,000 square feet of office space for our AC Lens corporate office in Columbus, Ohio, and we lease approximately 3,000 square feet of office space for our FirstSight corporate office in Upland,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w:t>
      </w:r>
    </w:p>
    <w:p>
      <w:pPr>
        <w:spacing w:after="0" w:line="123"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As of July 1, 2017, we had 10,360 full-time and part-time employees, inclusive of employees of the professional corporations with which we contract. We are not a party to any collective bargaining agreements. We have never experienced a strike or work stoppage, and we believe that our relations with employees are excellent.</w:t>
      </w:r>
    </w:p>
    <w:p>
      <w:pPr>
        <w:spacing w:after="0" w:line="68"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We believe that the recruitment, training and knowledge of our employees and the consistency and quality of the service they deliver are central to our success. We believe our employee-customer interactions are important to build the trust and rapport necessary to execute our selling approach. The recruiting team relies on external sourcing, employee recommendations and our website to facilitate recruitment of future employees.</w:t>
      </w:r>
    </w:p>
    <w:p>
      <w:pPr>
        <w:spacing w:after="0" w:line="7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dedicate substantial resources to training our employees. Each new full-time store employee receives more than 48 hours of formal training in their first year alone, including product, leadership, cultural and operational training. Our sales associates are trained to interact, inquire and listen to customers so that they can understand the complete scope of each customer’s situation. This consultative selling approach allows us to sell a broad range of products and deliver a differentiated experience to our customers, which we believe results in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quality transaction, repeat visits, frequent referrals and overall customer satisfaction. In addition, every employee promoted to store manager participates in a centralized training program at our corporate office to ensure consistency and alignment with our store-level corporate objectives.</w:t>
      </w:r>
    </w:p>
    <w:p>
      <w:pPr>
        <w:spacing w:after="0" w:line="68"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We believe that communication is vital to the culture of the business and engages and empowers our workforce. Our strategic initiatives and organizational successes are communicated to employees at all levels. We also pride ourselves on our compensation policy as a retention tool. We offer flexible work schedules, comprehensive benefits and competitive compensation to both full-time and part-time employees. As a result, we have an average employee turnover rate of approximately 35% annually across our five store brands, compared to the retail industry average of approximately 60%.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Managed Vision Care</w:t>
      </w:r>
    </w:p>
    <w:p>
      <w:pPr>
        <w:spacing w:after="0" w:line="123" w:lineRule="exact"/>
        <w:rPr>
          <w:sz w:val="20"/>
          <w:szCs w:val="20"/>
          <w:color w:val="auto"/>
        </w:rPr>
      </w:pPr>
    </w:p>
    <w:p>
      <w:pPr>
        <w:ind w:right="60" w:firstLine="347"/>
        <w:spacing w:after="0" w:line="277" w:lineRule="auto"/>
        <w:rPr>
          <w:sz w:val="20"/>
          <w:szCs w:val="20"/>
          <w:color w:val="auto"/>
        </w:rPr>
      </w:pPr>
      <w:r>
        <w:rPr>
          <w:rFonts w:ascii="Arial" w:cs="Arial" w:eastAsia="Arial" w:hAnsi="Arial"/>
          <w:sz w:val="16"/>
          <w:szCs w:val="16"/>
          <w:color w:val="auto"/>
        </w:rPr>
        <w:t>We are currently underpenetrated in the managed care market relative to the broader optical retail industry, and we believe that this represents an important opportunity for us in the future. Although we have relationships with many of the major insurance and vision care companies, we believe that there are opportunities for us to expand existing relationships as well as to create new ones. We strive to create a high-quality, high-satisfaction experience for both our in-store customers and managed care partners. Through our point-of-sale system and our back-office electronic data interchange, or EDI, capabilities, we create a seamless transactional experience for our in-store managed care customers. Additionally, we have assisted a number of our larger vision care insurance payors to either implement or improve their EDI claim systems. We monitor both industry and national healthcare changes and are well-positioned to take advantage of these changes due to our low-cost offerings and strong electronic infrastructure. We expect to continue to grow the managed care component of our business through our relationships and partnership initiatives with managed care payors.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3" w:lineRule="exact"/>
        <w:rPr>
          <w:sz w:val="20"/>
          <w:szCs w:val="20"/>
          <w:color w:val="auto"/>
        </w:rPr>
      </w:pPr>
    </w:p>
    <w:p>
      <w:pPr>
        <w:ind w:right="740" w:firstLine="347"/>
        <w:spacing w:after="0" w:line="287" w:lineRule="auto"/>
        <w:rPr>
          <w:sz w:val="20"/>
          <w:szCs w:val="20"/>
          <w:color w:val="auto"/>
        </w:rPr>
      </w:pPr>
      <w:r>
        <w:rPr>
          <w:rFonts w:ascii="Arial" w:cs="Arial" w:eastAsia="Arial" w:hAnsi="Arial"/>
          <w:sz w:val="17"/>
          <w:szCs w:val="17"/>
          <w:color w:val="auto"/>
        </w:rPr>
        <w:t>The optical retail industry is highly competitive. Competition is generally based upon brand name recognition, price, convenience, selection, service and product quality.</w:t>
      </w:r>
    </w:p>
    <w:p>
      <w:pPr>
        <w:spacing w:after="0" w:line="54"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6" w:lineRule="exact"/>
        <w:rPr>
          <w:sz w:val="20"/>
          <w:szCs w:val="20"/>
          <w:color w:val="auto"/>
        </w:rPr>
      </w:pPr>
    </w:p>
    <w:p>
      <w:pPr>
        <w:ind w:right="60" w:firstLine="347"/>
        <w:spacing w:after="0" w:line="312" w:lineRule="auto"/>
        <w:rPr>
          <w:sz w:val="20"/>
          <w:szCs w:val="20"/>
          <w:color w:val="auto"/>
        </w:rPr>
      </w:pPr>
      <w:r>
        <w:rPr>
          <w:rFonts w:ascii="Arial" w:cs="Arial" w:eastAsia="Arial" w:hAnsi="Arial"/>
          <w:sz w:val="15"/>
          <w:szCs w:val="15"/>
          <w:color w:val="auto"/>
        </w:rPr>
        <w:t>We also compete with online sellers of contact lenses and eyewear. The online sale of contact lenses has steadily increased in particular since the passage of the FCLCA.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 and 3D printing of eyewear.</w:t>
      </w:r>
    </w:p>
    <w:p>
      <w:pPr>
        <w:spacing w:after="0" w:line="4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Our business is moderately seasonal in nature. Historically, our business has realized a higher portion of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as well as the timing of certain holidays.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w:t>
      </w:r>
    </w:p>
    <w:p>
      <w:pPr>
        <w:spacing w:after="0" w:line="123" w:lineRule="exact"/>
        <w:rPr>
          <w:sz w:val="20"/>
          <w:szCs w:val="20"/>
          <w:color w:val="auto"/>
        </w:rPr>
      </w:pPr>
    </w:p>
    <w:p>
      <w:pPr>
        <w:ind w:right="60" w:firstLine="347"/>
        <w:spacing w:after="0" w:line="303" w:lineRule="auto"/>
        <w:rPr>
          <w:sz w:val="20"/>
          <w:szCs w:val="20"/>
          <w:color w:val="auto"/>
        </w:rPr>
      </w:pPr>
      <w:r>
        <w:rPr>
          <w:rFonts w:ascii="Arial" w:cs="Arial" w:eastAsia="Arial" w:hAnsi="Arial"/>
          <w:sz w:val="15"/>
          <w:szCs w:val="15"/>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49"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Since 2011, we have modernized our point-of-sale system, upgraded multiple financial package components and are currently implementing software systems to enhance the growth of our omni-channel and customer engagement efforts. We believe this implementation, along with maintenance of our existing information technology capabilities, will provide the flexibility and capacity to accommodate our future growth plans.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We own many trademarks,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 &amp; Design. We have registered or applied to register a variety of our trademarks and service marks used throughout our business in the United States, as well as domain names.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We are currently and may in the future become subject to various claims and pending or threatened lawsuits in the normal course of our business. Our subsidiary, FirstSight, is a defendant, along with Walmart, in a purported class action in the U.S. District Court for the Southern District of California that alleges that FirstSight and Walmart participated in arrangements that caused the illegal delivery of eye examinations to the plaintiffs and that FirstSight thereby violated, among others, the corporate practice of optometry and the unfair competition and false advertising laws of California. The lawsuit was filed in 2013 and FirstSight was added as a defendant in 2016. On March 24, 2017, the Court granted the defendants’ motions to dismiss and dismissed the complaint with prejudice. Plaintiffs appealed this decision in April 2017. We intend to continue to defend the litigation vigorously. We believe that the claims alleged are without merit. In May 2017, a complaint was filed against us and other defendants alleging, on behalf of a proposed class of consumers who purchased contact lenses online, that 1-800 Contacts, Inc. entered into a series of agreements with the other defendants, including our subsidiary AC Lens, to suppress certain online advertising and that each defendant thereby engaged in anticompetitive conduct in violation of the Sherman Antitrust Act. We have settled this litigation for $7.0 million, without admitting liability. The settlement agreement is subject to the approval of the court. Accordingly, we have recorded a $7.0 million charge to accrue for this settlement in the six months ended July 1, 2017. We are not currently party to any other legal proceedings that we believe would have a material adverse effect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Overview</w:t>
      </w:r>
    </w:p>
    <w:p>
      <w:pPr>
        <w:spacing w:after="0" w:line="123" w:lineRule="exact"/>
        <w:rPr>
          <w:sz w:val="20"/>
          <w:szCs w:val="20"/>
          <w:color w:val="auto"/>
        </w:rPr>
      </w:pPr>
    </w:p>
    <w:p>
      <w:pPr>
        <w:ind w:right="120" w:firstLine="347"/>
        <w:spacing w:after="0" w:line="357" w:lineRule="auto"/>
        <w:rPr>
          <w:sz w:val="20"/>
          <w:szCs w:val="20"/>
          <w:color w:val="auto"/>
        </w:rPr>
      </w:pPr>
      <w:r>
        <w:rPr>
          <w:rFonts w:ascii="Arial" w:cs="Arial" w:eastAsia="Arial" w:hAnsi="Arial"/>
          <w:sz w:val="15"/>
          <w:szCs w:val="15"/>
          <w:color w:val="auto"/>
        </w:rPr>
        <w:t>Our operations are subject to extensive federal, state and local laws and regulations. Because of the various facets of our business, the scope and extent of laws and regulations applicable to our business are always subject to the risk of material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Medicine/Optometry and Similar Laws</w:t>
      </w:r>
    </w:p>
    <w:p>
      <w:pPr>
        <w:spacing w:after="0" w:line="117"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A number of states that permit these relationships nevertheless regulate them extensively.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We strive to structure our arrangements with eye care practitioners in accordance with these state laws. Our America’s Best operations, which feature a bundled offer of eyeglasses and an eye examination, are particularly implicated by these laws. Our failure to comply with these laws could threaten our ability to operate in a particular state.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Licensure and Regulation</w:t>
      </w:r>
    </w:p>
    <w:p>
      <w:pPr>
        <w:spacing w:after="0" w:line="117"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Our operations are also subject to state licensing laws. 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arrangements, to obtain and maintain appropriate licenses could result in the unavailability of vision care professionals in or near our stores, loss of sales and/or the closure of our stores without licensed professionals.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Fairness to Contact Lens Consumers Act</w:t>
      </w:r>
    </w:p>
    <w:p>
      <w:pPr>
        <w:spacing w:after="0" w:line="117"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In connection with our sales of contact lens, we must also comply with the FCLCA, and its implementing regulations, which establish a national uniform standard in the United States with regard to releasing and verifying contact lens prescriptions. This law also contains a “passive verification” requirement pursuant to which a prescription is deemed verified if a prescriber fails to respond within eight business hours to a request by a seller for confirmation of the accuracy of the prescription.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Managed Care Regulation</w:t>
      </w:r>
    </w:p>
    <w:p>
      <w:pPr>
        <w:spacing w:after="0" w:line="117"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We are engaged in managed vision care, both as a managed care entity and as a provider to managed care payors and insurers. In California, our subsidiary, FirstSight, as an HMO, is subject to the managed care laws of the State of California and is licensed and comprehensively regulated by the DMHC. These regulations contain operating, disclosure, reporting, and financial viability requirements, among others. In the event of a violation of these regulations, the DMHC has, depending on the nature and extent of the violation, the authority to suspend or revoke FirstSight’s license, to seek civil penalties, and to seek other remedies, including the appointment of a receiver. Material changes to the operations of FirstSight, including the opening of America’s Best locations outside of defined service areas, must be approved by the DMHC. This approval process can be complex and can cause delays in the projected opening of our stores.</w:t>
      </w:r>
    </w:p>
    <w:p>
      <w:pPr>
        <w:spacing w:after="0" w:line="79"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 We could incur increased compliance costs as a result. We would also be subject to the risk of cease and desist orders and monetary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Contract Regulations</w:t>
      </w:r>
    </w:p>
    <w:p>
      <w:pPr>
        <w:spacing w:after="0" w:line="117"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We offer product protection plans for our eyeglasses; in certain states, service contract and similar laws regulate these plans. These laws, which vary by state, mandate that sellers of such contracts comply with various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registration, disclosure and financial requirements. It is possible that regulators in certain states could determine that our extended warranty plans should be subject to these laws. In such event, we would be required to incur enhanced compliance costs, as well as the risk of cease and desist orders and monetary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Security</w:t>
      </w:r>
    </w:p>
    <w:p>
      <w:pPr>
        <w:spacing w:after="0" w:line="117"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We directly collect, use, access, disclose, transmit and/or store PHI and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HIPAA and its implementing regulations, such as the Privacy Rule, the Security Rule and the Breach Notification Rule. The HITECH Act extends the Privacy Rule and the Security Rule directly to business associates.</w:t>
      </w:r>
    </w:p>
    <w:p>
      <w:pPr>
        <w:spacing w:after="0" w:line="76" w:lineRule="exact"/>
        <w:rPr>
          <w:sz w:val="20"/>
          <w:szCs w:val="20"/>
          <w:color w:val="auto"/>
        </w:rPr>
      </w:pPr>
    </w:p>
    <w:p>
      <w:pPr>
        <w:ind w:right="40" w:firstLine="347"/>
        <w:spacing w:after="0" w:line="277" w:lineRule="auto"/>
        <w:rPr>
          <w:sz w:val="20"/>
          <w:szCs w:val="20"/>
          <w:color w:val="auto"/>
        </w:rPr>
      </w:pPr>
      <w:r>
        <w:rPr>
          <w:rFonts w:ascii="Arial" w:cs="Arial" w:eastAsia="Arial" w:hAnsi="Arial"/>
          <w:sz w:val="16"/>
          <w:szCs w:val="16"/>
          <w:color w:val="auto"/>
        </w:rPr>
        <w:t>The Privacy Rule regulates the use, disclosure and protection of PHI by health plans, healthcare clearinghouses and health care providers that submit certain covered transactions electronically, or collectively covered entities, and their business associates. The Security Rule requires the adoption of administrative, physical, and technical safeguards, including written security policies and procedures. The Breach Notification Rule requires covered entities to notify affected individuals without unreasonable delay and in no case later than 60 calendar days after discovery of the breach if their unsecured PHI is subject to an unauthorized access, use or disclosure. If a breach affects 500 patients or more, covered entities must report it to the U.S. Department of Health and Human Services, or HHS, and local media without unreasonable delay, and HHS will post the name of the breaching entity on its public website. If a breach affects fewer than 500 individuals, the covered entity must log it and notify HHS at least annually. Business associates are required to notify their covered entity clients without unreasonable delay and in no case later than 60 calendar days after discovery of the breach.</w:t>
      </w:r>
    </w:p>
    <w:p>
      <w:pPr>
        <w:spacing w:after="0" w:line="6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HHS may impose penalties for HIPAA violations up to $55,910 per violation, and up to $1.68 million per violation of the same standard per calendar year. A single breach incident can result in violations of multiple standards, resulting in possible penalties potentially in excess of $1.68 million. If a person knowingly or intentionally obtains or discloses PHI in violation of HIPAA requirements, criminal penalties may also be imposed.</w:t>
      </w:r>
    </w:p>
    <w:p>
      <w:pPr>
        <w:spacing w:after="0" w:line="72"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HIPAA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72"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w:t>
      </w:r>
    </w:p>
    <w:p>
      <w:pPr>
        <w:spacing w:after="0" w:line="68" w:lineRule="exact"/>
        <w:rPr>
          <w:sz w:val="20"/>
          <w:szCs w:val="20"/>
          <w:color w:val="auto"/>
        </w:rPr>
      </w:pPr>
    </w:p>
    <w:p>
      <w:pPr>
        <w:ind w:right="120" w:firstLine="347"/>
        <w:spacing w:after="0" w:line="357" w:lineRule="auto"/>
        <w:rPr>
          <w:sz w:val="20"/>
          <w:szCs w:val="20"/>
          <w:color w:val="auto"/>
        </w:rPr>
      </w:pPr>
      <w:r>
        <w:rPr>
          <w:rFonts w:ascii="Arial" w:cs="Arial" w:eastAsia="Arial" w:hAnsi="Arial"/>
          <w:sz w:val="15"/>
          <w:szCs w:val="15"/>
          <w:color w:val="auto"/>
        </w:rPr>
        <w:t>The HITECH Act also restricts third-party funded communications using PHI and the receipt of remuneration in exchange for PHI. We must therefore structure our participation in any promotional programs of our vendors to comply with these restrictions.</w:t>
      </w:r>
    </w:p>
    <w:p>
      <w:pPr>
        <w:spacing w:after="0" w:line="8" w:lineRule="exact"/>
        <w:rPr>
          <w:sz w:val="20"/>
          <w:szCs w:val="20"/>
          <w:color w:val="auto"/>
        </w:rPr>
      </w:pPr>
    </w:p>
    <w:p>
      <w:pPr>
        <w:ind w:right="220" w:firstLine="347"/>
        <w:spacing w:after="0" w:line="266" w:lineRule="auto"/>
        <w:rPr>
          <w:sz w:val="20"/>
          <w:szCs w:val="20"/>
          <w:color w:val="auto"/>
        </w:rPr>
      </w:pPr>
      <w:r>
        <w:rPr>
          <w:rFonts w:ascii="Arial" w:cs="Arial" w:eastAsia="Arial" w:hAnsi="Arial"/>
          <w:sz w:val="17"/>
          <w:szCs w:val="17"/>
          <w:color w:val="auto"/>
        </w:rPr>
        <w:t>Additionally, because we accept debit and credit cards for payment, we are subject to the PCI Standard, which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Related to Reimbursement by Government Programs</w:t>
      </w:r>
    </w:p>
    <w:p>
      <w:pPr>
        <w:spacing w:after="0" w:line="117" w:lineRule="exact"/>
        <w:rPr>
          <w:sz w:val="20"/>
          <w:szCs w:val="20"/>
          <w:color w:val="auto"/>
        </w:rPr>
      </w:pPr>
    </w:p>
    <w:p>
      <w:pPr>
        <w:ind w:right="320" w:firstLine="347"/>
        <w:spacing w:after="0" w:line="287" w:lineRule="auto"/>
        <w:rPr>
          <w:sz w:val="20"/>
          <w:szCs w:val="20"/>
          <w:color w:val="auto"/>
        </w:rPr>
      </w:pPr>
      <w:r>
        <w:rPr>
          <w:rFonts w:ascii="Arial" w:cs="Arial" w:eastAsia="Arial" w:hAnsi="Arial"/>
          <w:sz w:val="17"/>
          <w:szCs w:val="17"/>
          <w:color w:val="auto"/>
        </w:rPr>
        <w:t>Our participation in federal reimbursement programs, such as Medicare and Medicaid, subjects us to federal anti-kickback, false claims, self-referral and similar laws.</w:t>
      </w:r>
    </w:p>
    <w:p>
      <w:pPr>
        <w:spacing w:after="0" w:line="54" w:lineRule="exact"/>
        <w:rPr>
          <w:sz w:val="20"/>
          <w:szCs w:val="20"/>
          <w:color w:val="auto"/>
        </w:rPr>
      </w:pPr>
    </w:p>
    <w:p>
      <w:pPr>
        <w:ind w:right="280" w:firstLine="347"/>
        <w:spacing w:after="0" w:line="266"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Penalties for violations include criminal and civil sanctions such as fines, imprisonment and possible exclusion from Medicare, Medicaid and other federal healthcare programs. Many states have adopted similar laws that apply to any third-party payors including commercial plans.</w:t>
      </w:r>
    </w:p>
    <w:p>
      <w:pPr>
        <w:spacing w:after="0" w:line="71"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A person who offers or transfers to a Medicare or Medicaid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w:t>
      </w:r>
    </w:p>
    <w:p>
      <w:pPr>
        <w:spacing w:after="0" w:line="76"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 xml:space="preserve">In addition, the federal Anti-Kickback Statute provides that any claim for government reimbursement in violation of the statute also violates the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or “whistleblower” lawsuits on behalf of the federal or state government. The Social Security Act also imposes significant penalties for false or improper Medicare and Medicaid billings.</w:t>
      </w:r>
    </w:p>
    <w:p>
      <w:pPr>
        <w:spacing w:after="0" w:line="76"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63"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The Bipartisan Budget Act of 2015 required that federal agencies make annual inflation adjustments to civil monetary penalties and to penalties under the FCA. Each of the DOJ and the HHS has recently announced such adjustments, which materially increase the size of these penalties. Penalties under the FCA increased from a minimum of $5,500 and a maximum of $11,000 to a minimum of $10,957 and a maximum of $21,916. Civil monetary penalties for violations of the Anti-Kickback Statute increased from $50,000 to $74,792. Penalties have increased under other laws, including HIPAA.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w:t>
      </w:r>
    </w:p>
    <w:p>
      <w:pPr>
        <w:spacing w:after="0" w:line="117"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laboratories with the FDA. If we, or any of the manufacturers of our medical device products, fail to comply with applicable requirements, we or they may be subject to legal action by the DOJ on behalf of the FDA and/or various forms of FDA enforcement and compliance actions, which include, but are not limited to, recalls, fines, penalties, injunctions, seizures, prosecutions, adverse publicity (such as FDA press releases) or other adverse actions.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Protection Laws</w:t>
      </w:r>
    </w:p>
    <w:p>
      <w:pPr>
        <w:spacing w:after="0" w:line="123" w:lineRule="exact"/>
        <w:rPr>
          <w:sz w:val="20"/>
          <w:szCs w:val="20"/>
          <w:color w:val="auto"/>
        </w:rPr>
      </w:pPr>
    </w:p>
    <w:p>
      <w:pPr>
        <w:ind w:right="60" w:firstLine="347"/>
        <w:spacing w:after="0" w:line="262" w:lineRule="auto"/>
        <w:rPr>
          <w:sz w:val="20"/>
          <w:szCs w:val="20"/>
          <w:color w:val="auto"/>
        </w:rPr>
      </w:pPr>
      <w:r>
        <w:rPr>
          <w:rFonts w:ascii="Arial" w:cs="Arial" w:eastAsia="Arial" w:hAnsi="Arial"/>
          <w:sz w:val="17"/>
          <w:szCs w:val="17"/>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or the FTC Act, to investigate and prosecute practices that are “unfair trade practices,” “deceptive trade practices,” or “unfair methods of competition.” State attorneys general typically have comparable authority. In addition, many states permit private plaintiffs to bring actions on the basis of these laws.</w:t>
      </w:r>
    </w:p>
    <w:p>
      <w:pPr>
        <w:spacing w:after="0" w:line="75"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State regulators or boards of optometry may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E-commerce Laws</w:t>
      </w:r>
    </w:p>
    <w:p>
      <w:pPr>
        <w:spacing w:after="0" w:line="123" w:lineRule="exact"/>
        <w:rPr>
          <w:sz w:val="20"/>
          <w:szCs w:val="20"/>
          <w:color w:val="auto"/>
        </w:rPr>
      </w:pPr>
    </w:p>
    <w:p>
      <w:pPr>
        <w:ind w:right="20" w:firstLine="347"/>
        <w:spacing w:after="0" w:line="312" w:lineRule="auto"/>
        <w:rPr>
          <w:sz w:val="20"/>
          <w:szCs w:val="20"/>
          <w:color w:val="auto"/>
        </w:rPr>
      </w:pPr>
      <w:r>
        <w:rPr>
          <w:rFonts w:ascii="Arial" w:cs="Arial" w:eastAsia="Arial" w:hAnsi="Arial"/>
          <w:sz w:val="15"/>
          <w:szCs w:val="15"/>
          <w:color w:val="auto"/>
        </w:rPr>
        <w:t>Our e-commerce business, operated by our subsidiary AC Lens, must comply with various federal and state laws, most notably the FCLCA, and its implementing regulation, the Contact Lens Rule, adopted by the FTC. This law and Rule require that, before we sell contact lenses online, we verify the prescriptions we receive from our customers. A violation of the Contact Lens Rule constitutes an unfair or deceptive act or practice under the FTC Act. Our online business must also be registered in various states.</w:t>
      </w:r>
    </w:p>
    <w:p>
      <w:pPr>
        <w:spacing w:after="0" w:line="42"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color w:val="auto"/>
        </w:rPr>
        <w:t>Our international sales online can also implicate other laws, particularly the requirements under the OFAC, which prohibit us from engaging in transactions with certain individuals and companies designated by OFAC.</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Safety Regulation</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Our three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Corrupt Practices Act</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Card Industry Data Security Standard</w:t>
      </w:r>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Payment Card Industry Data Security Standard sets forth standards for the secure handling by merchants of credit card data. Certain states have incorporated these requirements into state law. Our credit card agreements with our banks require that we comply with this standard and pay for any fines and assessments imposed by the credit card companies in the event of a compromise of card data. Such fines and assessments can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and Risk Management</w:t>
      </w:r>
    </w:p>
    <w:p>
      <w:pPr>
        <w:spacing w:after="0" w:line="123"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2" w:name="page133"/>
    <w:bookmarkEnd w:id="13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Officers and Directors</w:t>
      </w:r>
    </w:p>
    <w:p>
      <w:pPr>
        <w:spacing w:after="0" w:line="123"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820" w:type="dxa"/>
            <w:vAlign w:val="bottom"/>
          </w:tcPr>
          <w:p>
            <w:pPr>
              <w:spacing w:after="0"/>
              <w:rPr>
                <w:sz w:val="20"/>
                <w:szCs w:val="20"/>
                <w:color w:val="auto"/>
              </w:rPr>
            </w:pPr>
            <w:r>
              <w:rPr>
                <w:rFonts w:ascii="Arial" w:cs="Arial" w:eastAsia="Arial" w:hAnsi="Arial"/>
                <w:sz w:val="17"/>
                <w:szCs w:val="17"/>
                <w:color w:val="auto"/>
              </w:rPr>
              <w:t>L. Reade Fahs</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57</w:t>
            </w:r>
          </w:p>
        </w:tc>
        <w:tc>
          <w:tcPr>
            <w:tcW w:w="100" w:type="dxa"/>
            <w:vAlign w:val="bottom"/>
          </w:tcPr>
          <w:p>
            <w:pPr>
              <w:spacing w:after="0"/>
              <w:rPr>
                <w:sz w:val="19"/>
                <w:szCs w:val="19"/>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Executive Officer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Nathaniel H. Taylor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40</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Chairman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Felix Gernburd</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 Randolph Peeler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52</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David M. Tehle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 Bruce Steffey*</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70</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President</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Patrick R. Moore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Mitchell Goodman</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John Vaught</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64</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Information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Busbee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56</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Human Resources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Chris Beasley</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Accounting, and Controller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Charlie Foell</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Manufacturing &amp; Distribution</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McAllister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Steffey has notified us of his intention to retire from his current position prior to the consummation of this offering.</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Directors</w:t>
      </w:r>
    </w:p>
    <w:p>
      <w:pPr>
        <w:spacing w:after="0" w:line="117" w:lineRule="exact"/>
        <w:rPr>
          <w:sz w:val="20"/>
          <w:szCs w:val="20"/>
          <w:color w:val="auto"/>
        </w:rPr>
      </w:pPr>
    </w:p>
    <w:p>
      <w:pPr>
        <w:ind w:left="1" w:right="40" w:firstLine="347"/>
        <w:spacing w:after="0" w:line="281" w:lineRule="auto"/>
        <w:rPr>
          <w:sz w:val="20"/>
          <w:szCs w:val="20"/>
          <w:color w:val="auto"/>
        </w:rPr>
      </w:pPr>
      <w:r>
        <w:rPr>
          <w:rFonts w:ascii="Arial" w:cs="Arial" w:eastAsia="Arial" w:hAnsi="Arial"/>
          <w:sz w:val="16"/>
          <w:szCs w:val="16"/>
          <w:b w:val="1"/>
          <w:bCs w:val="1"/>
          <w:color w:val="auto"/>
        </w:rPr>
        <w:t xml:space="preserve">L. Reade Fahs </w:t>
      </w:r>
      <w:r>
        <w:rPr>
          <w:rFonts w:ascii="Arial" w:cs="Arial" w:eastAsia="Arial" w:hAnsi="Arial"/>
          <w:sz w:val="16"/>
          <w:szCs w:val="16"/>
          <w:color w:val="auto"/>
        </w:rPr>
        <w:t>has served as the Chief Executive Officer of NVI since January 2003, having joined NVI in April 2002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56"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b w:val="1"/>
          <w:bCs w:val="1"/>
          <w:color w:val="auto"/>
        </w:rPr>
        <w:t xml:space="preserve">Nathaniel H. Taylor </w:t>
      </w:r>
      <w:r>
        <w:rPr>
          <w:rFonts w:ascii="Arial" w:cs="Arial" w:eastAsia="Arial" w:hAnsi="Arial"/>
          <w:sz w:val="17"/>
          <w:szCs w:val="17"/>
          <w:color w:val="auto"/>
        </w:rPr>
        <w:t>has been a director since February 2014 and will serve as Chairman of the Board upon completion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Mr. Taylor joined KKR &amp; Co. in 2005 and currently heads the Americas Consumer Retail team. Mr. Taylor also helped establish KKR &amp; Co.’s Indian operations. Mr. Taylor has been involved with many investments at KKR &amp; Co. and currently sits on the board of directors of Academy Sports + Outdoors, Channel Control Merchants, LLC, Mills Fleet Farm, Toys ‘R’ Us Inc. and US Foods Holding Corp. Before joining KKR &amp; Co.,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71" w:lineRule="exact"/>
        <w:rPr>
          <w:sz w:val="20"/>
          <w:szCs w:val="20"/>
          <w:color w:val="auto"/>
        </w:rPr>
      </w:pPr>
    </w:p>
    <w:p>
      <w:pPr>
        <w:ind w:left="1" w:right="60" w:firstLine="347"/>
        <w:spacing w:after="0" w:line="283" w:lineRule="auto"/>
        <w:rPr>
          <w:sz w:val="20"/>
          <w:szCs w:val="20"/>
          <w:color w:val="auto"/>
        </w:rPr>
      </w:pPr>
      <w:r>
        <w:rPr>
          <w:rFonts w:ascii="Arial" w:cs="Arial" w:eastAsia="Arial" w:hAnsi="Arial"/>
          <w:sz w:val="16"/>
          <w:szCs w:val="16"/>
          <w:b w:val="1"/>
          <w:bCs w:val="1"/>
          <w:color w:val="auto"/>
        </w:rPr>
        <w:t xml:space="preserve">Felix Gernburd </w:t>
      </w:r>
      <w:r>
        <w:rPr>
          <w:rFonts w:ascii="Arial" w:cs="Arial" w:eastAsia="Arial" w:hAnsi="Arial"/>
          <w:sz w:val="16"/>
          <w:szCs w:val="16"/>
          <w:color w:val="auto"/>
        </w:rPr>
        <w:t>has been a director since September 2015. Mr. Gernburd joined KKR &amp; Co. in 2010 and is currently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Private Equity and a member of the Retail and Consumer industry team. At KKR &amp; Co., Mr. Gernburd has been involved with many investments and currently sits on the board of directors of Channel Control Merchants, LLC, Mills Fleet Farm and The Nature’s Bounty Company. Before joining KKR &amp; Co., Mr. Gernburd was with Goldman, Sachs &amp; Co., where he was involved in a variety of merger, acquisition and financing transactions in the consumer, retail and industrials sectors. Mr. Gernburd holds an Honors B.A. with distinction from the Richard Ivey School of Business, University of Western Ontario.</w:t>
      </w:r>
    </w:p>
    <w:p>
      <w:pPr>
        <w:spacing w:after="0" w:line="54" w:lineRule="exact"/>
        <w:rPr>
          <w:sz w:val="20"/>
          <w:szCs w:val="20"/>
          <w:color w:val="auto"/>
        </w:rPr>
      </w:pPr>
    </w:p>
    <w:p>
      <w:pPr>
        <w:ind w:left="1" w:right="160" w:firstLine="347"/>
        <w:spacing w:after="0" w:line="265" w:lineRule="auto"/>
        <w:rPr>
          <w:sz w:val="20"/>
          <w:szCs w:val="20"/>
          <w:color w:val="auto"/>
        </w:rPr>
      </w:pPr>
      <w:r>
        <w:rPr>
          <w:rFonts w:ascii="Arial" w:cs="Arial" w:eastAsia="Arial" w:hAnsi="Arial"/>
          <w:sz w:val="17"/>
          <w:szCs w:val="17"/>
          <w:b w:val="1"/>
          <w:bCs w:val="1"/>
          <w:color w:val="auto"/>
        </w:rPr>
        <w:t xml:space="preserve">D. Randolph Peeler </w:t>
      </w:r>
      <w:r>
        <w:rPr>
          <w:rFonts w:ascii="Arial" w:cs="Arial" w:eastAsia="Arial" w:hAnsi="Arial"/>
          <w:sz w:val="17"/>
          <w:szCs w:val="17"/>
          <w:color w:val="auto"/>
        </w:rPr>
        <w:t>has been a director since March 2014. Mr. Peeler joined Berkshire in 1996 and became a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Inc., Husky Injection Molding Systems Ltd. and Lightower Fiber Networks. Mr. Peeler has an A.B. from Duke University and an M.B.A. from Harvard Business School.</w:t>
      </w:r>
    </w:p>
    <w:p>
      <w:pPr>
        <w:spacing w:after="0" w:line="48" w:lineRule="exact"/>
        <w:rPr>
          <w:sz w:val="20"/>
          <w:szCs w:val="20"/>
          <w:color w:val="auto"/>
        </w:rPr>
      </w:pPr>
    </w:p>
    <w:p>
      <w:pPr>
        <w:ind w:firstLine="347"/>
        <w:spacing w:after="0" w:line="283" w:lineRule="auto"/>
        <w:rPr>
          <w:sz w:val="20"/>
          <w:szCs w:val="20"/>
          <w:color w:val="auto"/>
        </w:rPr>
      </w:pPr>
      <w:r>
        <w:rPr>
          <w:rFonts w:ascii="Arial" w:cs="Arial" w:eastAsia="Arial" w:hAnsi="Arial"/>
          <w:sz w:val="16"/>
          <w:szCs w:val="16"/>
          <w:b w:val="1"/>
          <w:bCs w:val="1"/>
          <w:color w:val="auto"/>
        </w:rPr>
        <w:t xml:space="preserve">David M. Tehle </w:t>
      </w:r>
      <w:r>
        <w:rPr>
          <w:rFonts w:ascii="Arial" w:cs="Arial" w:eastAsia="Arial" w:hAnsi="Arial"/>
          <w:sz w:val="16"/>
          <w:szCs w:val="16"/>
          <w:color w:val="auto"/>
        </w:rPr>
        <w:t>has been a director since July 2017. Mr. Tehle retired from Dollar General Corporation in July 2015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17"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b w:val="1"/>
          <w:bCs w:val="1"/>
          <w:color w:val="auto"/>
        </w:rPr>
        <w:t xml:space="preserve">J. Bruce Steffey </w:t>
      </w:r>
      <w:r>
        <w:rPr>
          <w:rFonts w:ascii="Arial" w:cs="Arial" w:eastAsia="Arial" w:hAnsi="Arial"/>
          <w:sz w:val="17"/>
          <w:szCs w:val="17"/>
          <w:color w:val="auto"/>
        </w:rPr>
        <w:t>has served as the President of NVI since September 2012 and served as its Chief Operating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2004 until August 2017, having previously served as its Senior Vice President of Retail Operations since October 2002. Mr. Steffey was appointed the President of National Vision Holdings, Inc. in April 2016. Prior to joining NVI, Mr. Steffey was Senior Vice President of Store Operations for Zale’s Corporation from March 1995 through 2002. Prior to joining Zale’s, Mr. Steffey served as a Senior Vice President for Service Merchandise. Mr. Steffey holds a B.B.A. degree in Marketing, Management and Finance from Wake Forest University.</w:t>
      </w:r>
    </w:p>
    <w:p>
      <w:pPr>
        <w:spacing w:after="0" w:line="70" w:lineRule="exact"/>
        <w:rPr>
          <w:sz w:val="20"/>
          <w:szCs w:val="20"/>
          <w:color w:val="auto"/>
        </w:rPr>
      </w:pPr>
    </w:p>
    <w:p>
      <w:pPr>
        <w:ind w:right="180" w:firstLine="347"/>
        <w:spacing w:after="0" w:line="260" w:lineRule="auto"/>
        <w:rPr>
          <w:sz w:val="20"/>
          <w:szCs w:val="20"/>
          <w:color w:val="auto"/>
        </w:rPr>
      </w:pPr>
      <w:r>
        <w:rPr>
          <w:rFonts w:ascii="Arial" w:cs="Arial" w:eastAsia="Arial" w:hAnsi="Arial"/>
          <w:sz w:val="17"/>
          <w:szCs w:val="17"/>
          <w:b w:val="1"/>
          <w:bCs w:val="1"/>
          <w:color w:val="auto"/>
        </w:rPr>
        <w:t xml:space="preserve">Patrick R. Moore </w:t>
      </w:r>
      <w:r>
        <w:rPr>
          <w:rFonts w:ascii="Arial" w:cs="Arial" w:eastAsia="Arial" w:hAnsi="Arial"/>
          <w:sz w:val="17"/>
          <w:szCs w:val="17"/>
          <w:color w:val="auto"/>
        </w:rPr>
        <w:t>has served as the Senior Vice President, Chief Financial Officer of NVI since September 2014,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in Mechanical Engineering, as well as an MBA from the University of Alabama. Mr. Moore also attended the Stanford Executive program in 2002.</w:t>
      </w:r>
    </w:p>
    <w:p>
      <w:pPr>
        <w:spacing w:after="0" w:line="72" w:lineRule="exact"/>
        <w:rPr>
          <w:sz w:val="20"/>
          <w:szCs w:val="20"/>
          <w:color w:val="auto"/>
        </w:rPr>
      </w:pPr>
    </w:p>
    <w:p>
      <w:pPr>
        <w:ind w:firstLine="347"/>
        <w:spacing w:after="0" w:line="309" w:lineRule="auto"/>
        <w:rPr>
          <w:sz w:val="20"/>
          <w:szCs w:val="20"/>
          <w:color w:val="auto"/>
        </w:rPr>
      </w:pPr>
      <w:r>
        <w:rPr>
          <w:rFonts w:ascii="Arial" w:cs="Arial" w:eastAsia="Arial" w:hAnsi="Arial"/>
          <w:sz w:val="15"/>
          <w:szCs w:val="15"/>
          <w:b w:val="1"/>
          <w:bCs w:val="1"/>
          <w:color w:val="auto"/>
        </w:rPr>
        <w:t xml:space="preserve">Mitchell Goodman </w:t>
      </w:r>
      <w:r>
        <w:rPr>
          <w:rFonts w:ascii="Arial" w:cs="Arial" w:eastAsia="Arial" w:hAnsi="Arial"/>
          <w:sz w:val="15"/>
          <w:szCs w:val="15"/>
          <w:color w:val="auto"/>
        </w:rPr>
        <w:t>has served as the Senior Vice President, General Counsel and Secretary of NVI since May 1998, and was</w:t>
      </w:r>
      <w:r>
        <w:rPr>
          <w:rFonts w:ascii="Arial" w:cs="Arial" w:eastAsia="Arial" w:hAnsi="Arial"/>
          <w:sz w:val="15"/>
          <w:szCs w:val="15"/>
          <w:b w:val="1"/>
          <w:bCs w:val="1"/>
          <w:color w:val="auto"/>
        </w:rPr>
        <w:t xml:space="preserve"> </w:t>
      </w:r>
      <w:r>
        <w:rPr>
          <w:rFonts w:ascii="Arial" w:cs="Arial" w:eastAsia="Arial" w:hAnsi="Arial"/>
          <w:sz w:val="15"/>
          <w:szCs w:val="15"/>
          <w:color w:val="auto"/>
        </w:rPr>
        <w:t>appointed the Senior Vice President, General Counsel and Secretary of National Vision Holdings, Inc. in March 2014. Mr. Goodman joined NVI in 1992 as General Counsel and was named a Vice President in November 1993. Prior to joining NVI, Mr. Goodman was Vice President, General Counsel for NuVision, Inc. Mr. Goodman holds a B.A. degree in philosophy from the University of Pennsylvania, an M.Litt. in philosophy from Oxford University, and a J.D. degree from Wayne State University Law School.</w:t>
      </w:r>
    </w:p>
    <w:p>
      <w:pPr>
        <w:spacing w:after="0" w:line="37" w:lineRule="exact"/>
        <w:rPr>
          <w:sz w:val="20"/>
          <w:szCs w:val="20"/>
          <w:color w:val="auto"/>
        </w:rPr>
      </w:pPr>
    </w:p>
    <w:p>
      <w:pPr>
        <w:ind w:right="40" w:firstLine="347"/>
        <w:spacing w:after="0" w:line="286" w:lineRule="auto"/>
        <w:rPr>
          <w:sz w:val="20"/>
          <w:szCs w:val="20"/>
          <w:color w:val="auto"/>
        </w:rPr>
      </w:pPr>
      <w:r>
        <w:rPr>
          <w:rFonts w:ascii="Arial" w:cs="Arial" w:eastAsia="Arial" w:hAnsi="Arial"/>
          <w:sz w:val="16"/>
          <w:szCs w:val="16"/>
          <w:b w:val="1"/>
          <w:bCs w:val="1"/>
          <w:color w:val="auto"/>
        </w:rPr>
        <w:t xml:space="preserve">John Vaught </w:t>
      </w:r>
      <w:r>
        <w:rPr>
          <w:rFonts w:ascii="Arial" w:cs="Arial" w:eastAsia="Arial" w:hAnsi="Arial"/>
          <w:sz w:val="16"/>
          <w:szCs w:val="16"/>
          <w:color w:val="auto"/>
        </w:rPr>
        <w:t>has served as the Senior Vice President, Chief Information Officer of NVI since joining National Vision in 2005,</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appointed the Senior Vice President, Chief 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51" w:lineRule="exact"/>
        <w:rPr>
          <w:sz w:val="20"/>
          <w:szCs w:val="20"/>
          <w:color w:val="auto"/>
        </w:rPr>
      </w:pPr>
    </w:p>
    <w:p>
      <w:pPr>
        <w:ind w:right="60" w:firstLine="347"/>
        <w:spacing w:after="0" w:line="265" w:lineRule="auto"/>
        <w:rPr>
          <w:sz w:val="20"/>
          <w:szCs w:val="20"/>
          <w:color w:val="auto"/>
        </w:rPr>
      </w:pPr>
      <w:r>
        <w:rPr>
          <w:rFonts w:ascii="Arial" w:cs="Arial" w:eastAsia="Arial" w:hAnsi="Arial"/>
          <w:sz w:val="17"/>
          <w:szCs w:val="17"/>
          <w:b w:val="1"/>
          <w:bCs w:val="1"/>
          <w:color w:val="auto"/>
        </w:rPr>
        <w:t xml:space="preserve">Jeff Busbee </w:t>
      </w:r>
      <w:r>
        <w:rPr>
          <w:rFonts w:ascii="Arial" w:cs="Arial" w:eastAsia="Arial" w:hAnsi="Arial"/>
          <w:sz w:val="17"/>
          <w:szCs w:val="17"/>
          <w:color w:val="auto"/>
        </w:rPr>
        <w:t>has served as the Senior Vice President, Chief Human Resources Officer of NVI since January 2010,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and Chief Human Resources Officer of National Vision Holdings, Inc. in June 2017. Mr. Busbee joined NVI in November 1995 as Director, Human Resources. Prior to joining NVI, Mr. Busbee held various positions at General Motors Company, Hitachi, Ltd., Delta Airlines and the Coca Cola Export Corporation, Belgium. Mr. Busbee holds a B.B.A degree in Management from Georgia State University.</w:t>
      </w:r>
    </w:p>
    <w:p>
      <w:pPr>
        <w:spacing w:after="0" w:line="68" w:lineRule="exact"/>
        <w:rPr>
          <w:sz w:val="20"/>
          <w:szCs w:val="20"/>
          <w:color w:val="auto"/>
        </w:rPr>
      </w:pPr>
    </w:p>
    <w:p>
      <w:pPr>
        <w:ind w:firstLine="347"/>
        <w:spacing w:after="0" w:line="265" w:lineRule="auto"/>
        <w:rPr>
          <w:sz w:val="20"/>
          <w:szCs w:val="20"/>
          <w:color w:val="auto"/>
        </w:rPr>
      </w:pPr>
      <w:r>
        <w:rPr>
          <w:rFonts w:ascii="Arial" w:cs="Arial" w:eastAsia="Arial" w:hAnsi="Arial"/>
          <w:sz w:val="17"/>
          <w:szCs w:val="17"/>
          <w:b w:val="1"/>
          <w:bCs w:val="1"/>
          <w:color w:val="auto"/>
        </w:rPr>
        <w:t xml:space="preserve">Chris Beasley </w:t>
      </w:r>
      <w:r>
        <w:rPr>
          <w:rFonts w:ascii="Arial" w:cs="Arial" w:eastAsia="Arial" w:hAnsi="Arial"/>
          <w:sz w:val="17"/>
          <w:szCs w:val="17"/>
          <w:color w:val="auto"/>
        </w:rPr>
        <w:t>has served as the Senior Vice President, Accounting of NVI since July 2015 and as the Controller since May</w:t>
      </w:r>
      <w:r>
        <w:rPr>
          <w:rFonts w:ascii="Arial" w:cs="Arial" w:eastAsia="Arial" w:hAnsi="Arial"/>
          <w:sz w:val="17"/>
          <w:szCs w:val="17"/>
          <w:b w:val="1"/>
          <w:bCs w:val="1"/>
          <w:color w:val="auto"/>
        </w:rPr>
        <w:t xml:space="preserve"> </w:t>
      </w:r>
      <w:r>
        <w:rPr>
          <w:rFonts w:ascii="Arial" w:cs="Arial" w:eastAsia="Arial" w:hAnsi="Arial"/>
          <w:sz w:val="17"/>
          <w:szCs w:val="17"/>
          <w:color w:val="auto"/>
        </w:rPr>
        <w:t>2017, and was appointed the Senior Vice President, Accounting of National Vision Holdings, Inc. in April 2016 and as the Controller in May 2017. Prior to joining NVI, Mr. Beasley served as Chief Financial Officer of Sierra-Cedar Holdings Inc., a private equity owned information technology consulting company, from July 2014 to July 2015. Prior to that role, Mr. Beasley served as Sierra-Cedar’s Global Controller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and Vice President of Finance from January 2012 to July 2014. Prior to joining Sierra-Cedar, Mr. Beasley served as Corporate Controller at Eclipsys Corporation and Director of Financial Reporting for BellSouth Corporation (now AT&amp;T). Mr. Beasley began his career with PricewaterhouseCoopers as an audit manager. Mr. Beasley holds a B.B.A. in Accounting from the University of Georgia and is a Certified Public Accountant.</w:t>
      </w:r>
    </w:p>
    <w:p>
      <w:pPr>
        <w:spacing w:after="0" w:line="66" w:lineRule="exact"/>
        <w:rPr>
          <w:sz w:val="20"/>
          <w:szCs w:val="20"/>
          <w:color w:val="auto"/>
        </w:rPr>
      </w:pPr>
    </w:p>
    <w:p>
      <w:pPr>
        <w:ind w:right="120" w:firstLine="347"/>
        <w:spacing w:after="0" w:line="265" w:lineRule="auto"/>
        <w:rPr>
          <w:sz w:val="20"/>
          <w:szCs w:val="20"/>
          <w:color w:val="auto"/>
        </w:rPr>
      </w:pPr>
      <w:r>
        <w:rPr>
          <w:rFonts w:ascii="Arial" w:cs="Arial" w:eastAsia="Arial" w:hAnsi="Arial"/>
          <w:sz w:val="17"/>
          <w:szCs w:val="17"/>
          <w:b w:val="1"/>
          <w:bCs w:val="1"/>
          <w:color w:val="auto"/>
        </w:rPr>
        <w:t xml:space="preserve">Charlie Foell </w:t>
      </w:r>
      <w:r>
        <w:rPr>
          <w:rFonts w:ascii="Arial" w:cs="Arial" w:eastAsia="Arial" w:hAnsi="Arial"/>
          <w:sz w:val="17"/>
          <w:szCs w:val="17"/>
          <w:color w:val="auto"/>
        </w:rPr>
        <w:t>has served as the Senior Vice President, Manufacturing and Distribution of NVI since April 2009,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Manufacturing and Distribution of National Vision Holdings, Inc. in June 2017. Mr. Foell joined NVI in 1998 as Director of Distribution and was appointed to Vice President, Manufacturing and Distribution of NVI in 2003. Prior to joining NVI, Mr. Foell spent 25 years in various management roles supporting independently owned retail locations. Mr. Foell holds a Business Logistics degree from Penn State University.</w:t>
      </w:r>
    </w:p>
    <w:p>
      <w:pPr>
        <w:spacing w:after="0" w:line="68" w:lineRule="exact"/>
        <w:rPr>
          <w:sz w:val="20"/>
          <w:szCs w:val="20"/>
          <w:color w:val="auto"/>
        </w:rPr>
      </w:pPr>
    </w:p>
    <w:p>
      <w:pPr>
        <w:jc w:val="both"/>
        <w:ind w:right="220" w:firstLine="347"/>
        <w:spacing w:after="0" w:line="298" w:lineRule="auto"/>
        <w:rPr>
          <w:sz w:val="20"/>
          <w:szCs w:val="20"/>
          <w:color w:val="auto"/>
        </w:rPr>
      </w:pPr>
      <w:r>
        <w:rPr>
          <w:rFonts w:ascii="Arial" w:cs="Arial" w:eastAsia="Arial" w:hAnsi="Arial"/>
          <w:sz w:val="15"/>
          <w:szCs w:val="15"/>
          <w:b w:val="1"/>
          <w:bCs w:val="1"/>
          <w:color w:val="auto"/>
        </w:rPr>
        <w:t xml:space="preserve">Jeff McAllister </w:t>
      </w:r>
      <w:r>
        <w:rPr>
          <w:rFonts w:ascii="Arial" w:cs="Arial" w:eastAsia="Arial" w:hAnsi="Arial"/>
          <w:sz w:val="15"/>
          <w:szCs w:val="15"/>
          <w:color w:val="auto"/>
        </w:rPr>
        <w:t>has served as the Chief Operating Officer of NVI since August 2017 and is expected to begin serving as the</w:t>
      </w:r>
      <w:r>
        <w:rPr>
          <w:rFonts w:ascii="Arial" w:cs="Arial" w:eastAsia="Arial" w:hAnsi="Arial"/>
          <w:sz w:val="15"/>
          <w:szCs w:val="15"/>
          <w:b w:val="1"/>
          <w:bCs w:val="1"/>
          <w:color w:val="auto"/>
        </w:rPr>
        <w:t xml:space="preserve"> </w:t>
      </w:r>
      <w:r>
        <w:rPr>
          <w:rFonts w:ascii="Arial" w:cs="Arial" w:eastAsia="Arial" w:hAnsi="Arial"/>
          <w:sz w:val="15"/>
          <w:szCs w:val="15"/>
          <w:color w:val="auto"/>
        </w:rPr>
        <w:t>Chief Operating Officer of National Vision Holdings, Inc. in October 2017. Prior to joining NVI, Mr. McAllister was Senior Vice President, Next Generation Supply Chain for Walmart U.S., a position he had held since January 2015. A Navy Veteran, Mr.</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McAllister joined Walmart in 1998 as Vice President of Logistics Engineering and Planning, and he has since served in a variety of supply chain and operations capacities, including Vice President of Walmart’s Global Supply Chain, Chief Operating Officer for Walmart Japan, and Senior Vice President for Optical. In addition, he has led operations for Walmart’s Health and Wellness Group. Immediately prior to his current role, Mr. McAllister served as Senior Vice President, Store Operations, Texas and then as Senior Vice President, Innovations from February 2011 until January 2015. Prior to joining Walmart, Mr. McAllister managed logistics for Saks Fifth Avenue and The May Department Stores Company. Mr. McAllister holds a B.S. in Industrial Engineering from the University of Michigan.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no family relationships among our directors and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123"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Our business and affairs are managed under the direction of our Board of Directors. In connection with this offering, we will be amending and restating our certificate of incorporation to provide for a classified board of directors, with two directors in Class I (expected to be Nathaniel H. Taylor and L. Reade Fahs with their terms expiring at the annual meeting of stockholders to be held in 2018), two directors in Class II (expected to be D. Randolph Peeler and Felix Gernburd with their terms expiring at the annual meeting of stockholders to be held in 2019) and one director in Class III (expected to be David M. Tehle with his term expiring at the annual meeting of stockholders to be held in 2020). At each annual meeting of stockholders, the successors to directors whose terms then expire will be elected to serve from the time of election and qualification until the third annual meeting following election. Our amended and restated certificate of incorporation that will go into effect immediately prior to the consummation of this offering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See “Description of Capital Stock—Anti-Takeover Effects of Our Amended and Restated Certificate of Incorporation and Amended and Restated Bylaws and Certain Provisions of Delaware Law—Classified Board.”</w:t>
      </w:r>
    </w:p>
    <w:p>
      <w:pPr>
        <w:spacing w:after="0" w:line="73" w:lineRule="exact"/>
        <w:rPr>
          <w:sz w:val="20"/>
          <w:szCs w:val="20"/>
          <w:color w:val="auto"/>
        </w:rPr>
      </w:pPr>
    </w:p>
    <w:p>
      <w:pPr>
        <w:jc w:val="both"/>
        <w:ind w:right="520" w:firstLine="347"/>
        <w:spacing w:after="0" w:line="296" w:lineRule="auto"/>
        <w:rPr>
          <w:sz w:val="20"/>
          <w:szCs w:val="20"/>
          <w:color w:val="auto"/>
        </w:rPr>
      </w:pPr>
      <w:r>
        <w:rPr>
          <w:rFonts w:ascii="Arial" w:cs="Arial" w:eastAsia="Arial" w:hAnsi="Arial"/>
          <w:sz w:val="16"/>
          <w:szCs w:val="16"/>
          <w:color w:val="auto"/>
        </w:rPr>
        <w:t>In addition, pursuant to the stockholders agreement we expect to enter into in connection with this offering, each of the Sponsors will have the right to designate nominees to our Board of Directors subject to the maintenance of certain ownership requirements in us. See “Certain Relationships and Related Party Transactions—Stockholders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Experience of Directors</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60" w:lineRule="auto"/>
        <w:rPr>
          <w:sz w:val="20"/>
          <w:szCs w:val="20"/>
          <w:color w:val="auto"/>
        </w:rPr>
      </w:pPr>
      <w:r>
        <w:rPr>
          <w:rFonts w:ascii="Arial" w:cs="Arial" w:eastAsia="Arial" w:hAnsi="Arial"/>
          <w:sz w:val="17"/>
          <w:szCs w:val="17"/>
          <w:color w:val="auto"/>
        </w:rPr>
        <w:t>In particular, the members of our Board of Directors considered the following important characteristics: (i) L. Reade Fahs, our Chief Executive Officer, has many years of executive experience in the optical retail industry, (ii) Nathaniel H. Taylor and Felix Gernburd have significant financial, investment and operational experience from their involvement with numerous portfolio companies of KKR &amp; Co. and its affiliated funds and have played active roles in overseeing those businesses, (iii) D. Randolph Peeler has significant experience and expertise in private equity investments through his involvement in Berkshire’s investments, and (iv) David M.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of our Board of Directors</w:t>
      </w:r>
    </w:p>
    <w:p>
      <w:pPr>
        <w:spacing w:after="0" w:line="12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amended and restated bylaws will provide our Board of Directors with flexibility to combine or separate the positions of Chairman of the Board and Chief Executive Officer in accordance with its determination that utilizing one or the other structure would be in the best interests of our Company. Upon completion of this offering, Nathaniel H. Taylor will serve as Chairman of the Board. L. Reade Fahs, our Chief Executive Officer, also serves as a director.</w:t>
      </w:r>
    </w:p>
    <w:p>
      <w:pPr>
        <w:spacing w:after="0" w:line="72"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Board of Directors in Risk Oversight</w:t>
      </w:r>
    </w:p>
    <w:p>
      <w:pPr>
        <w:spacing w:after="0" w:line="12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committee to ensure effective and efficient oversight of our activities and to assist in proper risk management and the ongoing evaluation of management controls. Internal audit will report functionally and administratively to our Chief Financial Officer and directly to the audit committee. We believe that the leadership structure of our Board of Directors provides appropriate risk oversight of our activities given the controlling interests held by the Sponsors.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23"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Our Board of Directors has affirmatively determined that David M. Tehle meets the definition of “independent director” under Rule 5605 of NASDAQ.</w:t>
      </w:r>
    </w:p>
    <w:p>
      <w:pPr>
        <w:spacing w:after="0" w:line="54"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After the completion of this offering, the Sponsors will continue to beneficially own shares representing more than 50% of the voting power of our shares eligible to vote in the election of directors. As a result, we will be a “controlled company” as set forth in Rule 5615 of the NASDAQ Listing Rules. Under such corporate governance standards, a company of which more than 50% of the voting power is held by an individual, group or another company is a “controlled company” and may elect not to comply with certain corporate governance standards, including the requirements that (1) a majority of our Board of Directors consist of independent directors, (2) our Board of Directors have a compensation committee that is composed entirely of independent directors with a written charter addressing the committee’s purpose and responsibilities, and (3) that 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54" w:lineRule="exact"/>
        <w:rPr>
          <w:sz w:val="20"/>
          <w:szCs w:val="20"/>
          <w:color w:val="auto"/>
        </w:rPr>
      </w:pPr>
    </w:p>
    <w:p>
      <w:pPr>
        <w:ind w:right="100" w:firstLine="347"/>
        <w:spacing w:after="0" w:line="281" w:lineRule="auto"/>
        <w:rPr>
          <w:sz w:val="20"/>
          <w:szCs w:val="20"/>
          <w:color w:val="auto"/>
        </w:rPr>
      </w:pPr>
      <w:r>
        <w:rPr>
          <w:rFonts w:ascii="Arial" w:cs="Arial" w:eastAsia="Arial" w:hAnsi="Arial"/>
          <w:sz w:val="16"/>
          <w:szCs w:val="16"/>
          <w:color w:val="auto"/>
        </w:rPr>
        <w:t>Following this offering, we intend to utilize these exemptions. As a result, following this offering, we will not have a majority of independent directors on our Board of Directors, will not have a compensation committee that is composed entirely of independent directors and will have no nominating/corporate governance committee. Accordingly, our stockholders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123" w:lineRule="exact"/>
        <w:rPr>
          <w:sz w:val="20"/>
          <w:szCs w:val="20"/>
          <w:color w:val="auto"/>
        </w:rPr>
      </w:pPr>
    </w:p>
    <w:p>
      <w:pPr>
        <w:ind w:right="660" w:firstLine="347"/>
        <w:spacing w:after="0" w:line="287" w:lineRule="auto"/>
        <w:rPr>
          <w:sz w:val="20"/>
          <w:szCs w:val="20"/>
          <w:color w:val="auto"/>
        </w:rPr>
      </w:pPr>
      <w:r>
        <w:rPr>
          <w:rFonts w:ascii="Arial" w:cs="Arial" w:eastAsia="Arial" w:hAnsi="Arial"/>
          <w:sz w:val="17"/>
          <w:szCs w:val="17"/>
          <w:color w:val="auto"/>
        </w:rPr>
        <w:t>Upon the listing of our shares on NASDAQ, our Board of Directors will have an audit committee and a compensation committee, each of which will operate under a charter that has been approved by our Board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36" w:name="page137"/>
    <w:bookmarkEnd w:id="13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300"/>
        <w:spacing w:after="0" w:line="296" w:lineRule="auto"/>
        <w:rPr>
          <w:sz w:val="20"/>
          <w:szCs w:val="20"/>
          <w:color w:val="auto"/>
        </w:rPr>
      </w:pPr>
      <w:r>
        <w:rPr>
          <w:rFonts w:ascii="Arial" w:cs="Arial" w:eastAsia="Arial" w:hAnsi="Arial"/>
          <w:sz w:val="16"/>
          <w:szCs w:val="16"/>
          <w:color w:val="auto"/>
        </w:rPr>
        <w:t xml:space="preserve">Directors. Upon the listing of our shares on NASDAQ, copies of each committee’s charter will be posted on our website,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reference to our website address does not constitute incorporation by reference of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at or available through our website, and you should not consider it to be a part of this prospectus.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left="1" w:firstLine="347"/>
        <w:spacing w:after="0" w:line="276" w:lineRule="auto"/>
        <w:rPr>
          <w:sz w:val="20"/>
          <w:szCs w:val="20"/>
          <w:color w:val="auto"/>
        </w:rPr>
      </w:pPr>
      <w:r>
        <w:rPr>
          <w:rFonts w:ascii="Arial" w:cs="Arial" w:eastAsia="Arial" w:hAnsi="Arial"/>
          <w:sz w:val="16"/>
          <w:szCs w:val="16"/>
          <w:color w:val="auto"/>
        </w:rPr>
        <w:t>Upon the completion of this offering, we expect to have an audit committee, consisting of David M. Tehle, who will be serving as the Chair, and Nathaniel H. Taylor and Felix Gernburd. Mr. Tehle qualifies as an independent director under NASDAQ corporate governance standards and the independence requirements of Rule 10A-3 of the Exchange Act. To the extent that our audit committee is not already composed of a majority of independent directors, our Board of Directors will appoint one or more additional independent directors to the audit committee within 90 days of the effective date of the registration statement of which this prospectus forms a part and, to the extent our audit committee is not then already entirely composed of independent directors, again within one year of the effective date of the registration statement of which this prospectus forms a part. The non-independent members of the audit committee will resign from the audit committee as the additional independent directors are added, so that, within one year of the effective date of the registration statement of which this prospectus forms a part, all of our audit committee members will be independent as such term is defined in Rule 10A-3(b)(1) under the Exchange Act and under NASDAQ corporate governance standards. Our Board of Directors has determined that Mr. Tehle qualifies as an “audit committee financial expert” as such term is defined in Item 407(d)(5) of Regulation S-K.</w:t>
      </w:r>
    </w:p>
    <w:p>
      <w:pPr>
        <w:spacing w:after="0" w:line="68" w:lineRule="exact"/>
        <w:rPr>
          <w:sz w:val="20"/>
          <w:szCs w:val="20"/>
          <w:color w:val="auto"/>
        </w:rPr>
      </w:pPr>
    </w:p>
    <w:p>
      <w:pPr>
        <w:ind w:left="1" w:right="20" w:firstLine="347"/>
        <w:spacing w:after="0" w:line="295" w:lineRule="auto"/>
        <w:rPr>
          <w:sz w:val="20"/>
          <w:szCs w:val="20"/>
          <w:color w:val="auto"/>
        </w:rPr>
      </w:pPr>
      <w:r>
        <w:rPr>
          <w:rFonts w:ascii="Arial" w:cs="Arial" w:eastAsia="Arial" w:hAnsi="Arial"/>
          <w:sz w:val="15"/>
          <w:szCs w:val="15"/>
          <w:color w:val="auto"/>
        </w:rPr>
        <w:t>The purpose of the audit committee will be to prepare the audit committee report required by the SEC to be included in our proxy statement and to assist our Board of Directors with respect to its oversight of (1) our risk management policies and procedures; (2) the audits and integrity of our financial statements, and the effectiveness of internal control over financial reporting;</w:t>
      </w:r>
    </w:p>
    <w:p>
      <w:pPr>
        <w:spacing w:after="0" w:line="2" w:lineRule="exact"/>
        <w:rPr>
          <w:sz w:val="20"/>
          <w:szCs w:val="20"/>
          <w:color w:val="auto"/>
        </w:rPr>
      </w:pPr>
    </w:p>
    <w:p>
      <w:pPr>
        <w:ind w:left="1" w:right="340" w:hanging="1"/>
        <w:spacing w:after="0" w:line="272" w:lineRule="auto"/>
        <w:tabs>
          <w:tab w:leader="none" w:pos="247"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 (4) the qualifications, performance and independence of the outside auditors; and (5) the performance of our internal audit function.</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ind w:left="1" w:right="20" w:firstLine="347"/>
        <w:spacing w:after="0" w:line="284" w:lineRule="auto"/>
        <w:rPr>
          <w:sz w:val="20"/>
          <w:szCs w:val="20"/>
          <w:color w:val="auto"/>
        </w:rPr>
      </w:pPr>
      <w:r>
        <w:rPr>
          <w:rFonts w:ascii="Arial" w:cs="Arial" w:eastAsia="Arial" w:hAnsi="Arial"/>
          <w:sz w:val="16"/>
          <w:szCs w:val="16"/>
          <w:color w:val="auto"/>
        </w:rPr>
        <w:t>Upon the completion of the offering, we expect to have a compensation committee consisting of Nathaniel H. Taylor, who will be serving as the Chair, and Felix Gernburd. The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Code of Ethics</w:t>
      </w:r>
    </w:p>
    <w:p>
      <w:pPr>
        <w:spacing w:after="0" w:line="123"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 xml:space="preserve">We have adopted a written code of ethics that applies to our directors, officers and employees, including our principal executive officer, principal financial officer, principal accounting officer or controller, or persons performing similar functions. This code will be a “code of ethics,” as defined in Item 406(b) of Regulation S-K under the Securities Act. Upon completion of this offering, the code will be available on our website, </w:t>
      </w:r>
      <w:r>
        <w:rPr>
          <w:rFonts w:ascii="Arial" w:cs="Arial" w:eastAsia="Arial" w:hAnsi="Arial"/>
          <w:sz w:val="17"/>
          <w:szCs w:val="17"/>
          <w:i w:val="1"/>
          <w:iCs w:val="1"/>
          <w:color w:val="auto"/>
        </w:rPr>
        <w:t>www.nationalvision.com</w:t>
      </w:r>
      <w:r>
        <w:rPr>
          <w:rFonts w:ascii="Arial" w:cs="Arial" w:eastAsia="Arial" w:hAnsi="Arial"/>
          <w:sz w:val="17"/>
          <w:szCs w:val="17"/>
          <w:color w:val="auto"/>
        </w:rPr>
        <w:t>. We will make any legally required disclosures regarding amendments to, or waivers of, provisions of our code of ethics on our Internet website. The reference to our website address does not constitute incorporation by reference of the information contained at or available through our website, and you should not consider it to be a part of this prospectus.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 Compensation</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None of our directors received compensation for the fiscal year ended December 31, 2016.</w:t>
      </w:r>
    </w:p>
    <w:p>
      <w:pPr>
        <w:spacing w:after="0" w:line="117" w:lineRule="exact"/>
        <w:rPr>
          <w:sz w:val="20"/>
          <w:szCs w:val="20"/>
          <w:color w:val="auto"/>
        </w:rPr>
      </w:pPr>
    </w:p>
    <w:p>
      <w:pPr>
        <w:ind w:left="1" w:right="580" w:firstLine="347"/>
        <w:spacing w:after="0" w:line="287" w:lineRule="auto"/>
        <w:rPr>
          <w:sz w:val="20"/>
          <w:szCs w:val="20"/>
          <w:color w:val="auto"/>
        </w:rPr>
      </w:pPr>
      <w:r>
        <w:rPr>
          <w:rFonts w:ascii="Arial" w:cs="Arial" w:eastAsia="Arial" w:hAnsi="Arial"/>
          <w:sz w:val="17"/>
          <w:szCs w:val="17"/>
          <w:color w:val="auto"/>
        </w:rPr>
        <w:t>Following this offering, each of our non-employee directors not associated with the Sponsors will be entitled to annual compensation as follows:</w:t>
      </w:r>
    </w:p>
    <w:p>
      <w:pPr>
        <w:spacing w:after="0" w:line="54" w:lineRule="exact"/>
        <w:rPr>
          <w:sz w:val="20"/>
          <w:szCs w:val="20"/>
          <w:color w:val="auto"/>
        </w:rPr>
      </w:pPr>
    </w:p>
    <w:p>
      <w:pPr>
        <w:ind w:left="681" w:hanging="342"/>
        <w:spacing w:after="0"/>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Cash retainer of $75,000, payable quarterly in arrears;</w:t>
      </w:r>
    </w:p>
    <w:p>
      <w:pPr>
        <w:spacing w:after="0" w:line="117" w:lineRule="exact"/>
        <w:rPr>
          <w:rFonts w:ascii="Arial" w:cs="Arial" w:eastAsia="Arial" w:hAnsi="Arial"/>
          <w:sz w:val="17"/>
          <w:szCs w:val="17"/>
          <w:color w:val="auto"/>
        </w:rPr>
      </w:pPr>
    </w:p>
    <w:p>
      <w:pPr>
        <w:ind w:left="681" w:hanging="342"/>
        <w:spacing w:after="0"/>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$100,000 in restricted shares of common stock; and</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1"/>
          </w:cols>
          <w:pgMar w:left="1339" w:top="273" w:right="1379" w:bottom="1440" w:gutter="0" w:footer="0" w:header="0"/>
        </w:sectPr>
      </w:pPr>
    </w:p>
    <w:bookmarkStart w:id="137" w:name="page138"/>
    <w:bookmarkEnd w:id="13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1" w:right="120" w:hanging="342"/>
        <w:spacing w:after="0" w:line="287" w:lineRule="auto"/>
        <w:tabs>
          <w:tab w:leader="none" w:pos="681" w:val="left"/>
        </w:tabs>
        <w:numPr>
          <w:ilvl w:val="0"/>
          <w:numId w:val="87"/>
        </w:numPr>
        <w:rPr>
          <w:rFonts w:ascii="Arial" w:cs="Arial" w:eastAsia="Arial" w:hAnsi="Arial"/>
          <w:sz w:val="17"/>
          <w:szCs w:val="17"/>
          <w:color w:val="auto"/>
        </w:rPr>
      </w:pPr>
      <w:r>
        <w:rPr>
          <w:rFonts w:ascii="Arial" w:cs="Arial" w:eastAsia="Arial" w:hAnsi="Arial"/>
          <w:sz w:val="17"/>
          <w:szCs w:val="17"/>
          <w:color w:val="auto"/>
        </w:rPr>
        <w:t>Additional cash retainer of $20,000 payable quarterly in arrears for serving as the chairperson of our Audit Committee or our Compensation Committee.</w:t>
      </w:r>
    </w:p>
    <w:p>
      <w:pPr>
        <w:spacing w:after="0" w:line="54"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Our directors will not be paid any fees for attending meetings. However, our directors will be reimbursed for reasonable travel and related expenses associated with attendance at board or committee meetings.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Compensation Discussion and Analysis</w:t>
      </w:r>
    </w:p>
    <w:p>
      <w:pPr>
        <w:sectPr>
          <w:pgSz w:w="11900" w:h="16838" w:orient="portrait"/>
          <w:cols w:equalWidth="0" w:num="1">
            <w:col w:w="9221"/>
          </w:cols>
          <w:pgMar w:left="1339" w:top="273" w:right="1339" w:bottom="1440" w:gutter="0" w:footer="0" w:header="0"/>
        </w:sectPr>
      </w:pPr>
    </w:p>
    <w:p>
      <w:pPr>
        <w:spacing w:after="0" w:line="123" w:lineRule="exact"/>
        <w:rPr>
          <w:sz w:val="20"/>
          <w:szCs w:val="20"/>
          <w:color w:val="auto"/>
        </w:rPr>
      </w:pPr>
    </w:p>
    <w:p>
      <w:pPr>
        <w:ind w:left="1"/>
        <w:spacing w:after="0" w:line="287" w:lineRule="auto"/>
        <w:rPr>
          <w:sz w:val="20"/>
          <w:szCs w:val="20"/>
          <w:color w:val="auto"/>
        </w:rPr>
      </w:pPr>
      <w:r>
        <w:rPr>
          <w:rFonts w:ascii="Arial" w:cs="Arial" w:eastAsia="Arial" w:hAnsi="Arial"/>
          <w:sz w:val="17"/>
          <w:szCs w:val="17"/>
          <w:color w:val="auto"/>
        </w:rPr>
        <w:t>The information presented in this section does not reflect the prior to the consummation of this offering.</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-for-one reverse split of our common stock, which will occur</w:t>
      </w:r>
    </w:p>
    <w:p>
      <w:pPr>
        <w:spacing w:after="0" w:line="441" w:lineRule="exact"/>
        <w:rPr>
          <w:sz w:val="20"/>
          <w:szCs w:val="20"/>
          <w:color w:val="auto"/>
        </w:rPr>
      </w:pPr>
    </w:p>
    <w:p>
      <w:pPr>
        <w:sectPr>
          <w:pgSz w:w="11900" w:h="16838" w:orient="portrait"/>
          <w:cols w:equalWidth="0" w:num="2">
            <w:col w:w="4221" w:space="440"/>
            <w:col w:w="4560"/>
          </w:cols>
          <w:pgMar w:left="1339" w:top="273" w:right="1339" w:bottom="1440" w:gutter="0" w:footer="0" w:header="0"/>
          <w:type w:val="continuous"/>
        </w:sectPr>
      </w:pPr>
    </w:p>
    <w:p>
      <w:pPr>
        <w:ind w:left="1"/>
        <w:spacing w:after="0"/>
        <w:rPr>
          <w:sz w:val="20"/>
          <w:szCs w:val="20"/>
          <w:color w:val="auto"/>
        </w:rPr>
      </w:pPr>
      <w:r>
        <w:rPr>
          <w:rFonts w:ascii="Arial" w:cs="Arial" w:eastAsia="Arial" w:hAnsi="Arial"/>
          <w:sz w:val="17"/>
          <w:szCs w:val="17"/>
          <w:b w:val="1"/>
          <w:bCs w:val="1"/>
          <w:i w:val="1"/>
          <w:iCs w:val="1"/>
          <w:color w:val="auto"/>
        </w:rPr>
        <w:t>Section Overview</w:t>
      </w:r>
    </w:p>
    <w:p>
      <w:pPr>
        <w:spacing w:after="0" w:line="117" w:lineRule="exact"/>
        <w:rPr>
          <w:sz w:val="20"/>
          <w:szCs w:val="20"/>
          <w:color w:val="auto"/>
        </w:rPr>
      </w:pPr>
    </w:p>
    <w:p>
      <w:pPr>
        <w:ind w:left="1" w:right="80" w:firstLine="347"/>
        <w:spacing w:after="0" w:line="271" w:lineRule="auto"/>
        <w:rPr>
          <w:sz w:val="20"/>
          <w:szCs w:val="20"/>
          <w:color w:val="auto"/>
        </w:rPr>
      </w:pPr>
      <w:r>
        <w:rPr>
          <w:rFonts w:ascii="Arial" w:cs="Arial" w:eastAsia="Arial" w:hAnsi="Arial"/>
          <w:sz w:val="17"/>
          <w:szCs w:val="17"/>
          <w:color w:val="auto"/>
        </w:rPr>
        <w:t>Our executive compensation program is designed to attract and retain individuals with the skills and qualifications to manage and lead the Company effectively. The overarching goal of our programs is to motivate our leaders to contribute to the achievement of our financial goals and to focus on long-term value creation for our stockholders.</w:t>
      </w:r>
    </w:p>
    <w:p>
      <w:pPr>
        <w:spacing w:after="0" w:line="68" w:lineRule="exact"/>
        <w:rPr>
          <w:sz w:val="20"/>
          <w:szCs w:val="20"/>
          <w:color w:val="auto"/>
        </w:rPr>
      </w:pPr>
    </w:p>
    <w:p>
      <w:pPr>
        <w:ind w:left="1" w:right="240" w:firstLine="347"/>
        <w:spacing w:after="0" w:line="295" w:lineRule="auto"/>
        <w:rPr>
          <w:sz w:val="20"/>
          <w:szCs w:val="20"/>
          <w:color w:val="auto"/>
        </w:rPr>
      </w:pPr>
      <w:r>
        <w:rPr>
          <w:rFonts w:ascii="Arial" w:cs="Arial" w:eastAsia="Arial" w:hAnsi="Arial"/>
          <w:sz w:val="15"/>
          <w:szCs w:val="15"/>
          <w:color w:val="auto"/>
        </w:rPr>
        <w:t>This section contains a discussion of the material elements of compensation awarded to, earned by or paid to our named executive officers, or NEOs, which include our Chief Executive Officer, Chief Financial Officer and each of our three other most highly compensated executive officers who served in such capacities for the fiscal year ended December 31, 2016. Our NEOs for</w:t>
      </w:r>
    </w:p>
    <w:p>
      <w:pPr>
        <w:spacing w:after="0" w:line="2" w:lineRule="exact"/>
        <w:rPr>
          <w:sz w:val="20"/>
          <w:szCs w:val="20"/>
          <w:color w:val="auto"/>
        </w:rPr>
      </w:pPr>
    </w:p>
    <w:p>
      <w:pPr>
        <w:ind w:left="1"/>
        <w:spacing w:after="0"/>
        <w:rPr>
          <w:sz w:val="20"/>
          <w:szCs w:val="20"/>
          <w:color w:val="auto"/>
        </w:rPr>
      </w:pPr>
      <w:r>
        <w:rPr>
          <w:rFonts w:ascii="Arial" w:cs="Arial" w:eastAsia="Arial" w:hAnsi="Arial"/>
          <w:sz w:val="17"/>
          <w:szCs w:val="17"/>
          <w:color w:val="auto"/>
        </w:rPr>
        <w:t>2016 were:</w:t>
      </w:r>
    </w:p>
    <w:p>
      <w:pPr>
        <w:spacing w:after="0" w:line="69"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3280" w:type="dxa"/>
            <w:vAlign w:val="bottom"/>
          </w:tcPr>
          <w:p>
            <w:pPr>
              <w:spacing w:after="0"/>
              <w:rPr>
                <w:sz w:val="20"/>
                <w:szCs w:val="20"/>
                <w:color w:val="auto"/>
              </w:rPr>
            </w:pPr>
            <w:r>
              <w:rPr>
                <w:rFonts w:ascii="Arial" w:cs="Arial" w:eastAsia="Arial" w:hAnsi="Arial"/>
                <w:sz w:val="17"/>
                <w:szCs w:val="17"/>
                <w:color w:val="auto"/>
              </w:rPr>
              <w:t>L. Reade Fahs</w:t>
            </w:r>
          </w:p>
        </w:tc>
        <w:tc>
          <w:tcPr>
            <w:tcW w:w="1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 Bruce Steffey*</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President</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Patrick R. Moore</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Mitchell Goodman</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John Vaught</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and Chief Information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8775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87" w:lineRule="exact"/>
        <w:rPr>
          <w:sz w:val="20"/>
          <w:szCs w:val="20"/>
          <w:color w:val="auto"/>
        </w:rPr>
      </w:pPr>
    </w:p>
    <w:p>
      <w:pPr>
        <w:ind w:left="341" w:hanging="341"/>
        <w:spacing w:after="0"/>
        <w:tabs>
          <w:tab w:leader="none" w:pos="3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Steffey has notified us of his intention to retire from his current position prior to the consummation of this offering.</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17" w:lineRule="exact"/>
        <w:rPr>
          <w:sz w:val="20"/>
          <w:szCs w:val="20"/>
          <w:color w:val="auto"/>
        </w:rPr>
      </w:pPr>
    </w:p>
    <w:p>
      <w:pPr>
        <w:ind w:left="1" w:right="200" w:firstLine="347"/>
        <w:spacing w:after="0" w:line="271" w:lineRule="auto"/>
        <w:rPr>
          <w:sz w:val="20"/>
          <w:szCs w:val="20"/>
          <w:color w:val="auto"/>
        </w:rPr>
      </w:pPr>
      <w:r>
        <w:rPr>
          <w:rFonts w:ascii="Arial" w:cs="Arial" w:eastAsia="Arial" w:hAnsi="Arial"/>
          <w:sz w:val="17"/>
          <w:szCs w:val="17"/>
          <w:i w:val="1"/>
          <w:iCs w:val="1"/>
          <w:color w:val="auto"/>
        </w:rPr>
        <w:t>Compensation Philosophy and Approach</w:t>
      </w:r>
      <w:r>
        <w:rPr>
          <w:rFonts w:ascii="Arial" w:cs="Arial" w:eastAsia="Arial" w:hAnsi="Arial"/>
          <w:sz w:val="17"/>
          <w:szCs w:val="17"/>
          <w:color w:val="auto"/>
        </w:rPr>
        <w:t>. We expect our executive team to possess and demonstrate strong leadership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capabilities. To reward and retain our leaders, including our NEOs, we have designed a total compensation approach that rewards both short-term and long-term success.</w:t>
      </w:r>
    </w:p>
    <w:p>
      <w:pPr>
        <w:spacing w:after="0" w:line="68"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Compensation Objectives</w:t>
      </w:r>
      <w:r>
        <w:rPr>
          <w:rFonts w:ascii="Arial" w:cs="Arial" w:eastAsia="Arial" w:hAnsi="Arial"/>
          <w:sz w:val="15"/>
          <w:szCs w:val="15"/>
          <w:color w:val="auto"/>
        </w:rPr>
        <w:t>. Our compensation program for executives is currently designed to support the following objectives:</w:t>
      </w:r>
    </w:p>
    <w:p>
      <w:pPr>
        <w:spacing w:after="0" w:line="140" w:lineRule="exact"/>
        <w:rPr>
          <w:sz w:val="20"/>
          <w:szCs w:val="20"/>
          <w:color w:val="auto"/>
        </w:rPr>
      </w:pPr>
    </w:p>
    <w:p>
      <w:pPr>
        <w:ind w:left="681" w:hanging="342"/>
        <w:spacing w:after="0"/>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align executive compensation with achievement of our overall business goals;</w:t>
      </w:r>
    </w:p>
    <w:p>
      <w:pPr>
        <w:spacing w:after="0" w:line="117" w:lineRule="exact"/>
        <w:rPr>
          <w:rFonts w:ascii="Arial" w:cs="Arial" w:eastAsia="Arial" w:hAnsi="Arial"/>
          <w:sz w:val="17"/>
          <w:szCs w:val="17"/>
          <w:color w:val="auto"/>
        </w:rPr>
      </w:pPr>
    </w:p>
    <w:p>
      <w:pPr>
        <w:ind w:left="681" w:right="220" w:hanging="342"/>
        <w:spacing w:after="0" w:line="287" w:lineRule="auto"/>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provide overall levels of compensation that are competitive to attract, retain and motivate highly-qualified executives to continue to enhance long-term equity value; and</w:t>
      </w:r>
    </w:p>
    <w:p>
      <w:pPr>
        <w:spacing w:after="0" w:line="53" w:lineRule="exact"/>
        <w:rPr>
          <w:rFonts w:ascii="Arial" w:cs="Arial" w:eastAsia="Arial" w:hAnsi="Arial"/>
          <w:sz w:val="17"/>
          <w:szCs w:val="17"/>
          <w:color w:val="auto"/>
        </w:rPr>
      </w:pPr>
    </w:p>
    <w:p>
      <w:pPr>
        <w:ind w:left="681" w:right="180" w:hanging="342"/>
        <w:spacing w:after="0" w:line="287" w:lineRule="auto"/>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foster a strong relationship between stockholder value and executive compensation by having a portion of compensation composed of equity-based incentive awards.</w:t>
      </w:r>
    </w:p>
    <w:p>
      <w:pPr>
        <w:spacing w:after="0" w:line="54" w:lineRule="exact"/>
        <w:rPr>
          <w:sz w:val="20"/>
          <w:szCs w:val="20"/>
          <w:color w:val="auto"/>
        </w:rPr>
      </w:pPr>
    </w:p>
    <w:p>
      <w:pPr>
        <w:jc w:val="both"/>
        <w:ind w:left="1" w:right="80" w:firstLine="347"/>
        <w:spacing w:after="0" w:line="271" w:lineRule="auto"/>
        <w:rPr>
          <w:sz w:val="20"/>
          <w:szCs w:val="20"/>
          <w:color w:val="auto"/>
        </w:rPr>
      </w:pPr>
      <w:r>
        <w:rPr>
          <w:rFonts w:ascii="Arial" w:cs="Arial" w:eastAsia="Arial" w:hAnsi="Arial"/>
          <w:sz w:val="17"/>
          <w:szCs w:val="17"/>
          <w:i w:val="1"/>
          <w:iCs w:val="1"/>
          <w:color w:val="auto"/>
        </w:rPr>
        <w:t>Program Design</w:t>
      </w:r>
      <w:r>
        <w:rPr>
          <w:rFonts w:ascii="Arial" w:cs="Arial" w:eastAsia="Arial" w:hAnsi="Arial"/>
          <w:sz w:val="17"/>
          <w:szCs w:val="17"/>
          <w:color w:val="auto"/>
        </w:rPr>
        <w:t>. Our executive compensation program has three main components: (1) base salary; (2) annual cash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(3) long-term incentive awards. Each component is designed to be consistent with the Company’s compensation philosophy.</w:t>
      </w:r>
    </w:p>
    <w:p>
      <w:pPr>
        <w:spacing w:after="0" w:line="68" w:lineRule="exact"/>
        <w:rPr>
          <w:sz w:val="20"/>
          <w:szCs w:val="20"/>
          <w:color w:val="auto"/>
        </w:rPr>
      </w:pPr>
    </w:p>
    <w:p>
      <w:pPr>
        <w:ind w:left="1" w:right="60" w:firstLine="347"/>
        <w:spacing w:after="0" w:line="262" w:lineRule="auto"/>
        <w:rPr>
          <w:sz w:val="20"/>
          <w:szCs w:val="20"/>
          <w:color w:val="auto"/>
        </w:rPr>
      </w:pPr>
      <w:r>
        <w:rPr>
          <w:rFonts w:ascii="Arial" w:cs="Arial" w:eastAsia="Arial" w:hAnsi="Arial"/>
          <w:sz w:val="17"/>
          <w:szCs w:val="17"/>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38" w:name="page139"/>
    <w:bookmarkEnd w:id="1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68"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As we transition from being privately held to publicly traded, we intend to critically evaluate our executive compensation program as frequently as circumstances require, to ensure that we maintain a competitive environment for talent and that our incentive programs are achieving their desired results. Consistent with prior practice, we do not intend to adhere to rigid formulas or react to short-term changes in business performance in determining the amount and mix of compensation elements.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Annual Compensation-Setting Process</w:t>
      </w:r>
    </w:p>
    <w:p>
      <w:pPr>
        <w:spacing w:after="0" w:line="117"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i w:val="1"/>
          <w:iCs w:val="1"/>
          <w:color w:val="auto"/>
        </w:rPr>
        <w:t>Role of Our Board of Directors and the NVI Board</w:t>
      </w:r>
      <w:r>
        <w:rPr>
          <w:rFonts w:ascii="Arial" w:cs="Arial" w:eastAsia="Arial" w:hAnsi="Arial"/>
          <w:sz w:val="16"/>
          <w:szCs w:val="16"/>
          <w:color w:val="auto"/>
        </w:rPr>
        <w:t>. Our executive compensation and related issues are administered by our full</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and the board of NVI, or the NVI Board, which are composed of the same directors. Our Board of Directors is responsible for determining and approving equity compensation grants while the NVI Board determines other aspects of our compensation, including base salaries, and administers our Management Incentive Plan, or MIP. Our Board of Directors and the NVI Board are responsible for determining the compensation of our CEO and for reviewing and approving the compensation of other executive officers, as recommended by our CEO and Senior Vice President, Chief Human Resources Officer, or our Chief Human Resources Officer. At the beginning of each performance cycle, our Board of Directors or the NVI Board, as applicable, approve financial goals designed to align executive pay with company performance and stockholder interests, provide competitive pay opportunities dependent on performance, retain talent, create optimal stockholder value and mitigate material risk.</w:t>
      </w:r>
    </w:p>
    <w:p>
      <w:pPr>
        <w:spacing w:after="0" w:line="63" w:lineRule="exact"/>
        <w:rPr>
          <w:sz w:val="20"/>
          <w:szCs w:val="20"/>
          <w:color w:val="auto"/>
        </w:rPr>
      </w:pPr>
    </w:p>
    <w:p>
      <w:pPr>
        <w:ind w:right="180" w:firstLine="347"/>
        <w:spacing w:after="0" w:line="323" w:lineRule="auto"/>
        <w:rPr>
          <w:sz w:val="20"/>
          <w:szCs w:val="20"/>
          <w:color w:val="auto"/>
        </w:rPr>
      </w:pPr>
      <w:r>
        <w:rPr>
          <w:rFonts w:ascii="Arial" w:cs="Arial" w:eastAsia="Arial" w:hAnsi="Arial"/>
          <w:sz w:val="15"/>
          <w:szCs w:val="15"/>
          <w:color w:val="auto"/>
        </w:rPr>
        <w:t>In connection with this offering, our Board of Directors will establish a compensation committee that will assume responsibility for overseeing key aspects of the executive compensation program, including (but not limited to) executive salaries, goals and payouts under the MIP, the size and structure of equity awards and any executive perquisites or other benefits.</w:t>
      </w:r>
    </w:p>
    <w:p>
      <w:pPr>
        <w:spacing w:after="0" w:line="34"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Except where the context requires otherwise, the term “Board of Directors” as used in this “Executive Compensation” section refers to the Board of Directors of National Vision Holdings, Inc.</w:t>
      </w:r>
    </w:p>
    <w:p>
      <w:pPr>
        <w:spacing w:after="0" w:line="5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i w:val="1"/>
          <w:iCs w:val="1"/>
          <w:color w:val="auto"/>
        </w:rPr>
        <w:t>Role of Management</w:t>
      </w:r>
      <w:r>
        <w:rPr>
          <w:rFonts w:ascii="Arial" w:cs="Arial" w:eastAsia="Arial" w:hAnsi="Arial"/>
          <w:sz w:val="16"/>
          <w:szCs w:val="16"/>
          <w:color w:val="auto"/>
        </w:rPr>
        <w:t>. In setting executive compensation for 2016, our CEO and our Chief Human Resources Officer worked</w:t>
      </w:r>
      <w:r>
        <w:rPr>
          <w:rFonts w:ascii="Arial" w:cs="Arial" w:eastAsia="Arial" w:hAnsi="Arial"/>
          <w:sz w:val="16"/>
          <w:szCs w:val="16"/>
          <w:i w:val="1"/>
          <w:iCs w:val="1"/>
          <w:color w:val="auto"/>
        </w:rPr>
        <w:t xml:space="preserve"> </w:t>
      </w:r>
      <w:r>
        <w:rPr>
          <w:rFonts w:ascii="Arial" w:cs="Arial" w:eastAsia="Arial" w:hAnsi="Arial"/>
          <w:sz w:val="16"/>
          <w:szCs w:val="16"/>
          <w:color w:val="auto"/>
        </w:rPr>
        <w:t>closely with the NVI Board in managing the executive compensation program and attended meetings of our Board of Directors. Our CEO made recommendations to the NVI Board regarding compensation for the executive officers other than himself. Our CEO and CFO also provided input in discussions regarding the financial goals for which annual incentive payouts under our MIP could be earned. Following this offering, the compensation committee of our Board of Directors will assume the responsibility that the NVI Board had in approving compensation decisions with respect to our NEOs.</w:t>
      </w:r>
    </w:p>
    <w:p>
      <w:pPr>
        <w:spacing w:after="0" w:line="6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i w:val="1"/>
          <w:iCs w:val="1"/>
          <w:color w:val="auto"/>
        </w:rPr>
        <w:t>Role of the Compensation Consultant</w:t>
      </w:r>
      <w:r>
        <w:rPr>
          <w:rFonts w:ascii="Arial" w:cs="Arial" w:eastAsia="Arial" w:hAnsi="Arial"/>
          <w:sz w:val="17"/>
          <w:szCs w:val="17"/>
          <w:color w:val="auto"/>
        </w:rPr>
        <w:t>. In early 2016, our Board of Directors retained Meridian Compensation Partners, LLC, or</w:t>
      </w:r>
      <w:r>
        <w:rPr>
          <w:rFonts w:ascii="Arial" w:cs="Arial" w:eastAsia="Arial" w:hAnsi="Arial"/>
          <w:sz w:val="17"/>
          <w:szCs w:val="17"/>
          <w:i w:val="1"/>
          <w:iCs w:val="1"/>
          <w:color w:val="auto"/>
        </w:rPr>
        <w:t xml:space="preserve"> </w:t>
      </w:r>
      <w:r>
        <w:rPr>
          <w:rFonts w:ascii="Arial" w:cs="Arial" w:eastAsia="Arial" w:hAnsi="Arial"/>
          <w:sz w:val="17"/>
          <w:szCs w:val="17"/>
          <w:color w:val="auto"/>
        </w:rPr>
        <w:t>Meridian, an independent compensation consulting firm, to assist our Board of Directors regarding various executive compensation matters. During the year, Meridian assisted with development of an initial peer group for executive benchmarking purposes, conducted a study of compensation for our senior executives using the peer group and survey data, and consulted on various matters related to the annual and long-term incentive programs.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i w:val="1"/>
          <w:iCs w:val="1"/>
          <w:color w:val="auto"/>
        </w:rPr>
        <w:t xml:space="preserve">Use of Comparative Market Data. </w:t>
      </w:r>
      <w:r>
        <w:rPr>
          <w:rFonts w:ascii="Arial" w:cs="Arial" w:eastAsia="Arial" w:hAnsi="Arial"/>
          <w:sz w:val="17"/>
          <w:szCs w:val="17"/>
          <w:color w:val="auto"/>
        </w:rPr>
        <w:t>We aim to compensate our executive officers competitively in the market for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talent. To gain a general understanding of current market compensation practices, our Board of Directors reviewed the findings as presented in the market study conducted by Meridian. The external market data reviewed during 2016 included proxy data from the peer group companies described below, which we refer to as the “Initial Peer Group,” and a broad cross-section of general industry survey data from the executive compensation database of Aon Hewitt, a firm that provides, among other services, human capital and management consulting services.</w:t>
      </w:r>
    </w:p>
    <w:p>
      <w:pPr>
        <w:spacing w:after="0" w:line="75" w:lineRule="exact"/>
        <w:rPr>
          <w:sz w:val="20"/>
          <w:szCs w:val="20"/>
          <w:color w:val="auto"/>
        </w:rPr>
      </w:pPr>
    </w:p>
    <w:p>
      <w:pPr>
        <w:ind w:right="40" w:firstLine="347"/>
        <w:spacing w:after="0" w:line="296" w:lineRule="auto"/>
        <w:rPr>
          <w:sz w:val="20"/>
          <w:szCs w:val="20"/>
          <w:color w:val="auto"/>
        </w:rPr>
      </w:pPr>
      <w:r>
        <w:rPr>
          <w:rFonts w:ascii="Arial" w:cs="Arial" w:eastAsia="Arial" w:hAnsi="Arial"/>
          <w:sz w:val="16"/>
          <w:szCs w:val="16"/>
          <w:color w:val="auto"/>
        </w:rPr>
        <w:t>The criteria used to select the Initial Peer Group focused on industry, business model, scope of operations (as measured by annual revenue and market capitalization), and performance results (as indicated by various earnings metrics). Because our business model spans both the retail and healthcare industries, the Initial Peer Group included companies in both segments.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9" w:name="page140"/>
    <w:bookmarkEnd w:id="13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Initial Peer Group included the following 20 companies:</w:t>
      </w:r>
    </w:p>
    <w:p>
      <w:pPr>
        <w:sectPr>
          <w:pgSz w:w="11900" w:h="16838" w:orient="portrait"/>
          <w:cols w:equalWidth="0" w:num="1">
            <w:col w:w="9221"/>
          </w:cols>
          <w:pgMar w:left="1339" w:top="273" w:right="1339" w:bottom="1440" w:gutter="0" w:footer="0" w:header="0"/>
        </w:sectPr>
      </w:pPr>
    </w:p>
    <w:p>
      <w:pPr>
        <w:spacing w:after="0" w:line="90"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AAC Holdings, Inc.</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Five Below,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Acadia Healthcare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Gildan Activewear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5"/>
          <w:szCs w:val="15"/>
          <w:color w:val="auto"/>
        </w:rPr>
        <w:t>Haemonetics Corp.</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Lululemon Athletica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Brookdale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Perfumania Holdings,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Cabelas Inc.</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Capital Senior Living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&amp; Fragrance,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Carters Inc.</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6"/>
          <w:szCs w:val="16"/>
          <w:color w:val="auto"/>
        </w:rPr>
        <w:t>Under Armour,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Dentsply International Inc.</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Arial" w:cs="Arial" w:eastAsia="Arial" w:hAnsi="Arial"/>
          <w:sz w:val="15"/>
          <w:szCs w:val="15"/>
          <w:color w:val="auto"/>
        </w:rPr>
        <w:t>West Pharmaceutical Services Inc.</w:t>
      </w:r>
    </w:p>
    <w:p>
      <w:pPr>
        <w:spacing w:after="0" w:line="153"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1" w:firstLine="347"/>
        <w:spacing w:after="0" w:line="323" w:lineRule="auto"/>
        <w:rPr>
          <w:sz w:val="20"/>
          <w:szCs w:val="20"/>
          <w:color w:val="auto"/>
        </w:rPr>
      </w:pPr>
      <w:r>
        <w:rPr>
          <w:rFonts w:ascii="Arial" w:cs="Arial" w:eastAsia="Arial" w:hAnsi="Arial"/>
          <w:sz w:val="15"/>
          <w:szCs w:val="15"/>
          <w:color w:val="auto"/>
        </w:rPr>
        <w:t>As more fully described below under “—Compensation Elements,” the NVI Board reviewed the compensation data provided by Meridian and set total compensation for our NEOs accordingly. The NVI Board did not target a specific percentile with respect to the Initial Peer Group in determining our NEOs’ total compensation, nor did it establish a prescribed mix of pay for our executives.</w:t>
      </w:r>
    </w:p>
    <w:p>
      <w:pPr>
        <w:spacing w:after="0" w:line="34" w:lineRule="exact"/>
        <w:rPr>
          <w:sz w:val="20"/>
          <w:szCs w:val="20"/>
          <w:color w:val="auto"/>
        </w:rPr>
      </w:pPr>
    </w:p>
    <w:p>
      <w:pPr>
        <w:ind w:left="1" w:right="120" w:firstLine="347"/>
        <w:spacing w:after="0" w:line="262" w:lineRule="auto"/>
        <w:rPr>
          <w:sz w:val="20"/>
          <w:szCs w:val="20"/>
          <w:color w:val="auto"/>
        </w:rPr>
      </w:pPr>
      <w:r>
        <w:rPr>
          <w:rFonts w:ascii="Arial" w:cs="Arial" w:eastAsia="Arial" w:hAnsi="Arial"/>
          <w:sz w:val="17"/>
          <w:szCs w:val="17"/>
          <w:i w:val="1"/>
          <w:iCs w:val="1"/>
          <w:color w:val="auto"/>
        </w:rPr>
        <w:t xml:space="preserve">Adoption of New Peer Group in October 2016. </w:t>
      </w:r>
      <w:r>
        <w:rPr>
          <w:rFonts w:ascii="Arial" w:cs="Arial" w:eastAsia="Arial" w:hAnsi="Arial"/>
          <w:sz w:val="17"/>
          <w:szCs w:val="17"/>
          <w:color w:val="auto"/>
        </w:rPr>
        <w:t>In September 2016, our Board of Directors concluded that our ongoing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should emphasize the health care aspects of our business yet still retain a “retail” component. In connection therewith, our Board of Directors asked Meridian to suggest revisions to the current peer group. After reviewing alternatives, our Board of Directors approved a new peer group in October 2016, which we refer to as the “New Peer Group.” Other than the health care industry emphasis, the size and performance criteria used to select the New Peer Group were the same as those used to develop the Initial Peer Group.</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New Peer Group consists of the following 15 companies, nine of which are also in the Initial Peer Group:</w:t>
      </w:r>
    </w:p>
    <w:p>
      <w:pPr>
        <w:sectPr>
          <w:pgSz w:w="11900" w:h="16838" w:orient="portrait"/>
          <w:cols w:equalWidth="0" w:num="1">
            <w:col w:w="9221"/>
          </w:cols>
          <w:pgMar w:left="1339" w:top="273" w:right="1339" w:bottom="1440" w:gutter="0" w:footer="0" w:header="0"/>
          <w:type w:val="continuous"/>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3380"/>
        <w:spacing w:after="0"/>
        <w:rPr>
          <w:sz w:val="20"/>
          <w:szCs w:val="20"/>
          <w:color w:val="auto"/>
        </w:rPr>
      </w:pPr>
      <w:r>
        <w:rPr>
          <w:rFonts w:ascii="Arial" w:cs="Arial" w:eastAsia="Arial" w:hAnsi="Arial"/>
          <w:sz w:val="15"/>
          <w:szCs w:val="15"/>
          <w:color w:val="auto"/>
        </w:rPr>
        <w:t>Kate Spade &amp; Co.</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Amsurg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Surgical Care Affiliates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Columbia Sportswear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and Fragrances*</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 Physical Therapy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Container Store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Dentsply Sirona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West Pharmaceutical Services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Five Below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8775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p>
      <w:pPr>
        <w:spacing w:after="0" w:line="344" w:lineRule="exact"/>
        <w:rPr>
          <w:sz w:val="20"/>
          <w:szCs w:val="20"/>
          <w:color w:val="auto"/>
        </w:rPr>
      </w:pPr>
    </w:p>
    <w:p>
      <w:pPr>
        <w:ind w:left="341" w:hanging="341"/>
        <w:spacing w:after="0"/>
        <w:tabs>
          <w:tab w:leader="none" w:pos="341"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companies that are also in the Initial Peer Group.</w:t>
      </w:r>
    </w:p>
    <w:p>
      <w:pPr>
        <w:spacing w:after="0" w:line="93" w:lineRule="exact"/>
        <w:rPr>
          <w:sz w:val="20"/>
          <w:szCs w:val="20"/>
          <w:color w:val="auto"/>
        </w:rPr>
      </w:pPr>
    </w:p>
    <w:p>
      <w:pPr>
        <w:ind w:left="1" w:right="460" w:firstLine="347"/>
        <w:spacing w:after="0" w:line="320" w:lineRule="auto"/>
        <w:rPr>
          <w:sz w:val="20"/>
          <w:szCs w:val="20"/>
          <w:color w:val="auto"/>
        </w:rPr>
      </w:pPr>
      <w:r>
        <w:rPr>
          <w:rFonts w:ascii="Arial" w:cs="Arial" w:eastAsia="Arial" w:hAnsi="Arial"/>
          <w:sz w:val="16"/>
          <w:szCs w:val="16"/>
          <w:color w:val="auto"/>
        </w:rPr>
        <w:t>We expect to use the New Peer Group to benchmark total compensation for our NEOs, and to also serve as a baseline for reviewing the designs of our annual and long-term incentive programs, and our severance arrangements.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Elements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Base Salary</w:t>
      </w:r>
    </w:p>
    <w:p>
      <w:pPr>
        <w:spacing w:after="0" w:line="117" w:lineRule="exact"/>
        <w:rPr>
          <w:sz w:val="20"/>
          <w:szCs w:val="20"/>
          <w:color w:val="auto"/>
        </w:rPr>
      </w:pPr>
    </w:p>
    <w:p>
      <w:pPr>
        <w:ind w:left="1" w:right="40" w:firstLine="347"/>
        <w:spacing w:after="0" w:line="284" w:lineRule="auto"/>
        <w:rPr>
          <w:sz w:val="20"/>
          <w:szCs w:val="20"/>
          <w:color w:val="auto"/>
        </w:rPr>
      </w:pPr>
      <w:r>
        <w:rPr>
          <w:rFonts w:ascii="Arial" w:cs="Arial" w:eastAsia="Arial" w:hAnsi="Arial"/>
          <w:sz w:val="16"/>
          <w:szCs w:val="16"/>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40" w:name="page141"/>
    <w:bookmarkEnd w:id="1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Consistent with this approach, in April 2016, we adjusted the base salaries of each of our NEOs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Original</w:t>
            </w:r>
          </w:p>
        </w:tc>
        <w:tc>
          <w:tcPr>
            <w:tcW w:w="18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Adjusted</w:t>
            </w:r>
          </w:p>
        </w:tc>
      </w:tr>
      <w:tr>
        <w:trPr>
          <w:trHeight w:val="179"/>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0"/>
              </w:rPr>
              <w:t>Base Salary</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5"/>
              </w:rPr>
              <w:t>Base Salary</w:t>
            </w:r>
          </w:p>
        </w:tc>
        <w:tc>
          <w:tcPr>
            <w:tcW w:w="80" w:type="dxa"/>
            <w:vAlign w:val="bottom"/>
          </w:tcPr>
          <w:p>
            <w:pPr>
              <w:spacing w:after="0"/>
              <w:rPr>
                <w:sz w:val="15"/>
                <w:szCs w:val="15"/>
                <w:color w:val="auto"/>
              </w:rPr>
            </w:pPr>
          </w:p>
        </w:tc>
      </w:tr>
      <w:tr>
        <w:trPr>
          <w:trHeight w:val="228"/>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592,250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610,000</w:t>
            </w:r>
          </w:p>
        </w:tc>
      </w:tr>
      <w:tr>
        <w:trPr>
          <w:trHeight w:val="228"/>
        </w:trPr>
        <w:tc>
          <w:tcPr>
            <w:tcW w:w="6560" w:type="dxa"/>
            <w:vAlign w:val="bottom"/>
          </w:tcPr>
          <w:p>
            <w:pPr>
              <w:spacing w:after="0"/>
              <w:rPr>
                <w:sz w:val="20"/>
                <w:szCs w:val="20"/>
                <w:color w:val="auto"/>
              </w:rPr>
            </w:pPr>
            <w:r>
              <w:rPr>
                <w:rFonts w:ascii="Arial" w:cs="Arial" w:eastAsia="Arial" w:hAnsi="Arial"/>
                <w:sz w:val="17"/>
                <w:szCs w:val="17"/>
                <w:color w:val="auto"/>
              </w:rPr>
              <w:t>J. Bruce Steffey</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515,000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566,500</w:t>
            </w:r>
          </w:p>
        </w:tc>
      </w:tr>
      <w:tr>
        <w:trPr>
          <w:trHeight w:val="24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356,100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380,000</w:t>
            </w:r>
          </w:p>
        </w:tc>
      </w:tr>
      <w:tr>
        <w:trPr>
          <w:trHeight w:val="228"/>
        </w:trPr>
        <w:tc>
          <w:tcPr>
            <w:tcW w:w="6560" w:type="dxa"/>
            <w:vAlign w:val="bottom"/>
          </w:tcPr>
          <w:p>
            <w:pPr>
              <w:spacing w:after="0"/>
              <w:rPr>
                <w:sz w:val="20"/>
                <w:szCs w:val="20"/>
                <w:color w:val="auto"/>
              </w:rPr>
            </w:pPr>
            <w:r>
              <w:rPr>
                <w:rFonts w:ascii="Arial" w:cs="Arial" w:eastAsia="Arial" w:hAnsi="Arial"/>
                <w:sz w:val="17"/>
                <w:szCs w:val="17"/>
                <w:color w:val="auto"/>
              </w:rPr>
              <w:t>Mitchell Goodman</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310,000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330,000</w:t>
            </w:r>
          </w:p>
        </w:tc>
      </w:tr>
      <w:tr>
        <w:trPr>
          <w:trHeight w:val="24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241,000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280,000</w:t>
            </w:r>
          </w:p>
        </w:tc>
      </w:tr>
    </w:tbl>
    <w:p>
      <w:pPr>
        <w:spacing w:after="0" w:line="92"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 base salaries of each of our NEOs were increased in April 2016, and Mr. Moore’s base salary was further increased in September 2016 to $400,000, to align with market pay levels.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Incentive Plan</w:t>
      </w:r>
    </w:p>
    <w:p>
      <w:pPr>
        <w:spacing w:after="0" w:line="117"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We sponsor the MIP, which is an annual cash incentive program. The primary purpose of the MIP is to focus management on key measures that drive financial performance and to provide competitive bonus opportunities tied to the achievement of our financial and strategic growth objectives.</w:t>
      </w:r>
    </w:p>
    <w:p>
      <w:pPr>
        <w:spacing w:after="0" w:line="68"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We believe that tying the NEOs’ bonuses to company-wide performance goals encourages collaboration across the executive leadership team. For fiscal 2016, MIP awards were based on achievement of an EBITDA goal (with EBITDA for purposes of the MIP defined as Adjusted EBITDA (as defined in “Prospectus Summary―Summary Historical Consolidated Financial and Other Data”), plus MIP expense, change in the margin on unearned revenue, change in deferred revenue, interest income and parent company items, less new store pre-opening expenses and non-cash rent). The NVI Board has reserved the ability to adjust the actual EBITDA results to exclude the effects of unplanned or unusual items (whether favorable or unfavorable).</w:t>
      </w:r>
    </w:p>
    <w:p>
      <w:pPr>
        <w:spacing w:after="0" w:line="49" w:lineRule="exact"/>
        <w:rPr>
          <w:sz w:val="20"/>
          <w:szCs w:val="20"/>
          <w:color w:val="auto"/>
        </w:rPr>
      </w:pPr>
    </w:p>
    <w:p>
      <w:pPr>
        <w:ind w:right="240" w:firstLine="347"/>
        <w:spacing w:after="0" w:line="262" w:lineRule="auto"/>
        <w:rPr>
          <w:sz w:val="20"/>
          <w:szCs w:val="20"/>
          <w:color w:val="auto"/>
        </w:rPr>
      </w:pPr>
      <w:r>
        <w:rPr>
          <w:rFonts w:ascii="Arial" w:cs="Arial" w:eastAsia="Arial" w:hAnsi="Arial"/>
          <w:sz w:val="17"/>
          <w:szCs w:val="17"/>
          <w:color w:val="auto"/>
        </w:rPr>
        <w:t>Each NEO’s target annual bonus under the MIP is expressed as a percentage of his base salary and the target bonuses range from 32.5% to 60% of base salary. Actual MIP awards were calculated by multiplying each NEO’s base salary by his payout percentage. MIP awards are earned at 100% of target if the Company achieved 2016 EBITDA of $146.7 million. For fiscal 2016, there was a threshold level and seven additional levels of EBITDA achievement under the MIP, with Tier I being the target achievement level and Tier VII the maximum achievement level. Awards could be earned at more or less than target based on the pre-established scale set forth in the following table: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Tier I</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Tier VII</w:t>
            </w:r>
          </w:p>
        </w:tc>
      </w:tr>
      <w:tr>
        <w:trPr>
          <w:trHeight w:val="179"/>
        </w:trPr>
        <w:tc>
          <w:tcPr>
            <w:tcW w:w="1700" w:type="dxa"/>
            <w:vAlign w:val="bottom"/>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w:t>
            </w:r>
          </w:p>
        </w:tc>
        <w:tc>
          <w:tcPr>
            <w:tcW w:w="180" w:type="dxa"/>
            <w:vAlign w:val="bottom"/>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Tier II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Tier III</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Tier IV</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Tier V</w:t>
            </w:r>
          </w:p>
        </w:tc>
        <w:tc>
          <w:tcPr>
            <w:tcW w:w="180" w:type="dxa"/>
            <w:vAlign w:val="bottom"/>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Tier VI</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(Maximum)</w:t>
            </w:r>
          </w:p>
        </w:tc>
        <w:tc>
          <w:tcPr>
            <w:tcW w:w="80" w:type="dxa"/>
            <w:vAlign w:val="bottom"/>
          </w:tcPr>
          <w:p>
            <w:pPr>
              <w:spacing w:after="0"/>
              <w:rPr>
                <w:sz w:val="15"/>
                <w:szCs w:val="15"/>
                <w:color w:val="auto"/>
              </w:rPr>
            </w:pPr>
          </w:p>
        </w:tc>
      </w:tr>
      <w:tr>
        <w:trPr>
          <w:trHeight w:val="176"/>
        </w:trPr>
        <w:tc>
          <w:tcPr>
            <w:tcW w:w="17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w w:val="94"/>
              </w:rPr>
              <w:t>% Attainment of EBITDA Target</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8"/>
        </w:trPr>
        <w:tc>
          <w:tcPr>
            <w:tcW w:w="1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183"/>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Payout Percentages</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228"/>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28"/>
        </w:trPr>
        <w:tc>
          <w:tcPr>
            <w:tcW w:w="1700" w:type="dxa"/>
            <w:vAlign w:val="bottom"/>
          </w:tcPr>
          <w:p>
            <w:pPr>
              <w:spacing w:after="0"/>
              <w:rPr>
                <w:sz w:val="20"/>
                <w:szCs w:val="20"/>
                <w:color w:val="auto"/>
              </w:rPr>
            </w:pPr>
            <w:r>
              <w:rPr>
                <w:rFonts w:ascii="Arial" w:cs="Arial" w:eastAsia="Arial" w:hAnsi="Arial"/>
                <w:sz w:val="17"/>
                <w:szCs w:val="17"/>
                <w:color w:val="auto"/>
              </w:rPr>
              <w:t>J. Bruce Steffey</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90%</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170%</w:t>
            </w:r>
          </w:p>
        </w:tc>
      </w:tr>
      <w:tr>
        <w:trPr>
          <w:trHeight w:val="24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76.25%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p>
        </w:tc>
      </w:tr>
      <w:tr>
        <w:trPr>
          <w:trHeight w:val="228"/>
        </w:trPr>
        <w:tc>
          <w:tcPr>
            <w:tcW w:w="1700" w:type="dxa"/>
            <w:vAlign w:val="bottom"/>
          </w:tcPr>
          <w:p>
            <w:pPr>
              <w:spacing w:after="0"/>
              <w:rPr>
                <w:sz w:val="20"/>
                <w:szCs w:val="20"/>
                <w:color w:val="auto"/>
              </w:rPr>
            </w:pPr>
            <w:r>
              <w:rPr>
                <w:rFonts w:ascii="Arial" w:cs="Arial" w:eastAsia="Arial" w:hAnsi="Arial"/>
                <w:sz w:val="17"/>
                <w:szCs w:val="17"/>
                <w:color w:val="auto"/>
              </w:rPr>
              <w:t>Mitchell Goodman</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13.125%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58.75%</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76.25%</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93.75%</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111.25%</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128.75%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146.25%</w:t>
            </w:r>
          </w:p>
        </w:tc>
      </w:tr>
      <w:tr>
        <w:trPr>
          <w:trHeight w:val="24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w:t>
            </w:r>
          </w:p>
        </w:tc>
      </w:tr>
    </w:tbl>
    <w:p>
      <w:pPr>
        <w:spacing w:after="0" w:line="92"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For performance percentages between the specified threshold, target, and other tier levels, payouts were interpolated on a straight-line basis.</w:t>
      </w:r>
    </w:p>
    <w:p>
      <w:pPr>
        <w:spacing w:after="0" w:line="54"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Notwithstanding the establishment of the EBITDA goal and the scale for determining the resulting MIP awards earned, as described above, the NVI Board had the ability to exercise positive or negative discretion and award a greater or lesser amount to our NEOs than the amount determined by the scale above if it determined that circumstances so warranted. The NVI Board did not exercise such discretion in fiscal 2016.</w:t>
      </w:r>
    </w:p>
    <w:p>
      <w:pPr>
        <w:spacing w:after="0" w:line="72"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For fiscal 2016, the Company’s EBITDA achieved was $154.8 million, resulting in a payout percentage of 83% of base salary for each of Messrs. Fahs and Steffey, 70% of base salary for each of Messrs. Moore and Goodman and 50% of base salary for Mr. Vaught. Each of the NEOs earned MIP awards for fiscal 2016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follows, which are included in the “Non-Equity Incentive Plan Compensation” column of the “Summary Compensation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Achievement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Factor as a</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2016 Base</w:t>
            </w:r>
          </w:p>
        </w:tc>
        <w:tc>
          <w:tcPr>
            <w:tcW w:w="12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Bonus Target</w:t>
            </w:r>
          </w:p>
        </w:tc>
        <w:tc>
          <w:tcPr>
            <w:tcW w:w="100" w:type="dxa"/>
            <w:vAlign w:val="bottom"/>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Bonus Target</w:t>
            </w:r>
          </w:p>
        </w:tc>
        <w:tc>
          <w:tcPr>
            <w:tcW w:w="13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Percentage of</w:t>
            </w: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Actual MIP</w:t>
            </w:r>
          </w:p>
        </w:tc>
      </w:tr>
      <w:tr>
        <w:trPr>
          <w:trHeight w:val="179"/>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Award</w:t>
            </w:r>
          </w:p>
        </w:tc>
        <w:tc>
          <w:tcPr>
            <w:tcW w:w="80" w:type="dxa"/>
            <w:vAlign w:val="bottom"/>
          </w:tcPr>
          <w:p>
            <w:pPr>
              <w:spacing w:after="0"/>
              <w:rPr>
                <w:sz w:val="15"/>
                <w:szCs w:val="15"/>
                <w:color w:val="auto"/>
              </w:rPr>
            </w:pPr>
          </w:p>
        </w:tc>
      </w:tr>
      <w:tr>
        <w:trPr>
          <w:trHeight w:val="22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605,221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363,133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503,074</w:t>
            </w:r>
          </w:p>
        </w:tc>
        <w:tc>
          <w:tcPr>
            <w:tcW w:w="80" w:type="dxa"/>
            <w:vAlign w:val="bottom"/>
            <w:shd w:val="clear" w:color="auto" w:fill="CCEEFF"/>
          </w:tcPr>
          <w:p>
            <w:pPr>
              <w:spacing w:after="0"/>
              <w:rPr>
                <w:sz w:val="19"/>
                <w:szCs w:val="19"/>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7"/>
                <w:szCs w:val="17"/>
                <w:color w:val="auto"/>
              </w:rPr>
              <w:t>J. Bruce Steffey</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552,635</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331,581</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459,363</w:t>
            </w:r>
          </w:p>
        </w:tc>
        <w:tc>
          <w:tcPr>
            <w:tcW w:w="80" w:type="dxa"/>
            <w:vAlign w:val="bottom"/>
          </w:tcPr>
          <w:p>
            <w:pPr>
              <w:spacing w:after="0"/>
              <w:rPr>
                <w:sz w:val="19"/>
                <w:szCs w:val="19"/>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378,950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266,144</w:t>
            </w:r>
          </w:p>
        </w:tc>
        <w:tc>
          <w:tcPr>
            <w:tcW w:w="80" w:type="dxa"/>
            <w:vAlign w:val="bottom"/>
            <w:shd w:val="clear" w:color="auto" w:fill="CCEEFF"/>
          </w:tcPr>
          <w:p>
            <w:pPr>
              <w:spacing w:after="0"/>
              <w:rPr>
                <w:sz w:val="20"/>
                <w:szCs w:val="20"/>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7"/>
                <w:szCs w:val="17"/>
                <w:color w:val="auto"/>
              </w:rPr>
              <w:t>Mitchell Goodman</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324,615</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162,308</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227,984</w:t>
            </w:r>
          </w:p>
        </w:tc>
        <w:tc>
          <w:tcPr>
            <w:tcW w:w="80" w:type="dxa"/>
            <w:vAlign w:val="bottom"/>
          </w:tcPr>
          <w:p>
            <w:pPr>
              <w:spacing w:after="0"/>
              <w:rPr>
                <w:sz w:val="19"/>
                <w:szCs w:val="19"/>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86,856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133,202</w:t>
            </w:r>
          </w:p>
        </w:tc>
        <w:tc>
          <w:tcPr>
            <w:tcW w:w="8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Incentive Awards</w:t>
      </w:r>
    </w:p>
    <w:p>
      <w:pPr>
        <w:spacing w:after="0" w:line="117"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In 2014, our Board of Directors and stockholders of the Company approved the 2014 Stock Incentive Plan for Key Employees of Nautilus Parent, Inc. and its Subsidiaries, or the 2014 Stock Incentive Plan.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align interests of participants with those of our stockholders. As of December 31, 2016, only stock options have been granted to any of the NEOs under the 2014 Stock Incentive Plan. See “—Equity Incentive Plans—2014 Stock Incentive Plan” for a description of the 2014 Stock Incentive Plan.</w:t>
      </w:r>
    </w:p>
    <w:p>
      <w:pPr>
        <w:spacing w:after="0" w:line="76"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i w:val="1"/>
          <w:iCs w:val="1"/>
          <w:color w:val="auto"/>
        </w:rPr>
        <w:t xml:space="preserve">Full 2014 Grants. </w:t>
      </w:r>
      <w:r>
        <w:rPr>
          <w:rFonts w:ascii="Arial" w:cs="Arial" w:eastAsia="Arial" w:hAnsi="Arial"/>
          <w:sz w:val="16"/>
          <w:szCs w:val="16"/>
          <w:color w:val="auto"/>
        </w:rPr>
        <w:t>Each of our NEOs received option grants in full year 2014, which we refer to as the “2014 Options.”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13, 2014, our Board of Directors granted each of Messrs. Fahs, Steffey, Goodman and Vaught an option to purchase 3,000,000, 1,500,000, 700,000 and 330,000 shares of our common stock, respectively. In connection with being hired by us, on September 16, 2014, our Board of Directors granted Mr. Moore an option to purchase 525,000 shares of our common stock. Both the March and September grants were made pursuant to our 2014 Stock Incentive Plan, with an exercise price of $5.00 per share, which the Board of Directors determined was at least equal to the fair market value on the date of grant. The 2014 Options consist of 40% time-based and 60% performance-based options. For additional information regarding the 2014 Options, see “Narrative to Summary Compensation Table and 2016 Grants of Plan-Based Awards—Equity Awards” below.</w:t>
      </w:r>
    </w:p>
    <w:p>
      <w:pPr>
        <w:spacing w:after="0" w:line="68" w:lineRule="exact"/>
        <w:rPr>
          <w:sz w:val="20"/>
          <w:szCs w:val="20"/>
          <w:color w:val="auto"/>
        </w:rPr>
      </w:pPr>
    </w:p>
    <w:p>
      <w:pPr>
        <w:jc w:val="both"/>
        <w:ind w:right="280" w:firstLine="347"/>
        <w:spacing w:after="0" w:line="288" w:lineRule="auto"/>
        <w:rPr>
          <w:sz w:val="20"/>
          <w:szCs w:val="20"/>
          <w:color w:val="auto"/>
        </w:rPr>
      </w:pPr>
      <w:r>
        <w:rPr>
          <w:rFonts w:ascii="Arial" w:cs="Arial" w:eastAsia="Arial" w:hAnsi="Arial"/>
          <w:sz w:val="16"/>
          <w:szCs w:val="16"/>
          <w:i w:val="1"/>
          <w:iCs w:val="1"/>
          <w:color w:val="auto"/>
        </w:rPr>
        <w:t>Payments for Pre-Acquisition Options and Rollover Options</w:t>
      </w:r>
      <w:r>
        <w:rPr>
          <w:rFonts w:ascii="Arial" w:cs="Arial" w:eastAsia="Arial" w:hAnsi="Arial"/>
          <w:sz w:val="16"/>
          <w:szCs w:val="16"/>
          <w:color w:val="auto"/>
        </w:rPr>
        <w:t>. Certain outstanding options to acquire stock that were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acquisition by affiliates of KKR Sponsor, whether or not fully vested, became fully vested immediately prior to such acquisition and were either rolled over into options to purchase shares of our common stock or canceled and converted into cash payments, based on the difference between the change in control price and the option’s exercise price.</w:t>
      </w:r>
    </w:p>
    <w:p>
      <w:pPr>
        <w:spacing w:after="0" w:line="55"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Certain of our executives, including Mr. Vaught, rolled over a portion of their pre-acquisition outstanding options into options to purchase shares of our common stock. These “rollover options” were fully vested as of their date of grant and remain outstanding in accordance with the terms of the governing stock incentive plans and grant agreements and a separate rollover option agreement entered into with each of the individual option holders, including Mr. Vaught. However, in connection with our acquisition by affiliates of KKR Sponsor, the exercise price and number of shares underlying the rollover options were adjusted as a result of the acquisition, including for Mr. Vaught, whose exercise price for such options was adjusted to $1.23 per option. For additional information regarding the options, see “Narrative to Summary Compensation Table and 2016 Grants of Plan-Based Awards—Equity Awards” below.</w:t>
      </w:r>
    </w:p>
    <w:p>
      <w:pPr>
        <w:spacing w:after="0" w:line="79"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As provided under the plan and related award agreements, the exercise price of options is subject to reduction to reflect cash dividends paid after the grant date. In connection with extraordinary dividends paid in June 2015 and February 2017, the exercise prices of the options granted to our NEOs were reduced. In February 2017, our Board of Directors approved a cash dividend payable to holders of our common stock, which we refer to as the “2017 Dividend,” of $1.514 per share, which we refer to as the “2017 Dividend Amount.” To equitably reflect the impact of the 2017 Dividend on the holders of outstanding options, our Board of Directors approved cash payments to be made with respect to rollover options and vested options and approved reductions of the exercise price for unvested options as follows. Holders of vested options and rollover options received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one-time cash payment equal to the number of rollover options and/or vested options held by such holder, as applicable, multiplied by an amount equal to the 2017 Dividend Amount, less any applicable withholding taxes. The per share exercise prices of unvested options were reduced by an amount equal to the 2017 Dividend Amount to the extent the per share exercise price could be reduced under applicable tax rules.</w:t>
      </w:r>
    </w:p>
    <w:p>
      <w:pPr>
        <w:spacing w:after="0" w:line="72"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For additional information regarding the options, see “Narrative to Summary Compensation Table and 2016 Grants of Plan-Based Awards—Equity Awards” below.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Our team members,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team members.</w:t>
      </w:r>
    </w:p>
    <w:p>
      <w:pPr>
        <w:spacing w:after="0" w:line="68" w:lineRule="exact"/>
        <w:rPr>
          <w:sz w:val="20"/>
          <w:szCs w:val="20"/>
          <w:color w:val="auto"/>
        </w:rPr>
      </w:pPr>
    </w:p>
    <w:p>
      <w:pPr>
        <w:ind w:right="180" w:firstLine="347"/>
        <w:spacing w:after="0" w:line="303" w:lineRule="auto"/>
        <w:rPr>
          <w:sz w:val="20"/>
          <w:szCs w:val="20"/>
          <w:color w:val="auto"/>
        </w:rPr>
      </w:pPr>
      <w:r>
        <w:rPr>
          <w:rFonts w:ascii="Arial" w:cs="Arial" w:eastAsia="Arial" w:hAnsi="Arial"/>
          <w:sz w:val="15"/>
          <w:szCs w:val="15"/>
          <w:color w:val="auto"/>
        </w:rPr>
        <w:t>We provide specified perquisites to our NEOs when appropriate, including relocation as required. We also provide our executives, including our NEOs, with additional basic life insurance coverage and supplemental long-term disability insurance. In addition, we provide our CEO with tax accounting services and a Young Presidents’ Organization, or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117" w:lineRule="exact"/>
        <w:rPr>
          <w:sz w:val="20"/>
          <w:szCs w:val="20"/>
          <w:color w:val="auto"/>
        </w:rPr>
      </w:pPr>
    </w:p>
    <w:p>
      <w:pPr>
        <w:ind w:right="40" w:firstLine="347"/>
        <w:spacing w:after="0" w:line="288" w:lineRule="auto"/>
        <w:rPr>
          <w:sz w:val="20"/>
          <w:szCs w:val="20"/>
          <w:color w:val="auto"/>
        </w:rPr>
      </w:pPr>
      <w:r>
        <w:rPr>
          <w:rFonts w:ascii="Arial" w:cs="Arial" w:eastAsia="Arial" w:hAnsi="Arial"/>
          <w:sz w:val="16"/>
          <w:szCs w:val="16"/>
          <w:color w:val="auto"/>
        </w:rPr>
        <w:t>Our eligible U.S. employees, including our NEOs, participate in the National Vision, Inc. 401(k) Retirement Savings Plan, or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117"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The Company provides severance benefits to its executives in order to offer competitive total compensation packages and to be competitive in the Company’s executive attraction and retention efforts. The National Vision, Inc. Severance Plan, or the Severance Plan, in which all of our NEOs participate, provides for severance payments and benefits to executives upon a qualifying termination of employment. In addition, Messrs. Fahs, Steffey and Goodman participate in the Executive Supplement to the Severance Plan. Mr. Moore also became eligible to participate in the Executive Supplement in March 2017.</w:t>
      </w:r>
    </w:p>
    <w:p>
      <w:pPr>
        <w:spacing w:after="0" w:line="59"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In the event of a qualifying termination (as defined in the Severance Plan), participating executives are generally eligible to receive severance in an amount equal to 12 months of such executive’s annual base salary, payable over a 12-month period. Executives who participate in the Executive Supplement are eligible to receive extended severance of 24-months of annual base salary, plus an additional payment equal to 30% of annual base salary, all payable over a 24-month period. The Severance Plan also provides for payments of COBRA premiums for up to a 12-month period following a qualifying termination.</w:t>
      </w:r>
    </w:p>
    <w:p>
      <w:pPr>
        <w:spacing w:after="0" w:line="59" w:lineRule="exact"/>
        <w:rPr>
          <w:sz w:val="20"/>
          <w:szCs w:val="20"/>
          <w:color w:val="auto"/>
        </w:rPr>
      </w:pPr>
    </w:p>
    <w:p>
      <w:pPr>
        <w:ind w:firstLine="347"/>
        <w:spacing w:after="0" w:line="320" w:lineRule="auto"/>
        <w:rPr>
          <w:sz w:val="20"/>
          <w:szCs w:val="20"/>
          <w:color w:val="auto"/>
        </w:rPr>
      </w:pPr>
      <w:r>
        <w:rPr>
          <w:rFonts w:ascii="Arial" w:cs="Arial" w:eastAsia="Arial" w:hAnsi="Arial"/>
          <w:sz w:val="16"/>
          <w:szCs w:val="16"/>
          <w:color w:val="auto"/>
        </w:rPr>
        <w:t>As a condition to receiving any severance payments and benefits under the Severance Plan, executives are required to execute a severance agreement which includes a release of claims against the Company and certain restrictive covenants.</w:t>
      </w:r>
    </w:p>
    <w:p>
      <w:pPr>
        <w:spacing w:after="0" w:line="31" w:lineRule="exact"/>
        <w:rPr>
          <w:sz w:val="20"/>
          <w:szCs w:val="20"/>
          <w:color w:val="auto"/>
        </w:rPr>
      </w:pPr>
    </w:p>
    <w:p>
      <w:pPr>
        <w:ind w:right="200" w:firstLine="347"/>
        <w:spacing w:after="0" w:line="287" w:lineRule="auto"/>
        <w:rPr>
          <w:sz w:val="20"/>
          <w:szCs w:val="20"/>
          <w:color w:val="auto"/>
        </w:rPr>
      </w:pPr>
      <w:r>
        <w:rPr>
          <w:rFonts w:ascii="Arial" w:cs="Arial" w:eastAsia="Arial" w:hAnsi="Arial"/>
          <w:sz w:val="17"/>
          <w:szCs w:val="17"/>
          <w:color w:val="auto"/>
        </w:rPr>
        <w:t>See “Potential Payments upon Termination or Change in Control,” which describes the payments to which each of the NEOs may be entitled under the Severance Plan and the Executive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117" w:lineRule="exact"/>
        <w:rPr>
          <w:sz w:val="20"/>
          <w:szCs w:val="20"/>
          <w:color w:val="auto"/>
        </w:rPr>
      </w:pPr>
    </w:p>
    <w:p>
      <w:pPr>
        <w:ind w:right="120" w:firstLine="347"/>
        <w:spacing w:after="0" w:line="296" w:lineRule="auto"/>
        <w:rPr>
          <w:sz w:val="20"/>
          <w:szCs w:val="20"/>
          <w:color w:val="auto"/>
        </w:rPr>
      </w:pPr>
      <w:r>
        <w:rPr>
          <w:rFonts w:ascii="Arial" w:cs="Arial" w:eastAsia="Arial" w:hAnsi="Arial"/>
          <w:sz w:val="16"/>
          <w:szCs w:val="16"/>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3" w:name="page144"/>
    <w:bookmarkEnd w:id="14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firstLine="347"/>
        <w:spacing w:after="0" w:line="288" w:lineRule="auto"/>
        <w:rPr>
          <w:sz w:val="20"/>
          <w:szCs w:val="20"/>
          <w:color w:val="auto"/>
        </w:rPr>
      </w:pPr>
      <w:r>
        <w:rPr>
          <w:rFonts w:ascii="Arial" w:cs="Arial" w:eastAsia="Arial" w:hAnsi="Arial"/>
          <w:sz w:val="16"/>
          <w:szCs w:val="16"/>
          <w:color w:val="auto"/>
        </w:rPr>
        <w:t>Section 162(m) of the Internal Revenue Code of 1986, as amended, or the Code, generally disallows tax deductions to publicly-held companies for individual compensation over $1 million paid to certain executive officers in a taxable year. Compensation above $1 million may be deducted if it is “performance-based compensation” within the meaning of the Code. This rule does not yet apply to us, but will after our initial public offering following the transition period outlined below.</w:t>
      </w:r>
    </w:p>
    <w:p>
      <w:pPr>
        <w:spacing w:after="0" w:line="55" w:lineRule="exact"/>
        <w:rPr>
          <w:sz w:val="20"/>
          <w:szCs w:val="20"/>
          <w:color w:val="auto"/>
        </w:rPr>
      </w:pPr>
    </w:p>
    <w:p>
      <w:pPr>
        <w:ind w:left="1" w:right="80" w:firstLine="347"/>
        <w:spacing w:after="0" w:line="278" w:lineRule="auto"/>
        <w:rPr>
          <w:sz w:val="20"/>
          <w:szCs w:val="20"/>
          <w:color w:val="auto"/>
        </w:rPr>
      </w:pPr>
      <w:r>
        <w:rPr>
          <w:rFonts w:ascii="Arial" w:cs="Arial" w:eastAsia="Arial" w:hAnsi="Arial"/>
          <w:sz w:val="16"/>
          <w:szCs w:val="16"/>
          <w:color w:val="auto"/>
        </w:rPr>
        <w:t>Following this offering, we expect to be able to claim the benefit of a special exemption rule that applies to compensation paid (or compensation in respect of equity awards such as stock options or restricted stock granted) during a specified transition period under Section 162(m). This transition period may extend until the first annual stockholders meeting that occurs after the end of the third calendar year following the calendar year in which this offering occurs, unless the transition period is terminated earlier under the Section 162(m) post-offering transition rules. At such time as we are subject to the deduction limitations of Section 162(m), we expect that the compensation committee will take the deductibility limitations of Section 162(m) into account in its compensation decisions; however, the compensation committee may, in its judgment, authorize compensation payments that are not exempt under Section 162(m) when it believes that such payments are appropriate to attract or retain talent.</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or paid to each of our NEOs for services rendered in all capacities for the fiscal year ended December 31, 2016.</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Pension Value</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6"/>
              </w:rPr>
              <w:t>and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Non-Equity</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Nonqualified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8"/>
              </w:rPr>
              <w:t>Incentive</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Deferred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Plan</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Salary</w:t>
            </w: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Total</w:t>
            </w:r>
          </w:p>
        </w:tc>
      </w:tr>
      <w:tr>
        <w:trPr>
          <w:trHeight w:val="193"/>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ind w:right="80"/>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180" w:type="dxa"/>
            <w:vAlign w:val="bottom"/>
          </w:tcPr>
          <w:p>
            <w:pPr>
              <w:spacing w:after="0"/>
              <w:rPr>
                <w:sz w:val="16"/>
                <w:szCs w:val="16"/>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(2)</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92"/>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 Reade Fahs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605,221</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503,074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16,911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1,125,206</w:t>
            </w: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9"/>
        </w:trPr>
        <w:tc>
          <w:tcPr>
            <w:tcW w:w="1820" w:type="dxa"/>
            <w:vAlign w:val="bottom"/>
            <w:gridSpan w:val="3"/>
          </w:tcPr>
          <w:p>
            <w:pPr>
              <w:spacing w:after="0"/>
              <w:rPr>
                <w:sz w:val="20"/>
                <w:szCs w:val="20"/>
                <w:color w:val="auto"/>
              </w:rPr>
            </w:pPr>
            <w:r>
              <w:rPr>
                <w:rFonts w:ascii="Arial" w:cs="Arial" w:eastAsia="Arial" w:hAnsi="Arial"/>
                <w:sz w:val="16"/>
                <w:szCs w:val="16"/>
                <w:color w:val="auto"/>
              </w:rPr>
              <w:t>J. Bruce Steffey</w:t>
            </w:r>
          </w:p>
        </w:tc>
        <w:tc>
          <w:tcPr>
            <w:tcW w:w="400" w:type="dxa"/>
            <w:vAlign w:val="bottom"/>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tcPr>
          <w:p>
            <w:pPr>
              <w:ind w:left="260"/>
              <w:spacing w:after="0"/>
              <w:rPr>
                <w:sz w:val="20"/>
                <w:szCs w:val="20"/>
                <w:color w:val="auto"/>
              </w:rPr>
            </w:pPr>
            <w:r>
              <w:rPr>
                <w:rFonts w:ascii="Arial" w:cs="Arial" w:eastAsia="Arial" w:hAnsi="Arial"/>
                <w:sz w:val="16"/>
                <w:szCs w:val="16"/>
                <w:color w:val="auto"/>
              </w:rPr>
              <w:t>552,635</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459,363</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7,093</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1,019,091</w:t>
            </w:r>
          </w:p>
        </w:tc>
      </w:tr>
      <w:tr>
        <w:trPr>
          <w:trHeight w:val="209"/>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President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Patrick R. Moore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378,950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266,144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654,474</w:t>
            </w: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Chief Financial</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9"/>
        </w:trPr>
        <w:tc>
          <w:tcPr>
            <w:tcW w:w="1820" w:type="dxa"/>
            <w:vAlign w:val="bottom"/>
            <w:gridSpan w:val="3"/>
          </w:tcPr>
          <w:p>
            <w:pPr>
              <w:spacing w:after="0"/>
              <w:rPr>
                <w:sz w:val="20"/>
                <w:szCs w:val="20"/>
                <w:color w:val="auto"/>
              </w:rPr>
            </w:pPr>
            <w:r>
              <w:rPr>
                <w:rFonts w:ascii="Arial" w:cs="Arial" w:eastAsia="Arial" w:hAnsi="Arial"/>
                <w:sz w:val="16"/>
                <w:szCs w:val="16"/>
                <w:color w:val="auto"/>
              </w:rPr>
              <w:t>Mitchell Goodman</w:t>
            </w:r>
          </w:p>
        </w:tc>
        <w:tc>
          <w:tcPr>
            <w:tcW w:w="400" w:type="dxa"/>
            <w:vAlign w:val="bottom"/>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tcPr>
          <w:p>
            <w:pPr>
              <w:ind w:left="260"/>
              <w:spacing w:after="0"/>
              <w:rPr>
                <w:sz w:val="20"/>
                <w:szCs w:val="20"/>
                <w:color w:val="auto"/>
              </w:rPr>
            </w:pPr>
            <w:r>
              <w:rPr>
                <w:rFonts w:ascii="Arial" w:cs="Arial" w:eastAsia="Arial" w:hAnsi="Arial"/>
                <w:sz w:val="16"/>
                <w:szCs w:val="16"/>
                <w:color w:val="auto"/>
              </w:rPr>
              <w:t>324,615</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227,984</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11,728</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564,327</w:t>
            </w:r>
          </w:p>
        </w:tc>
      </w:tr>
      <w:tr>
        <w:trPr>
          <w:trHeight w:val="196"/>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General Counsel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Secretary</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Vaught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267,250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133,202</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408,874</w:t>
            </w: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Chief Information</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both"/>
        <w:ind w:left="341" w:right="280" w:hanging="341"/>
        <w:spacing w:after="0" w:line="245" w:lineRule="auto"/>
        <w:tabs>
          <w:tab w:leader="none" w:pos="341" w:val="left"/>
        </w:tabs>
        <w:numPr>
          <w:ilvl w:val="0"/>
          <w:numId w:val="91"/>
        </w:numPr>
        <w:rPr>
          <w:rFonts w:ascii="Arial" w:cs="Arial" w:eastAsia="Arial" w:hAnsi="Arial"/>
          <w:sz w:val="14"/>
          <w:szCs w:val="14"/>
          <w:color w:val="auto"/>
        </w:rPr>
      </w:pPr>
      <w:r>
        <w:rPr>
          <w:rFonts w:ascii="Arial" w:cs="Arial" w:eastAsia="Arial" w:hAnsi="Arial"/>
          <w:sz w:val="14"/>
          <w:szCs w:val="14"/>
          <w:color w:val="auto"/>
        </w:rPr>
        <w:t>Amounts in this column reflect the salary earned during the fiscal year. In April 2016, base salaries of each of Messrs. Fahs, Steffey, Goodman and Vaught were increased. Mr. Moore’s base salary was increased on April 3, 2016 as well as on September 18, 2016. See “Compensation Discussion and Analysis— Compensation Elements—Base Salary” above.</w:t>
      </w:r>
    </w:p>
    <w:p>
      <w:pPr>
        <w:spacing w:after="0" w:line="80" w:lineRule="exact"/>
        <w:rPr>
          <w:rFonts w:ascii="Arial" w:cs="Arial" w:eastAsia="Arial" w:hAnsi="Arial"/>
          <w:sz w:val="14"/>
          <w:szCs w:val="14"/>
          <w:color w:val="auto"/>
        </w:rPr>
      </w:pPr>
    </w:p>
    <w:p>
      <w:pPr>
        <w:ind w:left="341" w:hanging="341"/>
        <w:spacing w:after="0"/>
        <w:tabs>
          <w:tab w:leader="none" w:pos="341" w:val="left"/>
        </w:tabs>
        <w:numPr>
          <w:ilvl w:val="0"/>
          <w:numId w:val="91"/>
        </w:numPr>
        <w:rPr>
          <w:rFonts w:ascii="Arial" w:cs="Arial" w:eastAsia="Arial" w:hAnsi="Arial"/>
          <w:sz w:val="14"/>
          <w:szCs w:val="14"/>
          <w:color w:val="auto"/>
        </w:rPr>
      </w:pPr>
      <w:r>
        <w:rPr>
          <w:rFonts w:ascii="Arial" w:cs="Arial" w:eastAsia="Arial" w:hAnsi="Arial"/>
          <w:sz w:val="14"/>
          <w:szCs w:val="14"/>
          <w:color w:val="auto"/>
        </w:rPr>
        <w:t>All Other Compensation for 2016 includes:</w:t>
      </w:r>
    </w:p>
    <w:p>
      <w:pPr>
        <w:spacing w:after="0" w:line="47" w:lineRule="exact"/>
        <w:rPr>
          <w:sz w:val="20"/>
          <w:szCs w:val="20"/>
          <w:color w:val="auto"/>
        </w:rPr>
      </w:pPr>
    </w:p>
    <w:tbl>
      <w:tblPr>
        <w:tblLayout w:type="fixed"/>
        <w:tblInd w:w="421"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Employer</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401(k)</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Life</w:t>
            </w: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Disability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Matching</w:t>
            </w:r>
          </w:p>
        </w:tc>
        <w:tc>
          <w:tcPr>
            <w:tcW w:w="12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5"/>
              </w:rPr>
              <w:t>Tax Services</w:t>
            </w: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Insurance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Insurance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Contributions</w:t>
            </w:r>
          </w:p>
        </w:tc>
        <w:tc>
          <w:tcPr>
            <w:tcW w:w="12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Reimbursement</w:t>
            </w: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Premiums</w:t>
            </w: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Premiums</w:t>
            </w:r>
          </w:p>
        </w:tc>
        <w:tc>
          <w:tcPr>
            <w:tcW w:w="6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Other</w:t>
            </w:r>
          </w:p>
        </w:tc>
        <w:tc>
          <w:tcPr>
            <w:tcW w:w="6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6"/>
              </w:rPr>
              <w:t>Total</w:t>
            </w:r>
          </w:p>
        </w:tc>
      </w:tr>
      <w:tr>
        <w:trPr>
          <w:trHeight w:val="162"/>
        </w:trPr>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NEO</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L. Reade Fahs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3,799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5,355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2,397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16,911</w:t>
            </w: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J. Bruce Steffey</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4,694</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2,039</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7,093</w:t>
            </w: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Patrick R. Moore</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9,020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9,380</w:t>
            </w: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Mitchell Goodman</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6,089</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5,279</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11,728</w:t>
            </w: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John Vaught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4,009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116205</wp:posOffset>
            </wp:positionV>
            <wp:extent cx="8445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274" w:lineRule="exact"/>
        <w:rPr>
          <w:sz w:val="20"/>
          <w:szCs w:val="20"/>
          <w:color w:val="auto"/>
        </w:rPr>
      </w:pPr>
    </w:p>
    <w:p>
      <w:pPr>
        <w:ind w:left="681" w:hanging="342"/>
        <w:spacing w:after="0"/>
        <w:tabs>
          <w:tab w:leader="none" w:pos="681" w:val="left"/>
        </w:tabs>
        <w:numPr>
          <w:ilvl w:val="0"/>
          <w:numId w:val="92"/>
        </w:numPr>
        <w:rPr>
          <w:rFonts w:ascii="Arial" w:cs="Arial" w:eastAsia="Arial" w:hAnsi="Arial"/>
          <w:sz w:val="14"/>
          <w:szCs w:val="14"/>
          <w:color w:val="auto"/>
        </w:rPr>
      </w:pPr>
      <w:r>
        <w:rPr>
          <w:rFonts w:ascii="Arial" w:cs="Arial" w:eastAsia="Arial" w:hAnsi="Arial"/>
          <w:sz w:val="14"/>
          <w:szCs w:val="14"/>
          <w:color w:val="auto"/>
        </w:rPr>
        <w:t>Our 401(k) plan provides for a 50% matching contribution on the first 3% of participants’ pre-tax contributions up to IRS limits.</w:t>
      </w:r>
    </w:p>
    <w:p>
      <w:pPr>
        <w:spacing w:after="0" w:line="99" w:lineRule="exact"/>
        <w:rPr>
          <w:rFonts w:ascii="Arial" w:cs="Arial" w:eastAsia="Arial" w:hAnsi="Arial"/>
          <w:sz w:val="14"/>
          <w:szCs w:val="14"/>
          <w:color w:val="auto"/>
        </w:rPr>
      </w:pPr>
    </w:p>
    <w:p>
      <w:pPr>
        <w:ind w:left="681" w:hanging="342"/>
        <w:spacing w:after="0"/>
        <w:tabs>
          <w:tab w:leader="none" w:pos="681" w:val="left"/>
        </w:tabs>
        <w:numPr>
          <w:ilvl w:val="0"/>
          <w:numId w:val="92"/>
        </w:numPr>
        <w:rPr>
          <w:rFonts w:ascii="Arial" w:cs="Arial" w:eastAsia="Arial" w:hAnsi="Arial"/>
          <w:sz w:val="13"/>
          <w:szCs w:val="13"/>
          <w:color w:val="auto"/>
        </w:rPr>
      </w:pPr>
      <w:r>
        <w:rPr>
          <w:rFonts w:ascii="Arial" w:cs="Arial" w:eastAsia="Arial" w:hAnsi="Arial"/>
          <w:sz w:val="13"/>
          <w:szCs w:val="13"/>
          <w:color w:val="auto"/>
        </w:rPr>
        <w:t>With respect to each calendar year of employment, Mr. Fahs is entitled to be reimbursed by us for the reasonable cost of tax accounting services.</w:t>
      </w:r>
    </w:p>
    <w:p>
      <w:pPr>
        <w:spacing w:after="0" w:line="111" w:lineRule="exact"/>
        <w:rPr>
          <w:rFonts w:ascii="Arial" w:cs="Arial" w:eastAsia="Arial" w:hAnsi="Arial"/>
          <w:sz w:val="13"/>
          <w:szCs w:val="13"/>
          <w:color w:val="auto"/>
        </w:rPr>
      </w:pPr>
    </w:p>
    <w:p>
      <w:pPr>
        <w:ind w:left="681" w:hanging="342"/>
        <w:spacing w:after="0"/>
        <w:tabs>
          <w:tab w:leader="none" w:pos="681"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NEOs is entitled to basic life insurance coverage of up to two times base salary up to $500,000.</w:t>
      </w:r>
    </w:p>
    <w:p>
      <w:pPr>
        <w:spacing w:after="0" w:line="99" w:lineRule="exact"/>
        <w:rPr>
          <w:rFonts w:ascii="Arial" w:cs="Arial" w:eastAsia="Arial" w:hAnsi="Arial"/>
          <w:sz w:val="14"/>
          <w:szCs w:val="14"/>
          <w:color w:val="auto"/>
        </w:rPr>
      </w:pPr>
    </w:p>
    <w:p>
      <w:pPr>
        <w:ind w:left="681" w:right="240" w:hanging="342"/>
        <w:spacing w:after="0" w:line="258" w:lineRule="auto"/>
        <w:tabs>
          <w:tab w:leader="none" w:pos="681"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NEOs is entitled to supplemental long-term disability insurance coverage. The total benefit maximum of both the basic and supplemental disability insurance coverage is $10,000.</w:t>
      </w:r>
    </w:p>
    <w:p>
      <w:pPr>
        <w:spacing w:after="0" w:line="71" w:lineRule="exact"/>
        <w:rPr>
          <w:rFonts w:ascii="Arial" w:cs="Arial" w:eastAsia="Arial" w:hAnsi="Arial"/>
          <w:sz w:val="14"/>
          <w:szCs w:val="14"/>
          <w:color w:val="auto"/>
        </w:rPr>
      </w:pPr>
    </w:p>
    <w:p>
      <w:pPr>
        <w:ind w:left="681" w:hanging="342"/>
        <w:spacing w:after="0"/>
        <w:tabs>
          <w:tab w:leader="none" w:pos="681"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fees paid for Mr. Reade’s YPO membership.</w:t>
      </w:r>
    </w:p>
    <w:p>
      <w:pPr>
        <w:sectPr>
          <w:pgSz w:w="11900" w:h="16838" w:orient="portrait"/>
          <w:cols w:equalWidth="0" w:num="1">
            <w:col w:w="9221"/>
          </w:cols>
          <w:pgMar w:left="1339" w:top="273" w:right="1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586041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44" w:name="page145"/>
    <w:bookmarkEnd w:id="14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2016 Grants of Plan-Based Awards</w:t>
      </w:r>
    </w:p>
    <w:p>
      <w:pPr>
        <w:spacing w:after="0" w:line="123" w:lineRule="exact"/>
        <w:rPr>
          <w:sz w:val="20"/>
          <w:szCs w:val="20"/>
          <w:color w:val="auto"/>
        </w:rPr>
      </w:pPr>
    </w:p>
    <w:p>
      <w:pPr>
        <w:ind w:left="1" w:right="280" w:firstLine="347"/>
        <w:spacing w:after="0" w:line="287" w:lineRule="auto"/>
        <w:rPr>
          <w:sz w:val="20"/>
          <w:szCs w:val="20"/>
          <w:color w:val="auto"/>
        </w:rPr>
      </w:pPr>
      <w:r>
        <w:rPr>
          <w:rFonts w:ascii="Arial" w:cs="Arial" w:eastAsia="Arial" w:hAnsi="Arial"/>
          <w:sz w:val="17"/>
          <w:szCs w:val="17"/>
          <w:color w:val="auto"/>
        </w:rPr>
        <w:t>The following table sets forth information concerning grants of plan-based awards to the NEOs during the fiscal year ended December 31, 2016.</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left="850"/>
              <w:spacing w:after="0"/>
              <w:rPr>
                <w:sz w:val="20"/>
                <w:szCs w:val="20"/>
                <w:color w:val="auto"/>
              </w:rPr>
            </w:pPr>
            <w:r>
              <w:rPr>
                <w:rFonts w:ascii="Arial" w:cs="Arial" w:eastAsia="Arial" w:hAnsi="Arial"/>
                <w:sz w:val="14"/>
                <w:szCs w:val="14"/>
                <w:b w:val="1"/>
                <w:bCs w:val="1"/>
                <w:color w:val="auto"/>
                <w:w w:val="86"/>
              </w:rPr>
              <w:t>Estimated Possible Payouts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1"/>
              </w:rPr>
              <w:t>Under Non-Equity Incentive</w:t>
            </w:r>
          </w:p>
        </w:tc>
      </w:tr>
      <w:tr>
        <w:trPr>
          <w:trHeight w:val="180"/>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80"/>
              <w:spacing w:after="0" w:line="181" w:lineRule="exact"/>
              <w:rPr>
                <w:sz w:val="20"/>
                <w:szCs w:val="20"/>
                <w:color w:val="auto"/>
              </w:rPr>
            </w:pPr>
            <w:r>
              <w:rPr>
                <w:rFonts w:ascii="Arial" w:cs="Arial" w:eastAsia="Arial" w:hAnsi="Arial"/>
                <w:sz w:val="12"/>
                <w:szCs w:val="12"/>
                <w:b w:val="1"/>
                <w:bCs w:val="1"/>
                <w:color w:val="auto"/>
                <w:w w:val="99"/>
              </w:rPr>
              <w:t>Plan Awards</w:t>
            </w:r>
            <w:r>
              <w:rPr>
                <w:rFonts w:ascii="Arial" w:cs="Arial" w:eastAsia="Arial" w:hAnsi="Arial"/>
                <w:sz w:val="20"/>
                <w:szCs w:val="20"/>
                <w:b w:val="1"/>
                <w:bCs w:val="1"/>
                <w:color w:val="auto"/>
                <w:w w:val="99"/>
                <w:vertAlign w:val="superscript"/>
              </w:rPr>
              <w:t>(1)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Threshold</w:t>
            </w: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Target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Maximum</w:t>
            </w:r>
          </w:p>
        </w:tc>
      </w:tr>
      <w:tr>
        <w:trPr>
          <w:trHeight w:val="17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r>
      <w:tr>
        <w:trPr>
          <w:trHeight w:val="235"/>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Reade Fahs</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90,783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363,133</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1,028,876</w:t>
            </w: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82,895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331,581</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939,479</w:t>
            </w:r>
          </w:p>
        </w:tc>
      </w:tr>
      <w:tr>
        <w:trPr>
          <w:trHeight w:val="241"/>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49,737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189,475</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554,214</w:t>
            </w: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42,606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162,308</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474,750</w:t>
            </w:r>
          </w:p>
        </w:tc>
      </w:tr>
      <w:tr>
        <w:trPr>
          <w:trHeight w:val="241"/>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30,066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86,856</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307,388</w:t>
            </w:r>
          </w:p>
        </w:tc>
      </w:tr>
      <w:tr>
        <w:trPr>
          <w:trHeight w:val="169"/>
        </w:trPr>
        <w:tc>
          <w:tcPr>
            <w:tcW w:w="1380" w:type="dxa"/>
            <w:vAlign w:val="bottom"/>
            <w:tcBorders>
              <w:bottom w:val="single" w:sz="8" w:color="auto"/>
            </w:tcBorders>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300" w:hanging="341"/>
        <w:spacing w:after="0" w:line="245" w:lineRule="auto"/>
        <w:tabs>
          <w:tab w:leader="none" w:pos="341"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the possible payouts of cash incentive compensation under the MIP. See “Compensation Discussion and Analysis—Compensation Elements— Management Incentive Plan” above for a description of the MIP. The actual amounts paid are described in the “Non-Equity Incentive Plan Compensation” column of the “Summary Compensation Table.”</w:t>
      </w:r>
    </w:p>
    <w:p>
      <w:pPr>
        <w:spacing w:after="0" w:line="172" w:lineRule="exact"/>
        <w:rPr>
          <w:sz w:val="20"/>
          <w:szCs w:val="20"/>
          <w:color w:val="auto"/>
        </w:rPr>
      </w:pPr>
    </w:p>
    <w:p>
      <w:pPr>
        <w:ind w:left="1" w:right="3000"/>
        <w:spacing w:after="0" w:line="387" w:lineRule="auto"/>
        <w:rPr>
          <w:sz w:val="20"/>
          <w:szCs w:val="20"/>
          <w:color w:val="auto"/>
        </w:rPr>
      </w:pPr>
      <w:r>
        <w:rPr>
          <w:rFonts w:ascii="Arial" w:cs="Arial" w:eastAsia="Arial" w:hAnsi="Arial"/>
          <w:sz w:val="17"/>
          <w:szCs w:val="17"/>
          <w:b w:val="1"/>
          <w:bCs w:val="1"/>
          <w:color w:val="auto"/>
        </w:rPr>
        <w:t xml:space="preserve">Narrative to Summary Compensation Table and 2016 Grants of Plan-Based Awards </w:t>
      </w:r>
      <w:r>
        <w:rPr>
          <w:rFonts w:ascii="Arial" w:cs="Arial" w:eastAsia="Arial" w:hAnsi="Arial"/>
          <w:sz w:val="17"/>
          <w:szCs w:val="17"/>
          <w:b w:val="1"/>
          <w:bCs w:val="1"/>
          <w:i w:val="1"/>
          <w:iCs w:val="1"/>
          <w:color w:val="auto"/>
        </w:rPr>
        <w:t>Equity Awards</w:t>
      </w:r>
    </w:p>
    <w:p>
      <w:pPr>
        <w:spacing w:after="0" w:line="1" w:lineRule="exact"/>
        <w:rPr>
          <w:sz w:val="20"/>
          <w:szCs w:val="20"/>
          <w:color w:val="auto"/>
        </w:rPr>
      </w:pPr>
    </w:p>
    <w:p>
      <w:pPr>
        <w:jc w:val="both"/>
        <w:ind w:left="1" w:right="140" w:firstLine="347"/>
        <w:spacing w:after="0" w:line="262" w:lineRule="auto"/>
        <w:rPr>
          <w:sz w:val="20"/>
          <w:szCs w:val="20"/>
          <w:color w:val="auto"/>
        </w:rPr>
      </w:pPr>
      <w:r>
        <w:rPr>
          <w:rFonts w:ascii="Arial" w:cs="Arial" w:eastAsia="Arial" w:hAnsi="Arial"/>
          <w:sz w:val="17"/>
          <w:szCs w:val="17"/>
          <w:color w:val="auto"/>
        </w:rPr>
        <w:t>Each of our NEOs is party to a Management Stockholder’s Agreement with us. The Management Stockholder’s Agreement, along with a Sale Participation Agreement, an Option Agreement and, with respect to Mr. Vaught, an Option Rollover Agreement, generally govern each NEO’s rights with respect to shares of common stock of the Company held by such NEO, such NEO’s 2014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Vesting Terms</w:t>
      </w:r>
    </w:p>
    <w:p>
      <w:pPr>
        <w:spacing w:after="0" w:line="117" w:lineRule="exact"/>
        <w:rPr>
          <w:sz w:val="20"/>
          <w:szCs w:val="20"/>
          <w:color w:val="auto"/>
        </w:rPr>
      </w:pPr>
    </w:p>
    <w:p>
      <w:pPr>
        <w:ind w:left="1" w:firstLine="347"/>
        <w:spacing w:after="0" w:line="276" w:lineRule="auto"/>
        <w:rPr>
          <w:sz w:val="20"/>
          <w:szCs w:val="20"/>
          <w:color w:val="auto"/>
        </w:rPr>
      </w:pPr>
      <w:r>
        <w:rPr>
          <w:rFonts w:ascii="Arial" w:cs="Arial" w:eastAsia="Arial" w:hAnsi="Arial"/>
          <w:sz w:val="16"/>
          <w:szCs w:val="16"/>
          <w:color w:val="auto"/>
        </w:rPr>
        <w:t>The 2014 Options granted to our NEOs consist of 40% time-based and 60% performance-based options. The time-based options vest as to 20% of the shares subject to such option on each anniversary of the closing date of our acquisition by affiliates of KKR Sponsor, such that all of the shares subject to such time-based options will be vested and exercisable on March 13, 2019, the fifth anniversary of the closing date of our acquisition by affiliates of KKR Sponsor, subject to the holder continuing to provide services through such vesting date. The performance-based options are eligible to vest upon (i) a change in control (as defined in our 2014 Stock Incentive Plan), (ii) extraordinary dividend payment(s), (iii) a sale of shares by affiliates of KKR Sponsor into the public market (including the sale of shares by affiliates of KKR Sponsor in connection with this initial public offering) or (iv) any other event or transaction (or series of events or transactions) wherein affiliates of KKR Sponsor receive cash, on a cumulative basis, in respect of their shares, which we refer to as a “Realization Event.” Upon each date that a Realization Event occurs, a percentage of the performance-based options will vest if affiliates of KKR Sponsor receive proceeds that result in the achievement of a cumulative internal rate of return equal to at least 20% and:</w:t>
      </w:r>
    </w:p>
    <w:p>
      <w:pPr>
        <w:spacing w:after="0" w:line="71" w:lineRule="exact"/>
        <w:rPr>
          <w:sz w:val="20"/>
          <w:szCs w:val="20"/>
          <w:color w:val="auto"/>
        </w:rPr>
      </w:pPr>
    </w:p>
    <w:p>
      <w:pPr>
        <w:ind w:left="681" w:right="80" w:hanging="342"/>
        <w:spacing w:after="0" w:line="287" w:lineRule="auto"/>
        <w:tabs>
          <w:tab w:leader="none" w:pos="681"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multiple of invested capital, or MOIC, achieved is less than two times, no portion of the performance-based options will vest;</w:t>
      </w:r>
    </w:p>
    <w:p>
      <w:pPr>
        <w:spacing w:after="0" w:line="53" w:lineRule="exact"/>
        <w:rPr>
          <w:rFonts w:ascii="Arial" w:cs="Arial" w:eastAsia="Arial" w:hAnsi="Arial"/>
          <w:sz w:val="17"/>
          <w:szCs w:val="17"/>
          <w:color w:val="auto"/>
        </w:rPr>
      </w:pPr>
    </w:p>
    <w:p>
      <w:pPr>
        <w:ind w:left="681" w:hanging="342"/>
        <w:spacing w:after="0"/>
        <w:tabs>
          <w:tab w:leader="none" w:pos="681"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MOIC achieved is equal to two times, then 25% of the performance-based options will vest; and</w:t>
      </w:r>
    </w:p>
    <w:p>
      <w:pPr>
        <w:spacing w:after="0" w:line="117" w:lineRule="exact"/>
        <w:rPr>
          <w:rFonts w:ascii="Arial" w:cs="Arial" w:eastAsia="Arial" w:hAnsi="Arial"/>
          <w:sz w:val="17"/>
          <w:szCs w:val="17"/>
          <w:color w:val="auto"/>
        </w:rPr>
      </w:pPr>
    </w:p>
    <w:p>
      <w:pPr>
        <w:ind w:left="681" w:hanging="342"/>
        <w:spacing w:after="0" w:line="266" w:lineRule="auto"/>
        <w:tabs>
          <w:tab w:leader="none" w:pos="681"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Mr. Vaught’s rollover options were fully vested as of their date of grant.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5" w:name="page146"/>
    <w:bookmarkEnd w:id="145"/>
    <w:p>
      <w:pPr>
        <w:jc w:val="center"/>
        <w:ind w:right="7740"/>
        <w:spacing w:after="0"/>
        <w:rPr>
          <w:rFonts w:ascii="Arial" w:cs="Arial" w:eastAsia="Arial" w:hAnsi="Arial"/>
          <w:sz w:val="13"/>
          <w:szCs w:val="13"/>
          <w:b w:val="1"/>
          <w:bCs w:val="1"/>
          <w:u w:val="single" w:color="auto"/>
          <w:color w:val="0000EE"/>
        </w:rPr>
      </w:pPr>
      <w:hyperlink w:anchor="page7">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Put Rights.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Prior to the later of (1) March 13, 2019 and (2) a change of control (as defined in the Management Stockholder’s Agreement), if an NEO’s employment is terminated as a result of death or disability, then such NEO has a right, subject to specified limitations and for a specified period following such termination, to cause the Company to repurchase all or any vested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the NEOs’ Vested 2014 Options.</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Prior to the later of (1) March 13, 2019 and (2) a change of control, if an NEO’s employment is 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Call Price</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Mr. Vaught’s Rollover Options.</w:t>
      </w:r>
    </w:p>
    <w:p>
      <w:pPr>
        <w:spacing w:after="0" w:line="117" w:lineRule="exact"/>
        <w:rPr>
          <w:sz w:val="20"/>
          <w:szCs w:val="20"/>
          <w:color w:val="auto"/>
        </w:rPr>
      </w:pPr>
    </w:p>
    <w:p>
      <w:pPr>
        <w:jc w:val="both"/>
        <w:ind w:right="160" w:firstLine="347"/>
        <w:spacing w:after="0" w:line="266" w:lineRule="auto"/>
        <w:rPr>
          <w:sz w:val="20"/>
          <w:szCs w:val="20"/>
          <w:color w:val="auto"/>
        </w:rPr>
      </w:pPr>
      <w:r>
        <w:rPr>
          <w:rFonts w:ascii="Arial" w:cs="Arial" w:eastAsia="Arial" w:hAnsi="Arial"/>
          <w:sz w:val="17"/>
          <w:szCs w:val="17"/>
          <w:color w:val="auto"/>
        </w:rPr>
        <w:t>Prior to the later of (1) March 13, 2019 and (2) a change of control, if Mr. Vaught’s employment is 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Call Price</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Restrictive Covenants</w:t>
      </w:r>
    </w:p>
    <w:p>
      <w:pPr>
        <w:spacing w:after="0" w:line="117" w:lineRule="exact"/>
        <w:rPr>
          <w:sz w:val="20"/>
          <w:szCs w:val="20"/>
          <w:color w:val="auto"/>
        </w:rPr>
      </w:pPr>
    </w:p>
    <w:p>
      <w:pPr>
        <w:jc w:val="both"/>
        <w:ind w:right="400" w:firstLine="347"/>
        <w:spacing w:after="0" w:line="296" w:lineRule="auto"/>
        <w:rPr>
          <w:sz w:val="20"/>
          <w:szCs w:val="20"/>
          <w:color w:val="auto"/>
        </w:rPr>
      </w:pPr>
      <w:r>
        <w:rPr>
          <w:rFonts w:ascii="Arial" w:cs="Arial" w:eastAsia="Arial" w:hAnsi="Arial"/>
          <w:sz w:val="16"/>
          <w:szCs w:val="16"/>
          <w:color w:val="auto"/>
        </w:rPr>
        <w:t>In addition, our NEOs have agreed to specified restrictive covenants, including an indefinite confidentiality covenant, and covenants related to non-disparagement, non-competition and non-solicitation of our employees, consultants and independent contractors at all times during the NEO’s employment, and for eighteen months thereafter.</w:t>
      </w:r>
    </w:p>
    <w:p>
      <w:pPr>
        <w:spacing w:after="0" w:line="49"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Additional terms regarding the equity awards are summarized above under “Compensation Discussion and Analysis— Compensation Elements—Long-Term Incentive Awards” and under “Potential Payments upon Termination or Change in Control” below. See also “Certain Relationships and Related Party Transactions” for additional information regarding the Management Stockholder’s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6" w:name="page147"/>
    <w:bookmarkEnd w:id="14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Outstanding Equity Awards at 2016 Fiscal Year End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following table sets forth information regarding outstanding equity awards made to our NEOs as of December 31, 2016.</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Equity Incentive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Plan Awards: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Number of</w:t>
            </w:r>
          </w:p>
        </w:tc>
        <w:tc>
          <w:tcPr>
            <w:tcW w:w="13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Securities</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Securities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Underlying</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Underlying</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Underlying</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Unexercised</w:t>
            </w:r>
          </w:p>
        </w:tc>
        <w:tc>
          <w:tcPr>
            <w:tcW w:w="13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Unexercised</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Options</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Options</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3"/>
              </w:rPr>
              <w:t>Option</w:t>
            </w:r>
          </w:p>
        </w:tc>
      </w:tr>
      <w:tr>
        <w:trPr>
          <w:trHeight w:val="142"/>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Grant</w:t>
            </w: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3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Expiration</w:t>
            </w:r>
          </w:p>
        </w:tc>
      </w:tr>
      <w:tr>
        <w:trPr>
          <w:trHeight w:val="187"/>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6"/>
              </w:rPr>
              <w:t>Exercisable</w:t>
            </w:r>
            <w:r>
              <w:rPr>
                <w:rFonts w:ascii="Arial" w:cs="Arial" w:eastAsia="Arial" w:hAnsi="Arial"/>
                <w:sz w:val="20"/>
                <w:szCs w:val="20"/>
                <w:b w:val="1"/>
                <w:bCs w:val="1"/>
                <w:color w:val="auto"/>
                <w:w w:val="96"/>
                <w:vertAlign w:val="superscript"/>
              </w:rPr>
              <w:t>(1)</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8"/>
              </w:rPr>
              <w:t>Unexercisable</w:t>
            </w:r>
            <w:r>
              <w:rPr>
                <w:rFonts w:ascii="Arial" w:cs="Arial" w:eastAsia="Arial" w:hAnsi="Arial"/>
                <w:sz w:val="20"/>
                <w:szCs w:val="20"/>
                <w:b w:val="1"/>
                <w:bCs w:val="1"/>
                <w:color w:val="auto"/>
                <w:w w:val="98"/>
                <w:vertAlign w:val="superscript"/>
              </w:rPr>
              <w:t>(2)</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(3)</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20"/>
                <w:szCs w:val="20"/>
                <w:b w:val="1"/>
                <w:bCs w:val="1"/>
                <w:color w:val="auto"/>
                <w:w w:val="98"/>
                <w:vertAlign w:val="subscript"/>
              </w:rPr>
              <w:t>($)</w:t>
            </w:r>
            <w:r>
              <w:rPr>
                <w:rFonts w:ascii="Arial" w:cs="Arial" w:eastAsia="Arial" w:hAnsi="Arial"/>
                <w:sz w:val="10"/>
                <w:szCs w:val="10"/>
                <w:b w:val="1"/>
                <w:bCs w:val="1"/>
                <w:color w:val="auto"/>
                <w:w w:val="98"/>
              </w:rPr>
              <w:t>(4)</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9"/>
              </w:rPr>
              <w:t>Date</w:t>
            </w:r>
            <w:r>
              <w:rPr>
                <w:rFonts w:ascii="Arial" w:cs="Arial" w:eastAsia="Arial" w:hAnsi="Arial"/>
                <w:sz w:val="20"/>
                <w:szCs w:val="20"/>
                <w:b w:val="1"/>
                <w:bCs w:val="1"/>
                <w:color w:val="auto"/>
                <w:w w:val="99"/>
                <w:vertAlign w:val="superscript"/>
              </w:rPr>
              <w:t>(5)</w:t>
            </w:r>
          </w:p>
        </w:tc>
        <w:tc>
          <w:tcPr>
            <w:tcW w:w="80" w:type="dxa"/>
            <w:vAlign w:val="bottom"/>
          </w:tcPr>
          <w:p>
            <w:pPr>
              <w:spacing w:after="0"/>
              <w:rPr>
                <w:sz w:val="16"/>
                <w:szCs w:val="16"/>
                <w:color w:val="auto"/>
              </w:rPr>
            </w:pPr>
          </w:p>
        </w:tc>
      </w:tr>
      <w:tr>
        <w:trPr>
          <w:trHeight w:val="23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J. Bruce Steffey</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120,000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360,000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900,000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3.68</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120,000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Patrick R. Moore</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9/16/14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42,000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126,000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315,000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3.68</w:t>
            </w:r>
          </w:p>
        </w:tc>
        <w:tc>
          <w:tcPr>
            <w:tcW w:w="780" w:type="dxa"/>
            <w:vAlign w:val="bottom"/>
          </w:tcPr>
          <w:p>
            <w:pPr>
              <w:jc w:val="right"/>
              <w:spacing w:after="0"/>
              <w:rPr>
                <w:sz w:val="20"/>
                <w:szCs w:val="20"/>
                <w:color w:val="auto"/>
              </w:rPr>
            </w:pPr>
            <w:r>
              <w:rPr>
                <w:rFonts w:ascii="Arial" w:cs="Arial" w:eastAsia="Arial" w:hAnsi="Arial"/>
                <w:sz w:val="17"/>
                <w:szCs w:val="17"/>
                <w:color w:val="auto"/>
              </w:rPr>
              <w:t>9/16/24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9/16/14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Mitchell Goodman</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56,000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168,000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420,000</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3.68</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7"/>
                <w:szCs w:val="17"/>
                <w:color w:val="auto"/>
              </w:rPr>
              <w:t>John Vaught</w:t>
            </w:r>
          </w:p>
        </w:tc>
        <w:tc>
          <w:tcPr>
            <w:tcW w:w="1100" w:type="dxa"/>
            <w:vAlign w:val="bottom"/>
            <w:gridSpan w:val="3"/>
          </w:tcPr>
          <w:p>
            <w:pPr>
              <w:ind w:left="300"/>
              <w:spacing w:after="0"/>
              <w:rPr>
                <w:sz w:val="20"/>
                <w:szCs w:val="20"/>
                <w:color w:val="auto"/>
              </w:rPr>
            </w:pPr>
            <w:r>
              <w:rPr>
                <w:rFonts w:ascii="Arial" w:cs="Arial" w:eastAsia="Arial" w:hAnsi="Arial"/>
                <w:sz w:val="17"/>
                <w:szCs w:val="17"/>
                <w:color w:val="auto"/>
              </w:rPr>
              <w:t>4/11/13</w:t>
            </w:r>
            <w:r>
              <w:rPr>
                <w:rFonts w:ascii="Arial" w:cs="Arial" w:eastAsia="Arial" w:hAnsi="Arial"/>
                <w:sz w:val="14"/>
                <w:szCs w:val="14"/>
                <w:color w:val="auto"/>
              </w:rPr>
              <w:t>(6)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26,525</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0.84</w:t>
            </w:r>
          </w:p>
        </w:tc>
        <w:tc>
          <w:tcPr>
            <w:tcW w:w="780" w:type="dxa"/>
            <w:vAlign w:val="bottom"/>
          </w:tcPr>
          <w:p>
            <w:pPr>
              <w:jc w:val="right"/>
              <w:spacing w:after="0"/>
              <w:rPr>
                <w:sz w:val="20"/>
                <w:szCs w:val="20"/>
                <w:color w:val="auto"/>
              </w:rPr>
            </w:pPr>
            <w:r>
              <w:rPr>
                <w:rFonts w:ascii="Arial" w:cs="Arial" w:eastAsia="Arial" w:hAnsi="Arial"/>
                <w:sz w:val="17"/>
                <w:szCs w:val="17"/>
                <w:color w:val="auto"/>
              </w:rPr>
              <w:t>4/11/23</w:t>
            </w:r>
          </w:p>
        </w:tc>
        <w:tc>
          <w:tcPr>
            <w:tcW w:w="80" w:type="dxa"/>
            <w:vAlign w:val="bottom"/>
          </w:tcPr>
          <w:p>
            <w:pPr>
              <w:spacing w:after="0"/>
              <w:rPr>
                <w:sz w:val="19"/>
                <w:szCs w:val="19"/>
                <w:color w:val="auto"/>
              </w:rPr>
            </w:pPr>
          </w:p>
        </w:tc>
      </w:tr>
      <w:tr>
        <w:trPr>
          <w:trHeight w:val="240"/>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26,400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79,200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198,000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1"/>
        </w:trPr>
        <w:tc>
          <w:tcPr>
            <w:tcW w:w="280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26,400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4.18</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numbers in this column represent vested and exercisable time-based options and, for Mr. Vaught, also represent vested and exercisable rollover options.</w:t>
      </w:r>
    </w:p>
    <w:p>
      <w:pPr>
        <w:spacing w:after="0" w:line="122" w:lineRule="exact"/>
        <w:rPr>
          <w:rFonts w:ascii="Arial" w:cs="Arial" w:eastAsia="Arial" w:hAnsi="Arial"/>
          <w:sz w:val="12"/>
          <w:szCs w:val="12"/>
          <w:color w:val="auto"/>
        </w:rPr>
      </w:pPr>
    </w:p>
    <w:p>
      <w:pPr>
        <w:ind w:left="341" w:right="140" w:hanging="341"/>
        <w:spacing w:after="0" w:line="245" w:lineRule="auto"/>
        <w:tabs>
          <w:tab w:leader="none" w:pos="341"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time-based options, which ordinarily vest as to 20% of the shares subject to such options on each anniversary of March 13, 2014, the closing date of the KKR Acquisition. The first 20% of the time-based options granted in 2014 vested on March 13, 2015 and the second 20% vested on March 13, 2016.</w:t>
      </w:r>
    </w:p>
    <w:p>
      <w:pPr>
        <w:spacing w:after="0" w:line="28" w:lineRule="exact"/>
        <w:rPr>
          <w:rFonts w:ascii="Arial" w:cs="Arial" w:eastAsia="Arial" w:hAnsi="Arial"/>
          <w:sz w:val="14"/>
          <w:szCs w:val="14"/>
          <w:color w:val="auto"/>
        </w:rPr>
      </w:pPr>
    </w:p>
    <w:p>
      <w:pPr>
        <w:ind w:left="341" w:right="380"/>
        <w:spacing w:after="0" w:line="258" w:lineRule="auto"/>
        <w:rPr>
          <w:rFonts w:ascii="Arial" w:cs="Arial" w:eastAsia="Arial" w:hAnsi="Arial"/>
          <w:sz w:val="14"/>
          <w:szCs w:val="14"/>
          <w:color w:val="auto"/>
        </w:rPr>
      </w:pPr>
      <w:r>
        <w:rPr>
          <w:rFonts w:ascii="Arial" w:cs="Arial" w:eastAsia="Arial" w:hAnsi="Arial"/>
          <w:sz w:val="14"/>
          <w:szCs w:val="14"/>
          <w:color w:val="auto"/>
        </w:rPr>
        <w:t>Vesting of the time-based options will be accelerated upon a change in control that occurs while the executive is still employed by us, as described under “Potential Payments upon Termination or Change in Control—2014 Options” below.</w:t>
      </w:r>
    </w:p>
    <w:p>
      <w:pPr>
        <w:spacing w:after="0" w:line="71" w:lineRule="exact"/>
        <w:rPr>
          <w:rFonts w:ascii="Arial" w:cs="Arial" w:eastAsia="Arial" w:hAnsi="Arial"/>
          <w:sz w:val="14"/>
          <w:szCs w:val="14"/>
          <w:color w:val="auto"/>
        </w:rPr>
      </w:pPr>
    </w:p>
    <w:p>
      <w:pPr>
        <w:ind w:left="341" w:right="200" w:hanging="341"/>
        <w:spacing w:after="0" w:line="245" w:lineRule="auto"/>
        <w:tabs>
          <w:tab w:leader="none" w:pos="341"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performance-based options, which ordinarily become vested pursuant to the vesting schedule described above under “Narrative to Summary Compensation Table and 2016 Grants of Plan-Based Awards—Equity Awards—Vesting Terms.” None of the outstanding performance-based options have vested.</w:t>
      </w:r>
    </w:p>
    <w:p>
      <w:pPr>
        <w:spacing w:after="0" w:line="80" w:lineRule="exact"/>
        <w:rPr>
          <w:rFonts w:ascii="Arial" w:cs="Arial" w:eastAsia="Arial" w:hAnsi="Arial"/>
          <w:sz w:val="14"/>
          <w:szCs w:val="14"/>
          <w:color w:val="auto"/>
        </w:rPr>
      </w:pPr>
    </w:p>
    <w:p>
      <w:pPr>
        <w:ind w:left="341" w:right="40" w:hanging="341"/>
        <w:spacing w:after="0" w:line="285" w:lineRule="auto"/>
        <w:tabs>
          <w:tab w:leader="none" w:pos="341"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 connection with our acquisition by affiliates of KKR Sponsor, the exercise price of Mr. Vaught’s rollover options was adjusted to $1.23 per option. The exercise price for Mr. Vaught’s rollover options was further adjusted in 2015 as a result of an extraordinary dividend payment to $0.84 per option. The exercise prices for outstanding time-based and performance-based options were also adjusted as a result of the 2015 extraordinary dividend payment as follows: unvested time-based and performance-based options were adjusted to $3.68 per option and vested time-based options were adjusted to $4.18 per option. As described under “Long-Term Incentive Awards—Payments for Pre-Acquisition Options and Rollover Options” above, the exercise prices for outstanding unvested time-based and performance-based options were further adjusted in 2017 to $2.16 per option as a result of an extraordinary dividend payment.</w:t>
      </w:r>
    </w:p>
    <w:p>
      <w:pPr>
        <w:spacing w:after="0" w:line="59" w:lineRule="exact"/>
        <w:rPr>
          <w:rFonts w:ascii="Arial" w:cs="Arial" w:eastAsia="Arial" w:hAnsi="Arial"/>
          <w:sz w:val="12"/>
          <w:szCs w:val="12"/>
          <w:color w:val="auto"/>
        </w:rPr>
      </w:pPr>
    </w:p>
    <w:p>
      <w:pPr>
        <w:ind w:left="341" w:right="260" w:hanging="341"/>
        <w:spacing w:after="0" w:line="245" w:lineRule="auto"/>
        <w:tabs>
          <w:tab w:leader="none" w:pos="341"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80" w:lineRule="exact"/>
        <w:rPr>
          <w:rFonts w:ascii="Arial" w:cs="Arial" w:eastAsia="Arial" w:hAnsi="Arial"/>
          <w:sz w:val="14"/>
          <w:szCs w:val="14"/>
          <w:color w:val="auto"/>
        </w:rPr>
      </w:pPr>
    </w:p>
    <w:p>
      <w:pPr>
        <w:ind w:left="341" w:right="220" w:hanging="341"/>
        <w:spacing w:after="0" w:line="258" w:lineRule="auto"/>
        <w:tabs>
          <w:tab w:leader="none" w:pos="341"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original grant date of Mr. Vaught’s rollover options. See “—Compensation Discussion and Analysis—Compensation Elements—Long-Term Incentive Awards.”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2016 Option Exercises and Stock Vested</w:t>
      </w:r>
    </w:p>
    <w:p>
      <w:pPr>
        <w:spacing w:after="0" w:line="117"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The following table provides information regarding options exercised by the NEOs during the fiscal year ended December 31, 2016.</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Number of Shares</w:t>
            </w:r>
          </w:p>
        </w:tc>
        <w:tc>
          <w:tcPr>
            <w:tcW w:w="11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Value Realized</w:t>
            </w:r>
          </w:p>
        </w:tc>
      </w:tr>
      <w:tr>
        <w:trPr>
          <w:trHeight w:val="142"/>
        </w:trPr>
        <w:tc>
          <w:tcPr>
            <w:tcW w:w="1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Acquired on Exercise</w:t>
            </w:r>
          </w:p>
        </w:tc>
        <w:tc>
          <w:tcPr>
            <w:tcW w:w="118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on Exercise</w:t>
            </w:r>
          </w:p>
        </w:tc>
      </w:tr>
      <w:tr>
        <w:trPr>
          <w:trHeight w:val="193"/>
        </w:trPr>
        <w:tc>
          <w:tcPr>
            <w:tcW w:w="6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3"/>
                <w:szCs w:val="13"/>
                <w:b w:val="1"/>
                <w:bCs w:val="1"/>
                <w:color w:val="auto"/>
                <w:w w:val="88"/>
              </w:rPr>
              <w:t>($)</w:t>
            </w:r>
            <w:r>
              <w:rPr>
                <w:rFonts w:ascii="Arial" w:cs="Arial" w:eastAsia="Arial" w:hAnsi="Arial"/>
                <w:sz w:val="22"/>
                <w:szCs w:val="22"/>
                <w:b w:val="1"/>
                <w:bCs w:val="1"/>
                <w:color w:val="auto"/>
                <w:w w:val="88"/>
                <w:vertAlign w:val="superscript"/>
              </w:rPr>
              <w:t>(1)</w:t>
            </w:r>
          </w:p>
        </w:tc>
        <w:tc>
          <w:tcPr>
            <w:tcW w:w="80" w:type="dxa"/>
            <w:vAlign w:val="bottom"/>
          </w:tcPr>
          <w:p>
            <w:pPr>
              <w:spacing w:after="0"/>
              <w:rPr>
                <w:sz w:val="16"/>
                <w:szCs w:val="16"/>
                <w:color w:val="auto"/>
              </w:rPr>
            </w:pPr>
          </w:p>
        </w:tc>
      </w:tr>
      <w:tr>
        <w:trPr>
          <w:trHeight w:val="228"/>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 Reade Fahs</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240,000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244,028</w:t>
            </w:r>
          </w:p>
        </w:tc>
      </w:tr>
      <w:tr>
        <w:trPr>
          <w:trHeight w:val="228"/>
        </w:trPr>
        <w:tc>
          <w:tcPr>
            <w:tcW w:w="6280" w:type="dxa"/>
            <w:vAlign w:val="bottom"/>
            <w:gridSpan w:val="3"/>
          </w:tcPr>
          <w:p>
            <w:pPr>
              <w:spacing w:after="0"/>
              <w:rPr>
                <w:sz w:val="20"/>
                <w:szCs w:val="20"/>
                <w:color w:val="auto"/>
              </w:rPr>
            </w:pPr>
            <w:r>
              <w:rPr>
                <w:rFonts w:ascii="Arial" w:cs="Arial" w:eastAsia="Arial" w:hAnsi="Arial"/>
                <w:sz w:val="17"/>
                <w:szCs w:val="17"/>
                <w:color w:val="auto"/>
              </w:rPr>
              <w:t>J. Bruce Steffey</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6280" w:type="dxa"/>
            <w:vAlign w:val="bottom"/>
            <w:gridSpan w:val="3"/>
          </w:tcPr>
          <w:p>
            <w:pPr>
              <w:spacing w:after="0"/>
              <w:rPr>
                <w:sz w:val="20"/>
                <w:szCs w:val="20"/>
                <w:color w:val="auto"/>
              </w:rPr>
            </w:pPr>
            <w:r>
              <w:rPr>
                <w:rFonts w:ascii="Arial" w:cs="Arial" w:eastAsia="Arial" w:hAnsi="Arial"/>
                <w:sz w:val="17"/>
                <w:szCs w:val="17"/>
                <w:color w:val="auto"/>
              </w:rPr>
              <w:t>Mitchell Goodman</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John Vaught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83"/>
        </w:trPr>
        <w:tc>
          <w:tcPr>
            <w:tcW w:w="13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right="140" w:hanging="341"/>
        <w:spacing w:after="0" w:line="258" w:lineRule="auto"/>
        <w:tabs>
          <w:tab w:leader="none" w:pos="341"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the difference between the fair market value of the shares acquired on exercise, as determined by the most current valuation of our common stock prior to such exercise, and the exercise price of the option.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Pension Benefits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defined pension benefit plans for our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Non-Qualified Deferred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 non-qualified defined contribution or other non-qualified deferred compensation plans for our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in Control</w:t>
      </w:r>
    </w:p>
    <w:p>
      <w:pPr>
        <w:spacing w:after="0" w:line="117"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The following section describes the payments and benefits that may become payable to the NEOs in connection with their termination of employment and/or a change in control. All such payments and benefits will be paid or provided by us or National Vision, Inc. For purposes of this section, we have assumed that (1) the price per share of our common stock on December 30, 2016, the last business day of fiscal 2016, is equal to $7.57, the valuation of our common stock as of September 30, 2016, which is the date of the most current valuation prior to December 31, 2016, (2) we do not exercise any discretion to accelerate the vesting of outstanding options in connection with a change in control, and (3) the value of any stock options that may be accelerated is equal to the full value of such awards (i.e., the full “spread” value for stock options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Plan</w:t>
      </w:r>
    </w:p>
    <w:p>
      <w:pPr>
        <w:spacing w:after="0" w:line="117"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The Severance Plan provides for severance payments and benefits to eligible employees, including our NEOs, upon a qualifying termination of employment, which includes a termination of employment for one or more of the following reasons, as determined by the Company: (1) lack of work, (2) reorganization, (3) business necessity, (4) economic condition, (5) termination of employment by us without “Cause” or (6) termination of employment by the executive for “Good Reason.” In the event of a qualifying termination of employment, the Severance Plan provides for the following payments and benefits:</w:t>
      </w:r>
    </w:p>
    <w:p>
      <w:pPr>
        <w:spacing w:after="0" w:line="59" w:lineRule="exact"/>
        <w:rPr>
          <w:sz w:val="20"/>
          <w:szCs w:val="20"/>
          <w:color w:val="auto"/>
        </w:rPr>
      </w:pPr>
    </w:p>
    <w:p>
      <w:pPr>
        <w:ind w:left="680" w:right="500" w:hanging="342"/>
        <w:spacing w:after="0" w:line="287"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Severance in an amount equal to 12 months of the executive’s annual base salary, payable over the 12-month period following the date of such qualifying termination; and</w:t>
      </w:r>
    </w:p>
    <w:p>
      <w:pPr>
        <w:spacing w:after="0" w:line="53"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executive has executed a non-compete and restrictive covenant agreement, which we refer to as the “Non-Compete Agreement,” with the Company on or after July 21, 2011, has not violated the Non-Compete Agreement and has properly elected COBRA continuation coverage, Company-paid COBRA premiums for up to 12 months, which we refer to as the “COBRA Benefit.”</w:t>
      </w:r>
    </w:p>
    <w:p>
      <w:pPr>
        <w:spacing w:after="0" w:line="72" w:lineRule="exact"/>
        <w:rPr>
          <w:sz w:val="20"/>
          <w:szCs w:val="20"/>
          <w:color w:val="auto"/>
        </w:rPr>
      </w:pPr>
    </w:p>
    <w:p>
      <w:pPr>
        <w:ind w:right="80" w:firstLine="347"/>
        <w:spacing w:after="0" w:line="303" w:lineRule="auto"/>
        <w:rPr>
          <w:sz w:val="20"/>
          <w:szCs w:val="20"/>
          <w:color w:val="auto"/>
        </w:rPr>
      </w:pPr>
      <w:r>
        <w:rPr>
          <w:rFonts w:ascii="Arial" w:cs="Arial" w:eastAsia="Arial" w:hAnsi="Arial"/>
          <w:sz w:val="15"/>
          <w:szCs w:val="15"/>
          <w:color w:val="auto"/>
        </w:rPr>
        <w:t>Certain executives who are designated by our Board of Directors and participate in the Company’s MIP are eligible for certain severance payments and benefits in lieu of the severance payments and benefits described above in the event of a qualifying termination of employment pursuant to an Executive Supplement to the Severance Plan. As of December 31, 2016, Messrs. Fahs, Steffey and Goodman were eligible to participate in the Executive Supplement to the Severance Plan. In March 2017, the Board of Directors also approved Mr. Moore’s participation in the Executive Supplement. The payments and benefits under the Executive Supplement to the Severance Plan in the event of a qualifying termination of employment include the following:</w:t>
      </w:r>
    </w:p>
    <w:p>
      <w:pPr>
        <w:spacing w:after="0" w:line="49" w:lineRule="exact"/>
        <w:rPr>
          <w:sz w:val="20"/>
          <w:szCs w:val="20"/>
          <w:color w:val="auto"/>
        </w:rPr>
      </w:pPr>
    </w:p>
    <w:p>
      <w:pPr>
        <w:ind w:left="680" w:right="500" w:hanging="342"/>
        <w:spacing w:after="0" w:line="287" w:lineRule="auto"/>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Severance in an amount equal to 24 months of the executive’s annual base salary, payable over the 24-month period following the date of such qualifying termination;</w:t>
      </w:r>
    </w:p>
    <w:p>
      <w:pPr>
        <w:spacing w:after="0" w:line="53" w:lineRule="exact"/>
        <w:rPr>
          <w:rFonts w:ascii="Arial" w:cs="Arial" w:eastAsia="Arial" w:hAnsi="Arial"/>
          <w:sz w:val="17"/>
          <w:szCs w:val="17"/>
          <w:color w:val="auto"/>
        </w:rPr>
      </w:pPr>
    </w:p>
    <w:p>
      <w:pPr>
        <w:ind w:left="680" w:right="300" w:hanging="342"/>
        <w:spacing w:after="0" w:line="287" w:lineRule="auto"/>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amount equal to 30% of the executive’s annual base salary, payable over the 24-month period following the date of such qualifying termination; and</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COBRA Benefit.</w:t>
      </w:r>
    </w:p>
    <w:p>
      <w:pPr>
        <w:spacing w:after="0" w:line="117"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As a condition to receiving severance payments and benefits under the Severance Plan, executives are required to execute a severance agreement which includes a release of claims against the Company and certain restrictive covenants. Such restrictive covenants include prohibiting the executive from:</w:t>
      </w:r>
    </w:p>
    <w:p>
      <w:pPr>
        <w:spacing w:after="0" w:line="68" w:lineRule="exact"/>
        <w:rPr>
          <w:sz w:val="20"/>
          <w:szCs w:val="20"/>
          <w:color w:val="auto"/>
        </w:rPr>
      </w:pPr>
    </w:p>
    <w:p>
      <w:pPr>
        <w:ind w:left="680" w:hanging="342"/>
        <w:spacing w:after="0"/>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Disparaging the Company or any officer, director or employee of the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Disclosing or using any confidential information or trade secrets of the Company; and</w:t>
      </w:r>
    </w:p>
    <w:p>
      <w:pPr>
        <w:spacing w:after="0" w:line="117"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Engaging in any activities, directly or indirectly, which have the effect of disrupting the Company’s operations or harming the Company’s reputation with its customers, suppliers or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firstLine="347"/>
        <w:spacing w:after="0" w:line="357" w:lineRule="auto"/>
        <w:rPr>
          <w:sz w:val="20"/>
          <w:szCs w:val="20"/>
          <w:color w:val="auto"/>
        </w:rPr>
      </w:pPr>
      <w:r>
        <w:rPr>
          <w:rFonts w:ascii="Arial" w:cs="Arial" w:eastAsia="Arial" w:hAnsi="Arial"/>
          <w:sz w:val="15"/>
          <w:szCs w:val="15"/>
          <w:color w:val="auto"/>
        </w:rPr>
        <w:t>If an executive is found to have violated the terms of the Severance Plan, severance agreement or Non-Compete Agreement, the Company may initiate proceedings to recover any severance payments the executive received under the Severance Plan.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Severance Plan:</w:t>
      </w:r>
    </w:p>
    <w:p>
      <w:pPr>
        <w:spacing w:after="0" w:line="117"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“Cause” generally means the following act(s) by an executive, after written notification to the executive by the Company of its demand for the executive to cure such act(s), and a failure by the executive to cure such act(s):</w:t>
      </w:r>
    </w:p>
    <w:p>
      <w:pPr>
        <w:spacing w:after="0" w:line="54" w:lineRule="exact"/>
        <w:rPr>
          <w:sz w:val="20"/>
          <w:szCs w:val="20"/>
          <w:color w:val="auto"/>
        </w:rPr>
      </w:pPr>
    </w:p>
    <w:p>
      <w:pPr>
        <w:ind w:left="680" w:right="80" w:hanging="342"/>
        <w:spacing w:after="0" w:line="271" w:lineRule="auto"/>
        <w:tabs>
          <w:tab w:leader="none" w:pos="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Commission of an act or acts of fraud, dishonesty, gross negligence or willful misconduct of his or her duties that does, or could, if continued or repeated, result directly or indirectly in significant gain or personal enrichment to the executive at the expense of the Company or in injury to the Company;</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Commission of an act or acts constituting any felony or any criminal act involving moral turpitude, or any other criminal act involving dishonesty, disloyalty, fraud or theft with respect to the Company; or</w:t>
      </w:r>
    </w:p>
    <w:p>
      <w:pPr>
        <w:spacing w:after="0" w:line="53" w:lineRule="exact"/>
        <w:rPr>
          <w:rFonts w:ascii="Arial" w:cs="Arial" w:eastAsia="Arial" w:hAnsi="Arial"/>
          <w:sz w:val="17"/>
          <w:szCs w:val="17"/>
          <w:color w:val="auto"/>
        </w:rPr>
      </w:pPr>
    </w:p>
    <w:p>
      <w:pPr>
        <w:ind w:left="680" w:right="740" w:hanging="342"/>
        <w:spacing w:after="0" w:line="287" w:lineRule="auto"/>
        <w:tabs>
          <w:tab w:leader="none" w:pos="6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Material breach of any agreement under which he or she has committed to confidentiality, nondisclosure or non-solicitation protections for the Company.</w:t>
      </w:r>
    </w:p>
    <w:p>
      <w:pPr>
        <w:spacing w:after="0" w:line="54" w:lineRule="exact"/>
        <w:rPr>
          <w:sz w:val="20"/>
          <w:szCs w:val="20"/>
          <w:color w:val="auto"/>
        </w:rPr>
      </w:pPr>
    </w:p>
    <w:p>
      <w:pPr>
        <w:ind w:right="40" w:firstLine="347"/>
        <w:spacing w:after="0" w:line="296" w:lineRule="auto"/>
        <w:rPr>
          <w:sz w:val="20"/>
          <w:szCs w:val="20"/>
          <w:color w:val="auto"/>
        </w:rPr>
      </w:pPr>
      <w:r>
        <w:rPr>
          <w:rFonts w:ascii="Arial" w:cs="Arial" w:eastAsia="Arial" w:hAnsi="Arial"/>
          <w:sz w:val="16"/>
          <w:szCs w:val="16"/>
          <w:color w:val="auto"/>
        </w:rPr>
        <w:t>“Good Reason” generally means a termination of employment upon the occurrence (without express written consent of the executive) of any of the following acts by the Company, or failure by the Company to act, and such act or failure to act has not been corrected within thirty (30) days after the executive provides written notice to the Company of such act or failure to act:</w:t>
      </w:r>
    </w:p>
    <w:p>
      <w:pPr>
        <w:spacing w:after="0" w:line="49" w:lineRule="exact"/>
        <w:rPr>
          <w:sz w:val="20"/>
          <w:szCs w:val="20"/>
          <w:color w:val="auto"/>
        </w:rPr>
      </w:pPr>
    </w:p>
    <w:p>
      <w:pPr>
        <w:ind w:left="680" w:hanging="342"/>
        <w:spacing w:after="0"/>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significant, adverse change by the Company in the executive’s employment responsibilities;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reduction in base salary;</w:t>
      </w:r>
    </w:p>
    <w:p>
      <w:pPr>
        <w:spacing w:after="0" w:line="117" w:lineRule="exact"/>
        <w:rPr>
          <w:rFonts w:ascii="Arial" w:cs="Arial" w:eastAsia="Arial" w:hAnsi="Arial"/>
          <w:sz w:val="17"/>
          <w:szCs w:val="17"/>
          <w:color w:val="auto"/>
        </w:rPr>
      </w:pPr>
    </w:p>
    <w:p>
      <w:pPr>
        <w:ind w:left="680" w:right="80" w:hanging="342"/>
        <w:spacing w:after="0" w:line="287"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Relocation without the executive’s consent to a location more than fifty (50) miles from the executive’s principal office in the Atlanta metropolitan area, except for required travel on the Company’s business; or</w:t>
      </w:r>
    </w:p>
    <w:p>
      <w:pPr>
        <w:spacing w:after="0" w:line="53" w:lineRule="exact"/>
        <w:rPr>
          <w:rFonts w:ascii="Arial" w:cs="Arial" w:eastAsia="Arial" w:hAnsi="Arial"/>
          <w:sz w:val="17"/>
          <w:szCs w:val="17"/>
          <w:color w:val="auto"/>
        </w:rPr>
      </w:pPr>
    </w:p>
    <w:p>
      <w:pPr>
        <w:ind w:left="680" w:right="240" w:hanging="342"/>
        <w:spacing w:after="0" w:line="320" w:lineRule="auto"/>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Failure by the Company, without the executive’s consent, to pay any portion of the executive’s current compensation or any portion of an installment of deferred compensation within seven days of the date such compensation is due.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Options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Change in Control on Vesting of Time-Based and Performance-Based Options</w:t>
      </w:r>
    </w:p>
    <w:p>
      <w:pPr>
        <w:spacing w:after="0" w:line="117" w:lineRule="exact"/>
        <w:rPr>
          <w:sz w:val="20"/>
          <w:szCs w:val="20"/>
          <w:color w:val="auto"/>
        </w:rPr>
      </w:pPr>
    </w:p>
    <w:p>
      <w:pPr>
        <w:ind w:right="220" w:firstLine="347"/>
        <w:spacing w:after="0" w:line="323" w:lineRule="auto"/>
        <w:rPr>
          <w:sz w:val="20"/>
          <w:szCs w:val="20"/>
          <w:color w:val="auto"/>
        </w:rPr>
      </w:pPr>
      <w:r>
        <w:rPr>
          <w:rFonts w:ascii="Arial" w:cs="Arial" w:eastAsia="Arial" w:hAnsi="Arial"/>
          <w:sz w:val="15"/>
          <w:szCs w:val="15"/>
          <w:color w:val="auto"/>
        </w:rPr>
        <w:t>Upon a change in control (as defined below under “Equity Incentive Plans—2014 Stock Incentive 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34" w:lineRule="exact"/>
        <w:rPr>
          <w:sz w:val="20"/>
          <w:szCs w:val="20"/>
          <w:color w:val="auto"/>
        </w:rPr>
      </w:pPr>
    </w:p>
    <w:p>
      <w:pPr>
        <w:ind w:left="680" w:hanging="342"/>
        <w:spacing w:after="0"/>
        <w:tabs>
          <w:tab w:leader="none" w:pos="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MOIC is less than two times, no portion of the performance-based options will vest;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MOIC achieved is at least equal to two times, then 25% of the performance-based options will vest; and</w:t>
      </w:r>
    </w:p>
    <w:p>
      <w:pPr>
        <w:spacing w:after="0" w:line="117" w:lineRule="exact"/>
        <w:rPr>
          <w:rFonts w:ascii="Arial" w:cs="Arial" w:eastAsia="Arial" w:hAnsi="Arial"/>
          <w:sz w:val="17"/>
          <w:szCs w:val="17"/>
          <w:color w:val="auto"/>
        </w:rPr>
      </w:pPr>
    </w:p>
    <w:p>
      <w:pPr>
        <w:ind w:left="680" w:hanging="342"/>
        <w:spacing w:after="0" w:line="266" w:lineRule="auto"/>
        <w:tabs>
          <w:tab w:leader="none" w:pos="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Any portion of the performance-based options that do not vest on a change in control will immediately expire on the date of such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Death or Disability on Vesting of Time-Based Options</w:t>
      </w:r>
    </w:p>
    <w:p>
      <w:pPr>
        <w:spacing w:after="0" w:line="117"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Upon a termination of an NEO’s employment with the Company by reason of death or disability, the 20% portion of the time-based options that would have become exercisable on the next vesting date following the date of such termination of employment will become vested and exercisable.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9" w:name="page150"/>
    <w:bookmarkEnd w:id="14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Effect of Other Terminations of Employment on 2014 Options</w:t>
      </w:r>
    </w:p>
    <w:p>
      <w:pPr>
        <w:spacing w:after="0" w:line="117" w:lineRule="exact"/>
        <w:rPr>
          <w:sz w:val="20"/>
          <w:szCs w:val="20"/>
          <w:color w:val="auto"/>
        </w:rPr>
      </w:pPr>
    </w:p>
    <w:p>
      <w:pPr>
        <w:jc w:val="both"/>
        <w:ind w:left="1" w:right="40" w:firstLine="347"/>
        <w:spacing w:after="0" w:line="271" w:lineRule="auto"/>
        <w:rPr>
          <w:sz w:val="20"/>
          <w:szCs w:val="20"/>
          <w:color w:val="auto"/>
        </w:rPr>
      </w:pPr>
      <w:r>
        <w:rPr>
          <w:rFonts w:ascii="Arial" w:cs="Arial" w:eastAsia="Arial" w:hAnsi="Arial"/>
          <w:sz w:val="17"/>
          <w:szCs w:val="17"/>
          <w:color w:val="auto"/>
        </w:rPr>
        <w:t>Except as set forth above with respect to the effect of death or disability on vesting of time-based options, none of the unvested options held by the NEOs will become vested and exercisable following termination of employment with us for any reason and any option that is unvested as of the date of termination of employment will immediately expire.</w:t>
      </w:r>
    </w:p>
    <w:p>
      <w:pPr>
        <w:spacing w:after="0" w:line="68" w:lineRule="exact"/>
        <w:rPr>
          <w:sz w:val="20"/>
          <w:szCs w:val="20"/>
          <w:color w:val="auto"/>
        </w:rPr>
      </w:pPr>
    </w:p>
    <w:p>
      <w:pPr>
        <w:ind w:left="1" w:right="900" w:firstLine="347"/>
        <w:spacing w:after="0" w:line="316" w:lineRule="auto"/>
        <w:rPr>
          <w:sz w:val="20"/>
          <w:szCs w:val="20"/>
          <w:color w:val="auto"/>
        </w:rPr>
      </w:pPr>
      <w:r>
        <w:rPr>
          <w:rFonts w:ascii="Arial" w:cs="Arial" w:eastAsia="Arial" w:hAnsi="Arial"/>
          <w:sz w:val="16"/>
          <w:szCs w:val="16"/>
          <w:color w:val="auto"/>
        </w:rPr>
        <w:t>The following table lists the payments and benefits that would have been triggered for each of our NEOs under the circumstances described below assuming that the applicable triggering event occurred on December 31, 2016.</w:t>
      </w:r>
    </w:p>
    <w:tbl>
      <w:tblPr>
        <w:tblLayout w:type="fixed"/>
        <w:tblInd w:w="1" w:type="dxa"/>
        <w:tblCellMar>
          <w:top w:w="0" w:type="dxa"/>
          <w:left w:w="0" w:type="dxa"/>
          <w:bottom w:w="0" w:type="dxa"/>
          <w:right w:w="0" w:type="dxa"/>
        </w:tblCellMar>
      </w:tblPr>
      <w:tr>
        <w:trPr>
          <w:trHeight w:val="157"/>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5"/>
              </w:rPr>
              <w:t>Severance</w:t>
            </w:r>
          </w:p>
        </w:tc>
        <w:tc>
          <w:tcPr>
            <w:tcW w:w="13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Continuation of</w:t>
            </w:r>
          </w:p>
        </w:tc>
        <w:tc>
          <w:tcPr>
            <w:tcW w:w="16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88"/>
              </w:rPr>
              <w:t>Value of Accelerated</w:t>
            </w:r>
          </w:p>
        </w:tc>
      </w:tr>
      <w:tr>
        <w:trPr>
          <w:trHeight w:val="142"/>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Benefit</w:t>
            </w: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Health Benefits</w:t>
            </w:r>
          </w:p>
        </w:tc>
        <w:tc>
          <w:tcPr>
            <w:tcW w:w="1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8"/>
              </w:rPr>
              <w:t>Stock Options</w:t>
            </w:r>
          </w:p>
        </w:tc>
      </w:tr>
      <w:tr>
        <w:trPr>
          <w:trHeight w:val="187"/>
        </w:trPr>
        <w:tc>
          <w:tcPr>
            <w:tcW w:w="51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000" w:type="dxa"/>
            <w:vAlign w:val="bottom"/>
            <w:gridSpan w:val="2"/>
          </w:tcPr>
          <w:p>
            <w:pPr>
              <w:jc w:val="center"/>
              <w:ind w:left="97"/>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(1)</w:t>
            </w:r>
          </w:p>
        </w:tc>
        <w:tc>
          <w:tcPr>
            <w:tcW w:w="180" w:type="dxa"/>
            <w:vAlign w:val="bottom"/>
          </w:tcPr>
          <w:p>
            <w:pPr>
              <w:spacing w:after="0"/>
              <w:rPr>
                <w:sz w:val="16"/>
                <w:szCs w:val="16"/>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(2)</w:t>
            </w:r>
          </w:p>
        </w:tc>
        <w:tc>
          <w:tcPr>
            <w:tcW w:w="200" w:type="dxa"/>
            <w:vAlign w:val="bottom"/>
          </w:tcPr>
          <w:p>
            <w:pPr>
              <w:spacing w:after="0"/>
              <w:rPr>
                <w:sz w:val="16"/>
                <w:szCs w:val="16"/>
                <w:color w:val="auto"/>
              </w:rPr>
            </w:pPr>
          </w:p>
        </w:tc>
        <w:tc>
          <w:tcPr>
            <w:tcW w:w="152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(3)</w:t>
            </w:r>
          </w:p>
        </w:tc>
        <w:tc>
          <w:tcPr>
            <w:tcW w:w="80" w:type="dxa"/>
            <w:vAlign w:val="bottom"/>
          </w:tcPr>
          <w:p>
            <w:pPr>
              <w:spacing w:after="0"/>
              <w:rPr>
                <w:sz w:val="16"/>
                <w:szCs w:val="16"/>
                <w:color w:val="auto"/>
              </w:rPr>
            </w:pPr>
          </w:p>
        </w:tc>
      </w:tr>
      <w:tr>
        <w:trPr>
          <w:trHeight w:val="235"/>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L. Reade Fahs</w:t>
            </w: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1,403,000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2,798,485</w:t>
            </w: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932,828</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5140" w:type="dxa"/>
            <w:vAlign w:val="bottom"/>
          </w:tcPr>
          <w:p>
            <w:pPr>
              <w:spacing w:after="0"/>
              <w:rPr>
                <w:sz w:val="20"/>
                <w:szCs w:val="20"/>
                <w:color w:val="auto"/>
              </w:rPr>
            </w:pPr>
            <w:r>
              <w:rPr>
                <w:rFonts w:ascii="Arial" w:cs="Arial" w:eastAsia="Arial" w:hAnsi="Arial"/>
                <w:sz w:val="17"/>
                <w:szCs w:val="17"/>
                <w:b w:val="1"/>
                <w:bCs w:val="1"/>
                <w:color w:val="auto"/>
              </w:rPr>
              <w:t>J. Bruce Steffey</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1,302,950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16,341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1,399,243</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466,414</w:t>
            </w:r>
          </w:p>
        </w:tc>
        <w:tc>
          <w:tcPr>
            <w:tcW w:w="80" w:type="dxa"/>
            <w:vAlign w:val="bottom"/>
            <w:shd w:val="clear" w:color="auto" w:fill="CCEEFF"/>
          </w:tcPr>
          <w:p>
            <w:pPr>
              <w:spacing w:after="0"/>
              <w:rPr>
                <w:sz w:val="20"/>
                <w:szCs w:val="20"/>
                <w:color w:val="auto"/>
              </w:rPr>
            </w:pPr>
          </w:p>
        </w:tc>
      </w:t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Patrick R. Moore</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380,000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489,735</w:t>
            </w: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163,245</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5140" w:type="dxa"/>
            <w:vAlign w:val="bottom"/>
          </w:tcPr>
          <w:p>
            <w:pPr>
              <w:spacing w:after="0"/>
              <w:rPr>
                <w:sz w:val="20"/>
                <w:szCs w:val="20"/>
                <w:color w:val="auto"/>
              </w:rPr>
            </w:pPr>
            <w:r>
              <w:rPr>
                <w:rFonts w:ascii="Arial" w:cs="Arial" w:eastAsia="Arial" w:hAnsi="Arial"/>
                <w:sz w:val="17"/>
                <w:szCs w:val="17"/>
                <w:b w:val="1"/>
                <w:bCs w:val="1"/>
                <w:color w:val="auto"/>
              </w:rPr>
              <w:t>Mitchell Goodman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759,000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15,397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652,980</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217,660</w:t>
            </w:r>
          </w:p>
        </w:tc>
        <w:tc>
          <w:tcPr>
            <w:tcW w:w="80" w:type="dxa"/>
            <w:vAlign w:val="bottom"/>
            <w:shd w:val="clear" w:color="auto" w:fill="CCEEFF"/>
          </w:tcPr>
          <w:p>
            <w:pPr>
              <w:spacing w:after="0"/>
              <w:rPr>
                <w:sz w:val="20"/>
                <w:szCs w:val="20"/>
                <w:color w:val="auto"/>
              </w:rPr>
            </w:pPr>
          </w:p>
        </w:tc>
      </w:t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John Vaught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280,000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15,397</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307,833</w:t>
            </w:r>
          </w:p>
        </w:tc>
        <w:tc>
          <w:tcPr>
            <w:tcW w:w="80" w:type="dxa"/>
            <w:vAlign w:val="bottom"/>
            <w:shd w:val="clear" w:color="auto" w:fill="CCEEFF"/>
          </w:tcPr>
          <w:p>
            <w:pPr>
              <w:spacing w:after="0"/>
              <w:rPr>
                <w:sz w:val="20"/>
                <w:szCs w:val="20"/>
                <w:color w:val="auto"/>
              </w:rPr>
            </w:pPr>
          </w:p>
        </w:tc>
      </w:tr>
      <w:tr>
        <w:trPr>
          <w:trHeight w:val="221"/>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102,611</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right="40" w:hanging="341"/>
        <w:spacing w:after="0" w:line="239" w:lineRule="auto"/>
        <w:tabs>
          <w:tab w:leader="none" w:pos="34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Amounts reported for Messrs. Fahs, Steffey and Goodman represent 24 months of the executive’s annual base salary plus an amount equal to 30% of the executive’s annual base salary. Amounts reported for Messrs. Moore and Vaught represent 12 months of the executive’s annual base salary. In March 2017, our Board of Directors approved Mr. Moore’s participation in the Executive Supplement to the Severance Plan. Mr. Moore would have been entitled to a severance benefit of $874,000 in the event of a qualifying termination of employment on December 31, 2016 if he had participated in the Executive Supplement as of such date.</w:t>
      </w:r>
    </w:p>
    <w:p>
      <w:pPr>
        <w:spacing w:after="0" w:line="84" w:lineRule="exact"/>
        <w:rPr>
          <w:rFonts w:ascii="Arial" w:cs="Arial" w:eastAsia="Arial" w:hAnsi="Arial"/>
          <w:sz w:val="14"/>
          <w:szCs w:val="14"/>
          <w:color w:val="auto"/>
        </w:rPr>
      </w:pPr>
    </w:p>
    <w:p>
      <w:pPr>
        <w:ind w:left="341" w:right="240" w:hanging="341"/>
        <w:spacing w:after="0" w:line="258" w:lineRule="auto"/>
        <w:tabs>
          <w:tab w:leader="none" w:pos="34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amounts reported represent the cost of providing each applicable NEO with COBRA continuation coverage for group health benefits for a period of 12 months following the date of termination.</w:t>
      </w:r>
    </w:p>
    <w:p>
      <w:pPr>
        <w:spacing w:after="0" w:line="71" w:lineRule="exact"/>
        <w:rPr>
          <w:rFonts w:ascii="Arial" w:cs="Arial" w:eastAsia="Arial" w:hAnsi="Arial"/>
          <w:sz w:val="14"/>
          <w:szCs w:val="14"/>
          <w:color w:val="auto"/>
        </w:rPr>
      </w:pPr>
    </w:p>
    <w:p>
      <w:pPr>
        <w:ind w:left="341" w:right="100" w:hanging="341"/>
        <w:spacing w:after="0" w:line="241" w:lineRule="auto"/>
        <w:tabs>
          <w:tab w:leader="none" w:pos="34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amounts reported represent accelerated vesting of unvested options as described above under “—2014 Options,” and are based on our common stock having a fair market value of $7.57 per share on September 30, 2016, the date of the most current valuation of our common stock prior to December 31, 2016. The amounts reported reflect the “spread” value of $3.89 per share for the 2014 Options with an exercise price of $3.68, representing the difference between the fair market value and the exercise price.</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IPO Equity Awards</w:t>
      </w:r>
    </w:p>
    <w:p>
      <w:pPr>
        <w:spacing w:after="0" w:line="117" w:lineRule="exact"/>
        <w:rPr>
          <w:sz w:val="20"/>
          <w:szCs w:val="20"/>
          <w:color w:val="auto"/>
        </w:rPr>
      </w:pPr>
    </w:p>
    <w:p>
      <w:pPr>
        <w:ind w:left="1" w:right="420" w:firstLine="347"/>
        <w:spacing w:after="0" w:line="271" w:lineRule="auto"/>
        <w:rPr>
          <w:sz w:val="20"/>
          <w:szCs w:val="20"/>
          <w:color w:val="auto"/>
        </w:rPr>
      </w:pPr>
      <w:r>
        <w:rPr>
          <w:rFonts w:ascii="Arial" w:cs="Arial" w:eastAsia="Arial" w:hAnsi="Arial"/>
          <w:sz w:val="17"/>
          <w:szCs w:val="17"/>
          <w:color w:val="auto"/>
        </w:rPr>
        <w:t>In connection with this offering, we expect to grant special one-time equity awards to certain employees under the 2017 Omnibus Incentive Plan described below. Awards under the 2017 Omnibus Incentive Plan will be made at the discretion of the Committee (as defined below) and the terms of such awards have not yet been finalized.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0" w:name="page151"/>
    <w:bookmarkEnd w:id="15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7"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text of the plans or agreements, which are filed as exhibits to the registration statement.</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2017 Omnibus Incentive Plan</w:t>
      </w:r>
    </w:p>
    <w:p>
      <w:pPr>
        <w:spacing w:after="0" w:line="117" w:lineRule="exact"/>
        <w:rPr>
          <w:sz w:val="20"/>
          <w:szCs w:val="20"/>
          <w:color w:val="auto"/>
        </w:rPr>
      </w:pPr>
    </w:p>
    <w:p>
      <w:pPr>
        <w:ind w:left="1" w:right="120" w:firstLine="347"/>
        <w:spacing w:after="0" w:line="287" w:lineRule="auto"/>
        <w:rPr>
          <w:sz w:val="20"/>
          <w:szCs w:val="20"/>
          <w:color w:val="auto"/>
        </w:rPr>
      </w:pPr>
      <w:r>
        <w:rPr>
          <w:rFonts w:ascii="Arial" w:cs="Arial" w:eastAsia="Arial" w:hAnsi="Arial"/>
          <w:sz w:val="17"/>
          <w:szCs w:val="17"/>
          <w:color w:val="auto"/>
        </w:rPr>
        <w:t>Our board of directors expects to adopt, and we expect our stockholders to approve, the 2017 Omnibus Incentive Plan prior to the completion of the offering.</w:t>
      </w:r>
    </w:p>
    <w:p>
      <w:pPr>
        <w:spacing w:after="0" w:line="54" w:lineRule="exact"/>
        <w:rPr>
          <w:sz w:val="20"/>
          <w:szCs w:val="20"/>
          <w:color w:val="auto"/>
        </w:rPr>
      </w:pPr>
    </w:p>
    <w:p>
      <w:pPr>
        <w:ind w:left="1" w:right="20" w:firstLine="347"/>
        <w:spacing w:after="0" w:line="312" w:lineRule="auto"/>
        <w:rPr>
          <w:sz w:val="20"/>
          <w:szCs w:val="20"/>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 The purpose of our 2017 Omnibus Incentive Plan is to provide a means through which to attract and retain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42" w:lineRule="exact"/>
        <w:rPr>
          <w:sz w:val="20"/>
          <w:szCs w:val="20"/>
          <w:color w:val="auto"/>
        </w:rPr>
      </w:pPr>
    </w:p>
    <w:p>
      <w:pPr>
        <w:ind w:left="1" w:firstLine="347"/>
        <w:spacing w:after="0" w:line="27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2017 Omnibus Incentive Plan will be administered by the compensation committee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2017 Omnibus Incentive Plan and any instrument or agreement relating to, or any award granted under, our 2017 Omnibus Incentive Plan; establish, amend, suspend, or waive any rules and regulations and appoint such agents as the Committee deems appropriate for the proper administration of our 2017 Omnibus Incentive Plan; adopt sub-plans; and to make any other determination and take any other action that the Committee deems necessary or desirable for the administration of our 2017 Omnibus Incentive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2017 Omnibus Incentive Plan. Unless otherwise expressly provided in our 2017 Omnibus Incentive Plan, all designations, determinations, interpretations, and other decisions under or with respect to our 2017 Omnibus Incentive Plan or any award or any documents evidencing awards granted pursuant to our 2017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68" w:lineRule="exact"/>
        <w:rPr>
          <w:sz w:val="20"/>
          <w:szCs w:val="20"/>
          <w:color w:val="auto"/>
        </w:rPr>
      </w:pPr>
    </w:p>
    <w:p>
      <w:pPr>
        <w:ind w:left="341"/>
        <w:spacing w:after="0"/>
        <w:rPr>
          <w:sz w:val="20"/>
          <w:szCs w:val="20"/>
          <w:color w:val="auto"/>
        </w:rPr>
      </w:pPr>
      <w:r>
        <w:rPr>
          <w:rFonts w:ascii="Arial" w:cs="Arial" w:eastAsia="Arial" w:hAnsi="Arial"/>
          <w:sz w:val="16"/>
          <w:szCs w:val="16"/>
          <w:i w:val="1"/>
          <w:iCs w:val="1"/>
          <w:color w:val="auto"/>
        </w:rPr>
        <w:t>Awards Subject to our 2017 Omnibus Incentive Plan</w:t>
      </w:r>
      <w:r>
        <w:rPr>
          <w:rFonts w:ascii="Arial" w:cs="Arial" w:eastAsia="Arial" w:hAnsi="Arial"/>
          <w:sz w:val="16"/>
          <w:szCs w:val="16"/>
          <w:color w:val="auto"/>
        </w:rPr>
        <w:t>. Our 2017 Omnibus Incentive Plan provides that the total number of</w:t>
      </w:r>
    </w:p>
    <w:p>
      <w:pPr>
        <w:spacing w:after="0" w:line="37" w:lineRule="exact"/>
        <w:rPr>
          <w:sz w:val="20"/>
          <w:szCs w:val="20"/>
          <w:color w:val="auto"/>
        </w:rPr>
      </w:pPr>
    </w:p>
    <w:p>
      <w:pPr>
        <w:ind w:left="1" w:right="60"/>
        <w:spacing w:after="0" w:line="290" w:lineRule="auto"/>
        <w:rPr>
          <w:sz w:val="20"/>
          <w:szCs w:val="20"/>
          <w:color w:val="auto"/>
        </w:rPr>
      </w:pPr>
      <w:r>
        <w:rPr>
          <w:rFonts w:ascii="Arial" w:cs="Arial" w:eastAsia="Arial" w:hAnsi="Arial"/>
          <w:sz w:val="15"/>
          <w:szCs w:val="15"/>
          <w:color w:val="auto"/>
        </w:rPr>
        <w:t>shares of common stock that may be issued under our 2017 Omnibus Incentive Plan is (the “Absolute Share Limit”). No more than the number of shares of common stock equal to the Absolute Share Limit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w:t>
      </w:r>
    </w:p>
    <w:p>
      <w:pPr>
        <w:spacing w:after="0" w:line="1" w:lineRule="exact"/>
        <w:rPr>
          <w:sz w:val="20"/>
          <w:szCs w:val="20"/>
          <w:color w:val="auto"/>
        </w:rPr>
      </w:pPr>
    </w:p>
    <w:p>
      <w:pPr>
        <w:ind w:left="1" w:hanging="1"/>
        <w:spacing w:after="0" w:line="276"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our 2017 Omnibus Incentive Plan. Awards may, in the sole discretion of the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 2017 Omnibus Incentive Plan after the tenth anniversary of the effective date (as defined therein), but awards granted before then may extend beyond that date.</w:t>
      </w:r>
    </w:p>
    <w:p>
      <w:pPr>
        <w:spacing w:after="0" w:line="68"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Committee may grant non-qualified stock options and incentive stock options, under our 2017 Omnibus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 terms and conditions determined by the Committee that are not inconsistent with our 2017 Omnibus Incentive Plan; provided, that all stock options granted under our 2017 Omnibus Incentive Plan are required to have a per share exercise price that is not less than 100% of the fair market value of our common stock underlying such stock options on the date such stock options are granted (other than in the case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2017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(1) in cash or its equivalent at the time the stock option is exercised; (2) in shares having a fair market value equal to the aggregate exercise price for the shares being purchased and satisfying any requirements that may be imposed by the Committee (provided that such shares have been held by the participant for at least six months or such other period established by the Committee to avoid adverse accounting treatment); or (3) by such other method as the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72"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The Committee may grant stock appreciation rights under our 2017 Omnibus Incentive Plan, with</w:t>
      </w:r>
      <w:r>
        <w:rPr>
          <w:rFonts w:ascii="Arial" w:cs="Arial" w:eastAsia="Arial" w:hAnsi="Arial"/>
          <w:sz w:val="15"/>
          <w:szCs w:val="15"/>
          <w:i w:val="1"/>
          <w:iCs w:val="1"/>
          <w:color w:val="auto"/>
        </w:rPr>
        <w:t xml:space="preserve"> </w:t>
      </w:r>
      <w:r>
        <w:rPr>
          <w:rFonts w:ascii="Arial" w:cs="Arial" w:eastAsia="Arial" w:hAnsi="Arial"/>
          <w:sz w:val="15"/>
          <w:szCs w:val="15"/>
          <w:color w:val="auto"/>
        </w:rPr>
        <w:t>terms and conditions determined by the Committee that are not inconsistent with our 2017 Omnibus Incentive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common stock, over (B) the strike price per share, times (2) the number of shares of common stock covered by the stock appreciation right. The strike price per share of a stock appreciation right will be determined by the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54"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i w:val="1"/>
          <w:iCs w:val="1"/>
          <w:color w:val="auto"/>
        </w:rPr>
        <w:t>Restricted Shares and Restricted Stock Units</w:t>
      </w:r>
      <w:r>
        <w:rPr>
          <w:rFonts w:ascii="Arial" w:cs="Arial" w:eastAsia="Arial" w:hAnsi="Arial"/>
          <w:sz w:val="17"/>
          <w:szCs w:val="17"/>
          <w:color w:val="auto"/>
        </w:rPr>
        <w:t>. The Committee may grant restricted shares of our common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representing the right to receive, upon vesting and the expiration of any applicable restricted period, one share of common stock for each restricted stock unit, or, in the sole discretion of the Committee, the cash value thereof (or any combination thereof). As to restricted shares of our common stock, subject to the other provisions of our 2017 Omnibus Incentive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w:t>
      </w:r>
    </w:p>
    <w:p>
      <w:pPr>
        <w:spacing w:after="0" w:line="76"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Committee may grant other equity-based or cash-based awards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2017 Omnibus Incentive Plan, with terms and conditions determined by the Committee that are not inconsistent with our 2017 Omnibus Incentive Plan.</w:t>
      </w:r>
    </w:p>
    <w:p>
      <w:pPr>
        <w:spacing w:after="0" w:line="68" w:lineRule="exact"/>
        <w:rPr>
          <w:sz w:val="20"/>
          <w:szCs w:val="20"/>
          <w:color w:val="auto"/>
        </w:rPr>
      </w:pPr>
    </w:p>
    <w:p>
      <w:pPr>
        <w:ind w:right="100" w:firstLine="347"/>
        <w:spacing w:after="0" w:line="277" w:lineRule="auto"/>
        <w:rPr>
          <w:sz w:val="20"/>
          <w:szCs w:val="20"/>
          <w:color w:val="auto"/>
        </w:rPr>
      </w:pPr>
      <w:r>
        <w:rPr>
          <w:rFonts w:ascii="Arial" w:cs="Arial" w:eastAsia="Arial" w:hAnsi="Arial"/>
          <w:sz w:val="16"/>
          <w:szCs w:val="16"/>
          <w:i w:val="1"/>
          <w:iCs w:val="1"/>
          <w:color w:val="auto"/>
        </w:rPr>
        <w:t>Effect of Certain Events on the 2017 Omnibus Incentive Plan and Awards</w:t>
      </w:r>
      <w:r>
        <w:rPr>
          <w:rFonts w:ascii="Arial" w:cs="Arial" w:eastAsia="Arial" w:hAnsi="Arial"/>
          <w:sz w:val="16"/>
          <w:szCs w:val="16"/>
          <w:color w:val="auto"/>
        </w:rPr>
        <w:t>. In the event of (1) any dividend (other than regular</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our 2017 Omnibus Incentive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equitable, to any or all of: (A) the Absolute Share Limit, or any other limit applicable under our 2017 Omnibus Incentive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our 2017 Omnibus Incentive Plan or any sub-plan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 (c) any applicable performance measures; provided, that in the case of any “equity restructuring,” the Committee will make an equitable or proportionate adjustment to outstanding awards to reflect such equity restructuring. 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and (2)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66"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will not be transferable or assignable by a participant other than by will or by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62" w:lineRule="exact"/>
        <w:rPr>
          <w:sz w:val="20"/>
          <w:szCs w:val="20"/>
          <w:color w:val="auto"/>
        </w:rPr>
      </w:pPr>
    </w:p>
    <w:p>
      <w:pPr>
        <w:ind w:right="60" w:firstLine="347"/>
        <w:spacing w:after="0" w:line="25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alter, suspend, discontinue, or terminate our 2017 Omnibus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or any portion thereof at any time; provided, that no such amendment, alteration, suspension, discontinuance or termination may be made without stockholder approval if (1) such approval is necessary to comply with any regulatory requirement applicable to our 2017 Omnibus Incentive Plan or for changes in GAAP to new accounting standards; (2) it would materially increase the number of securities which may be issued under our 2017 Omnibus Incentive Plan (except for adjustments in connection with certain corporate events); or (3) it would materially modify the requirements for participation in our 2017 Omnibus Incentive Plan; provided, further, that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8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provided, that, except as otherwise permitted in our 2017 Omnibus Incentive Plan, any such waiver, amendment, alteration, suspension, discontinuance, cancellation or termination that would materially and adversely affect the rights of any participant with respect to such award will not to that extent be effective without such individual’s consent; 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without stockholder approval, except as otherwise permitted in our 2017 Omnibus Incentive Plan, (1) 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Committee in its sole discretion may provide part of an award with dividends or</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i w:val="1"/>
          <w:iCs w:val="1"/>
          <w:color w:val="auto"/>
        </w:rPr>
        <w:t xml:space="preserve">Clawback/Repayment. </w:t>
      </w:r>
      <w:r>
        <w:rPr>
          <w:rFonts w:ascii="Arial" w:cs="Arial" w:eastAsia="Arial" w:hAnsi="Arial"/>
          <w:sz w:val="17"/>
          <w:szCs w:val="17"/>
          <w:color w:val="auto"/>
        </w:rPr>
        <w:t>All awards are subject to reduction, cancellation, forfeiture or recoupment to the extent necessary to</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(1) any clawback, forfeiture or other similar policy adopted by our board of directors or the Committee and as in effect from time to time, and (2)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Stock Incentive Plan</w:t>
      </w:r>
    </w:p>
    <w:p>
      <w:pPr>
        <w:spacing w:after="0" w:line="11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Our Board of Directors initially adopted the 2014 Stock Incentive Plan on March 13, 2014 and it was approved by our stockholders on March 13, 2014. The 2014 Stock Incentive Plan was subsequently amended by our Board of Directors and our stockholders on November 9, 2015 and June 5, 2017 to increase the share reserve.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the alignment of interests of participants with those of our stockholders.</w:t>
      </w:r>
    </w:p>
    <w:p>
      <w:pPr>
        <w:spacing w:after="0" w:line="63" w:lineRule="exact"/>
        <w:rPr>
          <w:sz w:val="20"/>
          <w:szCs w:val="20"/>
          <w:color w:val="auto"/>
        </w:rPr>
      </w:pPr>
    </w:p>
    <w:p>
      <w:pPr>
        <w:ind w:right="80" w:firstLine="347"/>
        <w:spacing w:after="0" w:line="357"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2014 Stock Incentive Plan provides for the grant of stock options and other stock-based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non-employee members of our Board of Directors, consultants, and other persons having a service relationship with us.</w:t>
      </w:r>
    </w:p>
    <w:p>
      <w:pPr>
        <w:spacing w:after="0" w:line="8" w:lineRule="exact"/>
        <w:rPr>
          <w:sz w:val="20"/>
          <w:szCs w:val="20"/>
          <w:color w:val="auto"/>
        </w:rPr>
      </w:pPr>
    </w:p>
    <w:p>
      <w:pPr>
        <w:ind w:right="220" w:firstLine="347"/>
        <w:spacing w:after="0" w:line="288"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21,607,000 shares of our common stock for issuance under our 2014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As of December 31, 2016, options to purchase a total of 18,273,889 shares of common stock were issued and outstanding (excluding rollover options), 696,634 shares of common stock had been issued upon the exercise of options granted under the 2014 Stock Incentive Plan and 436,477 shares remained available for future grants.</w:t>
      </w:r>
    </w:p>
    <w:p>
      <w:pPr>
        <w:spacing w:after="0" w:line="55"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to the extent appointed by the Board of Directors, a committee thereof,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refer to as the “Administrator,” administers our 2014 Stock Incentive Plan. The Administrator may delegate to the Chief Executive Officer and to other senior officers (if any) its duties under the 2014 Stock Incentive Plan, subject to applicable law and such conditions and limitations as the Administrator prescribes, except that only the Administrator may designate and make grants to participants.</w:t>
      </w:r>
    </w:p>
    <w:p>
      <w:pPr>
        <w:spacing w:after="0" w:line="76"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Our 2014 Stock Incentive Plan provides that the Administrator may grant or issue stock options or other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Each award will be set forth in a separate agreement with the person receiving the award and will set forth the terms, conditions and limitations applicable to the award.</w:t>
      </w:r>
    </w:p>
    <w:p>
      <w:pPr>
        <w:spacing w:after="0" w:line="68" w:lineRule="exact"/>
        <w:rPr>
          <w:sz w:val="20"/>
          <w:szCs w:val="20"/>
          <w:color w:val="auto"/>
        </w:rPr>
      </w:pPr>
    </w:p>
    <w:p>
      <w:pPr>
        <w:ind w:left="680" w:right="80" w:hanging="342"/>
        <w:spacing w:after="0" w:line="284" w:lineRule="auto"/>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Stock options provide for the right to purchase shares of our common stock at a specified price, which may 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performance targets established by the Administrator. Stock options may be granted for any term specified by the Administrator that does not exceed ten years from the grant date.</w:t>
      </w:r>
    </w:p>
    <w:p>
      <w:pPr>
        <w:spacing w:after="0" w:line="58" w:lineRule="exact"/>
        <w:rPr>
          <w:rFonts w:ascii="Arial" w:cs="Arial" w:eastAsia="Arial" w:hAnsi="Arial"/>
          <w:sz w:val="16"/>
          <w:szCs w:val="16"/>
          <w:color w:val="auto"/>
        </w:rPr>
      </w:pPr>
    </w:p>
    <w:p>
      <w:pPr>
        <w:ind w:left="680" w:right="240" w:hanging="342"/>
        <w:spacing w:after="0" w:line="271" w:lineRule="auto"/>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Other stock-based awards may include awards of shares, awards of restricted shares and/or awards that are valued by reference to, or otherwise based on the fair market value of, shares (including, without limitation, restricted stock units, stock appreciation rights, and dividend equivalent rights).</w:t>
      </w:r>
    </w:p>
    <w:p>
      <w:pPr>
        <w:spacing w:after="0" w:line="68"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exercise price of stock options granted under our 2014 Stock Incentive Plan may be paid for in cash, by wire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if the participant so elects and, if applicable, with the consent of the Administrator, in shares the participant has held for such period of time as required by the Company’s accountants or through the withholding of shares otherwise issuable upon the exercise of the stock option (in each case, any such shares valued at fair market value on the date of exercise).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Our 2014 Stock Incentive Plan does not allow for the transfer of awards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w:t>
      </w:r>
    </w:p>
    <w:p>
      <w:pPr>
        <w:spacing w:after="0" w:line="54"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any stock split, spin-off, share combination, reclassification, change of the legal form,</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liquidation, dissolution, reorganization, merger, payment of a dividend (other than a cash dividend paid as part of a regular dividend program) or other similar transaction or occurrence, the Administrator shall make appropriate adjustments to the number and kind of shares available under our 2014 Stock Incentive Plan, the share prices related to outstanding grants, and/or such other action as it deems necessary to address the effect of the applicable corporate event.</w:t>
      </w:r>
    </w:p>
    <w:p>
      <w:pPr>
        <w:spacing w:after="0" w:line="59" w:lineRule="exact"/>
        <w:rPr>
          <w:sz w:val="20"/>
          <w:szCs w:val="20"/>
          <w:color w:val="auto"/>
        </w:rPr>
      </w:pPr>
    </w:p>
    <w:p>
      <w:pPr>
        <w:ind w:firstLine="347"/>
        <w:spacing w:after="0" w:line="274"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(as defined below), unless otherwise provided in an applicable grant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Administrator (in its sole discretion) may provide that all outstanding awards that are unexercisable or otherwise unvested or subject to lapse restrictions as of immediately prior to such change in control may automatically become fully exercisable or otherwise vested or no longer subject to lapse restrictions, as the case may be. In addition, the Administrator (in its sole discretion) may: (i) provide that awards shall be canceled for fair market value, (ii) provide for the issuance of substitute awards that will preserve in no less favorable a manner the otherwise applicable terms of any affected grants, and/or (iii) provide that for a period of at least ten business days prior to the change in control, any stock options and stock appreciation rights shall be exercisable as to all shares subject thereto and that upon the occurrence of the change in control, such stock options and stock appreciation rights shall terminate. The treatment of grants is not required to be uniform among participants or types of grants outstanding. “Change in control” under our 2014 Stock Incentive Plan means (i) the sale of all or substantially all of our assets or the assets of National Vision, Inc. (in one transaction or a series of related transactions) to any person (or group of persons acting in concert), other than to (x) KKR Sponsor and its affiliates or (y) any employee benefit plan (or trust forming a part thereof) maintained by us or any of our controlled affiliates; or (ii) a merger, recapitalization or other sale of our common stock by us, KKR Vision Aggregator LP, KKR Sponsor or any of their affiliates, to any person (or group of persons acting in concert) that results in more than 50% of our common stock (or any resulting company after a merger) being held by a person (or group of persons acting in concert), that does not include (x) KKR Sponsor or its controlled affiliates or (y) an employee benefit plan (or trust forming a part hereof) maintained by us or our controlled affiliates; and in any event of clause (i) or (ii), which results in KKR Sponsor and its controlled affiliates or such employee benefit plan ceasing to hold the ability to elect a majority of the members of our Board of Directors or the Board of Directors of National Vision, Inc.</w:t>
      </w:r>
    </w:p>
    <w:p>
      <w:pPr>
        <w:spacing w:after="0" w:line="76" w:lineRule="exact"/>
        <w:rPr>
          <w:sz w:val="20"/>
          <w:szCs w:val="20"/>
          <w:color w:val="auto"/>
        </w:rPr>
      </w:pPr>
    </w:p>
    <w:p>
      <w:pPr>
        <w:ind w:right="80" w:firstLine="347"/>
        <w:spacing w:after="0" w:line="278"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suspend or terminate our 2014 Stock Incentive Plan, but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suspension or termination may be materially disadvantageous to a holder of an outstanding grant without the holder’s consent. In addition, other than with respect to certain actions in connection with adjustments or a change in control, no such action may be taken which would, without approval of our stockholders, increase the aggregate number of shares reserved for issuance under our 2014 Stock Incentive Plan, decrease the exercise price of outstanding options or stock appreciation rights, change the requirements relating to the Administrator, or extend the term of the 2014 Stock Incentive Plan. Unless terminated sooner by our Board of Directors, our 2014 Stock Incentive Plan will terminate on March 13, 2024. No awards may be granted under our 2014 Stock Incentive Plan after it is terminated, but the terms of grants made on or before such termination shall extend beyond such termination in accordance with their terms.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Consequences</w:t>
      </w:r>
    </w:p>
    <w:p>
      <w:pPr>
        <w:spacing w:after="0" w:line="117" w:lineRule="exact"/>
        <w:rPr>
          <w:sz w:val="20"/>
          <w:szCs w:val="20"/>
          <w:color w:val="auto"/>
        </w:rPr>
      </w:pPr>
    </w:p>
    <w:p>
      <w:pPr>
        <w:ind w:right="20" w:firstLine="347"/>
        <w:spacing w:after="0" w:line="301" w:lineRule="auto"/>
        <w:rPr>
          <w:sz w:val="20"/>
          <w:szCs w:val="20"/>
          <w:color w:val="auto"/>
        </w:rPr>
      </w:pPr>
      <w:r>
        <w:rPr>
          <w:rFonts w:ascii="Arial" w:cs="Arial" w:eastAsia="Arial" w:hAnsi="Arial"/>
          <w:sz w:val="15"/>
          <w:szCs w:val="15"/>
          <w:color w:val="auto"/>
        </w:rPr>
        <w:t>The following is a general summary of certain material U.S. federal income tax consequences of the grant, vesting, settlement and exercise of certain awards under the 2014 Stock Incentive Plan and the disposition of shares acquired pursuant to the exercise of such awards. This summary is intended to reflect the current provisions of the Code and is neither intended to be a complete statement of applicable law, nor does it address foreign, state, local or payroll tax considerations. This summary assumes that all awards granted under the 2014 Stock Incentive Plan are exempt from, or comply with, the rules under Section 409A of the Code related to non-qualified deferred compensation. Moreover, the U.S. federal income tax consequences to any particular holder may differ from those described herein by reason of, among other things, the particular circumstances of such holder.</w:t>
      </w:r>
    </w:p>
    <w:p>
      <w:pPr>
        <w:spacing w:after="0" w:line="50" w:lineRule="exact"/>
        <w:rPr>
          <w:sz w:val="20"/>
          <w:szCs w:val="20"/>
          <w:color w:val="auto"/>
        </w:rPr>
      </w:pPr>
    </w:p>
    <w:p>
      <w:pPr>
        <w:ind w:left="680" w:right="260" w:hanging="342"/>
        <w:spacing w:after="0" w:line="287"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Incentive Stock Options. </w:t>
      </w:r>
      <w:r>
        <w:rPr>
          <w:rFonts w:ascii="Arial" w:cs="Arial" w:eastAsia="Arial" w:hAnsi="Arial"/>
          <w:sz w:val="17"/>
          <w:szCs w:val="17"/>
          <w:color w:val="auto"/>
        </w:rPr>
        <w:t>An option granted as an “incentive stock option,” or ISO, under Section 422 of the Code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for special tax treatment. The Code requires that, for treatment of an option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spacing w:after="0" w:line="274" w:lineRule="auto"/>
        <w:rPr>
          <w:sz w:val="20"/>
          <w:szCs w:val="20"/>
          <w:color w:val="auto"/>
        </w:rPr>
      </w:pPr>
      <w:r>
        <w:rPr>
          <w:rFonts w:ascii="Arial" w:cs="Arial" w:eastAsia="Arial" w:hAnsi="Arial"/>
          <w:sz w:val="16"/>
          <w:szCs w:val="16"/>
          <w:color w:val="auto"/>
        </w:rPr>
        <w:t>an ISO, common stock acquired through the exercise of the option cannot be disposed of before the later of: (i) two years from the date of grant of the option or (ii) one year from the date of exercise. Holders of ISOs will generally incur no federal income tax liability at the time of grant or upon exercise of those options. However, the option “spread value” at the time of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applicable. Assuming both holding periods are satisfied, we will not be allowed a deduction for federal income tax purposes in connection with the grant or exercise of the ISO. If, within two years following the date of grant or within one year following the date of exercise, the holder of shares acquired through the exercise of an ISO disposes of those shares, with certain exceptions, the holder will generally realize ordinary income at the time of such disposition equal to the difference between the exercise price and the fair market value of a share on the date of exercise and that amount will generally be deductible by us for federal income tax purposes, subject to the possible limitations on deductibility under Sections 280G and 162(m) of the Code for compensation paid to executives designated in those Sections. Any additional gain or loss recognized upon a subsequent sale or exchange of the shares is treated as capital gain or loss, as applicable, for which we are not entitled to a deduction. Finally, if an otherwise qualified ISO first becomes exercisable in any one year for shares having an aggregate value in excess of $100,000 (based on the grant date value), the portion of the ISO in respect of those excess shares will be treated as a non-qualified stock option for federal income tax purposes.</w:t>
      </w:r>
    </w:p>
    <w:p>
      <w:pPr>
        <w:spacing w:after="0" w:line="78" w:lineRule="exact"/>
        <w:rPr>
          <w:sz w:val="20"/>
          <w:szCs w:val="20"/>
          <w:color w:val="auto"/>
        </w:rPr>
      </w:pPr>
    </w:p>
    <w:p>
      <w:pPr>
        <w:ind w:left="680" w:right="20" w:hanging="342"/>
        <w:spacing w:after="0" w:line="261"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Non-qualified Stock Options. </w:t>
      </w:r>
      <w:r>
        <w:rPr>
          <w:rFonts w:ascii="Arial" w:cs="Arial" w:eastAsia="Arial" w:hAnsi="Arial"/>
          <w:sz w:val="17"/>
          <w:szCs w:val="17"/>
          <w:color w:val="auto"/>
        </w:rPr>
        <w:t>In general, in the case of a non-qualified stock option, the holder has no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at the time of grant but realizes ordinary income upon exercise of the option in an amount equal to the excess, if any, of the fair market value of the shares acquired upon exercise over the exercise price.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76" w:lineRule="exact"/>
        <w:rPr>
          <w:rFonts w:ascii="Arial" w:cs="Arial" w:eastAsia="Arial" w:hAnsi="Arial"/>
          <w:sz w:val="17"/>
          <w:szCs w:val="17"/>
          <w:color w:val="auto"/>
        </w:rPr>
      </w:pPr>
    </w:p>
    <w:p>
      <w:pPr>
        <w:ind w:left="680" w:right="20" w:hanging="342"/>
        <w:spacing w:after="0" w:line="261"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No federal income tax liability will be realized by a holder upon the grant of a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right, or SAR. Upon the exercise of a SAR, the holder will recognize ordinary income in an amount equal to the fair market value of the shares of stock or cash payment received in respect of the SAR.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76" w:lineRule="exact"/>
        <w:rPr>
          <w:rFonts w:ascii="Arial" w:cs="Arial" w:eastAsia="Arial" w:hAnsi="Arial"/>
          <w:sz w:val="17"/>
          <w:szCs w:val="17"/>
          <w:color w:val="auto"/>
        </w:rPr>
      </w:pPr>
    </w:p>
    <w:p>
      <w:pPr>
        <w:ind w:left="680" w:right="20" w:hanging="342"/>
        <w:spacing w:after="0" w:line="275" w:lineRule="auto"/>
        <w:tabs>
          <w:tab w:leader="none" w:pos="68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A holder will not have any federal income tax liability upon the grant of an award of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the holder otherwise elects to be taxed at the time of grant pursuant to Section 83(b) of the Code. On the date an award of restricted stock becomes transferable or is no longer subject to a substantial risk of forfeiture, the holder will have ordinary income equal to the difference between the fair market value of the shares on that date over the amount the holder paid for such shares, if any, unless the holder made an election under Section 83(b) of the Code to be taxed at the time of grant. If the holder makes an election under Section 83(b) of the Code, the holder will have ordinary income at the time of grant equal to the difference between the fair market value of the shares on the date of grant over the amount the holder paid for such shares, if any. Any future appreciation in the common stock will be taxable to the holder at capital gains rates. However, if the restricted stock award is later forfeited, the holder will not be able to recover the tax previously paid pursuant to his Section 83(b) election.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Special rules apply to the receipt and disposition of restricted stock received by officers and directors who are subject to Section 16(b) of the Exchange Act.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4" w:right="137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20" w:hanging="342"/>
        <w:spacing w:after="0" w:line="280" w:lineRule="auto"/>
        <w:tabs>
          <w:tab w:leader="none" w:pos="68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A holder will not have any federal income tax liability at the time a restricted stock unit is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Rather, upon the delivery of shares (or cash) pursuant to a restricted stock unit award, the holder will have ordinary income equal to the fair market value of the number of shares (or the amount of cash) the holder actually receives with respect to the award. We will be able to deduct the amount of ordinary income to the holder for federal income tax purposes, but the deduction may be limited under Sections 280G and 162(m) of the Code for ordinary income paid to certain executives designated in those Sections. Any gain or loss recognized upon a subsequent sale or exchange of the stock (if settled in stock) is treated as capital gain or loss for which we are not entitled to a deduction.</w:t>
      </w:r>
    </w:p>
    <w:p>
      <w:pPr>
        <w:spacing w:after="0" w:line="61" w:lineRule="exact"/>
        <w:rPr>
          <w:rFonts w:ascii="Arial" w:cs="Arial" w:eastAsia="Arial" w:hAnsi="Arial"/>
          <w:sz w:val="16"/>
          <w:szCs w:val="16"/>
          <w:color w:val="auto"/>
        </w:rPr>
      </w:pPr>
    </w:p>
    <w:p>
      <w:pPr>
        <w:ind w:left="680" w:right="40" w:hanging="342"/>
        <w:spacing w:after="0" w:line="303" w:lineRule="auto"/>
        <w:tabs>
          <w:tab w:leader="none" w:pos="680" w:val="left"/>
        </w:tabs>
        <w:numPr>
          <w:ilvl w:val="0"/>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Bonus Awards. </w:t>
      </w:r>
      <w:r>
        <w:rPr>
          <w:rFonts w:ascii="Arial" w:cs="Arial" w:eastAsia="Arial" w:hAnsi="Arial"/>
          <w:sz w:val="15"/>
          <w:szCs w:val="15"/>
          <w:color w:val="auto"/>
        </w:rPr>
        <w:t>A holder will have ordinary income equal to the difference between the fair market value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on the date the common stock subject to the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49" w:lineRule="exact"/>
        <w:rPr>
          <w:rFonts w:ascii="Arial" w:cs="Arial" w:eastAsia="Arial" w:hAnsi="Arial"/>
          <w:sz w:val="15"/>
          <w:szCs w:val="15"/>
          <w:color w:val="auto"/>
        </w:rPr>
      </w:pPr>
    </w:p>
    <w:p>
      <w:pPr>
        <w:ind w:left="680" w:right="20" w:hanging="342"/>
        <w:spacing w:after="0" w:line="261" w:lineRule="auto"/>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A holder will have ordinary income equal to the difference between the fair market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shares on the date the common stock subject to another stock-based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76" w:lineRule="exact"/>
        <w:rPr>
          <w:rFonts w:ascii="Arial" w:cs="Arial" w:eastAsia="Arial" w:hAnsi="Arial"/>
          <w:sz w:val="17"/>
          <w:szCs w:val="17"/>
          <w:color w:val="auto"/>
        </w:rPr>
      </w:pPr>
    </w:p>
    <w:p>
      <w:pPr>
        <w:ind w:left="680" w:hanging="342"/>
        <w:spacing w:after="0" w:line="277" w:lineRule="auto"/>
        <w:tabs>
          <w:tab w:leader="none" w:pos="68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In general, Section 162(m) of the Code denies a publicly held corporation a deduction for federal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purposes for compensation in excess of $1 million per year per person to its principal executive officer, and the three other officers (other than the principal executive officer and principal financial officer) whose compensation is disclosed in its prospectus or proxy statement as a result of their total compensation, subject to certain exceptions, including the “performance-based compensation” exception. Finally, under a special Code Section 162(m) exception, any compensation paid pursuant to a compensation plan in existence before the effective date of this offering will not be subject to the $1,000,000 limitation until the earliest of: (1) the expiration of the compensation plan, (2) a material modification of the compensation plan (as determined under Code Section 162(m)), (3) the issuance of all the employer stock and other compensation allocated under the compensation plan, or (4) the first meeting of stockholders at which directors are elected after the close of the third calendar year following the year in which the offering occurs.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7" w:name="page158"/>
    <w:bookmarkEnd w:id="15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PRINCIPAL STOCKHOLDERS</w:t>
      </w:r>
    </w:p>
    <w:p>
      <w:pPr>
        <w:spacing w:after="0" w:line="123" w:lineRule="exact"/>
        <w:rPr>
          <w:sz w:val="20"/>
          <w:szCs w:val="20"/>
          <w:color w:val="auto"/>
        </w:rPr>
      </w:pPr>
    </w:p>
    <w:p>
      <w:pPr>
        <w:ind w:left="1" w:right="40" w:firstLine="347"/>
        <w:spacing w:after="0" w:line="266" w:lineRule="auto"/>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common stock as of September 26, 2017 by (1) each individual or entity known by us to beneficially own more than 5% of our outstanding common stock, (2) each of our named executive officers, (3) each of our directors and (4) all of our directors and our executive officers as a group.</w:t>
      </w:r>
    </w:p>
    <w:p>
      <w:pPr>
        <w:spacing w:after="0" w:line="72" w:lineRule="exact"/>
        <w:rPr>
          <w:sz w:val="20"/>
          <w:szCs w:val="20"/>
          <w:color w:val="auto"/>
        </w:rPr>
      </w:pPr>
    </w:p>
    <w:p>
      <w:pPr>
        <w:jc w:val="both"/>
        <w:ind w:left="1" w:right="100" w:firstLine="347"/>
        <w:spacing w:after="0" w:line="271" w:lineRule="auto"/>
        <w:rPr>
          <w:sz w:val="20"/>
          <w:szCs w:val="20"/>
          <w:color w:val="auto"/>
        </w:rPr>
      </w:pPr>
      <w:r>
        <w:rPr>
          <w:rFonts w:ascii="Arial" w:cs="Arial" w:eastAsia="Arial" w:hAnsi="Arial"/>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68" w:lineRule="exact"/>
        <w:rPr>
          <w:sz w:val="20"/>
          <w:szCs w:val="20"/>
          <w:color w:val="auto"/>
        </w:rPr>
      </w:pPr>
    </w:p>
    <w:p>
      <w:pPr>
        <w:jc w:val="both"/>
        <w:ind w:left="1" w:firstLine="347"/>
        <w:spacing w:after="0" w:line="357" w:lineRule="auto"/>
        <w:rPr>
          <w:sz w:val="20"/>
          <w:szCs w:val="20"/>
          <w:color w:val="auto"/>
        </w:rPr>
      </w:pPr>
      <w:r>
        <w:rPr>
          <w:rFonts w:ascii="Arial" w:cs="Arial" w:eastAsia="Arial" w:hAnsi="Arial"/>
          <w:sz w:val="15"/>
          <w:szCs w:val="15"/>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8" w:lineRule="exact"/>
        <w:rPr>
          <w:sz w:val="20"/>
          <w:szCs w:val="20"/>
          <w:color w:val="auto"/>
        </w:rPr>
      </w:pPr>
    </w:p>
    <w:p>
      <w:pPr>
        <w:ind w:left="1" w:right="40" w:firstLine="347"/>
        <w:spacing w:after="0" w:line="271" w:lineRule="auto"/>
        <w:rPr>
          <w:sz w:val="20"/>
          <w:szCs w:val="20"/>
          <w:color w:val="auto"/>
        </w:rPr>
      </w:pPr>
      <w:r>
        <w:rPr>
          <w:rFonts w:ascii="Arial" w:cs="Arial" w:eastAsia="Arial" w:hAnsi="Arial"/>
          <w:sz w:val="17"/>
          <w:szCs w:val="17"/>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ectPr>
          <w:pgSz w:w="11900" w:h="16838" w:orient="portrait"/>
          <w:cols w:equalWidth="0" w:num="1">
            <w:col w:w="9221"/>
          </w:cols>
          <w:pgMar w:left="1339" w:top="273" w:right="1339" w:bottom="1440" w:gutter="0" w:footer="0" w:header="0"/>
        </w:sectPr>
      </w:pPr>
    </w:p>
    <w:p>
      <w:pPr>
        <w:spacing w:after="0" w:line="68"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The percentages of shares outstanding provided in the tables are based on per share, outstanding as of September 26, 2017.</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par value $0.01</w:t>
      </w:r>
    </w:p>
    <w:p>
      <w:pPr>
        <w:spacing w:after="0" w:line="349" w:lineRule="exact"/>
        <w:rPr>
          <w:sz w:val="20"/>
          <w:szCs w:val="20"/>
          <w:color w:val="auto"/>
        </w:rPr>
      </w:pPr>
    </w:p>
    <w:p>
      <w:pPr>
        <w:sectPr>
          <w:pgSz w:w="11900" w:h="16838" w:orient="portrait"/>
          <w:cols w:equalWidth="0" w:num="2">
            <w:col w:w="5461" w:space="480"/>
            <w:col w:w="3280"/>
          </w:cols>
          <w:pgMar w:left="1339" w:top="273" w:right="1339" w:bottom="1440" w:gutter="0" w:footer="0" w:header="0"/>
          <w:type w:val="continuous"/>
        </w:sectPr>
      </w:pPr>
    </w:p>
    <w:p>
      <w:pPr>
        <w:ind w:left="1" w:right="320" w:firstLine="347"/>
        <w:spacing w:after="0" w:line="287" w:lineRule="auto"/>
        <w:rPr>
          <w:sz w:val="20"/>
          <w:szCs w:val="20"/>
          <w:color w:val="auto"/>
        </w:rPr>
      </w:pPr>
      <w:r>
        <w:rPr>
          <w:rFonts w:ascii="Arial" w:cs="Arial" w:eastAsia="Arial" w:hAnsi="Arial"/>
          <w:sz w:val="17"/>
          <w:szCs w:val="17"/>
          <w:color w:val="auto"/>
        </w:rPr>
        <w:t>Except as otherwise indicated in the footnotes below, the address of each beneficial owner is c/o National Vision Holdings, Inc., 2435 Commerce Avenue, Bldg. 2200, Duluth, Georgia 30096.</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9"/>
              </w:rPr>
              <w:t>Shares Beneficially Owned After the Offering</w:t>
            </w:r>
          </w:p>
        </w:tc>
        <w:tc>
          <w:tcPr>
            <w:tcW w:w="80" w:type="dxa"/>
            <w:vAlign w:val="bottom"/>
          </w:tcPr>
          <w:p>
            <w:pPr>
              <w:spacing w:after="0"/>
              <w:rPr>
                <w:sz w:val="14"/>
                <w:szCs w:val="14"/>
                <w:color w:val="auto"/>
              </w:rPr>
            </w:pPr>
          </w:p>
        </w:tc>
      </w:tr>
      <w:tr>
        <w:trPr>
          <w:trHeight w:val="166"/>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Assuming No Exercise</w:t>
            </w: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Assuming Full Exercise</w:t>
            </w:r>
          </w:p>
        </w:tc>
      </w:tr>
      <w:tr>
        <w:trPr>
          <w:trHeight w:val="156"/>
        </w:trPr>
        <w:tc>
          <w:tcPr>
            <w:tcW w:w="3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4"/>
          </w:tcPr>
          <w:p>
            <w:pPr>
              <w:jc w:val="right"/>
              <w:ind w:right="300"/>
              <w:spacing w:after="0" w:line="157" w:lineRule="exact"/>
              <w:rPr>
                <w:sz w:val="20"/>
                <w:szCs w:val="20"/>
                <w:color w:val="auto"/>
              </w:rPr>
            </w:pPr>
            <w:r>
              <w:rPr>
                <w:rFonts w:ascii="Arial" w:cs="Arial" w:eastAsia="Arial" w:hAnsi="Arial"/>
                <w:sz w:val="14"/>
                <w:szCs w:val="14"/>
                <w:b w:val="1"/>
                <w:bCs w:val="1"/>
                <w:color w:val="auto"/>
                <w:w w:val="92"/>
              </w:rPr>
              <w:t>Shares Beneficially Owned</w:t>
            </w:r>
          </w:p>
        </w:tc>
        <w:tc>
          <w:tcPr>
            <w:tcW w:w="17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of the Underwriters’</w:t>
            </w:r>
          </w:p>
        </w:tc>
        <w:tc>
          <w:tcPr>
            <w:tcW w:w="170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2"/>
              </w:rPr>
              <w:t>of the Underwriters’</w:t>
            </w:r>
          </w:p>
        </w:tc>
      </w:tr>
      <w:tr>
        <w:trPr>
          <w:trHeight w:val="166"/>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Prior to the Offering</w:t>
            </w:r>
          </w:p>
        </w:tc>
        <w:tc>
          <w:tcPr>
            <w:tcW w:w="1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r>
      <w:tr>
        <w:trPr>
          <w:trHeight w:val="166"/>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Percentage of</w:t>
            </w: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Percentage of</w:t>
            </w: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Percentage of</w:t>
            </w:r>
          </w:p>
        </w:tc>
      </w:tr>
      <w:tr>
        <w:trPr>
          <w:trHeight w:val="142"/>
        </w:trPr>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Total Common</w:t>
            </w:r>
          </w:p>
        </w:tc>
        <w:tc>
          <w:tcPr>
            <w:tcW w:w="17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Total Common</w:t>
            </w:r>
          </w:p>
        </w:tc>
        <w:tc>
          <w:tcPr>
            <w:tcW w:w="17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Total Common</w:t>
            </w:r>
          </w:p>
        </w:tc>
      </w:tr>
      <w:tr>
        <w:trPr>
          <w:trHeight w:val="187"/>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00" w:type="dxa"/>
            <w:vAlign w:val="bottom"/>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3"/>
              </w:rPr>
              <w:t>Stock</w:t>
            </w:r>
            <w:r>
              <w:rPr>
                <w:rFonts w:ascii="Arial" w:cs="Arial" w:eastAsia="Arial" w:hAnsi="Arial"/>
                <w:sz w:val="20"/>
                <w:szCs w:val="20"/>
                <w:b w:val="1"/>
                <w:bCs w:val="1"/>
                <w:color w:val="auto"/>
                <w:w w:val="93"/>
                <w:vertAlign w:val="superscript"/>
              </w:rPr>
              <w:t>(1)</w:t>
            </w:r>
          </w:p>
        </w:tc>
        <w:tc>
          <w:tcPr>
            <w:tcW w:w="1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6"/>
                <w:szCs w:val="16"/>
                <w:color w:val="auto"/>
              </w:rPr>
            </w:pPr>
          </w:p>
        </w:tc>
      </w:tr>
      <w:tr>
        <w:trPr>
          <w:trHeight w:val="23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Greater than 5% Stockholders:</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840" w:type="dxa"/>
            <w:vAlign w:val="bottom"/>
            <w:gridSpan w:val="2"/>
          </w:tcPr>
          <w:p>
            <w:pPr>
              <w:spacing w:after="0" w:line="235" w:lineRule="exact"/>
              <w:rPr>
                <w:sz w:val="20"/>
                <w:szCs w:val="20"/>
                <w:color w:val="auto"/>
              </w:rPr>
            </w:pPr>
            <w:r>
              <w:rPr>
                <w:rFonts w:ascii="Arial" w:cs="Arial" w:eastAsia="Arial" w:hAnsi="Arial"/>
                <w:sz w:val="17"/>
                <w:szCs w:val="17"/>
                <w:color w:val="auto"/>
              </w:rPr>
              <w:t>KKR Vision Aggregator L.P.</w:t>
            </w:r>
            <w:r>
              <w:rPr>
                <w:rFonts w:ascii="Arial" w:cs="Arial" w:eastAsia="Arial" w:hAnsi="Arial"/>
                <w:sz w:val="27"/>
                <w:szCs w:val="27"/>
                <w:color w:val="auto"/>
                <w:vertAlign w:val="superscript"/>
              </w:rPr>
              <w:t>(2)</w:t>
            </w:r>
          </w:p>
        </w:tc>
        <w:tc>
          <w:tcPr>
            <w:tcW w:w="54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77%</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84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Investment funds affiliated with Berkshire</w:t>
            </w:r>
            <w:r>
              <w:rPr>
                <w:rFonts w:ascii="Arial" w:cs="Arial" w:eastAsia="Arial" w:hAnsi="Arial"/>
                <w:sz w:val="27"/>
                <w:szCs w:val="27"/>
                <w:color w:val="auto"/>
                <w:vertAlign w:val="superscript"/>
              </w:rPr>
              <w:t>(3)</w:t>
            </w:r>
          </w:p>
        </w:tc>
        <w:tc>
          <w:tcPr>
            <w:tcW w:w="5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Named Executive Officers and Directors: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40" w:type="dxa"/>
            <w:vAlign w:val="bottom"/>
            <w:gridSpan w:val="2"/>
            <w:shd w:val="clear" w:color="auto" w:fill="CCEEFF"/>
          </w:tcPr>
          <w:p>
            <w:pPr>
              <w:spacing w:after="0" w:line="239" w:lineRule="exact"/>
              <w:rPr>
                <w:sz w:val="20"/>
                <w:szCs w:val="20"/>
                <w:color w:val="auto"/>
              </w:rPr>
            </w:pPr>
            <w:r>
              <w:rPr>
                <w:rFonts w:ascii="Arial" w:cs="Arial" w:eastAsia="Arial" w:hAnsi="Arial"/>
                <w:sz w:val="17"/>
                <w:szCs w:val="17"/>
                <w:color w:val="auto"/>
              </w:rPr>
              <w:t>L. Reade Fahs</w:t>
            </w:r>
            <w:r>
              <w:rPr>
                <w:rFonts w:ascii="Arial" w:cs="Arial" w:eastAsia="Arial" w:hAnsi="Arial"/>
                <w:sz w:val="27"/>
                <w:szCs w:val="27"/>
                <w:color w:val="auto"/>
                <w:vertAlign w:val="superscript"/>
              </w:rPr>
              <w:t>(4)</w:t>
            </w:r>
          </w:p>
        </w:tc>
        <w:tc>
          <w:tcPr>
            <w:tcW w:w="5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384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54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5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384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54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5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840" w:type="dxa"/>
            <w:vAlign w:val="bottom"/>
            <w:gridSpan w:val="2"/>
          </w:tcPr>
          <w:p>
            <w:pPr>
              <w:spacing w:after="0" w:line="235" w:lineRule="exact"/>
              <w:rPr>
                <w:sz w:val="20"/>
                <w:szCs w:val="20"/>
                <w:color w:val="auto"/>
              </w:rPr>
            </w:pPr>
            <w:r>
              <w:rPr>
                <w:rFonts w:ascii="Arial" w:cs="Arial" w:eastAsia="Arial" w:hAnsi="Arial"/>
                <w:sz w:val="17"/>
                <w:szCs w:val="17"/>
                <w:color w:val="auto"/>
              </w:rPr>
              <w:t>Nathaniel H. Taylor</w:t>
            </w:r>
            <w:r>
              <w:rPr>
                <w:rFonts w:ascii="Arial" w:cs="Arial" w:eastAsia="Arial" w:hAnsi="Arial"/>
                <w:sz w:val="27"/>
                <w:szCs w:val="27"/>
                <w:color w:val="auto"/>
                <w:vertAlign w:val="superscript"/>
              </w:rPr>
              <w:t>(2)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84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Felix Gernburd</w:t>
            </w:r>
            <w:r>
              <w:rPr>
                <w:rFonts w:ascii="Arial" w:cs="Arial" w:eastAsia="Arial" w:hAnsi="Arial"/>
                <w:sz w:val="27"/>
                <w:szCs w:val="27"/>
                <w:color w:val="auto"/>
                <w:vertAlign w:val="superscript"/>
              </w:rPr>
              <w:t>(2)</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840" w:type="dxa"/>
            <w:vAlign w:val="bottom"/>
            <w:gridSpan w:val="2"/>
          </w:tcPr>
          <w:p>
            <w:pPr>
              <w:spacing w:after="0" w:line="235" w:lineRule="exact"/>
              <w:rPr>
                <w:sz w:val="20"/>
                <w:szCs w:val="20"/>
                <w:color w:val="auto"/>
              </w:rPr>
            </w:pPr>
            <w:r>
              <w:rPr>
                <w:rFonts w:ascii="Arial" w:cs="Arial" w:eastAsia="Arial" w:hAnsi="Arial"/>
                <w:sz w:val="17"/>
                <w:szCs w:val="17"/>
                <w:color w:val="auto"/>
              </w:rPr>
              <w:t>D. Randolph Peeler</w:t>
            </w:r>
            <w:r>
              <w:rPr>
                <w:rFonts w:ascii="Arial" w:cs="Arial" w:eastAsia="Arial" w:hAnsi="Arial"/>
                <w:sz w:val="27"/>
                <w:szCs w:val="27"/>
                <w:color w:val="auto"/>
                <w:vertAlign w:val="superscript"/>
              </w:rPr>
              <w:t>(3)</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M. Tehle</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3840" w:type="dxa"/>
            <w:vAlign w:val="bottom"/>
            <w:gridSpan w:val="2"/>
          </w:tcPr>
          <w:p>
            <w:pPr>
              <w:spacing w:after="0"/>
              <w:rPr>
                <w:sz w:val="20"/>
                <w:szCs w:val="20"/>
                <w:color w:val="auto"/>
              </w:rPr>
            </w:pPr>
            <w:r>
              <w:rPr>
                <w:rFonts w:ascii="Arial" w:cs="Arial" w:eastAsia="Arial" w:hAnsi="Arial"/>
                <w:sz w:val="17"/>
                <w:szCs w:val="17"/>
                <w:color w:val="auto"/>
              </w:rPr>
              <w:t>All directors and executive officers as a group (13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3840" w:type="dxa"/>
            <w:vAlign w:val="bottom"/>
            <w:gridSpan w:val="2"/>
          </w:tcPr>
          <w:p>
            <w:pPr>
              <w:ind w:left="180"/>
              <w:spacing w:after="0"/>
              <w:rPr>
                <w:sz w:val="20"/>
                <w:szCs w:val="20"/>
                <w:color w:val="auto"/>
              </w:rPr>
            </w:pPr>
            <w:r>
              <w:rPr>
                <w:rFonts w:ascii="Arial" w:cs="Arial" w:eastAsia="Arial" w:hAnsi="Arial"/>
                <w:sz w:val="17"/>
                <w:szCs w:val="17"/>
                <w:color w:val="auto"/>
              </w:rPr>
              <w:t>persons)</w:t>
            </w:r>
          </w:p>
        </w:tc>
        <w:tc>
          <w:tcPr>
            <w:tcW w:w="54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7"/>
                <w:szCs w:val="17"/>
                <w:color w:val="auto"/>
              </w:rPr>
              <w:t>3.6%</w:t>
            </w: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9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Arial" w:cs="Arial" w:eastAsia="Arial" w:hAnsi="Arial"/>
                <w:sz w:val="14"/>
                <w:szCs w:val="14"/>
                <w:color w:val="auto"/>
                <w:w w:val="81"/>
              </w:rPr>
              <w:t>(1)</w:t>
            </w:r>
          </w:p>
        </w:tc>
        <w:tc>
          <w:tcPr>
            <w:tcW w:w="7120" w:type="dxa"/>
            <w:vAlign w:val="bottom"/>
            <w:gridSpan w:val="5"/>
          </w:tcPr>
          <w:p>
            <w:pPr>
              <w:ind w:left="100"/>
              <w:spacing w:after="0"/>
              <w:rPr>
                <w:sz w:val="20"/>
                <w:szCs w:val="20"/>
                <w:color w:val="auto"/>
              </w:rPr>
            </w:pPr>
            <w:r>
              <w:rPr>
                <w:rFonts w:ascii="Arial" w:cs="Arial" w:eastAsia="Arial" w:hAnsi="Arial"/>
                <w:sz w:val="14"/>
                <w:szCs w:val="14"/>
                <w:color w:val="auto"/>
                <w:w w:val="91"/>
              </w:rPr>
              <w:t>The number of shares reported includes shares covered by options that are exercisable within 60 days as follows: Mr. Fahs,</w:t>
            </w:r>
          </w:p>
        </w:tc>
        <w:tc>
          <w:tcPr>
            <w:tcW w:w="1060" w:type="dxa"/>
            <w:vAlign w:val="bottom"/>
          </w:tcPr>
          <w:p>
            <w:pPr>
              <w:ind w:left="160"/>
              <w:spacing w:after="0"/>
              <w:rPr>
                <w:sz w:val="20"/>
                <w:szCs w:val="20"/>
                <w:color w:val="auto"/>
              </w:rPr>
            </w:pPr>
            <w:r>
              <w:rPr>
                <w:rFonts w:ascii="Arial" w:cs="Arial" w:eastAsia="Arial" w:hAnsi="Arial"/>
                <w:sz w:val="14"/>
                <w:szCs w:val="14"/>
                <w:color w:val="auto"/>
              </w:rPr>
              <w:t>; Mr. Steffey,</w:t>
            </w:r>
          </w:p>
        </w:tc>
        <w:tc>
          <w:tcPr>
            <w:tcW w:w="780" w:type="dxa"/>
            <w:vAlign w:val="bottom"/>
          </w:tcPr>
          <w:p>
            <w:pPr>
              <w:ind w:left="180"/>
              <w:spacing w:after="0"/>
              <w:rPr>
                <w:sz w:val="20"/>
                <w:szCs w:val="20"/>
                <w:color w:val="auto"/>
              </w:rPr>
            </w:pPr>
            <w:r>
              <w:rPr>
                <w:rFonts w:ascii="Arial" w:cs="Arial" w:eastAsia="Arial" w:hAnsi="Arial"/>
                <w:sz w:val="14"/>
                <w:szCs w:val="14"/>
                <w:color w:val="auto"/>
              </w:rPr>
              <w:t>; Mr.</w:t>
            </w:r>
          </w:p>
        </w:tc>
      </w:tr>
      <w:tr>
        <w:trPr>
          <w:trHeight w:val="178"/>
        </w:trPr>
        <w:tc>
          <w:tcPr>
            <w:tcW w:w="24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Moore,</w:t>
            </w:r>
          </w:p>
        </w:tc>
        <w:tc>
          <w:tcPr>
            <w:tcW w:w="1220" w:type="dxa"/>
            <w:vAlign w:val="bottom"/>
          </w:tcPr>
          <w:p>
            <w:pPr>
              <w:ind w:left="160"/>
              <w:spacing w:after="0"/>
              <w:rPr>
                <w:sz w:val="20"/>
                <w:szCs w:val="20"/>
                <w:color w:val="auto"/>
              </w:rPr>
            </w:pPr>
            <w:r>
              <w:rPr>
                <w:rFonts w:ascii="Arial" w:cs="Arial" w:eastAsia="Arial" w:hAnsi="Arial"/>
                <w:sz w:val="14"/>
                <w:szCs w:val="14"/>
                <w:color w:val="auto"/>
              </w:rPr>
              <w:t>; Mr. Goodman,</w:t>
            </w:r>
          </w:p>
        </w:tc>
        <w:tc>
          <w:tcPr>
            <w:tcW w:w="1080" w:type="dxa"/>
            <w:vAlign w:val="bottom"/>
          </w:tcPr>
          <w:p>
            <w:pPr>
              <w:ind w:left="160"/>
              <w:spacing w:after="0"/>
              <w:rPr>
                <w:sz w:val="20"/>
                <w:szCs w:val="20"/>
                <w:color w:val="auto"/>
              </w:rPr>
            </w:pPr>
            <w:r>
              <w:rPr>
                <w:rFonts w:ascii="Arial" w:cs="Arial" w:eastAsia="Arial" w:hAnsi="Arial"/>
                <w:sz w:val="14"/>
                <w:szCs w:val="14"/>
                <w:color w:val="auto"/>
              </w:rPr>
              <w:t>; Mr. Vaught,</w:t>
            </w:r>
          </w:p>
        </w:tc>
        <w:tc>
          <w:tcPr>
            <w:tcW w:w="3200" w:type="dxa"/>
            <w:vAlign w:val="bottom"/>
          </w:tcPr>
          <w:p>
            <w:pPr>
              <w:ind w:left="160"/>
              <w:spacing w:after="0"/>
              <w:rPr>
                <w:sz w:val="20"/>
                <w:szCs w:val="20"/>
                <w:color w:val="auto"/>
              </w:rPr>
            </w:pPr>
            <w:r>
              <w:rPr>
                <w:rFonts w:ascii="Arial" w:cs="Arial" w:eastAsia="Arial" w:hAnsi="Arial"/>
                <w:sz w:val="14"/>
                <w:szCs w:val="14"/>
                <w:color w:val="auto"/>
                <w:w w:val="94"/>
              </w:rPr>
              <w:t>; and all directors and executive officers as a group,</w:t>
            </w:r>
          </w:p>
        </w:tc>
        <w:tc>
          <w:tcPr>
            <w:tcW w:w="920" w:type="dxa"/>
            <w:vAlign w:val="bottom"/>
          </w:tcPr>
          <w:p>
            <w:pPr>
              <w:jc w:val="right"/>
              <w:ind w:right="63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1"/>
        </w:trPr>
        <w:tc>
          <w:tcPr>
            <w:tcW w:w="240" w:type="dxa"/>
            <w:vAlign w:val="bottom"/>
          </w:tcPr>
          <w:p>
            <w:pPr>
              <w:jc w:val="right"/>
              <w:ind w:right="10"/>
              <w:spacing w:after="0"/>
              <w:rPr>
                <w:sz w:val="20"/>
                <w:szCs w:val="20"/>
                <w:color w:val="auto"/>
              </w:rPr>
            </w:pPr>
            <w:r>
              <w:rPr>
                <w:rFonts w:ascii="Arial" w:cs="Arial" w:eastAsia="Arial" w:hAnsi="Arial"/>
                <w:sz w:val="14"/>
                <w:szCs w:val="14"/>
                <w:color w:val="auto"/>
                <w:w w:val="81"/>
              </w:rPr>
              <w:t>(2)</w:t>
            </w:r>
          </w:p>
        </w:tc>
        <w:tc>
          <w:tcPr>
            <w:tcW w:w="700" w:type="dxa"/>
            <w:vAlign w:val="bottom"/>
          </w:tcPr>
          <w:p>
            <w:pPr>
              <w:ind w:left="100"/>
              <w:spacing w:after="0"/>
              <w:rPr>
                <w:sz w:val="20"/>
                <w:szCs w:val="20"/>
                <w:color w:val="auto"/>
              </w:rPr>
            </w:pPr>
            <w:r>
              <w:rPr>
                <w:rFonts w:ascii="Arial" w:cs="Arial" w:eastAsia="Arial" w:hAnsi="Arial"/>
                <w:sz w:val="14"/>
                <w:szCs w:val="14"/>
                <w:color w:val="auto"/>
              </w:rPr>
              <w:t>Includes</w:t>
            </w:r>
          </w:p>
        </w:tc>
        <w:tc>
          <w:tcPr>
            <w:tcW w:w="8260" w:type="dxa"/>
            <w:vAlign w:val="bottom"/>
            <w:gridSpan w:val="6"/>
          </w:tcPr>
          <w:p>
            <w:pPr>
              <w:ind w:left="260"/>
              <w:spacing w:after="0"/>
              <w:rPr>
                <w:sz w:val="20"/>
                <w:szCs w:val="20"/>
                <w:color w:val="auto"/>
              </w:rPr>
            </w:pPr>
            <w:r>
              <w:rPr>
                <w:rFonts w:ascii="Arial" w:cs="Arial" w:eastAsia="Arial" w:hAnsi="Arial"/>
                <w:sz w:val="14"/>
                <w:szCs w:val="14"/>
                <w:color w:val="auto"/>
                <w:w w:val="91"/>
              </w:rPr>
              <w:t>shares directly owned by KKR Vision Aggregator L.P. KKR Vision Aggregator GP LLC, as the general partner of KKR Vision Aggregator L.P.,</w:t>
            </w:r>
          </w:p>
        </w:tc>
      </w:tr>
    </w:tbl>
    <w:p>
      <w:pPr>
        <w:ind w:left="341" w:right="40"/>
        <w:spacing w:after="0" w:line="255" w:lineRule="auto"/>
        <w:rPr>
          <w:sz w:val="20"/>
          <w:szCs w:val="20"/>
          <w:color w:val="auto"/>
        </w:rPr>
      </w:pPr>
      <w:r>
        <w:rPr>
          <w:rFonts w:ascii="Arial" w:cs="Arial" w:eastAsia="Arial" w:hAnsi="Arial"/>
          <w:sz w:val="13"/>
          <w:szCs w:val="13"/>
          <w:color w:val="auto"/>
        </w:rPr>
        <w:t>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58" w:name="page159"/>
    <w:bookmarkEnd w:id="15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spacing w:after="0" w:line="260" w:lineRule="auto"/>
        <w:rPr>
          <w:sz w:val="20"/>
          <w:szCs w:val="20"/>
          <w:color w:val="auto"/>
        </w:rPr>
      </w:pPr>
      <w:r>
        <w:rPr>
          <w:rFonts w:ascii="Arial" w:cs="Arial" w:eastAsia="Arial" w:hAnsi="Arial"/>
          <w:sz w:val="13"/>
          <w:szCs w:val="13"/>
          <w:color w:val="auto"/>
        </w:rPr>
        <w:t>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71" w:lineRule="exact"/>
        <w:rPr>
          <w:sz w:val="20"/>
          <w:szCs w:val="20"/>
          <w:color w:val="auto"/>
        </w:rPr>
      </w:pPr>
    </w:p>
    <w:p>
      <w:pPr>
        <w:ind w:left="341" w:hanging="339"/>
        <w:spacing w:after="0" w:line="260" w:lineRule="auto"/>
        <w:tabs>
          <w:tab w:leader="none" w:pos="320" w:val="left"/>
        </w:tabs>
        <w:rPr>
          <w:sz w:val="20"/>
          <w:szCs w:val="20"/>
          <w:color w:val="auto"/>
        </w:rPr>
      </w:pPr>
      <w:r>
        <w:rPr>
          <w:rFonts w:ascii="Arial" w:cs="Arial" w:eastAsia="Arial" w:hAnsi="Arial"/>
          <w:sz w:val="13"/>
          <w:szCs w:val="13"/>
          <w:color w:val="auto"/>
        </w:rPr>
        <w:t>(3)</w:t>
        <w:tab/>
        <w:t>Represents (i) shares of common stock held by Berkshire Fund VI, Limited Partnership, or Fund VI, (ii) shares of common stock held by Berkshire Investors LLC, or Berkshire Investors, and (iii) shares of common stock held by Berkshire Investors III LLC, or Berkshire Investors III. Sixth Berkshire</w:t>
      </w:r>
    </w:p>
    <w:p>
      <w:pPr>
        <w:spacing w:after="0" w:line="1" w:lineRule="exact"/>
        <w:rPr>
          <w:sz w:val="20"/>
          <w:szCs w:val="20"/>
          <w:color w:val="auto"/>
        </w:rPr>
      </w:pPr>
    </w:p>
    <w:p>
      <w:pPr>
        <w:ind w:left="341" w:right="20"/>
        <w:spacing w:after="0" w:line="254" w:lineRule="auto"/>
        <w:rPr>
          <w:sz w:val="20"/>
          <w:szCs w:val="20"/>
          <w:color w:val="auto"/>
        </w:rPr>
      </w:pPr>
      <w:r>
        <w:rPr>
          <w:rFonts w:ascii="Arial" w:cs="Arial" w:eastAsia="Arial" w:hAnsi="Arial"/>
          <w:sz w:val="13"/>
          <w:szCs w:val="13"/>
          <w:color w:val="auto"/>
        </w:rPr>
        <w:t>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76" w:lineRule="exact"/>
        <w:rPr>
          <w:sz w:val="20"/>
          <w:szCs w:val="20"/>
          <w:color w:val="auto"/>
        </w:rPr>
      </w:pPr>
    </w:p>
    <w:p>
      <w:pPr>
        <w:ind w:left="341" w:hanging="341"/>
        <w:spacing w:after="0"/>
        <w:tabs>
          <w:tab w:leader="none" w:pos="3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Includes shares held by the Fahs Family Trust.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23" w:lineRule="exact"/>
        <w:rPr>
          <w:sz w:val="20"/>
          <w:szCs w:val="20"/>
          <w:color w:val="auto"/>
        </w:rPr>
      </w:pPr>
    </w:p>
    <w:p>
      <w:pPr>
        <w:ind w:right="40" w:firstLine="347"/>
        <w:spacing w:after="0" w:line="268" w:lineRule="auto"/>
        <w:rPr>
          <w:sz w:val="20"/>
          <w:szCs w:val="20"/>
          <w:color w:val="auto"/>
        </w:rPr>
      </w:pPr>
      <w:r>
        <w:rPr>
          <w:rFonts w:ascii="Arial" w:cs="Arial" w:eastAsia="Arial" w:hAnsi="Arial"/>
          <w:sz w:val="16"/>
          <w:szCs w:val="16"/>
          <w:color w:val="auto"/>
        </w:rPr>
        <w:t>In connection with this offering, we intend to enter into a stockholders agreement with the Sponsors. This agreement will grant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4"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the stockholders agreement will grant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In connection with the KKR Acquisition, we entered into a registration rights agreement with 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Monitoring Agreement</w:t>
      </w:r>
    </w:p>
    <w:p>
      <w:pPr>
        <w:spacing w:after="0" w:line="123" w:lineRule="exact"/>
        <w:rPr>
          <w:sz w:val="20"/>
          <w:szCs w:val="20"/>
          <w:color w:val="auto"/>
        </w:rPr>
      </w:pPr>
    </w:p>
    <w:p>
      <w:pPr>
        <w:ind w:right="80" w:firstLine="347"/>
        <w:spacing w:after="0" w:line="274" w:lineRule="auto"/>
        <w:rPr>
          <w:sz w:val="20"/>
          <w:szCs w:val="20"/>
          <w:color w:val="auto"/>
        </w:rPr>
      </w:pPr>
      <w:r>
        <w:rPr>
          <w:rFonts w:ascii="Arial" w:cs="Arial" w:eastAsia="Arial" w:hAnsi="Arial"/>
          <w:sz w:val="16"/>
          <w:szCs w:val="16"/>
          <w:color w:val="auto"/>
        </w:rPr>
        <w:t>In connection with the KKR Acquisition, NVI entered into a monitoring agreement, or the Monitoring Agreement, with KKR Sponsor and Berkshire pursuant to which the Sponsors provide management and advisory services to NVI and receive fees and reimbursements of related out-of-pocket expenses. The Monitoring Agreement terminates automatically upon the consummation of an initial public offering, including this offering, unless NVI elects otherwise. In the event of such a termination, we would be required to pay to each of KKR Sponsor and Berkshire a termination fee based on the net present value of future payment obligations through December 31, 2023 under the Monitoring Agreement. In connection with this offering, the Monitoring Agreement will terminate automatically in accordance with its terms and we expect to pay termination fees to KKR Sponsor and</w:t>
      </w:r>
    </w:p>
    <w:p>
      <w:pPr>
        <w:spacing w:after="0" w:line="2" w:lineRule="exact"/>
        <w:rPr>
          <w:sz w:val="20"/>
          <w:szCs w:val="20"/>
          <w:color w:val="auto"/>
        </w:rPr>
      </w:pPr>
    </w:p>
    <w:p>
      <w:pPr>
        <w:spacing w:after="0"/>
        <w:tabs>
          <w:tab w:leader="none" w:pos="3260" w:val="left"/>
        </w:tabs>
        <w:rPr>
          <w:sz w:val="20"/>
          <w:szCs w:val="20"/>
          <w:color w:val="auto"/>
        </w:rPr>
      </w:pPr>
      <w:r>
        <w:rPr>
          <w:rFonts w:ascii="Arial" w:cs="Arial" w:eastAsia="Arial" w:hAnsi="Arial"/>
          <w:sz w:val="17"/>
          <w:szCs w:val="17"/>
          <w:color w:val="auto"/>
        </w:rPr>
        <w:t>Berkshire equal to approximately $</w:t>
      </w:r>
      <w:r>
        <w:rPr>
          <w:sz w:val="20"/>
          <w:szCs w:val="20"/>
          <w:color w:val="auto"/>
        </w:rPr>
        <w:tab/>
      </w:r>
      <w:r>
        <w:rPr>
          <w:rFonts w:ascii="Arial" w:cs="Arial" w:eastAsia="Arial" w:hAnsi="Arial"/>
          <w:sz w:val="15"/>
          <w:szCs w:val="15"/>
          <w:color w:val="auto"/>
        </w:rPr>
        <w:t>in the aggregate.</w:t>
      </w:r>
    </w:p>
    <w:p>
      <w:pPr>
        <w:spacing w:after="0" w:line="105"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We recorded the following expenses related to management and/or advisory fees: we paid management and/or advisory fees of $0.8 million to KKR Sponsor and $0.2 million to Berkshire in fiscal year 2016, $3.5 million to KKR Sponsor and $0.2 million to Berkshire in fiscal year 2015 and $1.7 million to KKR Sponsor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and $0.2 million to Berkshire in the 2014 Successor period. In addition, we paid management and/or advisory fees of $0.2 million to KKR Sponsor and $35,000 to Berkshire in the 2014 Predecessor period and paid advisory fees of $0.5 million per year to Berkshire in fiscal year 2013 and fiscal year 2012. Fees paid to KKR Sponsor and Berkshire include retainer fees and certain other ongoing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which are recorded in debt issuance costs in our consolidated statements of operating and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Fee Agreements</w:t>
      </w:r>
    </w:p>
    <w:p>
      <w:pPr>
        <w:spacing w:after="0" w:line="123"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In March 2014, we entered into transaction fee letter agreements with each of KKR Sponsor and Berkshire, pursuant to which we paid approximately $9.1 million and $2.1 million, respectively, for consultation services rendered in connection with the KKR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w:t>
      </w:r>
    </w:p>
    <w:p>
      <w:pPr>
        <w:spacing w:after="0" w:line="123"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color w:val="auto"/>
        </w:rPr>
        <w:t>In connection with the KKR Acquisition, we and certain of our subsidiaries entered into an indemnification agreement, or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 and transaction fee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Capital Markets</w:t>
      </w:r>
    </w:p>
    <w:p>
      <w:pPr>
        <w:spacing w:after="0" w:line="123"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KKR Capital Markets LLC, an affiliate of KKR Sponsor and an underwriter in this offering, acted as an arranger and bookrunner for various financing transactions under our first lien and second lien credit agreements, and received underwriter and transaction fees totaling approximately $2.6 million, $2.0 million and $2.3 million in full year 2014, fiscal year 2015 and the six months ended July 1, 2017, respectively.</w:t>
      </w:r>
    </w:p>
    <w:p>
      <w:pPr>
        <w:spacing w:after="0" w:line="72" w:lineRule="exact"/>
        <w:rPr>
          <w:sz w:val="20"/>
          <w:szCs w:val="20"/>
          <w:color w:val="auto"/>
        </w:rPr>
      </w:pPr>
    </w:p>
    <w:p>
      <w:pPr>
        <w:ind w:right="40" w:firstLine="347"/>
        <w:spacing w:after="0" w:line="320" w:lineRule="auto"/>
        <w:rPr>
          <w:sz w:val="20"/>
          <w:szCs w:val="20"/>
          <w:color w:val="auto"/>
        </w:rPr>
      </w:pPr>
      <w:r>
        <w:rPr>
          <w:rFonts w:ascii="Arial" w:cs="Arial" w:eastAsia="Arial" w:hAnsi="Arial"/>
          <w:sz w:val="16"/>
          <w:szCs w:val="16"/>
          <w:color w:val="auto"/>
        </w:rPr>
        <w:t>Since 2014, KKR Corporate Lending LLC, an affiliate of KKR Capital Markets LLC, has been a participating lender under the Company’s revolving credit facility, and as of July 1, 2017, has received interest payments of approximately $0.9 million.</w:t>
      </w:r>
    </w:p>
    <w:p>
      <w:pPr>
        <w:spacing w:after="0" w:line="31"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Substantially concurrent with this offering, we intend to obtain commitments from certain lenders, which may include KKR Corporate Lending LLC,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Credit</w:t>
      </w:r>
    </w:p>
    <w:p>
      <w:pPr>
        <w:spacing w:after="0" w:line="123"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Since 2014, investment funds or accounts managed or advised by the global credit business of KKR &amp; Co., or, collectively, KKR Credit, have been participating lenders under our first lien and second lien credit agreements, and as of July 1, 2017, had received in aggregate principal payments of approximately $14 million and interest payments of approximately $2.4 million. As of July 1, 2017, investment funds or accounts advised by KKR Credit held a portion of the outstanding principal balance of our first lien term loans.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Capstone</w:t>
      </w:r>
    </w:p>
    <w:p>
      <w:pPr>
        <w:spacing w:after="0" w:line="123" w:lineRule="exact"/>
        <w:rPr>
          <w:sz w:val="20"/>
          <w:szCs w:val="20"/>
          <w:color w:val="auto"/>
        </w:rPr>
      </w:pPr>
    </w:p>
    <w:p>
      <w:pPr>
        <w:ind w:right="40" w:firstLine="347"/>
        <w:spacing w:after="0" w:line="312" w:lineRule="auto"/>
        <w:rPr>
          <w:sz w:val="20"/>
          <w:szCs w:val="20"/>
          <w:color w:val="auto"/>
        </w:rPr>
      </w:pPr>
      <w:r>
        <w:rPr>
          <w:rFonts w:ascii="Arial" w:cs="Arial" w:eastAsia="Arial" w:hAnsi="Arial"/>
          <w:sz w:val="15"/>
          <w:szCs w:val="15"/>
          <w:color w:val="auto"/>
        </w:rPr>
        <w:t>We have utilized and may continue to utilize KKR Capstone Americas LLC and/or its 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Stockholder’s Agreements</w:t>
      </w:r>
    </w:p>
    <w:p>
      <w:pPr>
        <w:spacing w:after="0" w:line="123" w:lineRule="exact"/>
        <w:rPr>
          <w:sz w:val="20"/>
          <w:szCs w:val="20"/>
          <w:color w:val="auto"/>
        </w:rPr>
      </w:pPr>
    </w:p>
    <w:p>
      <w:pPr>
        <w:ind w:right="100" w:firstLine="347"/>
        <w:spacing w:after="0" w:line="357" w:lineRule="auto"/>
        <w:rPr>
          <w:sz w:val="20"/>
          <w:szCs w:val="20"/>
          <w:color w:val="auto"/>
        </w:rPr>
      </w:pPr>
      <w:r>
        <w:rPr>
          <w:rFonts w:ascii="Arial" w:cs="Arial" w:eastAsia="Arial" w:hAnsi="Arial"/>
          <w:sz w:val="15"/>
          <w:szCs w:val="15"/>
          <w:color w:val="auto"/>
        </w:rPr>
        <w:t>In connection with the KKR Acquisition, we entered into management stockholder’s agreements, or Management Stockholder’s Agreements, with certain of our senior executive officers and other employees who made an equity investment in us.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99" w:lineRule="auto"/>
        <w:rPr>
          <w:sz w:val="20"/>
          <w:szCs w:val="20"/>
          <w:color w:val="auto"/>
        </w:rPr>
      </w:pPr>
      <w:r>
        <w:rPr>
          <w:rFonts w:ascii="Arial" w:cs="Arial" w:eastAsia="Arial" w:hAnsi="Arial"/>
          <w:sz w:val="15"/>
          <w:szCs w:val="15"/>
          <w:color w:val="auto"/>
        </w:rPr>
        <w:t>The Management Stockholder’s Agreements impose significant restrictions on transfers of shares of our common stock held by management stockholders. Generally, shares will be nontransferable by any means at any time prior to the earlier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54"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68" w:lineRule="exact"/>
        <w:rPr>
          <w:sz w:val="20"/>
          <w:szCs w:val="20"/>
          <w:color w:val="auto"/>
        </w:rPr>
      </w:pPr>
    </w:p>
    <w:p>
      <w:pPr>
        <w:ind w:right="800" w:firstLine="347"/>
        <w:spacing w:after="0" w:line="287" w:lineRule="auto"/>
        <w:rPr>
          <w:sz w:val="20"/>
          <w:szCs w:val="20"/>
          <w:color w:val="auto"/>
        </w:rPr>
      </w:pPr>
      <w:r>
        <w:rPr>
          <w:rFonts w:ascii="Arial" w:cs="Arial" w:eastAsia="Arial" w:hAnsi="Arial"/>
          <w:sz w:val="17"/>
          <w:szCs w:val="17"/>
          <w:color w:val="auto"/>
        </w:rPr>
        <w:t>Additionally, following the initial public offering of our common stock, management stockholders will have limited “piggyback” registration rights with respect to their shares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Participation Agreements</w:t>
      </w:r>
    </w:p>
    <w:p>
      <w:pPr>
        <w:spacing w:after="0" w:line="123" w:lineRule="exact"/>
        <w:rPr>
          <w:sz w:val="20"/>
          <w:szCs w:val="20"/>
          <w:color w:val="auto"/>
        </w:rPr>
      </w:pPr>
    </w:p>
    <w:p>
      <w:pPr>
        <w:ind w:right="20" w:firstLine="347"/>
        <w:spacing w:after="0" w:line="295" w:lineRule="auto"/>
        <w:rPr>
          <w:sz w:val="20"/>
          <w:szCs w:val="20"/>
          <w:color w:val="auto"/>
        </w:rPr>
      </w:pPr>
      <w:r>
        <w:rPr>
          <w:rFonts w:ascii="Arial" w:cs="Arial" w:eastAsia="Arial" w:hAnsi="Arial"/>
          <w:sz w:val="15"/>
          <w:szCs w:val="15"/>
          <w:color w:val="auto"/>
        </w:rPr>
        <w:t>The Sale Participation Agreements grant management stockholders the right to participate in any private direct or indirect sale of shares of common stock by certain affiliates of KKR Sponsor (such right being referred to herein as the “Tag-Along Right”), and require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number of shares of common stock which would be required to be sold by such management stockholders pursuant to the exercise of the Drag-Along Right would be the sum of the number of shares of common stock then owned by such stockholder and his or her affiliates plus all shares of common stock such stockholder is entitled to acquire under any unexercised options (to the extent such options are exercisable or would become exercisable as a result of the consummation of the proposed sale), multiplied by a fraction (x) the numerator of which shall be the aggregate number of shares of common stock proposed to be transferred by certain affiliates of KKR Sponsor in the proposed sale and (y) the denominator of which shall be the total number of shares of common stock owned by such affiliates of KKR Sponsor. Such management stockholders would bear their pro rata share of any fees, commissions, adjustments to purchase price, expenses or indemnities in connection with any sale under the Sale Participation Agreement. Upon completion of this offering, the Sale Participation Agreements will be terminated in accordance with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Officers</w:t>
      </w:r>
    </w:p>
    <w:p>
      <w:pPr>
        <w:spacing w:after="0" w:line="123"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In addition, we have certain agreements with our officers which are described in the section entitled “Management―Executive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Persons Transaction Policy</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Our Board of Directors intends to adopt a written related person transaction policy, to be effective upon the consummation of this offering, to set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62" w:name="page163"/>
    <w:bookmarkEnd w:id="16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INDEBTEDNESS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First Lien Credit Agreement</w:t>
      </w:r>
    </w:p>
    <w:p>
      <w:pPr>
        <w:spacing w:after="0" w:line="123" w:lineRule="exact"/>
        <w:rPr>
          <w:sz w:val="20"/>
          <w:szCs w:val="20"/>
          <w:color w:val="auto"/>
        </w:rPr>
      </w:pPr>
    </w:p>
    <w:p>
      <w:pPr>
        <w:ind w:left="1" w:right="100" w:firstLine="347"/>
        <w:spacing w:after="0" w:line="298" w:lineRule="auto"/>
        <w:rPr>
          <w:sz w:val="20"/>
          <w:szCs w:val="20"/>
          <w:color w:val="auto"/>
        </w:rPr>
      </w:pPr>
      <w:r>
        <w:rPr>
          <w:rFonts w:ascii="Arial" w:cs="Arial" w:eastAsia="Arial" w:hAnsi="Arial"/>
          <w:sz w:val="15"/>
          <w:szCs w:val="15"/>
          <w:color w:val="auto"/>
        </w:rPr>
        <w:t>On March 13, 2014, in connection with the KKR Acquisition, Nautilus Acquisition Holdings, Inc., or Holdings, and NVI entered into a first lien credit agreement with Goldman Sachs Bank USA, as the administrative agent, collateral agent, swingline lender and a lender, Morgan Stanley Bank, N.A., as the letter of credit issuer, Goldman Sachs Bank USA, Morgan Stanley Senior Funding, Inc., Citigroup Global Markets Inc., Mizuho Bank, Ltd., KKR Capital Markets LLC, Barclays Bank PLC, and Macquarie Capital (USA) Inc., as joint lead arrangers and bookrunners, and the lending institutions from time to time parties thereto. This first lien credit agreement was amended on May 29, 2015 pursuant to a joinder and amendment agreement to, among other things, establish $150.0 million of new incremental term loans and add KKR Corporate Lending LLC as a new term loan lender. Pursuant to a joinder agreement dated as of February 3, 2017, $175.0 million of additional new term loans were established. The description of our first lien term loans below gives effect to both May 2015 and February 2017 incremental term loans.</w:t>
      </w:r>
    </w:p>
    <w:p>
      <w:pPr>
        <w:spacing w:after="0" w:line="54" w:lineRule="exact"/>
        <w:rPr>
          <w:sz w:val="20"/>
          <w:szCs w:val="20"/>
          <w:color w:val="auto"/>
        </w:rPr>
      </w:pPr>
    </w:p>
    <w:p>
      <w:pPr>
        <w:ind w:left="1" w:firstLine="347"/>
        <w:spacing w:after="0" w:line="296" w:lineRule="auto"/>
        <w:rPr>
          <w:sz w:val="20"/>
          <w:szCs w:val="20"/>
          <w:color w:val="auto"/>
        </w:rPr>
      </w:pPr>
      <w:r>
        <w:rPr>
          <w:rFonts w:ascii="Arial" w:cs="Arial" w:eastAsia="Arial" w:hAnsi="Arial"/>
          <w:sz w:val="15"/>
          <w:szCs w:val="15"/>
          <w:color w:val="auto"/>
        </w:rPr>
        <w:t>Our borrowings under the first lien credit agreement consist of $500.0 million initial term loans and $325.0 million incremental term loans, each maturing on March 13, 2021. Of these first lien term loans, $804.4 million was outstanding as of July 1, 2017. The first lien credit agreement also provides for a $75.0 million revolving credit facility, which matures on March 13, 2019. A portion of the revolving credit facility is available for letters of credit and swingline loans, of which $5.5 million and $0, respectively, was utilized as of July 1, 2017. Including letters of credit and swingline loans, there was $5.5 million of borrowings outstanding under the revolving credit facility as of July 1, 2017. Substantially concurrent with this offering, we intend to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See “Prospectus Summary—Recent Developments—Revolving Credit Facility Amendment.” 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w:t>
      </w:r>
    </w:p>
    <w:p>
      <w:pPr>
        <w:spacing w:after="0" w:line="54" w:lineRule="exact"/>
        <w:rPr>
          <w:sz w:val="20"/>
          <w:szCs w:val="20"/>
          <w:color w:val="auto"/>
        </w:rPr>
      </w:pPr>
    </w:p>
    <w:p>
      <w:pPr>
        <w:ind w:left="341"/>
        <w:spacing w:after="0"/>
        <w:rPr>
          <w:sz w:val="20"/>
          <w:szCs w:val="20"/>
          <w:color w:val="auto"/>
        </w:rPr>
      </w:pPr>
      <w:r>
        <w:rPr>
          <w:rFonts w:ascii="Arial" w:cs="Arial" w:eastAsia="Arial" w:hAnsi="Arial"/>
          <w:sz w:val="15"/>
          <w:szCs w:val="15"/>
          <w:color w:val="auto"/>
        </w:rPr>
        <w:t>We intend to use the net proceeds to us from this offering remaining after the repayment of our second lien term loans to repay</w:t>
      </w:r>
    </w:p>
    <w:p>
      <w:pPr>
        <w:spacing w:after="0" w:line="48" w:lineRule="exact"/>
        <w:rPr>
          <w:sz w:val="20"/>
          <w:szCs w:val="20"/>
          <w:color w:val="auto"/>
        </w:rPr>
      </w:pPr>
    </w:p>
    <w:p>
      <w:pPr>
        <w:ind w:left="1" w:right="180" w:hanging="1"/>
        <w:spacing w:after="0" w:line="264" w:lineRule="auto"/>
        <w:tabs>
          <w:tab w:leader="none" w:pos="52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million of our first lien term loans. To the extent we raise more proceeds in this offering than currently estimated, we will repay additional amounts of our first lien term loans. To the extent we raise less proceeds in this offering than currently estimated, we will reduce the amount of our first lien term loans that will be repaid. See “Use of Proceeds.”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left="1" w:right="180" w:firstLine="347"/>
        <w:spacing w:after="0" w:line="295" w:lineRule="auto"/>
        <w:rPr>
          <w:sz w:val="20"/>
          <w:szCs w:val="20"/>
          <w:color w:val="auto"/>
        </w:rPr>
      </w:pPr>
      <w:r>
        <w:rPr>
          <w:rFonts w:ascii="Arial" w:cs="Arial" w:eastAsia="Arial" w:hAnsi="Arial"/>
          <w:sz w:val="15"/>
          <w:szCs w:val="15"/>
          <w:color w:val="auto"/>
        </w:rPr>
        <w:t>Borrowings under the first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alternative base rate, or ABR, determined by reference to the highest of (i)</w:t>
      </w:r>
    </w:p>
    <w:p>
      <w:pPr>
        <w:spacing w:after="0" w:line="2" w:lineRule="exact"/>
        <w:rPr>
          <w:sz w:val="20"/>
          <w:szCs w:val="20"/>
          <w:color w:val="auto"/>
        </w:rPr>
      </w:pPr>
    </w:p>
    <w:p>
      <w:pPr>
        <w:ind w:left="1"/>
        <w:spacing w:after="0"/>
        <w:rPr>
          <w:sz w:val="20"/>
          <w:szCs w:val="20"/>
          <w:color w:val="auto"/>
        </w:rPr>
      </w:pPr>
      <w:r>
        <w:rPr>
          <w:rFonts w:ascii="Arial" w:cs="Arial" w:eastAsia="Arial" w:hAnsi="Arial"/>
          <w:sz w:val="16"/>
          <w:szCs w:val="16"/>
          <w:color w:val="auto"/>
        </w:rPr>
        <w:t>0.50% above the federal funds effective rate, (ii) the rate of interest established by the administrative agent as its “prime rate” and</w:t>
      </w:r>
    </w:p>
    <w:p>
      <w:pPr>
        <w:spacing w:after="0" w:line="25" w:lineRule="exact"/>
        <w:rPr>
          <w:sz w:val="20"/>
          <w:szCs w:val="20"/>
          <w:color w:val="auto"/>
        </w:rPr>
      </w:pPr>
    </w:p>
    <w:p>
      <w:pPr>
        <w:ind w:left="1" w:right="20" w:hanging="1"/>
        <w:spacing w:after="0" w:line="276" w:lineRule="auto"/>
        <w:tabs>
          <w:tab w:leader="none" w:pos="30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1.0% above the LIBOR rate for dollar deposits with a one-month term commencing that day, plus an applicable margin. Swingline loans bear interest at a rate per annum equal to the ABR plus an applicable margin. With respect to the first lien term loans that bear interest by reference to a LIBOR rate, the applicable margin is 3.00% and with respect to the first lien term loans that bear interest by reference to an ABR, the applicable margin is 2.00%. The applicable margin for the borrowings under the revolving credit facility (including any swingline loans) varies depending on a consolidated first lien secured debt to consolidated EBITDA ratio calculated pursuant to the first lien credit agreement, or the first lien secured leverage ratio, and was 3.00% in the case of LIBOR rate loans and 2.00% in the case of ABR loans as of July 1, 2017. With respect to the first lien term loans, the LIBOR rate is subject to a floor of 1.00%, and the ABR is subject to a floor of 2.00%.</w:t>
      </w:r>
    </w:p>
    <w:p>
      <w:pPr>
        <w:spacing w:after="0" w:line="68"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In addition, we pay certain recurring fees with respect to the first lien credit agreement, including (i) a fee for the unused commitments of the lenders under the revolving credit facility, accruing at a rate equal to 0.50% per annum, which may be reduced to 0.375% if the first lien secured leverage ratio is less than or equal to 4.25</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to 1.00, (ii) letter of credit fees, including a fronting fee and processing fees to each issuing bank, which vary depending on the first lien secured leverage ratio and (iii) administration fees. We paid $0.8 million of such fees for fiscal year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 xml:space="preserve">We may prepay, in full or in part, borrowings under the first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first lien credit agreement requires us to prepay outstanding first lien term loans, subject to certain exceptions, with:</w:t>
      </w:r>
    </w:p>
    <w:p>
      <w:pPr>
        <w:spacing w:after="0" w:line="129" w:lineRule="exact"/>
        <w:rPr>
          <w:sz w:val="20"/>
          <w:szCs w:val="20"/>
          <w:color w:val="auto"/>
        </w:rPr>
      </w:pPr>
    </w:p>
    <w:p>
      <w:pPr>
        <w:ind w:left="680" w:right="180" w:hanging="342"/>
        <w:spacing w:after="0" w:line="271"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53" w:lineRule="exact"/>
        <w:rPr>
          <w:rFonts w:ascii="Arial" w:cs="Arial" w:eastAsia="Arial" w:hAnsi="Arial"/>
          <w:sz w:val="17"/>
          <w:szCs w:val="17"/>
          <w:color w:val="auto"/>
        </w:rPr>
      </w:pPr>
    </w:p>
    <w:p>
      <w:pPr>
        <w:ind w:left="680" w:right="20" w:hanging="342"/>
        <w:spacing w:after="0" w:line="261"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with respect to any collateral, NVI may use a portion of such net cash proceeds to prepay or repurchase certain permitted other indebtedness with a lien in accordance with the terms of the first lien credit agreement.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17" w:lineRule="exact"/>
        <w:rPr>
          <w:sz w:val="20"/>
          <w:szCs w:val="20"/>
          <w:color w:val="auto"/>
        </w:rPr>
      </w:pPr>
    </w:p>
    <w:p>
      <w:pPr>
        <w:ind w:right="140" w:firstLine="347"/>
        <w:spacing w:after="0" w:line="280" w:lineRule="auto"/>
        <w:rPr>
          <w:sz w:val="20"/>
          <w:szCs w:val="20"/>
          <w:color w:val="auto"/>
        </w:rPr>
      </w:pPr>
      <w:r>
        <w:rPr>
          <w:rFonts w:ascii="Arial" w:cs="Arial" w:eastAsia="Arial" w:hAnsi="Arial"/>
          <w:sz w:val="16"/>
          <w:szCs w:val="16"/>
          <w:color w:val="auto"/>
        </w:rPr>
        <w:t>We are required to repay installments on the first lien term loans in quarterly installments equal to 0.25% of the product of (x) the sum of (i) the aggregate principal amount of the initial term loan facility outstanding immediately prior to the funding date, as defined in the joinder and amendment agreement, and (ii) the original principal amount of the new term loan facility, and (y) a fraction, rounded to the nearest dollar, the numerator of which is equal to the aggregate principal amount of the initial term loan facility funded on March 13, 2014 and the denominator of which is equal to the aggregate principal amount of the initial term loan facility outstanding under the first lien credit agreement immediately prior to the funding date, with the remaining amount payable on the applicable maturity date with respect to such term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wholly-owned material domestic subsidiaries of NVI, subject to certain exceptions.</w:t>
      </w:r>
    </w:p>
    <w:p>
      <w:pPr>
        <w:spacing w:after="0" w:line="54"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All obligations under the first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54" w:lineRule="exact"/>
        <w:rPr>
          <w:sz w:val="20"/>
          <w:szCs w:val="20"/>
          <w:color w:val="auto"/>
        </w:rPr>
      </w:pPr>
    </w:p>
    <w:p>
      <w:pPr>
        <w:ind w:left="680" w:hanging="342"/>
        <w:spacing w:after="0"/>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23"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On March 13, 2014, in connection with the KKR Acquisition, Holdings and NVI also entered into a second lien credit agreement with Morgan Stanley Senior Funding, Inc., as administrative agent and collateral agent, and Goldman Sachs Bank USA, Morgan Stanley Senior Funding, Inc., Citigroup Global Markets Inc., Mizuho Bank, Ltd., KKR Capital Markets LLC, Barclays Bank PLC, and Macquarie Capital (USA) Inc., as joint lead arrangers and bookrunners.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second lien credit agreement provides for $125.0 million term loan facility that matures on March 13, 2022 of which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$125.0 million was outstanding as of July 1, 2017. We intend to use the net proceeds to us from this offering to repay all outstanding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of our second lien term loans. See “Use of Proceeds.”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right="40" w:firstLine="347"/>
        <w:spacing w:after="0" w:line="260" w:lineRule="auto"/>
        <w:rPr>
          <w:sz w:val="20"/>
          <w:szCs w:val="20"/>
          <w:color w:val="auto"/>
        </w:rPr>
      </w:pPr>
      <w:r>
        <w:rPr>
          <w:rFonts w:ascii="Arial" w:cs="Arial" w:eastAsia="Arial" w:hAnsi="Arial"/>
          <w:sz w:val="17"/>
          <w:szCs w:val="17"/>
          <w:color w:val="auto"/>
        </w:rPr>
        <w:t>Borrowings under the second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ABR determined by reference to the highest of (i) 0.50% above the federal funds effective rate, (ii) the rate of interest established by the administrative agent as its “prime rate” and (iii) 1.0% above the LIBOR rate for dollar deposits with a one-month term commencing that day, plus an applicable margin. With respect to the second lien term loans that bear interest by reference to a LIBOR rate, the applicable margin is 5.75% and with respect to the second lien term loans that bear interest by reference to an ABR, the applicable margin is 4.75%. The LIBOR rate is subject to a floor of 1.00%, and the ABR is subject to a floor of 2.00%.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we pay certain administration fees with respect to the second lien credit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 xml:space="preserve">We may prepay, in full or in part, borrowings under the second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Subject to the mandatory prepayments under the first lien credit agreement, the second lien credit agreement requires us to prepay outstanding second lien term loans, subject to certain exceptions, with:</w:t>
      </w:r>
    </w:p>
    <w:p>
      <w:pPr>
        <w:spacing w:after="0" w:line="54" w:lineRule="exact"/>
        <w:rPr>
          <w:sz w:val="20"/>
          <w:szCs w:val="20"/>
          <w:color w:val="auto"/>
        </w:rPr>
      </w:pPr>
    </w:p>
    <w:p>
      <w:pPr>
        <w:ind w:left="680" w:right="180" w:hanging="342"/>
        <w:spacing w:after="0" w:line="271"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120" w:hanging="342"/>
        <w:spacing w:after="0" w:line="287" w:lineRule="auto"/>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53" w:lineRule="exact"/>
        <w:rPr>
          <w:rFonts w:ascii="Arial" w:cs="Arial" w:eastAsia="Arial" w:hAnsi="Arial"/>
          <w:sz w:val="17"/>
          <w:szCs w:val="17"/>
          <w:color w:val="auto"/>
        </w:rPr>
      </w:pPr>
    </w:p>
    <w:p>
      <w:pPr>
        <w:ind w:left="680" w:hanging="342"/>
        <w:spacing w:after="0" w:line="280" w:lineRule="auto"/>
        <w:tabs>
          <w:tab w:leader="none" w:pos="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any collateral, NVI may use a portion of such net cash proceeds to prepay or repurchase certain permitted other indebtedness with a lien in accordance with the terms of the first lien and second lien credit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All obligations under the second lien credit agreement are unconditionally guaranteed by substantially all existing and future, direct and indirect, wholly-owned material domestic subsidiaries of NVI, subject to certain exceptions.</w:t>
      </w:r>
    </w:p>
    <w:p>
      <w:pPr>
        <w:spacing w:after="0" w:line="54"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54" w:lineRule="exact"/>
        <w:rPr>
          <w:sz w:val="20"/>
          <w:szCs w:val="20"/>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engage in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make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prepay or repurchase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make certain acquisitions;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engage in certain transactions with affiliates.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23"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w:t>
      </w:r>
    </w:p>
    <w:p>
      <w:pPr>
        <w:spacing w:after="0" w:line="37" w:lineRule="exact"/>
        <w:rPr>
          <w:sz w:val="20"/>
          <w:szCs w:val="20"/>
          <w:color w:val="auto"/>
        </w:rPr>
      </w:pPr>
    </w:p>
    <w:p>
      <w:pPr>
        <w:ind w:right="340"/>
        <w:spacing w:after="0" w:line="272" w:lineRule="auto"/>
        <w:rPr>
          <w:sz w:val="20"/>
          <w:szCs w:val="20"/>
          <w:color w:val="auto"/>
        </w:rPr>
      </w:pPr>
      <w:r>
        <w:rPr>
          <w:rFonts w:ascii="Arial" w:cs="Arial" w:eastAsia="Arial" w:hAnsi="Arial"/>
          <w:sz w:val="16"/>
          <w:szCs w:val="16"/>
          <w:color w:val="auto"/>
        </w:rPr>
        <w:t>DGCL. Upon the consummation of this offering, our authorized capital stock will consist of shares of common stock, par value $0.01 per share and shares of preferred stock, par value $ per share. No shares of preferred stock will be issued or</w:t>
      </w:r>
    </w:p>
    <w:p>
      <w:pPr>
        <w:ind w:right="540"/>
        <w:spacing w:after="0" w:line="272" w:lineRule="auto"/>
        <w:rPr>
          <w:sz w:val="20"/>
          <w:szCs w:val="20"/>
          <w:color w:val="auto"/>
        </w:rPr>
      </w:pPr>
      <w:r>
        <w:rPr>
          <w:rFonts w:ascii="Arial" w:cs="Arial" w:eastAsia="Arial" w:hAnsi="Arial"/>
          <w:sz w:val="17"/>
          <w:szCs w:val="17"/>
          <w:color w:val="auto"/>
        </w:rPr>
        <w:t>outstanding immediately after the public offering contemplated by this prospectus. Unless our Board of Directors determines otherwise, we will issue all shares of our capital stock in uncertificated form.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40" w:firstLine="347"/>
        <w:spacing w:after="0" w:line="297" w:lineRule="auto"/>
        <w:rPr>
          <w:sz w:val="20"/>
          <w:szCs w:val="20"/>
          <w:color w:val="auto"/>
        </w:rPr>
      </w:pPr>
      <w:r>
        <w:rPr>
          <w:rFonts w:ascii="Arial" w:cs="Arial" w:eastAsia="Arial" w:hAnsi="Arial"/>
          <w:sz w:val="15"/>
          <w:szCs w:val="15"/>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jc w:val="both"/>
        <w:ind w:right="160" w:firstLine="347"/>
        <w:spacing w:after="0" w:line="266" w:lineRule="auto"/>
        <w:rPr>
          <w:sz w:val="20"/>
          <w:szCs w:val="20"/>
          <w:color w:val="auto"/>
        </w:rPr>
      </w:pPr>
      <w:r>
        <w:rPr>
          <w:rFonts w:ascii="Arial" w:cs="Arial" w:eastAsia="Arial" w:hAnsi="Arial"/>
          <w:sz w:val="17"/>
          <w:szCs w:val="17"/>
          <w:color w:val="auto"/>
        </w:rPr>
        <w:t>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72" w:lineRule="exact"/>
        <w:rPr>
          <w:sz w:val="20"/>
          <w:szCs w:val="20"/>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17" w:lineRule="exact"/>
        <w:rPr>
          <w:rFonts w:ascii="Arial" w:cs="Arial" w:eastAsia="Arial" w:hAnsi="Arial"/>
          <w:sz w:val="17"/>
          <w:szCs w:val="17"/>
          <w:color w:val="auto"/>
        </w:rPr>
      </w:pPr>
    </w:p>
    <w:p>
      <w:pPr>
        <w:jc w:val="both"/>
        <w:ind w:left="680" w:right="240" w:hanging="342"/>
        <w:spacing w:after="0" w:line="271" w:lineRule="auto"/>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17" w:lineRule="exact"/>
        <w:rPr>
          <w:rFonts w:ascii="Arial" w:cs="Arial" w:eastAsia="Arial" w:hAnsi="Arial"/>
          <w:sz w:val="17"/>
          <w:szCs w:val="17"/>
          <w:color w:val="auto"/>
        </w:rPr>
      </w:pPr>
    </w:p>
    <w:p>
      <w:pPr>
        <w:ind w:left="680" w:right="620" w:hanging="342"/>
        <w:spacing w:after="0" w:line="287" w:lineRule="auto"/>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the affairs of our company;</w:t>
      </w:r>
    </w:p>
    <w:p>
      <w:pPr>
        <w:spacing w:after="0" w:line="53"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1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6" w:lineRule="exact"/>
        <w:rPr>
          <w:sz w:val="20"/>
          <w:szCs w:val="20"/>
          <w:color w:val="auto"/>
        </w:rPr>
      </w:pPr>
    </w:p>
    <w:p>
      <w:pPr>
        <w:ind w:right="200" w:firstLine="347"/>
        <w:spacing w:after="0" w:line="288"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4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62"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7"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76"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2"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80" w:right="200" w:hanging="342"/>
        <w:spacing w:after="0" w:line="287" w:lineRule="auto"/>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53"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Arial" w:cs="Arial" w:eastAsia="Arial" w:hAnsi="Arial"/>
          <w:sz w:val="17"/>
          <w:szCs w:val="17"/>
          <w:color w:val="auto"/>
        </w:rPr>
      </w:pPr>
    </w:p>
    <w:p>
      <w:pPr>
        <w:ind w:left="680" w:right="100" w:hanging="342"/>
        <w:spacing w:after="0" w:line="279" w:lineRule="auto"/>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voting stock that is not owned by the interested stockholder.</w:t>
      </w:r>
    </w:p>
    <w:p>
      <w:pPr>
        <w:spacing w:after="0" w:line="1"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7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6" w:lineRule="exact"/>
        <w:rPr>
          <w:sz w:val="20"/>
          <w:szCs w:val="20"/>
          <w:color w:val="auto"/>
        </w:rPr>
      </w:pPr>
    </w:p>
    <w:p>
      <w:pPr>
        <w:ind w:right="560" w:firstLine="347"/>
        <w:spacing w:after="0" w:line="271" w:lineRule="auto"/>
        <w:rPr>
          <w:sz w:val="20"/>
          <w:szCs w:val="20"/>
          <w:color w:val="auto"/>
        </w:rPr>
      </w:pPr>
      <w:r>
        <w:rPr>
          <w:rFonts w:ascii="Arial" w:cs="Arial" w:eastAsia="Arial" w:hAnsi="Arial"/>
          <w:sz w:val="17"/>
          <w:szCs w:val="17"/>
          <w:color w:val="auto"/>
        </w:rPr>
        <w:t>Our amended and restated certificate of incorporation will provide that the Sponsors and their affiliates and any of their respective direct or indirect transferees and any group as to which such persons are a party do not constitute “interested stockholders” for purposes of this provision.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w:t>
      </w:r>
    </w:p>
    <w:p>
      <w:pPr>
        <w:spacing w:after="0" w:line="117"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of all outstanding shares of stock entitled to vote generally in the election of directors, directors may only be removed for cause and only by the affirmative vote of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in voting power of all the then 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the Sponsors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the Sponsors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7"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7" w:lineRule="exact"/>
        <w:rPr>
          <w:sz w:val="20"/>
          <w:szCs w:val="20"/>
          <w:color w:val="auto"/>
        </w:rPr>
      </w:pPr>
    </w:p>
    <w:p>
      <w:pPr>
        <w:ind w:right="80" w:firstLine="347"/>
        <w:spacing w:after="0" w:line="261" w:lineRule="auto"/>
        <w:rPr>
          <w:sz w:val="20"/>
          <w:szCs w:val="20"/>
          <w:color w:val="auto"/>
        </w:rPr>
      </w:pPr>
      <w:r>
        <w:rPr>
          <w:rFonts w:ascii="Arial" w:cs="Arial" w:eastAsia="Arial" w:hAnsi="Arial"/>
          <w:sz w:val="17"/>
          <w:szCs w:val="17"/>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These notice requirements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w:t>
      </w:r>
    </w:p>
    <w:p>
      <w:pPr>
        <w:spacing w:after="0" w:line="81"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7"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the Sponsors and their affiliates beneficially own, in the aggregate, less than 40% of the voting power of all outstanding shares of stock entitled to vote generally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7" w:lineRule="exact"/>
        <w:rPr>
          <w:sz w:val="20"/>
          <w:szCs w:val="20"/>
          <w:color w:val="auto"/>
        </w:rPr>
      </w:pPr>
    </w:p>
    <w:p>
      <w:pPr>
        <w:ind w:right="20" w:firstLine="347"/>
        <w:spacing w:after="0" w:line="267"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2"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68" w:lineRule="exact"/>
        <w:rPr>
          <w:sz w:val="20"/>
          <w:szCs w:val="20"/>
          <w:color w:val="auto"/>
        </w:rPr>
      </w:pPr>
    </w:p>
    <w:p>
      <w:pPr>
        <w:ind w:firstLine="347"/>
        <w:spacing w:after="0" w:line="237" w:lineRule="auto"/>
        <w:rPr>
          <w:sz w:val="20"/>
          <w:szCs w:val="20"/>
          <w:color w:val="auto"/>
        </w:rPr>
      </w:pPr>
      <w:r>
        <w:rPr>
          <w:rFonts w:ascii="Arial" w:cs="Arial" w:eastAsia="Arial" w:hAnsi="Arial"/>
          <w:sz w:val="17"/>
          <w:szCs w:val="17"/>
          <w:color w:val="auto"/>
        </w:rPr>
        <w:t>Our amended and restated certificate of incorporation will provide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83" w:lineRule="exact"/>
        <w:rPr>
          <w:sz w:val="20"/>
          <w:szCs w:val="20"/>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3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03"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 and</w:t>
      </w:r>
    </w:p>
    <w:p>
      <w:pPr>
        <w:spacing w:after="0" w:line="107"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37" w:lineRule="exact"/>
        <w:rPr>
          <w:sz w:val="20"/>
          <w:szCs w:val="20"/>
          <w:color w:val="auto"/>
        </w:rPr>
      </w:pPr>
    </w:p>
    <w:p>
      <w:pPr>
        <w:ind w:right="120" w:firstLine="347"/>
        <w:spacing w:after="0" w:line="259"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2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23"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23"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23"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3" w:lineRule="exact"/>
        <w:rPr>
          <w:sz w:val="20"/>
          <w:szCs w:val="20"/>
          <w:color w:val="auto"/>
        </w:rPr>
      </w:pPr>
    </w:p>
    <w:p>
      <w:pPr>
        <w:ind w:right="60" w:firstLine="347"/>
        <w:spacing w:after="0" w:line="312" w:lineRule="auto"/>
        <w:rPr>
          <w:sz w:val="20"/>
          <w:szCs w:val="20"/>
          <w:color w:val="auto"/>
        </w:rPr>
      </w:pPr>
      <w:r>
        <w:rPr>
          <w:rFonts w:ascii="Arial" w:cs="Arial" w:eastAsia="Arial" w:hAnsi="Arial"/>
          <w:sz w:val="15"/>
          <w:szCs w:val="15"/>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4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75"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or employees for which indemnification is sought.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Computershare Trust Company, N.A.</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have our common stock approved for listing on NASDAQ under the symbol “EYE.”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ind w:right="160" w:firstLine="347"/>
        <w:spacing w:after="0" w:line="278" w:lineRule="auto"/>
        <w:rPr>
          <w:sz w:val="20"/>
          <w:szCs w:val="20"/>
          <w:color w:val="auto"/>
        </w:rPr>
      </w:pPr>
      <w:r>
        <w:rPr>
          <w:rFonts w:ascii="Arial" w:cs="Arial" w:eastAsia="Arial" w:hAnsi="Arial"/>
          <w:sz w:val="16"/>
          <w:szCs w:val="16"/>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68"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Upon the consummation of this offering, we will have a total of shares of common stock outstanding ( shares if the underwriters exercise their option to purchase additional shares). In addition, options to purchase an aggregate of approximately</w:t>
      </w:r>
    </w:p>
    <w:p>
      <w:pPr>
        <w:ind w:right="280" w:firstLine="434"/>
        <w:spacing w:after="0" w:line="256" w:lineRule="auto"/>
        <w:rPr>
          <w:sz w:val="20"/>
          <w:szCs w:val="20"/>
          <w:color w:val="auto"/>
        </w:rPr>
      </w:pPr>
      <w:r>
        <w:rPr>
          <w:rFonts w:ascii="Arial" w:cs="Arial" w:eastAsia="Arial" w:hAnsi="Arial"/>
          <w:sz w:val="17"/>
          <w:szCs w:val="17"/>
          <w:color w:val="auto"/>
        </w:rPr>
        <w:t>shares of our common stock will be outstanding as of the consummation of this offering. Of these options, will have vested at or prior to the consummation of this offering and approximately could vest over the next years. Of the outstanding shares, the shares sold in this offering (or shares if the underwriters exercise their option to purchase</w:t>
      </w:r>
    </w:p>
    <w:p>
      <w:pPr>
        <w:ind w:right="220"/>
        <w:spacing w:after="0" w:line="261" w:lineRule="auto"/>
        <w:rPr>
          <w:sz w:val="20"/>
          <w:szCs w:val="20"/>
          <w:color w:val="auto"/>
        </w:rPr>
      </w:pPr>
      <w:r>
        <w:rPr>
          <w:rFonts w:ascii="Arial" w:cs="Arial" w:eastAsia="Arial" w:hAnsi="Arial"/>
          <w:sz w:val="17"/>
          <w:szCs w:val="17"/>
          <w:color w:val="auto"/>
        </w:rPr>
        <w:t>additional shares) will be freely tradable without restriction or further registration under the Securities Act, except that any shares held by our affiliates, as that term is defined under Rule 144, including our directors, executive officers and other affiliates (including affiliates of KKR Sponsor and affiliates of Berkshire), may be sold only in compliance with the limitations described below.</w:t>
      </w:r>
    </w:p>
    <w:p>
      <w:pPr>
        <w:spacing w:after="0" w:line="76" w:lineRule="exact"/>
        <w:rPr>
          <w:sz w:val="20"/>
          <w:szCs w:val="20"/>
          <w:color w:val="auto"/>
        </w:rPr>
      </w:pPr>
    </w:p>
    <w:p>
      <w:pPr>
        <w:jc w:val="both"/>
        <w:ind w:right="40" w:firstLine="347"/>
        <w:spacing w:after="0" w:line="276" w:lineRule="auto"/>
        <w:rPr>
          <w:sz w:val="20"/>
          <w:szCs w:val="20"/>
          <w:color w:val="auto"/>
        </w:rPr>
      </w:pPr>
      <w:r>
        <w:rPr>
          <w:rFonts w:ascii="Arial" w:cs="Arial" w:eastAsia="Arial" w:hAnsi="Arial"/>
          <w:sz w:val="16"/>
          <w:szCs w:val="16"/>
          <w:color w:val="auto"/>
        </w:rPr>
        <w:t>The remaining outstanding shares of common stock held by affiliates of KKR Sponsor, affiliates of Berkshire, certain of our directors and executive officers and our existing stockholders after this offering, representing %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w:t>
      </w:r>
    </w:p>
    <w:p>
      <w:pPr>
        <w:ind w:right="40"/>
        <w:spacing w:after="0" w:line="264" w:lineRule="auto"/>
        <w:rPr>
          <w:sz w:val="20"/>
          <w:szCs w:val="20"/>
          <w:color w:val="auto"/>
        </w:rPr>
      </w:pPr>
      <w:r>
        <w:rPr>
          <w:rFonts w:ascii="Arial" w:cs="Arial" w:eastAsia="Arial" w:hAnsi="Arial"/>
          <w:sz w:val="17"/>
          <w:szCs w:val="17"/>
          <w:color w:val="auto"/>
        </w:rPr>
        <w:t>exemptions pursuant to Rule 144 and Rule 701 under the Securities Act, which we summarize below. In addition, shares of our common stock will be authorized and reserved for issuance in relation to potential future awards under the 2014 Stock Incentive Plan and the 2017 Omnibus Incentive Plan to be adopted in connection with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68"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9220"/>
          </w:cols>
          <w:pgMar w:left="1340" w:top="274" w:right="1339" w:bottom="1440" w:gutter="0" w:footer="0" w:header="0"/>
        </w:sectPr>
      </w:pP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1% of the number of shares of our common stock then outstanding, which will equal approximately shares immediately after this offering (or shares if the underwriters exercise in full their option to purchase additional shares); or</w:t>
      </w:r>
    </w:p>
    <w:p>
      <w:pPr>
        <w:spacing w:after="0" w:line="68" w:lineRule="exact"/>
        <w:rPr>
          <w:sz w:val="20"/>
          <w:szCs w:val="20"/>
          <w:color w:val="auto"/>
        </w:rPr>
      </w:pPr>
    </w:p>
    <w:p>
      <w:pPr>
        <w:sectPr>
          <w:pgSz w:w="11900" w:h="16838" w:orient="portrait"/>
          <w:cols w:equalWidth="0" w:num="2">
            <w:col w:w="400" w:space="280"/>
            <w:col w:w="8540"/>
          </w:cols>
          <w:pgMar w:left="1340" w:top="274" w:right="1339" w:bottom="1440" w:gutter="0" w:footer="0" w:header="0"/>
          <w:type w:val="continuous"/>
        </w:sectPr>
      </w:pPr>
    </w:p>
    <w:p>
      <w:pPr>
        <w:ind w:left="680" w:right="40" w:hanging="342"/>
        <w:spacing w:after="0" w:line="287" w:lineRule="auto"/>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NASDAQ during the four calendar weeks preceding the filing of a notice on Form 144 with respect to such sale.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type w:val="continuous"/>
        </w:sectPr>
      </w:pPr>
    </w:p>
    <w:bookmarkStart w:id="174" w:name="page175"/>
    <w:bookmarkEnd w:id="1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60" w:firstLine="347"/>
        <w:spacing w:after="0" w:line="307" w:lineRule="auto"/>
        <w:rPr>
          <w:sz w:val="20"/>
          <w:szCs w:val="20"/>
          <w:color w:val="auto"/>
        </w:rPr>
      </w:pPr>
      <w:r>
        <w:rPr>
          <w:rFonts w:ascii="Arial" w:cs="Arial" w:eastAsia="Arial" w:hAnsi="Arial"/>
          <w:sz w:val="15"/>
          <w:szCs w:val="15"/>
          <w:color w:val="auto"/>
        </w:rPr>
        <w:t>In connection with this offering, we, our directors and executive officers and the holders of % of our common stock prior to this offering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 consent of the representative of the underwriters. See “Underwriting (Conflicts of Interest)” for a description of these lock-up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jc w:val="both"/>
        <w:ind w:right="60" w:firstLine="347"/>
        <w:spacing w:after="0" w:line="323" w:lineRule="auto"/>
        <w:rPr>
          <w:sz w:val="20"/>
          <w:szCs w:val="20"/>
          <w:color w:val="auto"/>
        </w:rPr>
      </w:pPr>
      <w:r>
        <w:rPr>
          <w:rFonts w:ascii="Arial" w:cs="Arial" w:eastAsia="Arial" w:hAnsi="Arial"/>
          <w:sz w:val="15"/>
          <w:szCs w:val="15"/>
          <w:color w:val="auto"/>
        </w:rPr>
        <w:t>For a description of rights some holders of common stock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34"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S-8</w:t>
      </w:r>
    </w:p>
    <w:p>
      <w:pPr>
        <w:spacing w:after="0" w:line="123" w:lineRule="exact"/>
        <w:rPr>
          <w:sz w:val="20"/>
          <w:szCs w:val="20"/>
          <w:color w:val="auto"/>
        </w:rPr>
      </w:pPr>
    </w:p>
    <w:p>
      <w:pPr>
        <w:ind w:right="80" w:firstLine="347"/>
        <w:spacing w:after="0" w:line="293" w:lineRule="auto"/>
        <w:rPr>
          <w:sz w:val="20"/>
          <w:szCs w:val="20"/>
          <w:color w:val="auto"/>
        </w:rPr>
      </w:pPr>
      <w:r>
        <w:rPr>
          <w:rFonts w:ascii="Arial" w:cs="Arial" w:eastAsia="Arial" w:hAnsi="Arial"/>
          <w:sz w:val="15"/>
          <w:szCs w:val="15"/>
          <w:color w:val="auto"/>
        </w:rPr>
        <w:t>We intend to file one or more registration statement on Form S-8 under the Securities Act to register all of the shares of common stock subject to outstanding stock options and the shares of common stock subject to issuance under the 2014 Stock Incentive Plan and the 2017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2014 Stock Incentive Plan and</w:t>
      </w: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20"/>
                <w:szCs w:val="20"/>
                <w:color w:val="auto"/>
              </w:rPr>
            </w:pPr>
            <w:r>
              <w:rPr>
                <w:rFonts w:ascii="Arial" w:cs="Arial" w:eastAsia="Arial" w:hAnsi="Arial"/>
                <w:sz w:val="17"/>
                <w:szCs w:val="17"/>
                <w:color w:val="auto"/>
              </w:rPr>
              <w:t>the 2017 Omnibus Incentive Plan will cover</w:t>
            </w:r>
          </w:p>
        </w:tc>
        <w:tc>
          <w:tcPr>
            <w:tcW w:w="5920" w:type="dxa"/>
            <w:vAlign w:val="bottom"/>
          </w:tcPr>
          <w:p>
            <w:pPr>
              <w:jc w:val="right"/>
              <w:ind w:right="5113"/>
              <w:spacing w:after="0"/>
              <w:rPr>
                <w:sz w:val="20"/>
                <w:szCs w:val="20"/>
                <w:color w:val="auto"/>
              </w:rPr>
            </w:pPr>
            <w:r>
              <w:rPr>
                <w:rFonts w:ascii="Arial" w:cs="Arial" w:eastAsia="Arial" w:hAnsi="Arial"/>
                <w:sz w:val="17"/>
                <w:szCs w:val="17"/>
                <w:color w:val="auto"/>
              </w:rPr>
              <w:t>shares.</w:t>
            </w:r>
          </w:p>
        </w:tc>
      </w:tr>
      <w:tr>
        <w:trPr>
          <w:trHeight w:val="405"/>
        </w:trPr>
        <w:tc>
          <w:tcPr>
            <w:tcW w:w="3300" w:type="dxa"/>
            <w:vAlign w:val="bottom"/>
          </w:tcPr>
          <w:p>
            <w:pPr>
              <w:spacing w:after="0"/>
              <w:rPr>
                <w:sz w:val="24"/>
                <w:szCs w:val="24"/>
                <w:color w:val="auto"/>
              </w:rPr>
            </w:pPr>
          </w:p>
        </w:tc>
        <w:tc>
          <w:tcPr>
            <w:tcW w:w="5920" w:type="dxa"/>
            <w:vAlign w:val="bottom"/>
          </w:tcPr>
          <w:p>
            <w:pPr>
              <w:jc w:val="right"/>
              <w:ind w:right="4393"/>
              <w:spacing w:after="0"/>
              <w:rPr>
                <w:sz w:val="20"/>
                <w:szCs w:val="20"/>
                <w:color w:val="auto"/>
              </w:rPr>
            </w:pPr>
            <w:r>
              <w:rPr>
                <w:rFonts w:ascii="Arial" w:cs="Arial" w:eastAsia="Arial" w:hAnsi="Arial"/>
                <w:sz w:val="17"/>
                <w:szCs w:val="17"/>
                <w:color w:val="auto"/>
              </w:rPr>
              <w:t>163</w:t>
            </w:r>
          </w:p>
        </w:tc>
      </w:tr>
      <w:tr>
        <w:trPr>
          <w:trHeight w:val="443"/>
        </w:trPr>
        <w:tc>
          <w:tcPr>
            <w:tcW w:w="330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65"/>
        </w:trPr>
        <w:tc>
          <w:tcPr>
            <w:tcW w:w="3300" w:type="dxa"/>
            <w:vAlign w:val="bottom"/>
            <w:shd w:val="clear" w:color="auto" w:fill="000000"/>
          </w:tcPr>
          <w:p>
            <w:pPr>
              <w:spacing w:after="0"/>
              <w:rPr>
                <w:sz w:val="5"/>
                <w:szCs w:val="5"/>
                <w:color w:val="auto"/>
              </w:rPr>
            </w:pPr>
          </w:p>
        </w:tc>
        <w:tc>
          <w:tcPr>
            <w:tcW w:w="592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UNITED STATES FEDERAL INCOME AND ESTATE TAX CONSEQUENCES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NON-U.S. HOLDERS</w:t>
      </w:r>
    </w:p>
    <w:p>
      <w:pPr>
        <w:spacing w:after="0" w:line="90"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68"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A “non-U.S. holder” means a beneficial owner of our common stock (other than an entity treated as a partnership) that is not for United States federal income tax purposes any of the following:</w:t>
      </w:r>
    </w:p>
    <w:p>
      <w:pPr>
        <w:spacing w:after="0" w:line="54" w:lineRule="exact"/>
        <w:rPr>
          <w:sz w:val="20"/>
          <w:szCs w:val="20"/>
          <w:color w:val="auto"/>
        </w:rPr>
      </w:pPr>
    </w:p>
    <w:p>
      <w:pPr>
        <w:ind w:left="680" w:hanging="342"/>
        <w:spacing w:after="0"/>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17" w:lineRule="exact"/>
        <w:rPr>
          <w:rFonts w:ascii="Arial" w:cs="Arial" w:eastAsia="Arial" w:hAnsi="Arial"/>
          <w:sz w:val="17"/>
          <w:szCs w:val="17"/>
          <w:color w:val="auto"/>
        </w:rPr>
      </w:pPr>
    </w:p>
    <w:p>
      <w:pPr>
        <w:ind w:left="680" w:right="560" w:hanging="342"/>
        <w:spacing w:after="0" w:line="320" w:lineRule="auto"/>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United States federal income tax purposes) created or organized in or under the laws of the United States, any state thereof or the District of Columbia;</w:t>
      </w:r>
    </w:p>
    <w:p>
      <w:pPr>
        <w:spacing w:after="0" w:line="30" w:lineRule="exact"/>
        <w:rPr>
          <w:rFonts w:ascii="Arial" w:cs="Arial" w:eastAsia="Arial" w:hAnsi="Arial"/>
          <w:sz w:val="16"/>
          <w:szCs w:val="16"/>
          <w:color w:val="auto"/>
        </w:rPr>
      </w:pPr>
    </w:p>
    <w:p>
      <w:pPr>
        <w:ind w:left="680" w:hanging="342"/>
        <w:spacing w:after="0"/>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17" w:lineRule="exact"/>
        <w:rPr>
          <w:rFonts w:ascii="Arial" w:cs="Arial" w:eastAsia="Arial" w:hAnsi="Arial"/>
          <w:sz w:val="17"/>
          <w:szCs w:val="17"/>
          <w:color w:val="auto"/>
        </w:rPr>
      </w:pPr>
    </w:p>
    <w:p>
      <w:pPr>
        <w:ind w:left="680" w:right="440" w:hanging="342"/>
        <w:spacing w:after="0" w:line="296" w:lineRule="auto"/>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49"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68" w:lineRule="exact"/>
        <w:rPr>
          <w:sz w:val="20"/>
          <w:szCs w:val="20"/>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United States expatriate;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“controlled foreign corporation”;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“passive foreign investment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bank, insurance company or other financial institution;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tax exempt organization or governmental organization;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broker, dealer or trader in securities;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subject to the alternative minimum tax;</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partnership or other pass-through entity for United States federal income tax purposes;</w:t>
      </w:r>
    </w:p>
    <w:p>
      <w:pPr>
        <w:spacing w:after="0" w:line="117" w:lineRule="exact"/>
        <w:rPr>
          <w:rFonts w:ascii="Arial" w:cs="Arial" w:eastAsia="Arial" w:hAnsi="Arial"/>
          <w:sz w:val="17"/>
          <w:szCs w:val="17"/>
          <w:color w:val="auto"/>
        </w:rPr>
      </w:pPr>
    </w:p>
    <w:p>
      <w:pPr>
        <w:ind w:left="680" w:right="720" w:hanging="342"/>
        <w:spacing w:after="0" w:line="287"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person who holds our common stock as part of a hedge, straddle, or other risk reduction strategy or as part of a conversion transaction or other integrated investment;</w:t>
      </w:r>
    </w:p>
    <w:p>
      <w:pPr>
        <w:spacing w:after="0" w:line="53"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person who holds or receives our common stock pursuant to the exercise of any employee stock option or otherwise as compensation; or</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person deemed to sell our common stock under the constructive sale provisions of the Code.</w:t>
      </w:r>
    </w:p>
    <w:p>
      <w:pPr>
        <w:spacing w:after="0" w:line="117"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right="40" w:firstLine="347"/>
        <w:spacing w:after="0" w:line="275" w:lineRule="auto"/>
        <w:rPr>
          <w:sz w:val="20"/>
          <w:szCs w:val="20"/>
          <w:color w:val="auto"/>
        </w:rPr>
      </w:pPr>
      <w:r>
        <w:rPr>
          <w:rFonts w:ascii="Arial" w:cs="Arial" w:eastAsia="Arial" w:hAnsi="Arial"/>
          <w:sz w:val="17"/>
          <w:szCs w:val="17"/>
          <w:b w:val="1"/>
          <w:bCs w:val="1"/>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 the event that we make distributions of cash or property on our common stock, such distributions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will be treated first as a tax-free return of capital to the extent of the non-U.S. holder’s adjusted tax basis in our common stock. Any remaining excess will be treated as capital gain and will be treated as described below under “—Gain on Disposition of Common Stock.”</w:t>
      </w:r>
    </w:p>
    <w:p>
      <w:pPr>
        <w:spacing w:after="0" w:line="75" w:lineRule="exact"/>
        <w:rPr>
          <w:sz w:val="20"/>
          <w:szCs w:val="20"/>
          <w:color w:val="auto"/>
        </w:rPr>
      </w:pPr>
    </w:p>
    <w:p>
      <w:pPr>
        <w:ind w:firstLine="347"/>
        <w:spacing w:after="0" w:line="299" w:lineRule="auto"/>
        <w:rPr>
          <w:sz w:val="20"/>
          <w:szCs w:val="20"/>
          <w:color w:val="auto"/>
        </w:rPr>
      </w:pPr>
      <w:r>
        <w:rPr>
          <w:rFonts w:ascii="Arial" w:cs="Arial" w:eastAsia="Arial" w:hAnsi="Arial"/>
          <w:sz w:val="15"/>
          <w:szCs w:val="15"/>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4"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75" w:lineRule="exact"/>
        <w:rPr>
          <w:sz w:val="20"/>
          <w:szCs w:val="20"/>
          <w:color w:val="auto"/>
        </w:rPr>
      </w:pPr>
    </w:p>
    <w:p>
      <w:pPr>
        <w:ind w:firstLine="347"/>
        <w:spacing w:after="0" w:line="323" w:lineRule="auto"/>
        <w:rPr>
          <w:sz w:val="20"/>
          <w:szCs w:val="20"/>
          <w:color w:val="auto"/>
        </w:rPr>
      </w:pPr>
      <w:r>
        <w:rPr>
          <w:rFonts w:ascii="Arial" w:cs="Arial" w:eastAsia="Arial" w:hAnsi="Arial"/>
          <w:sz w:val="15"/>
          <w:szCs w:val="15"/>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23" w:lineRule="exact"/>
        <w:rPr>
          <w:sz w:val="20"/>
          <w:szCs w:val="20"/>
          <w:color w:val="auto"/>
        </w:rPr>
      </w:pPr>
    </w:p>
    <w:p>
      <w:pPr>
        <w:ind w:right="80" w:firstLine="347"/>
        <w:spacing w:after="0" w:line="320"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31" w:lineRule="exact"/>
        <w:rPr>
          <w:sz w:val="20"/>
          <w:szCs w:val="20"/>
          <w:color w:val="auto"/>
        </w:rPr>
      </w:pPr>
    </w:p>
    <w:p>
      <w:pPr>
        <w:ind w:left="680" w:hanging="342"/>
        <w:spacing w:after="0" w:line="320" w:lineRule="auto"/>
        <w:tabs>
          <w:tab w:leader="none" w:pos="6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30" w:lineRule="exact"/>
        <w:rPr>
          <w:rFonts w:ascii="Arial" w:cs="Arial" w:eastAsia="Arial" w:hAnsi="Arial"/>
          <w:sz w:val="16"/>
          <w:szCs w:val="16"/>
          <w:color w:val="auto"/>
        </w:rPr>
      </w:pPr>
    </w:p>
    <w:p>
      <w:pPr>
        <w:ind w:left="680" w:right="260" w:hanging="342"/>
        <w:spacing w:after="0" w:line="287"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in the taxable year of the disposition, and certain other conditions are met; or</w:t>
      </w:r>
    </w:p>
    <w:p>
      <w:pPr>
        <w:spacing w:after="0" w:line="53" w:lineRule="exact"/>
        <w:rPr>
          <w:rFonts w:ascii="Arial" w:cs="Arial" w:eastAsia="Arial" w:hAnsi="Arial"/>
          <w:sz w:val="17"/>
          <w:szCs w:val="17"/>
          <w:color w:val="auto"/>
        </w:rPr>
      </w:pPr>
    </w:p>
    <w:p>
      <w:pPr>
        <w:ind w:left="680" w:right="20" w:hanging="342"/>
        <w:spacing w:after="0" w:line="287"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54"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59" w:lineRule="exact"/>
        <w:rPr>
          <w:sz w:val="20"/>
          <w:szCs w:val="20"/>
          <w:color w:val="auto"/>
        </w:rPr>
      </w:pPr>
    </w:p>
    <w:p>
      <w:pPr>
        <w:ind w:right="280" w:firstLine="347"/>
        <w:spacing w:after="0" w:line="287" w:lineRule="auto"/>
        <w:rPr>
          <w:sz w:val="20"/>
          <w:szCs w:val="20"/>
          <w:color w:val="auto"/>
        </w:rPr>
      </w:pPr>
      <w:r>
        <w:rPr>
          <w:rFonts w:ascii="Arial" w:cs="Arial" w:eastAsia="Arial" w:hAnsi="Arial"/>
          <w:sz w:val="17"/>
          <w:szCs w:val="17"/>
          <w:color w:val="auto"/>
        </w:rPr>
        <w:t>We believe we are not and do not anticipate becoming a “United States real property holding corporation” for United States federal income tax purposes.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123" w:lineRule="exact"/>
        <w:rPr>
          <w:sz w:val="20"/>
          <w:szCs w:val="20"/>
          <w:color w:val="auto"/>
        </w:rPr>
      </w:pPr>
    </w:p>
    <w:p>
      <w:pPr>
        <w:ind w:right="340" w:firstLine="347"/>
        <w:spacing w:after="0" w:line="287"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23" w:lineRule="exact"/>
        <w:rPr>
          <w:sz w:val="20"/>
          <w:szCs w:val="20"/>
          <w:color w:val="auto"/>
        </w:rPr>
      </w:pPr>
    </w:p>
    <w:p>
      <w:pPr>
        <w:ind w:right="320" w:firstLine="347"/>
        <w:spacing w:after="0" w:line="266"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68"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76"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a non-U.S. holder’s United States federal income tax liability provided the required information is timely furnished to the IRS.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(Conflicts of Interest)</w:t>
      </w:r>
    </w:p>
    <w:p>
      <w:pPr>
        <w:spacing w:after="0" w:line="123"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left="70"/>
              <w:spacing w:after="0"/>
              <w:rPr>
                <w:sz w:val="20"/>
                <w:szCs w:val="20"/>
                <w:color w:val="auto"/>
              </w:rPr>
            </w:pPr>
            <w:r>
              <w:rPr>
                <w:rFonts w:ascii="Arial" w:cs="Arial" w:eastAsia="Arial" w:hAnsi="Arial"/>
                <w:sz w:val="14"/>
                <w:szCs w:val="14"/>
                <w:b w:val="1"/>
                <w:bCs w:val="1"/>
                <w:color w:val="auto"/>
                <w:w w:val="94"/>
              </w:rPr>
              <w:t>Number</w:t>
            </w:r>
          </w:p>
        </w:tc>
      </w:tr>
      <w:tr>
        <w:trPr>
          <w:trHeight w:val="166"/>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b w:val="1"/>
                <w:bCs w:val="1"/>
                <w:color w:val="auto"/>
                <w:w w:val="84"/>
              </w:rPr>
              <w:t>of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281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60415" cy="281305"/>
                    </a:xfrm>
                    <a:prstGeom prst="rect">
                      <a:avLst/>
                    </a:prstGeom>
                    <a:noFill/>
                  </pic:spPr>
                </pic:pic>
              </a:graphicData>
            </a:graphic>
          </wp:anchor>
        </w:drawing>
      </w:r>
    </w:p>
    <w:p>
      <w:pPr>
        <w:jc w:val="center"/>
        <w:ind w:right="6520"/>
        <w:spacing w:after="0"/>
        <w:rPr>
          <w:sz w:val="20"/>
          <w:szCs w:val="20"/>
          <w:color w:val="auto"/>
        </w:rPr>
      </w:pPr>
      <w:r>
        <w:rPr>
          <w:rFonts w:ascii="Arial" w:cs="Arial" w:eastAsia="Arial" w:hAnsi="Arial"/>
          <w:sz w:val="16"/>
          <w:szCs w:val="16"/>
          <w:color w:val="auto"/>
        </w:rPr>
        <w:t>Merrill Lynch, Pierce, Fenner &amp; Smith</w:t>
      </w:r>
    </w:p>
    <w:p>
      <w:pPr>
        <w:spacing w:after="0" w:line="37" w:lineRule="exact"/>
        <w:rPr>
          <w:sz w:val="20"/>
          <w:szCs w:val="20"/>
          <w:color w:val="auto"/>
        </w:rPr>
      </w:pPr>
    </w:p>
    <w:p>
      <w:pPr>
        <w:jc w:val="center"/>
        <w:ind w:right="6500"/>
        <w:spacing w:after="0"/>
        <w:rPr>
          <w:sz w:val="20"/>
          <w:szCs w:val="20"/>
          <w:color w:val="auto"/>
        </w:rPr>
      </w:pPr>
      <w:r>
        <w:rPr>
          <w:rFonts w:ascii="Arial" w:cs="Arial" w:eastAsia="Arial" w:hAnsi="Arial"/>
          <w:sz w:val="17"/>
          <w:szCs w:val="17"/>
          <w:color w:val="auto"/>
        </w:rPr>
        <w:t>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KKR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UBS Securities 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Guggenheim Securities, LLC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60415" cy="149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Macquarie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5860415" cy="1987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60415" cy="198755"/>
                    </a:xfrm>
                    <a:prstGeom prst="rect">
                      <a:avLst/>
                    </a:prstGeom>
                    <a:noFill/>
                  </pic:spPr>
                </pic:pic>
              </a:graphicData>
            </a:graphic>
          </wp:anchor>
        </w:drawing>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w:t>
      </w:r>
    </w:p>
    <w:p>
      <w:pPr>
        <w:spacing w:after="0" w:line="170"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2" w:lineRule="exact"/>
        <w:rPr>
          <w:sz w:val="20"/>
          <w:szCs w:val="20"/>
          <w:color w:val="auto"/>
        </w:rPr>
      </w:pPr>
    </w:p>
    <w:p>
      <w:pPr>
        <w:ind w:firstLine="347"/>
        <w:spacing w:after="0" w:line="287"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54"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Commissions and Discounts</w:t>
      </w:r>
    </w:p>
    <w:p>
      <w:pPr>
        <w:spacing w:after="0" w:line="123" w:lineRule="exact"/>
        <w:rPr>
          <w:sz w:val="20"/>
          <w:szCs w:val="20"/>
          <w:color w:val="auto"/>
        </w:rPr>
      </w:pPr>
    </w:p>
    <w:p>
      <w:pPr>
        <w:jc w:val="both"/>
        <w:ind w:right="20" w:firstLine="347"/>
        <w:spacing w:after="0" w:line="296" w:lineRule="auto"/>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49"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0" w:type="dxa"/>
            <w:vAlign w:val="bottom"/>
          </w:tcPr>
          <w:p>
            <w:pPr>
              <w:jc w:val="right"/>
              <w:ind w:right="320"/>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4"/>
                <w:szCs w:val="14"/>
                <w:color w:val="auto"/>
              </w:rPr>
            </w:pPr>
          </w:p>
        </w:tc>
        <w:tc>
          <w:tcPr>
            <w:tcW w:w="1020" w:type="dxa"/>
            <w:vAlign w:val="bottom"/>
          </w:tcPr>
          <w:p>
            <w:pPr>
              <w:jc w:val="right"/>
              <w:ind w:right="19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With</w:t>
            </w:r>
          </w:p>
        </w:tc>
      </w:tr>
      <w:tr>
        <w:trPr>
          <w:trHeight w:val="172"/>
        </w:trPr>
        <w:tc>
          <w:tcPr>
            <w:tcW w:w="5800" w:type="dxa"/>
            <w:vAlign w:val="bottom"/>
          </w:tcPr>
          <w:p>
            <w:pPr>
              <w:spacing w:after="0"/>
              <w:rPr>
                <w:sz w:val="14"/>
                <w:szCs w:val="14"/>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r>
      <w:tr>
        <w:trPr>
          <w:trHeight w:val="235"/>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85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r>
        <w:trPr>
          <w:trHeight w:val="228"/>
        </w:trPr>
        <w:tc>
          <w:tcPr>
            <w:tcW w:w="580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1000" w:type="dxa"/>
            <w:vAlign w:val="bottom"/>
          </w:tcPr>
          <w:p>
            <w:pPr>
              <w:jc w:val="right"/>
              <w:ind w:right="820"/>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1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1"/>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85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r>
    </w:tbl>
    <w:p>
      <w:pPr>
        <w:spacing w:after="0" w:line="92"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The expenses of the offering, not including the underwriting discounts and commissions, are estimated at $ and are payable by us. We have agreed to reimburse the underwriters for expenses relating to clearing of this offering with the Financial Regulatory Authority in an amount up to $25,000.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123"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additional shares at the public offering price, less the underwriting discount and commissions. The underwriters may exercise this option solely for the purpose of covering over-allotments, if any, made in connection with this offering.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We, our directors and executive officers and the holders of % of our common stock prior to this offering will agree, for 180 days after the date of this prospectus, without first obtaining the written consent of the representative of the underwriters, not to directly or indirectly, subject to certain exceptions:</w:t>
      </w:r>
    </w:p>
    <w:p>
      <w:pPr>
        <w:spacing w:after="0" w:line="68" w:lineRule="exact"/>
        <w:rPr>
          <w:sz w:val="20"/>
          <w:szCs w:val="20"/>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offer, sell or contract to sell any common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sell any option or contract to purchase any common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purchase any option or contract to sell any common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grant any option, right or warrant for the sale of any common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lend or otherwise dispose of or transfer any common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request or demand that we file a registration statement related to the common stock; or</w:t>
      </w:r>
    </w:p>
    <w:p>
      <w:pPr>
        <w:spacing w:after="0" w:line="117" w:lineRule="exact"/>
        <w:rPr>
          <w:rFonts w:ascii="Arial" w:cs="Arial" w:eastAsia="Arial" w:hAnsi="Arial"/>
          <w:sz w:val="17"/>
          <w:szCs w:val="17"/>
          <w:color w:val="auto"/>
        </w:rPr>
      </w:pPr>
    </w:p>
    <w:p>
      <w:pPr>
        <w:ind w:left="680" w:right="120" w:hanging="342"/>
        <w:spacing w:after="0" w:line="271" w:lineRule="auto"/>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68"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We have applied to have our common stock approved for listing on NASDAQ under the symbol “EYE.” In order to meet the requirements for listing on that exchange, the underwriters have undertaken to sell a minimum number of shares to a minimum number of beneficial owners as required by that exchange.</w:t>
      </w:r>
    </w:p>
    <w:p>
      <w:pPr>
        <w:spacing w:after="0" w:line="68"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Before this offering, there has been no public market for our common stock. The initial public offering price will be determined through negotiations between us and the underwriters. In addition to prevailing market conditions, the factors to be considered in determining the initial public offering price are:</w:t>
      </w:r>
    </w:p>
    <w:p>
      <w:pPr>
        <w:spacing w:after="0" w:line="68" w:lineRule="exact"/>
        <w:rPr>
          <w:sz w:val="20"/>
          <w:szCs w:val="20"/>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valuation multiples of publicly traded companies that the underwriters believe to be comparable to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our financial information;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history of, and the prospects for, our company and the industry in which we compete;</w:t>
      </w:r>
    </w:p>
    <w:p>
      <w:pPr>
        <w:spacing w:after="0" w:line="117" w:lineRule="exact"/>
        <w:rPr>
          <w:rFonts w:ascii="Arial" w:cs="Arial" w:eastAsia="Arial" w:hAnsi="Arial"/>
          <w:sz w:val="17"/>
          <w:szCs w:val="17"/>
          <w:color w:val="auto"/>
        </w:rPr>
      </w:pPr>
    </w:p>
    <w:p>
      <w:pPr>
        <w:ind w:left="680" w:right="580" w:hanging="342"/>
        <w:spacing w:after="0" w:line="287" w:lineRule="auto"/>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 assessment of our management, our past and present operations, and the prospects for, and timing of, our future revenues;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present state of our development; and</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54"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An active trading market for the shares may not develop. It is also possible that after this offering the shares will not trade in the public market at or above the initial public offering price.</w:t>
      </w:r>
    </w:p>
    <w:p>
      <w:pPr>
        <w:spacing w:after="0" w:line="54" w:lineRule="exact"/>
        <w:rPr>
          <w:sz w:val="20"/>
          <w:szCs w:val="20"/>
          <w:color w:val="auto"/>
        </w:rPr>
      </w:pPr>
    </w:p>
    <w:p>
      <w:pPr>
        <w:ind w:right="540" w:firstLine="347"/>
        <w:spacing w:after="0" w:line="287" w:lineRule="auto"/>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 authority.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68"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65"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68"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5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420" w:firstLine="347"/>
        <w:spacing w:after="0" w:line="287"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23"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At our request, the underwriters have reserved up to % of the shares of common stock being offered by this prospectus for sale at the initial public offering price to certain of our officers and employees and members of their respective families. The sales will be made at our direction by Merrill Lynch, Pierce, Fenner &amp; Smith Incorporated, an underwriter of this offering, and its affiliates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our common stock. Any shares sold in the directed share program to our executive officers who have entered into lock-up agreements described above will be subject to the provisions of such lock-up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123" w:lineRule="exact"/>
        <w:rPr>
          <w:sz w:val="20"/>
          <w:szCs w:val="20"/>
          <w:color w:val="auto"/>
        </w:rPr>
      </w:pPr>
    </w:p>
    <w:p>
      <w:pPr>
        <w:jc w:val="both"/>
        <w:ind w:right="180" w:firstLine="347"/>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4"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administrative agent, collateral agent, swingline lender and a lender under our first lien credit agreement, an affiliate of Morgan Stanley &amp; Co. LLC is the letter of credit issuer under our first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first lien credit agreement. As of July 1, 2017, investment funds or accounts managed or advised by KKR Credit held a portion of the outstanding principal balance of our first lien term loans. See “Certain Relationships and Related Party Transactions—Relationship with KKR Credit.” Additionally, an affiliate of KKR Capital Markets LLC has been a participating lender under our revolving credit facility. See “Certain Relationships and Related Party Transactions—Relationship with KKR Capital Markets.” An affiliate of Morgan Stanley &amp; Co. LLC serves as administrative agent, collateral agent and a lender under our second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second lien credit agreement. As of July 1, 2017, affiliates of certain of the underwriters held a portion of the outstanding balance of our first lien term loans and/or second lien term loans and, as a result, will receive a portion of the proceeds from this offering. See “Use of Proceeds.” Substantially concurrent with this offering, we intend to obtain commitments from certain lenders, some or all of which may be affiliates of the underwriters in this offering,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75"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3"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of FINRA.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KKR Capital Markets LLC will not confirm sales of the securities to any account over which it exercises discretionary authority without the specific written approval of the account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23" w:lineRule="exact"/>
        <w:rPr>
          <w:sz w:val="20"/>
          <w:szCs w:val="20"/>
          <w:color w:val="auto"/>
        </w:rPr>
      </w:pPr>
    </w:p>
    <w:p>
      <w:pPr>
        <w:ind w:right="120" w:firstLine="347"/>
        <w:spacing w:after="0" w:line="296"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or each, a “</w:t>
      </w:r>
      <w:r>
        <w:rPr>
          <w:rFonts w:ascii="Arial" w:cs="Arial" w:eastAsia="Arial" w:hAnsi="Arial"/>
          <w:sz w:val="16"/>
          <w:szCs w:val="16"/>
          <w:b w:val="1"/>
          <w:bCs w:val="1"/>
          <w:color w:val="auto"/>
        </w:rPr>
        <w:t>Relevant Member State</w:t>
      </w:r>
      <w:r>
        <w:rPr>
          <w:rFonts w:ascii="Arial" w:cs="Arial" w:eastAsia="Arial" w:hAnsi="Arial"/>
          <w:sz w:val="16"/>
          <w:szCs w:val="16"/>
          <w:color w:val="auto"/>
        </w:rPr>
        <w:t>”, with effect from and including the date on which the Prospectus Directive is implemented in that Relevant Member State, no offer of shares may be made to the public in that Relevant Member State other than:</w:t>
      </w:r>
    </w:p>
    <w:p>
      <w:pPr>
        <w:spacing w:after="0" w:line="49" w:lineRule="exact"/>
        <w:rPr>
          <w:sz w:val="20"/>
          <w:szCs w:val="20"/>
          <w:color w:val="auto"/>
        </w:rPr>
      </w:pPr>
    </w:p>
    <w:p>
      <w:pPr>
        <w:ind w:left="680" w:hanging="342"/>
        <w:spacing w:after="0"/>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7" w:lineRule="exact"/>
        <w:rPr>
          <w:rFonts w:ascii="Arial" w:cs="Arial" w:eastAsia="Arial" w:hAnsi="Arial"/>
          <w:sz w:val="17"/>
          <w:szCs w:val="17"/>
          <w:color w:val="auto"/>
        </w:rPr>
      </w:pPr>
    </w:p>
    <w:p>
      <w:pPr>
        <w:ind w:left="680" w:right="40" w:hanging="342"/>
        <w:spacing w:after="0" w:line="287" w:lineRule="auto"/>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 or</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76"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69"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For the purposes of this provision, the expression an “</w:t>
      </w:r>
      <w:r>
        <w:rPr>
          <w:rFonts w:ascii="Arial" w:cs="Arial" w:eastAsia="Arial" w:hAnsi="Arial"/>
          <w:sz w:val="17"/>
          <w:szCs w:val="17"/>
          <w:b w:val="1"/>
          <w:bCs w:val="1"/>
          <w:color w:val="auto"/>
        </w:rPr>
        <w:t>offer of shares to the public</w:t>
      </w:r>
      <w:r>
        <w:rPr>
          <w:rFonts w:ascii="Arial" w:cs="Arial" w:eastAsia="Arial" w:hAnsi="Arial"/>
          <w:sz w:val="17"/>
          <w:szCs w:val="17"/>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3" w:lineRule="exact"/>
        <w:rPr>
          <w:sz w:val="20"/>
          <w:szCs w:val="20"/>
          <w:color w:val="auto"/>
        </w:rPr>
      </w:pPr>
    </w:p>
    <w:p>
      <w:pPr>
        <w:ind w:right="120" w:firstLine="347"/>
        <w:spacing w:after="0" w:line="301" w:lineRule="auto"/>
        <w:rPr>
          <w:sz w:val="20"/>
          <w:szCs w:val="20"/>
          <w:color w:val="auto"/>
        </w:rPr>
      </w:pPr>
      <w:r>
        <w:rPr>
          <w:rFonts w:ascii="Arial" w:cs="Arial" w:eastAsia="Arial" w:hAnsi="Arial"/>
          <w:sz w:val="15"/>
          <w:szCs w:val="15"/>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0"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6"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6" w:lineRule="exact"/>
        <w:rPr>
          <w:sz w:val="20"/>
          <w:szCs w:val="20"/>
          <w:color w:val="auto"/>
        </w:rPr>
      </w:pPr>
    </w:p>
    <w:p>
      <w:pPr>
        <w:jc w:val="both"/>
        <w:ind w:right="40" w:firstLine="347"/>
        <w:spacing w:after="0" w:line="320"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3" w:name="page184"/>
    <w:bookmarkEnd w:id="18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23" w:lineRule="exact"/>
        <w:rPr>
          <w:sz w:val="20"/>
          <w:szCs w:val="20"/>
          <w:color w:val="auto"/>
        </w:rPr>
      </w:pPr>
    </w:p>
    <w:p>
      <w:pPr>
        <w:ind w:left="1" w:right="60" w:firstLine="347"/>
        <w:spacing w:after="0" w:line="26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5" w:lineRule="exact"/>
        <w:rPr>
          <w:sz w:val="20"/>
          <w:szCs w:val="20"/>
          <w:color w:val="auto"/>
        </w:rPr>
      </w:pPr>
    </w:p>
    <w:p>
      <w:pPr>
        <w:ind w:left="1" w:firstLine="347"/>
        <w:spacing w:after="0" w:line="307"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4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the Dubai International Financial Centre</w:t>
      </w:r>
    </w:p>
    <w:p>
      <w:pPr>
        <w:spacing w:after="0" w:line="123" w:lineRule="exact"/>
        <w:rPr>
          <w:sz w:val="20"/>
          <w:szCs w:val="20"/>
          <w:color w:val="auto"/>
        </w:rPr>
      </w:pPr>
    </w:p>
    <w:p>
      <w:pPr>
        <w:ind w:left="1" w:right="100" w:firstLine="347"/>
        <w:spacing w:after="0" w:line="301"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3"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6" w:lineRule="exact"/>
        <w:rPr>
          <w:sz w:val="20"/>
          <w:szCs w:val="20"/>
          <w:color w:val="auto"/>
        </w:rPr>
      </w:pPr>
    </w:p>
    <w:p>
      <w:pPr>
        <w:ind w:left="1" w:right="20" w:firstLine="347"/>
        <w:spacing w:after="0" w:line="288"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55" w:lineRule="exact"/>
        <w:rPr>
          <w:sz w:val="20"/>
          <w:szCs w:val="20"/>
          <w:color w:val="auto"/>
        </w:rPr>
      </w:pPr>
    </w:p>
    <w:p>
      <w:pPr>
        <w:ind w:left="1" w:right="120" w:firstLine="347"/>
        <w:spacing w:after="0" w:line="263"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76" w:lineRule="exact"/>
        <w:rPr>
          <w:sz w:val="20"/>
          <w:szCs w:val="20"/>
          <w:color w:val="auto"/>
        </w:rPr>
      </w:pPr>
    </w:p>
    <w:p>
      <w:pPr>
        <w:ind w:left="1" w:right="20" w:firstLine="347"/>
        <w:spacing w:after="0" w:line="288"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5"/>
          <w:szCs w:val="15"/>
          <w:color w:val="auto"/>
        </w:rPr>
        <w:t>The shares have not been offered or sold and will not be offered or sold in Hong Kong, by means of any document, other than</w:t>
      </w:r>
    </w:p>
    <w:p>
      <w:pPr>
        <w:spacing w:after="0" w:line="48" w:lineRule="exact"/>
        <w:rPr>
          <w:sz w:val="20"/>
          <w:szCs w:val="20"/>
          <w:color w:val="auto"/>
        </w:rPr>
      </w:pPr>
    </w:p>
    <w:p>
      <w:pPr>
        <w:ind w:left="1" w:right="360" w:hanging="1"/>
        <w:spacing w:after="0" w:line="272" w:lineRule="auto"/>
        <w:tabs>
          <w:tab w:leader="none" w:pos="23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84" w:name="page185"/>
    <w:bookmarkEnd w:id="18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20"/>
        <w:spacing w:after="0" w:line="261" w:lineRule="auto"/>
        <w:rPr>
          <w:sz w:val="20"/>
          <w:szCs w:val="20"/>
          <w:color w:val="auto"/>
        </w:rPr>
      </w:pPr>
      <w:r>
        <w:rPr>
          <w:rFonts w:ascii="Arial" w:cs="Arial" w:eastAsia="Arial" w:hAnsi="Arial"/>
          <w:sz w:val="17"/>
          <w:szCs w:val="17"/>
          <w:color w:val="auto"/>
        </w:rPr>
        <w:t>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3" w:lineRule="exact"/>
        <w:rPr>
          <w:sz w:val="20"/>
          <w:szCs w:val="20"/>
          <w:color w:val="auto"/>
        </w:rPr>
      </w:pPr>
    </w:p>
    <w:p>
      <w:pPr>
        <w:jc w:val="both"/>
        <w:ind w:left="1" w:right="60" w:firstLine="347"/>
        <w:spacing w:after="0" w:line="281"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3" w:lineRule="exact"/>
        <w:rPr>
          <w:sz w:val="20"/>
          <w:szCs w:val="20"/>
          <w:color w:val="auto"/>
        </w:rPr>
      </w:pPr>
    </w:p>
    <w:p>
      <w:pPr>
        <w:ind w:left="1" w:firstLine="347"/>
        <w:spacing w:after="0" w:line="28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6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17" w:lineRule="exact"/>
        <w:rPr>
          <w:sz w:val="20"/>
          <w:szCs w:val="20"/>
          <w:color w:val="auto"/>
        </w:rPr>
      </w:pPr>
    </w:p>
    <w:p>
      <w:pPr>
        <w:ind w:left="341" w:right="60" w:hanging="341"/>
        <w:spacing w:after="0" w:line="271" w:lineRule="auto"/>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Arial" w:cs="Arial" w:eastAsia="Arial" w:hAnsi="Arial"/>
          <w:sz w:val="17"/>
          <w:szCs w:val="17"/>
          <w:color w:val="auto"/>
        </w:rPr>
      </w:pPr>
    </w:p>
    <w:p>
      <w:pPr>
        <w:ind w:left="341" w:right="220" w:hanging="341"/>
        <w:spacing w:after="0" w:line="287" w:lineRule="auto"/>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ind w:left="1" w:right="80"/>
        <w:spacing w:after="0" w:line="271"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8" w:lineRule="exact"/>
        <w:rPr>
          <w:sz w:val="20"/>
          <w:szCs w:val="20"/>
          <w:color w:val="auto"/>
        </w:rPr>
      </w:pPr>
    </w:p>
    <w:p>
      <w:pPr>
        <w:ind w:left="341" w:right="160" w:hanging="341"/>
        <w:spacing w:after="0" w:line="287" w:lineRule="auto"/>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53" w:lineRule="exact"/>
        <w:rPr>
          <w:rFonts w:ascii="Arial" w:cs="Arial" w:eastAsia="Arial" w:hAnsi="Arial"/>
          <w:sz w:val="17"/>
          <w:szCs w:val="17"/>
          <w:color w:val="auto"/>
        </w:rPr>
      </w:pPr>
    </w:p>
    <w:p>
      <w:pPr>
        <w:ind w:left="341" w:hanging="341"/>
        <w:spacing w:after="0"/>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17" w:lineRule="exact"/>
        <w:rPr>
          <w:rFonts w:ascii="Arial" w:cs="Arial" w:eastAsia="Arial" w:hAnsi="Arial"/>
          <w:sz w:val="17"/>
          <w:szCs w:val="17"/>
          <w:color w:val="auto"/>
        </w:rPr>
      </w:pPr>
    </w:p>
    <w:p>
      <w:pPr>
        <w:ind w:left="341" w:hanging="341"/>
        <w:spacing w:after="0"/>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17" w:lineRule="exact"/>
        <w:rPr>
          <w:rFonts w:ascii="Arial" w:cs="Arial" w:eastAsia="Arial" w:hAnsi="Arial"/>
          <w:sz w:val="17"/>
          <w:szCs w:val="17"/>
          <w:color w:val="auto"/>
        </w:rPr>
      </w:pPr>
    </w:p>
    <w:p>
      <w:pPr>
        <w:ind w:left="341" w:hanging="341"/>
        <w:spacing w:after="0"/>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17" w:lineRule="exact"/>
        <w:rPr>
          <w:rFonts w:ascii="Arial" w:cs="Arial" w:eastAsia="Arial" w:hAnsi="Arial"/>
          <w:sz w:val="17"/>
          <w:szCs w:val="17"/>
          <w:color w:val="auto"/>
        </w:rPr>
      </w:pPr>
    </w:p>
    <w:p>
      <w:pPr>
        <w:ind w:left="341" w:right="140" w:hanging="341"/>
        <w:spacing w:after="0" w:line="287" w:lineRule="auto"/>
        <w:tabs>
          <w:tab w:leader="none" w:pos="34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68"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12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The consolidated financial statements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Such consolidated financial statements and financial statement schedule are included in reliance upon the report of such firm given upon their authority as experts in accounting and auditing.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62"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 xml:space="preserve">We will file annual, quarterly and special reports and other information with the SEC. Our filings with the SEC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79"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We intend to make available to our common stockholders annual reports containing consolidated financial statements audited by an independent registered public accounting firm.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35"/>
        </w:trPr>
        <w:tc>
          <w:tcPr>
            <w:tcW w:w="8580" w:type="dxa"/>
            <w:vAlign w:val="bottom"/>
            <w:gridSpan w:val="22"/>
            <w:shd w:val="clear" w:color="auto" w:fill="CCEEFF"/>
          </w:tcPr>
          <w:p>
            <w:pPr>
              <w:spacing w:after="0"/>
              <w:rPr>
                <w:sz w:val="20"/>
                <w:szCs w:val="20"/>
                <w:color w:val="auto"/>
              </w:rPr>
            </w:pPr>
            <w:r>
              <w:rPr>
                <w:rFonts w:ascii="Arial" w:cs="Arial" w:eastAsia="Arial" w:hAnsi="Arial"/>
                <w:sz w:val="17"/>
                <w:szCs w:val="17"/>
                <w:b w:val="1"/>
                <w:bCs w:val="1"/>
                <w:color w:val="auto"/>
              </w:rPr>
              <w:t>National Vision Holdings, Inc. and Subsidiaries:</w:t>
            </w: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8580" w:type="dxa"/>
            <w:vAlign w:val="bottom"/>
            <w:gridSpan w:val="22"/>
          </w:tcPr>
          <w:p>
            <w:pPr>
              <w:ind w:left="180"/>
              <w:spacing w:after="0"/>
              <w:rPr>
                <w:sz w:val="20"/>
                <w:szCs w:val="20"/>
                <w:color w:val="auto"/>
              </w:rPr>
            </w:pPr>
            <w:r>
              <w:rPr>
                <w:rFonts w:ascii="Arial" w:cs="Arial" w:eastAsia="Arial" w:hAnsi="Arial"/>
                <w:sz w:val="17"/>
                <w:szCs w:val="17"/>
                <w:b w:val="1"/>
                <w:bCs w:val="1"/>
                <w:color w:val="auto"/>
              </w:rPr>
              <w:t>Audited Consolidated Financial Statements: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6"/>
        </w:trPr>
        <w:tc>
          <w:tcPr>
            <w:tcW w:w="360" w:type="dxa"/>
            <w:vAlign w:val="bottom"/>
            <w:tcBorders>
              <w:right w:val="single" w:sz="8" w:color="CCEEFF"/>
            </w:tcBorders>
            <w:shd w:val="clear" w:color="auto" w:fill="CCEEFF"/>
          </w:tcPr>
          <w:p>
            <w:pPr>
              <w:spacing w:after="0"/>
              <w:rPr>
                <w:sz w:val="16"/>
                <w:szCs w:val="16"/>
                <w:color w:val="auto"/>
              </w:rPr>
            </w:pPr>
          </w:p>
        </w:tc>
        <w:tc>
          <w:tcPr>
            <w:tcW w:w="4060" w:type="dxa"/>
            <w:vAlign w:val="bottom"/>
            <w:gridSpan w:val="5"/>
            <w:shd w:val="clear" w:color="auto" w:fill="CCEEFF"/>
          </w:tcPr>
          <w:p>
            <w:pPr>
              <w:spacing w:after="0" w:line="186" w:lineRule="exact"/>
              <w:rPr>
                <w:rFonts w:ascii="Arial" w:cs="Arial" w:eastAsia="Arial" w:hAnsi="Arial"/>
                <w:sz w:val="17"/>
                <w:szCs w:val="17"/>
                <w:color w:val="0000EE"/>
                <w:w w:val="92"/>
              </w:rPr>
            </w:pPr>
            <w:hyperlink w:anchor="page188">
              <w:r>
                <w:rPr>
                  <w:rFonts w:ascii="Arial" w:cs="Arial" w:eastAsia="Arial" w:hAnsi="Arial"/>
                  <w:sz w:val="17"/>
                  <w:szCs w:val="17"/>
                  <w:color w:val="0000EE"/>
                  <w:w w:val="92"/>
                </w:rPr>
                <w:t>Report of Independent Registered Public Accounting Firm</w:t>
              </w:r>
            </w:hyperlink>
          </w:p>
        </w:tc>
        <w:tc>
          <w:tcPr>
            <w:tcW w:w="4160" w:type="dxa"/>
            <w:vAlign w:val="bottom"/>
            <w:gridSpan w:val="16"/>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6" w:lineRule="exact"/>
              <w:rPr>
                <w:rFonts w:ascii="Arial" w:cs="Arial" w:eastAsia="Arial" w:hAnsi="Arial"/>
                <w:sz w:val="17"/>
                <w:szCs w:val="17"/>
                <w:color w:val="0000EE"/>
              </w:rPr>
            </w:pPr>
            <w:hyperlink w:anchor="page188">
              <w:r>
                <w:rPr>
                  <w:rFonts w:ascii="Arial" w:cs="Arial" w:eastAsia="Arial" w:hAnsi="Arial"/>
                  <w:sz w:val="17"/>
                  <w:szCs w:val="17"/>
                  <w:color w:val="0000EE"/>
                </w:rPr>
                <w:t>F-2</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189">
              <w:r>
                <w:rPr>
                  <w:rFonts w:ascii="Arial" w:cs="Arial" w:eastAsia="Arial" w:hAnsi="Arial"/>
                  <w:sz w:val="17"/>
                  <w:szCs w:val="17"/>
                  <w:color w:val="0000EE"/>
                </w:rPr>
                <w:t>Consolidated Balance Sheets as of December 31, 2016 (Successor) and January 2, 2016 (Successor)</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rPr>
            </w:pPr>
            <w:hyperlink w:anchor="page189">
              <w:r>
                <w:rPr>
                  <w:rFonts w:ascii="Arial" w:cs="Arial" w:eastAsia="Arial" w:hAnsi="Arial"/>
                  <w:sz w:val="17"/>
                  <w:szCs w:val="17"/>
                  <w:color w:val="0000EE"/>
                </w:rPr>
                <w:t>F-3</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rFonts w:ascii="Arial" w:cs="Arial" w:eastAsia="Arial" w:hAnsi="Arial"/>
                <w:sz w:val="17"/>
                <w:szCs w:val="17"/>
                <w:color w:val="0000EE"/>
                <w:w w:val="94"/>
              </w:rPr>
            </w:pPr>
            <w:hyperlink w:anchor="page190">
              <w:r>
                <w:rPr>
                  <w:rFonts w:ascii="Arial" w:cs="Arial" w:eastAsia="Arial" w:hAnsi="Arial"/>
                  <w:sz w:val="17"/>
                  <w:szCs w:val="17"/>
                  <w:color w:val="0000EE"/>
                  <w:w w:val="94"/>
                </w:rPr>
                <w:t>Consolidated Statements of Operations and Comprehensive Income (Loss) for the Year Ended December 31, 2016</w:t>
              </w:r>
            </w:hyperlink>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3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0000EE"/>
              <w:bottom w:val="single" w:sz="8" w:color="CCEEFF"/>
            </w:tcBorders>
            <w:shd w:val="clear" w:color="auto" w:fill="CCEEFF"/>
          </w:tcPr>
          <w:p>
            <w:pPr>
              <w:spacing w:after="0"/>
              <w:rPr>
                <w:sz w:val="16"/>
                <w:szCs w:val="16"/>
                <w:color w:val="auto"/>
              </w:rPr>
            </w:pPr>
          </w:p>
        </w:tc>
        <w:tc>
          <w:tcPr>
            <w:tcW w:w="7620" w:type="dxa"/>
            <w:vAlign w:val="bottom"/>
            <w:tcBorders>
              <w:top w:val="single" w:sz="8" w:color="0000EE"/>
              <w:bottom w:val="single" w:sz="8" w:color="0000EE"/>
            </w:tcBorders>
            <w:gridSpan w:val="15"/>
            <w:shd w:val="clear" w:color="auto" w:fill="CCEEFF"/>
          </w:tcPr>
          <w:p>
            <w:pPr>
              <w:spacing w:after="0" w:line="189" w:lineRule="exact"/>
              <w:rPr>
                <w:rFonts w:ascii="Arial" w:cs="Arial" w:eastAsia="Arial" w:hAnsi="Arial"/>
                <w:sz w:val="17"/>
                <w:szCs w:val="17"/>
                <w:color w:val="0000EE"/>
                <w:w w:val="91"/>
              </w:rPr>
            </w:pPr>
            <w:hyperlink w:anchor="page190">
              <w:r>
                <w:rPr>
                  <w:rFonts w:ascii="Arial" w:cs="Arial" w:eastAsia="Arial" w:hAnsi="Arial"/>
                  <w:sz w:val="17"/>
                  <w:szCs w:val="17"/>
                  <w:color w:val="0000EE"/>
                  <w:w w:val="91"/>
                </w:rPr>
                <w:t>(Successor), the Year Ended January 2, 2016 (Successor), the Period from March 13, 2014 to January 3, 2015</w:t>
              </w:r>
            </w:hyperlink>
          </w:p>
        </w:tc>
        <w:tc>
          <w:tcPr>
            <w:tcW w:w="16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60" w:type="dxa"/>
            <w:vAlign w:val="bottom"/>
            <w:gridSpan w:val="20"/>
            <w:shd w:val="clear" w:color="auto" w:fill="CCEEFF"/>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(Successor), and the Period from December 29, 2013 to March 12, 2014 (Predecessor)</w:t>
              </w:r>
            </w:hyperlink>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F-4</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w w:val="95"/>
              </w:rPr>
            </w:pPr>
            <w:hyperlink w:anchor="page191">
              <w:r>
                <w:rPr>
                  <w:rFonts w:ascii="Arial" w:cs="Arial" w:eastAsia="Arial" w:hAnsi="Arial"/>
                  <w:sz w:val="17"/>
                  <w:szCs w:val="17"/>
                  <w:color w:val="0000EE"/>
                  <w:w w:val="95"/>
                </w:rPr>
                <w:t>Consolidated Statements of Stockholders’ Equity (Deficit) for the Year Ended December 31, 2016 (Successor), the</w:t>
              </w:r>
            </w:hyperlink>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3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66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1"/>
              </w:rPr>
            </w:pPr>
            <w:hyperlink w:anchor="page191">
              <w:r>
                <w:rPr>
                  <w:rFonts w:ascii="Arial" w:cs="Arial" w:eastAsia="Arial" w:hAnsi="Arial"/>
                  <w:sz w:val="17"/>
                  <w:szCs w:val="17"/>
                  <w:color w:val="0000EE"/>
                  <w:w w:val="91"/>
                </w:rPr>
                <w:t>Year Ended January 2, 2016 (Successor), the Period from March 13, 2014 to January 3, 2015 (Successor), and</w:t>
              </w:r>
            </w:hyperlink>
          </w:p>
        </w:tc>
        <w:tc>
          <w:tcPr>
            <w:tcW w:w="140" w:type="dxa"/>
            <w:vAlign w:val="bottom"/>
            <w:tcBorders>
              <w:top w:val="single" w:sz="8" w:color="0000EE"/>
            </w:tcBorders>
            <w:gridSpan w:val="3"/>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gridSpan w:val="20"/>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the Period from December 29, 2013 to March 12, 2014 (Predecessor)</w:t>
              </w:r>
            </w:hyperlink>
          </w:p>
        </w:tc>
        <w:tc>
          <w:tcPr>
            <w:tcW w:w="220" w:type="dxa"/>
            <w:vAlign w:val="bottom"/>
          </w:tcPr>
          <w:p>
            <w:pPr>
              <w:spacing w:after="0"/>
              <w:rPr>
                <w:sz w:val="16"/>
                <w:szCs w:val="16"/>
                <w:color w:val="auto"/>
              </w:rPr>
            </w:pPr>
          </w:p>
        </w:tc>
        <w:tc>
          <w:tcPr>
            <w:tcW w:w="420" w:type="dxa"/>
            <w:vAlign w:val="bottom"/>
            <w:gridSpan w:val="3"/>
          </w:tcPr>
          <w:p>
            <w:pPr>
              <w:jc w:val="right"/>
              <w:ind w:right="80"/>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F-5</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sz w:val="20"/>
                <w:szCs w:val="20"/>
                <w:color w:val="auto"/>
              </w:rPr>
            </w:pPr>
            <w:r>
              <w:rPr>
                <w:rFonts w:ascii="Arial" w:cs="Arial" w:eastAsia="Arial" w:hAnsi="Arial"/>
                <w:sz w:val="17"/>
                <w:szCs w:val="17"/>
                <w:color w:val="0000EE"/>
                <w:w w:val="99"/>
              </w:rPr>
              <w:t>Consolidated Statements of Cash Flows for the Year Ended December 31, 2016 (Successor), the Year Ended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560" w:type="dxa"/>
            <w:vAlign w:val="bottom"/>
            <w:tcBorders>
              <w:bottom w:val="single" w:sz="8" w:color="0000EE"/>
            </w:tcBorders>
            <w:gridSpan w:val="14"/>
            <w:shd w:val="clear" w:color="auto" w:fill="CCEEFF"/>
          </w:tcPr>
          <w:p>
            <w:pPr>
              <w:spacing w:after="0" w:line="189" w:lineRule="exact"/>
              <w:rPr>
                <w:sz w:val="20"/>
                <w:szCs w:val="20"/>
                <w:color w:val="auto"/>
              </w:rPr>
            </w:pPr>
            <w:r>
              <w:rPr>
                <w:rFonts w:ascii="Arial" w:cs="Arial" w:eastAsia="Arial" w:hAnsi="Arial"/>
                <w:sz w:val="17"/>
                <w:szCs w:val="17"/>
                <w:color w:val="0000EE"/>
                <w:w w:val="91"/>
              </w:rPr>
              <w:t>January 2, 2016 (Successor), the Period from March 13, 2014 to January 3, 2015 (Successor), and the Period</w:t>
            </w:r>
          </w:p>
        </w:tc>
        <w:tc>
          <w:tcPr>
            <w:tcW w:w="500" w:type="dxa"/>
            <w:vAlign w:val="bottom"/>
            <w:tcBorders>
              <w:bottom w:val="single" w:sz="8" w:color="CCEEFF"/>
            </w:tcBorders>
            <w:gridSpan w:val="6"/>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89"/>
        </w:trPr>
        <w:tc>
          <w:tcPr>
            <w:tcW w:w="3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60" w:type="dxa"/>
            <w:vAlign w:val="bottom"/>
            <w:gridSpan w:val="20"/>
            <w:shd w:val="clear" w:color="auto" w:fill="CCEEFF"/>
          </w:tcPr>
          <w:p>
            <w:pPr>
              <w:spacing w:after="0" w:line="189" w:lineRule="exact"/>
              <w:rPr>
                <w:sz w:val="20"/>
                <w:szCs w:val="20"/>
                <w:color w:val="auto"/>
              </w:rPr>
            </w:pPr>
            <w:r>
              <w:rPr>
                <w:rFonts w:ascii="Arial" w:cs="Arial" w:eastAsia="Arial" w:hAnsi="Arial"/>
                <w:sz w:val="17"/>
                <w:szCs w:val="17"/>
                <w:color w:val="0000EE"/>
              </w:rPr>
              <w:t>from December 29, 2013 to March 12, 2014 (Predecessor)</w:t>
            </w: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0000EE"/>
              </w:rPr>
              <w:t>F-7</w:t>
            </w:r>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194">
              <w:r>
                <w:rPr>
                  <w:rFonts w:ascii="Arial" w:cs="Arial" w:eastAsia="Arial" w:hAnsi="Arial"/>
                  <w:sz w:val="17"/>
                  <w:szCs w:val="17"/>
                  <w:color w:val="0000EE"/>
                </w:rPr>
                <w:t>Notes to Consolidated Financial Statements</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rPr>
            </w:pPr>
            <w:hyperlink w:anchor="page194">
              <w:r>
                <w:rPr>
                  <w:rFonts w:ascii="Arial" w:cs="Arial" w:eastAsia="Arial" w:hAnsi="Arial"/>
                  <w:sz w:val="17"/>
                  <w:szCs w:val="17"/>
                  <w:color w:val="0000EE"/>
                </w:rPr>
                <w:t>F-8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224">
              <w:r>
                <w:rPr>
                  <w:rFonts w:ascii="Arial" w:cs="Arial" w:eastAsia="Arial" w:hAnsi="Arial"/>
                  <w:sz w:val="17"/>
                  <w:szCs w:val="17"/>
                  <w:color w:val="0000EE"/>
                </w:rPr>
                <w:t>Unaudited Condensed Consolidated Balance Sheets as of July 1, 2017 and December 31, 2016</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w w:val="91"/>
              </w:rPr>
            </w:pPr>
            <w:hyperlink w:anchor="page224">
              <w:r>
                <w:rPr>
                  <w:rFonts w:ascii="Arial" w:cs="Arial" w:eastAsia="Arial" w:hAnsi="Arial"/>
                  <w:sz w:val="17"/>
                  <w:szCs w:val="17"/>
                  <w:color w:val="0000EE"/>
                  <w:w w:val="91"/>
                </w:rPr>
                <w:t>F-38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bottom w:val="single" w:sz="8" w:color="CCEEFF"/>
              <w:right w:val="single" w:sz="8" w:color="CCEEFF"/>
            </w:tcBorders>
            <w:shd w:val="clear" w:color="auto" w:fill="CCEEFF"/>
          </w:tcPr>
          <w:p>
            <w:pPr>
              <w:spacing w:after="0"/>
              <w:rPr>
                <w:sz w:val="15"/>
                <w:szCs w:val="15"/>
                <w:color w:val="auto"/>
              </w:rPr>
            </w:pPr>
          </w:p>
        </w:tc>
        <w:tc>
          <w:tcPr>
            <w:tcW w:w="7640" w:type="dxa"/>
            <w:vAlign w:val="bottom"/>
            <w:tcBorders>
              <w:bottom w:val="single" w:sz="8" w:color="0000EE"/>
            </w:tcBorders>
            <w:gridSpan w:val="14"/>
            <w:shd w:val="clear" w:color="auto" w:fill="CCEEFF"/>
          </w:tcPr>
          <w:p>
            <w:pPr>
              <w:spacing w:after="0" w:line="183"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Unaudited Condensed Consolidated Statements of Operations and Comprehensive Income for the Six Months</w:t>
              </w:r>
            </w:hyperlink>
          </w:p>
        </w:tc>
        <w:tc>
          <w:tcPr>
            <w:tcW w:w="580" w:type="dxa"/>
            <w:vAlign w:val="bottom"/>
            <w:tcBorders>
              <w:bottom w:val="single" w:sz="8" w:color="CCEEFF"/>
            </w:tcBorders>
            <w:gridSpan w:val="7"/>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21"/>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0000EE"/>
            </w:tcBorders>
            <w:gridSpan w:val="2"/>
            <w:shd w:val="clear" w:color="auto" w:fill="CCEEFF"/>
          </w:tcPr>
          <w:p>
            <w:pPr>
              <w:spacing w:after="0" w:line="189"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Ended July 1, 2017 and July 2, 2016</w:t>
              </w:r>
            </w:hyperlink>
          </w:p>
        </w:tc>
        <w:tc>
          <w:tcPr>
            <w:tcW w:w="5520" w:type="dxa"/>
            <w:vAlign w:val="bottom"/>
            <w:tcBorders>
              <w:bottom w:val="single" w:sz="8" w:color="CCEEFF"/>
            </w:tcBorders>
            <w:gridSpan w:val="18"/>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F-39</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183"/>
        </w:trPr>
        <w:tc>
          <w:tcPr>
            <w:tcW w:w="360" w:type="dxa"/>
            <w:vAlign w:val="bottom"/>
          </w:tcPr>
          <w:p>
            <w:pPr>
              <w:spacing w:after="0"/>
              <w:rPr>
                <w:sz w:val="15"/>
                <w:szCs w:val="15"/>
                <w:color w:val="auto"/>
              </w:rPr>
            </w:pPr>
          </w:p>
        </w:tc>
        <w:tc>
          <w:tcPr>
            <w:tcW w:w="7880" w:type="dxa"/>
            <w:vAlign w:val="bottom"/>
            <w:tcBorders>
              <w:bottom w:val="single" w:sz="8" w:color="0000EE"/>
            </w:tcBorders>
            <w:gridSpan w:val="18"/>
          </w:tcPr>
          <w:p>
            <w:pPr>
              <w:spacing w:after="0" w:line="183" w:lineRule="exact"/>
              <w:rPr>
                <w:rFonts w:ascii="Arial" w:cs="Arial" w:eastAsia="Arial" w:hAnsi="Arial"/>
                <w:sz w:val="17"/>
                <w:szCs w:val="17"/>
                <w:color w:val="0000EE"/>
                <w:w w:val="91"/>
              </w:rPr>
            </w:pPr>
            <w:hyperlink w:anchor="page226">
              <w:r>
                <w:rPr>
                  <w:rFonts w:ascii="Arial" w:cs="Arial" w:eastAsia="Arial" w:hAnsi="Arial"/>
                  <w:sz w:val="17"/>
                  <w:szCs w:val="17"/>
                  <w:color w:val="0000EE"/>
                  <w:w w:val="91"/>
                </w:rPr>
                <w:t>Unaudited Condensed Consolidated Statements of Cash Flows for the Six Months Ended July 1, 2017 and July 2,</w:t>
              </w:r>
            </w:hyperlink>
          </w:p>
        </w:tc>
        <w:tc>
          <w:tcPr>
            <w:tcW w:w="3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860" w:type="dxa"/>
            <w:vAlign w:val="bottom"/>
            <w:gridSpan w:val="3"/>
          </w:tcPr>
          <w:p>
            <w:pPr>
              <w:ind w:left="520"/>
              <w:spacing w:after="0" w:line="189" w:lineRule="exact"/>
              <w:rPr>
                <w:rFonts w:ascii="Arial" w:cs="Arial" w:eastAsia="Arial" w:hAnsi="Arial"/>
                <w:sz w:val="17"/>
                <w:szCs w:val="17"/>
                <w:color w:val="0000EE"/>
                <w:w w:val="84"/>
              </w:rPr>
            </w:pPr>
            <w:hyperlink w:anchor="page226">
              <w:r>
                <w:rPr>
                  <w:rFonts w:ascii="Arial" w:cs="Arial" w:eastAsia="Arial" w:hAnsi="Arial"/>
                  <w:sz w:val="17"/>
                  <w:szCs w:val="17"/>
                  <w:color w:val="0000EE"/>
                  <w:w w:val="84"/>
                </w:rPr>
                <w:t>2016</w:t>
              </w:r>
            </w:hyperlink>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3"/>
          </w:tcPr>
          <w:p>
            <w:pPr>
              <w:jc w:val="right"/>
              <w:ind w:right="80"/>
              <w:spacing w:after="0" w:line="189" w:lineRule="exact"/>
              <w:rPr>
                <w:rFonts w:ascii="Arial" w:cs="Arial" w:eastAsia="Arial" w:hAnsi="Arial"/>
                <w:sz w:val="17"/>
                <w:szCs w:val="17"/>
                <w:color w:val="0000EE"/>
                <w:w w:val="91"/>
              </w:rPr>
            </w:pPr>
            <w:hyperlink w:anchor="page226">
              <w:r>
                <w:rPr>
                  <w:rFonts w:ascii="Arial" w:cs="Arial" w:eastAsia="Arial" w:hAnsi="Arial"/>
                  <w:sz w:val="17"/>
                  <w:szCs w:val="17"/>
                  <w:color w:val="0000EE"/>
                  <w:w w:val="91"/>
                </w:rPr>
                <w:t>F-40</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rFonts w:ascii="Arial" w:cs="Arial" w:eastAsia="Arial" w:hAnsi="Arial"/>
                <w:sz w:val="17"/>
                <w:szCs w:val="17"/>
                <w:color w:val="0000EE"/>
              </w:rPr>
            </w:pPr>
            <w:hyperlink w:anchor="page227">
              <w:r>
                <w:rPr>
                  <w:rFonts w:ascii="Arial" w:cs="Arial" w:eastAsia="Arial" w:hAnsi="Arial"/>
                  <w:sz w:val="17"/>
                  <w:szCs w:val="17"/>
                  <w:color w:val="0000EE"/>
                </w:rPr>
                <w:t>Unaudited Notes to Condensed Consolidated Financial Statements</w:t>
              </w:r>
            </w:hyperlink>
          </w:p>
        </w:tc>
        <w:tc>
          <w:tcPr>
            <w:tcW w:w="2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83" w:lineRule="exact"/>
              <w:rPr>
                <w:rFonts w:ascii="Arial" w:cs="Arial" w:eastAsia="Arial" w:hAnsi="Arial"/>
                <w:sz w:val="17"/>
                <w:szCs w:val="17"/>
                <w:color w:val="0000EE"/>
                <w:w w:val="91"/>
              </w:rPr>
            </w:pPr>
            <w:hyperlink w:anchor="page227">
              <w:r>
                <w:rPr>
                  <w:rFonts w:ascii="Arial" w:cs="Arial" w:eastAsia="Arial" w:hAnsi="Arial"/>
                  <w:sz w:val="17"/>
                  <w:szCs w:val="17"/>
                  <w:color w:val="0000EE"/>
                  <w:w w:val="91"/>
                </w:rPr>
                <w:t>F-41</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1"/>
        </w:trPr>
        <w:tc>
          <w:tcPr>
            <w:tcW w:w="8580" w:type="dxa"/>
            <w:vAlign w:val="bottom"/>
            <w:gridSpan w:val="22"/>
          </w:tcPr>
          <w:p>
            <w:pPr>
              <w:ind w:left="180"/>
              <w:spacing w:after="0"/>
              <w:rPr>
                <w:sz w:val="20"/>
                <w:szCs w:val="20"/>
                <w:color w:val="auto"/>
              </w:rPr>
            </w:pPr>
            <w:r>
              <w:rPr>
                <w:rFonts w:ascii="Arial" w:cs="Arial" w:eastAsia="Arial" w:hAnsi="Arial"/>
                <w:sz w:val="17"/>
                <w:szCs w:val="17"/>
                <w:b w:val="1"/>
                <w:bCs w:val="1"/>
                <w:color w:val="auto"/>
              </w:rPr>
              <w:t>Schedule: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4180" w:type="dxa"/>
            <w:vAlign w:val="bottom"/>
            <w:tcBorders>
              <w:bottom w:val="single" w:sz="8" w:color="0000EE"/>
            </w:tcBorders>
            <w:gridSpan w:val="6"/>
            <w:shd w:val="clear" w:color="auto" w:fill="CCEEFF"/>
          </w:tcPr>
          <w:p>
            <w:pPr>
              <w:spacing w:after="0" w:line="186" w:lineRule="exact"/>
              <w:rPr>
                <w:rFonts w:ascii="Arial" w:cs="Arial" w:eastAsia="Arial" w:hAnsi="Arial"/>
                <w:sz w:val="17"/>
                <w:szCs w:val="17"/>
                <w:color w:val="0000EE"/>
                <w:w w:val="92"/>
              </w:rPr>
            </w:pPr>
            <w:hyperlink w:anchor="page238">
              <w:r>
                <w:rPr>
                  <w:rFonts w:ascii="Arial" w:cs="Arial" w:eastAsia="Arial" w:hAnsi="Arial"/>
                  <w:sz w:val="17"/>
                  <w:szCs w:val="17"/>
                  <w:color w:val="0000EE"/>
                  <w:w w:val="92"/>
                </w:rPr>
                <w:t>Schedule I—Condensed Financial Information of Registrant</w:t>
              </w:r>
            </w:hyperlink>
          </w:p>
        </w:tc>
        <w:tc>
          <w:tcPr>
            <w:tcW w:w="4040" w:type="dxa"/>
            <w:vAlign w:val="bottom"/>
            <w:tcBorders>
              <w:bottom w:val="single" w:sz="8" w:color="CCEEFF"/>
            </w:tcBorders>
            <w:gridSpan w:val="15"/>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2"/>
            <w:shd w:val="clear" w:color="auto" w:fill="CCEEFF"/>
          </w:tcPr>
          <w:p>
            <w:pPr>
              <w:jc w:val="right"/>
              <w:spacing w:after="0" w:line="186" w:lineRule="exact"/>
              <w:rPr>
                <w:rFonts w:ascii="Arial" w:cs="Arial" w:eastAsia="Arial" w:hAnsi="Arial"/>
                <w:sz w:val="17"/>
                <w:szCs w:val="17"/>
                <w:color w:val="0000EE"/>
                <w:w w:val="91"/>
              </w:rPr>
            </w:pPr>
            <w:hyperlink w:anchor="page238">
              <w:r>
                <w:rPr>
                  <w:rFonts w:ascii="Arial" w:cs="Arial" w:eastAsia="Arial" w:hAnsi="Arial"/>
                  <w:sz w:val="17"/>
                  <w:szCs w:val="17"/>
                  <w:color w:val="0000EE"/>
                  <w:w w:val="91"/>
                </w:rPr>
                <w:t>F-52</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417"/>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60" w:type="dxa"/>
            <w:vAlign w:val="bottom"/>
            <w:gridSpan w:val="16"/>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 Holdings, Inc.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Duluth, GA</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have audited the accompanying consolidated financial statements of National Vision Holdings, Inc. and subsidiaries (the “Company”) which comprise the consolidated balance sheets as of December 31, 2016 (Successor) and January 2, 2016 (Successor), and the related consolidated statements of operations and comprehensive income (loss), stockholders’ equity (deficit), and cash flows for the years ended December 31, 2016 (Successor) and January 2, 2016 (Successor), the period from March 13, 2014 to January 3, 2015 (Successor), and the period from December 29, 2013 to March 12, 2014 (Predecessor), and the related notes to the consolidated financial statements. Our audits also included the financial statement schedule listed in the Index to the Financial Statements.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our opinion, the financial statements present fairly, in all material respects, the financial position of National Vision Holdings, Inc. and subsidiaries as of December 31, 2016 (Successor) and January 2, 2016 (Successor), and the results of their operations and cash flows for the years ended December 31, 2016 (Successor) and January 2, 2016 (Successor), the period from March 13, 2014 to January 3, 2015 (Successor), and the period from December 29, 2013 to March 12, 2014 (Predecessor) in conformity with accounting principles generally accepted in the United States of America. Also, in our opinion, the financial statement schedule, when considered in relation to the basic consolidated financial statements taken as a whole, presents fairly in all material respects the information set forth therein.</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discussed in Note 2, National Vision, Inc. was acquired by Nautilus Merger Sub, Inc., an indirect wholly-owned subsidiary of the Company (both affiliates of Kohlberg Kravis Roberts &amp; Co. L.P.), on March 13, 2014 (date of acquisition). In accordance with the acquisition method of accounting, National Vision, Inc.’s assets and liabilities were adjusted to their estimated fair values on the date of acquisition. As a result, the Company's consolidated financial statements for the period prior to the acquisition (the Predecessor period) are not comparable to the periods after the acquisition (the Successor periods).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July 10, 2017 (August 28, 2017 as to the effects of the error correction described in Note 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December 31, 2016 (Successor) and January 2, 2016 (Successor)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2, 2016</w:t>
            </w: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34,370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29,347</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87,064</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75,017</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20,880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17,836</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147,259</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127,795</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256,414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207,200</w:t>
            </w: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793,229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796,573</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Trademarks and trade names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240,547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intangible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81,338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91,811</w:t>
            </w:r>
          </w:p>
        </w:tc>
        <w:tc>
          <w:tcPr>
            <w:tcW w:w="0" w:type="dxa"/>
            <w:vAlign w:val="bottom"/>
          </w:tcPr>
          <w:p>
            <w:pPr>
              <w:spacing w:after="0"/>
              <w:rPr>
                <w:sz w:val="1"/>
                <w:szCs w:val="1"/>
                <w:color w:val="auto"/>
              </w:rPr>
            </w:pP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11,669</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ind w:left="340"/>
              <w:spacing w:after="0"/>
              <w:rPr>
                <w:sz w:val="20"/>
                <w:szCs w:val="20"/>
                <w:color w:val="auto"/>
              </w:rPr>
            </w:pPr>
            <w:r>
              <w:rPr>
                <w:rFonts w:ascii="Arial" w:cs="Arial" w:eastAsia="Arial" w:hAnsi="Arial"/>
                <w:sz w:val="17"/>
                <w:szCs w:val="17"/>
                <w:color w:val="auto"/>
              </w:rPr>
              <w:t>Total non-current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1,383,858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1,347,800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1,531,117</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31"/>
        </w:trPr>
        <w:tc>
          <w:tcPr>
            <w:tcW w:w="62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39,400</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33,784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payables and accrued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69,402</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56,566</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Unearned revenue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20,835</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50,086</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7,285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7,048</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199,683</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168,319</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29,432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27,792</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51,157</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101,320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180,269</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Commitments and contingencies (See Note 13)</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w w:val="99"/>
              </w:rPr>
              <w:t>Common stock, $0.01 par value; 200,000 shares authorized; 110,509 and 110,284</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180"/>
              <w:spacing w:after="0"/>
              <w:rPr>
                <w:sz w:val="20"/>
                <w:szCs w:val="20"/>
                <w:color w:val="auto"/>
              </w:rPr>
            </w:pPr>
            <w:r>
              <w:rPr>
                <w:rFonts w:ascii="Arial" w:cs="Arial" w:eastAsia="Arial" w:hAnsi="Arial"/>
                <w:sz w:val="17"/>
                <w:szCs w:val="17"/>
                <w:color w:val="auto"/>
              </w:rPr>
              <w:t>shares issued and outstanding at December 31, 2016 and January 2, 2016,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424,246</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419,844</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(14,556)</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w w:val="96"/>
              </w:rPr>
              <w:t>Treasury stock, at cost; 55 and zero shares as of December 31, 2016 and January 2,</w:t>
            </w:r>
          </w:p>
        </w:tc>
        <w:tc>
          <w:tcPr>
            <w:tcW w:w="140" w:type="dxa"/>
            <w:vAlign w:val="bottom"/>
          </w:tcPr>
          <w:p>
            <w:pPr>
              <w:spacing w:after="0"/>
              <w:rPr>
                <w:sz w:val="18"/>
                <w:szCs w:val="18"/>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(233)</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Pr>
          <w:p>
            <w:pPr>
              <w:ind w:left="180"/>
              <w:spacing w:after="0"/>
              <w:rPr>
                <w:sz w:val="20"/>
                <w:szCs w:val="20"/>
                <w:color w:val="auto"/>
              </w:rPr>
            </w:pPr>
            <w:r>
              <w:rPr>
                <w:rFonts w:ascii="Arial" w:cs="Arial" w:eastAsia="Arial" w:hAnsi="Arial"/>
                <w:sz w:val="17"/>
                <w:szCs w:val="17"/>
                <w:color w:val="auto"/>
              </w:rPr>
              <w:t>2016, respectively</w:t>
            </w:r>
          </w:p>
        </w:tc>
        <w:tc>
          <w:tcPr>
            <w:tcW w:w="1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1,531,117</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 Except Per Share Information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r>
      <w:tr>
        <w:trPr>
          <w:trHeight w:val="166"/>
        </w:trPr>
        <w:tc>
          <w:tcPr>
            <w:tcW w:w="4400" w:type="dxa"/>
            <w:vAlign w:val="bottom"/>
          </w:tcPr>
          <w:p>
            <w:pPr>
              <w:spacing w:after="0"/>
              <w:rPr>
                <w:sz w:val="14"/>
                <w:szCs w:val="14"/>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85"/>
              </w:rPr>
              <w:t>December</w:t>
            </w:r>
          </w:p>
        </w:tc>
        <w:tc>
          <w:tcPr>
            <w:tcW w:w="10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80" w:type="dxa"/>
            <w:vAlign w:val="bottom"/>
          </w:tcPr>
          <w:p>
            <w:pPr>
              <w:spacing w:after="0"/>
              <w:rPr>
                <w:sz w:val="13"/>
                <w:szCs w:val="13"/>
                <w:color w:val="auto"/>
              </w:rPr>
            </w:pP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35"/>
              <w:spacing w:after="0" w:line="157" w:lineRule="exact"/>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January 2,</w:t>
            </w:r>
          </w:p>
        </w:tc>
        <w:tc>
          <w:tcPr>
            <w:tcW w:w="1400" w:type="dxa"/>
            <w:vAlign w:val="bottom"/>
            <w:tcBorders>
              <w:right w:val="single" w:sz="8" w:color="auto"/>
            </w:tcBorders>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80" w:type="dxa"/>
            <w:vAlign w:val="bottom"/>
          </w:tcPr>
          <w:p>
            <w:pPr>
              <w:spacing w:after="0"/>
              <w:rPr>
                <w:sz w:val="13"/>
                <w:szCs w:val="13"/>
                <w:color w:val="auto"/>
              </w:rPr>
            </w:pP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2013 to March 12,</w:t>
            </w:r>
          </w:p>
        </w:tc>
      </w:tr>
      <w:tr>
        <w:trPr>
          <w:trHeight w:val="172"/>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870,463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603,085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Pr>
          <w:p>
            <w:pPr>
              <w:spacing w:after="0"/>
              <w:rPr>
                <w:sz w:val="19"/>
                <w:szCs w:val="19"/>
                <w:color w:val="auto"/>
              </w:rPr>
            </w:pPr>
          </w:p>
        </w:tc>
      </w:tr>
      <w:tr>
        <w:trPr>
          <w:trHeight w:val="228"/>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sales of services and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132,595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1,196,195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1,062,528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735,680</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Pr>
          <w:p>
            <w:pPr>
              <w:spacing w:after="0"/>
              <w:rPr>
                <w:sz w:val="19"/>
                <w:szCs w:val="19"/>
                <w:color w:val="auto"/>
              </w:rPr>
            </w:pPr>
          </w:p>
        </w:tc>
      </w:tr>
      <w:tr>
        <w:trPr>
          <w:trHeight w:val="210"/>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9"/>
              </w:rPr>
              <w:t>Costs applicable to revenue (exclusive of depreciation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40"/>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and amortization):</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353,894</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266,627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r>
      <w:tr>
        <w:trPr>
          <w:trHeight w:val="228"/>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99,849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544,781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491,100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366,476</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474,053</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331,475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44,069</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31,566</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4,672</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related costs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13,742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691</w:t>
            </w:r>
          </w:p>
        </w:tc>
        <w:tc>
          <w:tcPr>
            <w:tcW w:w="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4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382,146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93,873</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44,677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(12,942)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9,950</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36,741</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26,823</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(39,765)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(12,715)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19"/>
                <w:szCs w:val="19"/>
                <w:color w:val="auto"/>
              </w:rPr>
            </w:pP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7"/>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3"/>
                <w:szCs w:val="23"/>
                <w:color w:val="auto"/>
              </w:rPr>
            </w:pPr>
          </w:p>
        </w:tc>
      </w:tr>
      <w:tr>
        <w:trPr>
          <w:trHeight w:val="235"/>
        </w:trPr>
        <w:tc>
          <w:tcPr>
            <w:tcW w:w="44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Borders>
              <w:top w:val="single" w:sz="8" w:color="CCEEFF"/>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(loss) per share: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(0.25)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24.06</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1"/>
        </w:trPr>
        <w:tc>
          <w:tcPr>
            <w:tcW w:w="440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110,474</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110,036</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109,732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112,080</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110,036</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109,732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income: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(27,050)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fair value of hedge instruments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(7,065)</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(11,555)</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w w:val="99"/>
              </w:rPr>
              <w:t>Tax benefit of change in fair value of hedge instruments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4,499</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5"/>
        </w:trPr>
        <w:tc>
          <w:tcPr>
            <w:tcW w:w="44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line="232" w:lineRule="auto"/>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jc w:val="center"/>
        <w:spacing w:after="0" w:line="236" w:lineRule="auto"/>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54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20"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0"/>
              <w:spacing w:after="0" w:line="120"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53"/>
        </w:trPr>
        <w:tc>
          <w:tcPr>
            <w:tcW w:w="24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87"/>
              </w:rPr>
              <w:t>Comprehensive</w:t>
            </w:r>
          </w:p>
        </w:tc>
        <w:tc>
          <w:tcPr>
            <w:tcW w:w="11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82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22"/>
        </w:trPr>
        <w:tc>
          <w:tcPr>
            <w:tcW w:w="2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Predecessor</w:t>
            </w:r>
          </w:p>
        </w:tc>
        <w:tc>
          <w:tcPr>
            <w:tcW w:w="6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Balances at December 28, 2013</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(123,364)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(122,239)</w:t>
            </w:r>
          </w:p>
        </w:tc>
        <w:tc>
          <w:tcPr>
            <w:tcW w:w="0" w:type="dxa"/>
            <w:vAlign w:val="bottom"/>
          </w:tcPr>
          <w:p>
            <w:pPr>
              <w:spacing w:after="0"/>
              <w:rPr>
                <w:sz w:val="1"/>
                <w:szCs w:val="1"/>
                <w:color w:val="auto"/>
              </w:rPr>
            </w:pPr>
          </w:p>
        </w:tc>
      </w:tr>
      <w:tr>
        <w:trPr>
          <w:trHeight w:val="228"/>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9"/>
        </w:trPr>
        <w:tc>
          <w:tcPr>
            <w:tcW w:w="248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3,132</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6"/>
        </w:trPr>
        <w:tc>
          <w:tcPr>
            <w:tcW w:w="24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March 12,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(120,232)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(118,887)</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7"/>
                <w:szCs w:val="17"/>
                <w:b w:val="1"/>
                <w:bCs w:val="1"/>
                <w:color w:val="auto"/>
              </w:rPr>
              <w:t>Successor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March 13, 2014</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109,688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1,098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536,061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537,159</w:t>
            </w: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13,297</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228"/>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7,244</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7,244</w:t>
            </w:r>
          </w:p>
        </w:tc>
        <w:tc>
          <w:tcPr>
            <w:tcW w:w="0" w:type="dxa"/>
            <w:vAlign w:val="bottom"/>
          </w:tcPr>
          <w:p>
            <w:pPr>
              <w:spacing w:after="0"/>
              <w:rPr>
                <w:sz w:val="1"/>
                <w:szCs w:val="1"/>
                <w:color w:val="auto"/>
              </w:rPr>
            </w:pPr>
          </w:p>
        </w:tc>
      </w:tr>
      <w:tr>
        <w:trPr>
          <w:trHeight w:val="191"/>
        </w:trPr>
        <w:tc>
          <w:tcPr>
            <w:tcW w:w="2480" w:type="dxa"/>
            <w:vAlign w:val="bottom"/>
          </w:tcPr>
          <w:p>
            <w:pPr>
              <w:ind w:left="180"/>
              <w:spacing w:after="0" w:line="191" w:lineRule="exact"/>
              <w:rPr>
                <w:sz w:val="20"/>
                <w:szCs w:val="20"/>
                <w:color w:val="auto"/>
              </w:rPr>
            </w:pPr>
            <w:r>
              <w:rPr>
                <w:rFonts w:ascii="Arial" w:cs="Arial" w:eastAsia="Arial" w:hAnsi="Arial"/>
                <w:sz w:val="17"/>
                <w:szCs w:val="17"/>
                <w:color w:val="auto"/>
              </w:rPr>
              <w:t>Change in fair value of hedge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8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(11,555)</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(11,555)</w:t>
            </w:r>
          </w:p>
        </w:tc>
        <w:tc>
          <w:tcPr>
            <w:tcW w:w="0" w:type="dxa"/>
            <w:vAlign w:val="bottom"/>
          </w:tcPr>
          <w:p>
            <w:pPr>
              <w:spacing w:after="0"/>
              <w:rPr>
                <w:sz w:val="1"/>
                <w:szCs w:val="1"/>
                <w:color w:val="auto"/>
              </w:rPr>
            </w:pPr>
          </w:p>
        </w:tc>
      </w:tr>
      <w:tr>
        <w:trPr>
          <w:trHeight w:val="199"/>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w:t>
            </w: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value of hedge instruments</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4,499</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09"/>
        </w:trPr>
        <w:tc>
          <w:tcPr>
            <w:tcW w:w="2480" w:type="dxa"/>
            <w:vAlign w:val="bottom"/>
          </w:tcPr>
          <w:p>
            <w:pPr>
              <w:ind w:left="180"/>
              <w:spacing w:after="0"/>
              <w:rPr>
                <w:sz w:val="20"/>
                <w:szCs w:val="20"/>
                <w:color w:val="auto"/>
              </w:rPr>
            </w:pPr>
            <w:r>
              <w:rPr>
                <w:rFonts w:ascii="Arial" w:cs="Arial" w:eastAsia="Arial" w:hAnsi="Arial"/>
                <w:sz w:val="17"/>
                <w:szCs w:val="17"/>
                <w:color w:val="auto"/>
              </w:rPr>
              <w:t>Net loss</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(27,050)</w:t>
            </w:r>
          </w:p>
        </w:tc>
        <w:tc>
          <w:tcPr>
            <w:tcW w:w="0" w:type="dxa"/>
            <w:vAlign w:val="bottom"/>
          </w:tcPr>
          <w:p>
            <w:pPr>
              <w:spacing w:after="0"/>
              <w:rPr>
                <w:sz w:val="1"/>
                <w:szCs w:val="1"/>
                <w:color w:val="auto"/>
              </w:rPr>
            </w:pPr>
          </w:p>
        </w:tc>
      </w:tr>
      <w:tr>
        <w:trPr>
          <w:trHeight w:val="26"/>
        </w:trPr>
        <w:tc>
          <w:tcPr>
            <w:tcW w:w="24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January 3, 2015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109,779</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1,098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556,602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523,594</w:t>
            </w:r>
          </w:p>
        </w:tc>
        <w:tc>
          <w:tcPr>
            <w:tcW w:w="0" w:type="dxa"/>
            <w:vAlign w:val="bottom"/>
          </w:tcPr>
          <w:p>
            <w:pPr>
              <w:spacing w:after="0"/>
              <w:rPr>
                <w:sz w:val="1"/>
                <w:szCs w:val="1"/>
                <w:color w:val="auto"/>
              </w:rPr>
            </w:pPr>
          </w:p>
        </w:tc>
      </w:tr>
      <w:tr>
        <w:trPr>
          <w:trHeight w:val="191"/>
        </w:trPr>
        <w:tc>
          <w:tcPr>
            <w:tcW w:w="2480" w:type="dxa"/>
            <w:vAlign w:val="bottom"/>
          </w:tcPr>
          <w:p>
            <w:pPr>
              <w:ind w:left="180"/>
              <w:spacing w:after="0" w:line="191" w:lineRule="exact"/>
              <w:rPr>
                <w:sz w:val="20"/>
                <w:szCs w:val="20"/>
                <w:color w:val="auto"/>
              </w:rPr>
            </w:pPr>
            <w:r>
              <w:rPr>
                <w:rFonts w:ascii="Arial" w:cs="Arial" w:eastAsia="Arial" w:hAnsi="Arial"/>
                <w:sz w:val="17"/>
                <w:szCs w:val="17"/>
                <w:color w:val="auto"/>
                <w:w w:val="91"/>
              </w:rPr>
              <w:t>Cash dividends paid on common</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80" w:type="dxa"/>
            <w:vAlign w:val="bottom"/>
          </w:tcPr>
          <w:p>
            <w:pPr>
              <w:ind w:left="340"/>
              <w:spacing w:after="0"/>
              <w:rPr>
                <w:sz w:val="20"/>
                <w:szCs w:val="20"/>
                <w:color w:val="auto"/>
              </w:rPr>
            </w:pPr>
            <w:r>
              <w:rPr>
                <w:rFonts w:ascii="Arial" w:cs="Arial" w:eastAsia="Arial" w:hAnsi="Arial"/>
                <w:sz w:val="17"/>
                <w:szCs w:val="17"/>
                <w:color w:val="auto"/>
              </w:rPr>
              <w:t>stock</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(145,667)</w:t>
            </w:r>
          </w:p>
        </w:tc>
        <w:tc>
          <w:tcPr>
            <w:tcW w:w="0" w:type="dxa"/>
            <w:vAlign w:val="bottom"/>
          </w:tcPr>
          <w:p>
            <w:pPr>
              <w:spacing w:after="0"/>
              <w:rPr>
                <w:sz w:val="1"/>
                <w:szCs w:val="1"/>
                <w:color w:val="auto"/>
              </w:rPr>
            </w:pPr>
          </w:p>
        </w:tc>
      </w:tr>
      <w:tr>
        <w:trPr>
          <w:trHeight w:val="230"/>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7"/>
                <w:szCs w:val="17"/>
                <w:color w:val="auto"/>
              </w:rPr>
              <w:t>Stock option exercises</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482</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28"/>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Issuance of common stock</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7"/>
                <w:szCs w:val="17"/>
                <w:color w:val="auto"/>
              </w:rPr>
              <w:t>Stock option compensation</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6,635</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6,635</w:t>
            </w:r>
          </w:p>
        </w:tc>
        <w:tc>
          <w:tcPr>
            <w:tcW w:w="0" w:type="dxa"/>
            <w:vAlign w:val="bottom"/>
          </w:tcPr>
          <w:p>
            <w:pPr>
              <w:spacing w:after="0"/>
              <w:rPr>
                <w:sz w:val="1"/>
                <w:szCs w:val="1"/>
                <w:color w:val="auto"/>
              </w:rPr>
            </w:pPr>
          </w:p>
        </w:tc>
      </w:tr>
      <w:tr>
        <w:trPr>
          <w:trHeight w:val="197"/>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fair value of hedge</w:t>
            </w: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instruments</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(7,065)</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(7,065)</w:t>
            </w:r>
          </w:p>
        </w:tc>
        <w:tc>
          <w:tcPr>
            <w:tcW w:w="0" w:type="dxa"/>
            <w:vAlign w:val="bottom"/>
          </w:tcPr>
          <w:p>
            <w:pPr>
              <w:spacing w:after="0"/>
              <w:rPr>
                <w:sz w:val="1"/>
                <w:szCs w:val="1"/>
                <w:color w:val="auto"/>
              </w:rPr>
            </w:pPr>
          </w:p>
        </w:tc>
      </w:tr>
      <w:tr>
        <w:trPr>
          <w:trHeight w:val="191"/>
        </w:trPr>
        <w:tc>
          <w:tcPr>
            <w:tcW w:w="2480" w:type="dxa"/>
            <w:vAlign w:val="bottom"/>
          </w:tcPr>
          <w:p>
            <w:pPr>
              <w:ind w:left="180"/>
              <w:spacing w:after="0" w:line="191" w:lineRule="exact"/>
              <w:rPr>
                <w:sz w:val="20"/>
                <w:szCs w:val="20"/>
                <w:color w:val="auto"/>
              </w:rPr>
            </w:pPr>
            <w:r>
              <w:rPr>
                <w:rFonts w:ascii="Arial" w:cs="Arial" w:eastAsia="Arial" w:hAnsi="Arial"/>
                <w:sz w:val="17"/>
                <w:szCs w:val="17"/>
                <w:color w:val="auto"/>
              </w:rPr>
              <w:t>Tax benefit of change in fair</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80" w:type="dxa"/>
            <w:vAlign w:val="bottom"/>
          </w:tcPr>
          <w:p>
            <w:pPr>
              <w:ind w:left="340"/>
              <w:spacing w:after="0"/>
              <w:rPr>
                <w:sz w:val="20"/>
                <w:szCs w:val="20"/>
                <w:color w:val="auto"/>
              </w:rPr>
            </w:pPr>
            <w:r>
              <w:rPr>
                <w:rFonts w:ascii="Arial" w:cs="Arial" w:eastAsia="Arial" w:hAnsi="Arial"/>
                <w:sz w:val="17"/>
                <w:szCs w:val="17"/>
                <w:color w:val="auto"/>
              </w:rPr>
              <w:t>value of hedge instruments</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2,837</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2,837</w:t>
            </w:r>
          </w:p>
        </w:tc>
        <w:tc>
          <w:tcPr>
            <w:tcW w:w="0" w:type="dxa"/>
            <w:vAlign w:val="bottom"/>
          </w:tcPr>
          <w:p>
            <w:pPr>
              <w:spacing w:after="0"/>
              <w:rPr>
                <w:sz w:val="1"/>
                <w:szCs w:val="1"/>
                <w:color w:val="auto"/>
              </w:rPr>
            </w:pPr>
          </w:p>
        </w:tc>
      </w:tr>
      <w:tr>
        <w:trPr>
          <w:trHeight w:val="217"/>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6"/>
        </w:trPr>
        <w:tc>
          <w:tcPr>
            <w:tcW w:w="248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7"/>
                <w:szCs w:val="17"/>
                <w:color w:val="auto"/>
              </w:rPr>
              <w:t>Balances at January 2, 2016</w:t>
            </w:r>
          </w:p>
        </w:tc>
        <w:tc>
          <w:tcPr>
            <w:tcW w:w="640" w:type="dxa"/>
            <w:vAlign w:val="bottom"/>
          </w:tcPr>
          <w:p>
            <w:pPr>
              <w:jc w:val="right"/>
              <w:spacing w:after="0"/>
              <w:rPr>
                <w:sz w:val="20"/>
                <w:szCs w:val="20"/>
                <w:color w:val="auto"/>
              </w:rPr>
            </w:pPr>
            <w:r>
              <w:rPr>
                <w:rFonts w:ascii="Arial" w:cs="Arial" w:eastAsia="Arial" w:hAnsi="Arial"/>
                <w:sz w:val="17"/>
                <w:szCs w:val="17"/>
                <w:color w:val="auto"/>
              </w:rPr>
              <w:t>110,284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1,103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419,844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(11,284)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(23,433)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197"/>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impact of stock option</w:t>
            </w: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exercises</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7"/>
                <w:szCs w:val="17"/>
                <w:color w:val="auto"/>
              </w:rPr>
              <w:t>Stock option exercises</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280</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1,039</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28"/>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4,293</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4,293</w:t>
            </w: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7"/>
                <w:szCs w:val="17"/>
                <w:color w:val="auto"/>
              </w:rPr>
              <w:t>Repurchase of stock options</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8"/>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common stock</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91"/>
        </w:trPr>
        <w:tc>
          <w:tcPr>
            <w:tcW w:w="2480" w:type="dxa"/>
            <w:vAlign w:val="bottom"/>
          </w:tcPr>
          <w:p>
            <w:pPr>
              <w:ind w:left="180"/>
              <w:spacing w:after="0" w:line="191" w:lineRule="exact"/>
              <w:rPr>
                <w:sz w:val="20"/>
                <w:szCs w:val="20"/>
                <w:color w:val="auto"/>
              </w:rPr>
            </w:pPr>
            <w:r>
              <w:rPr>
                <w:rFonts w:ascii="Arial" w:cs="Arial" w:eastAsia="Arial" w:hAnsi="Arial"/>
                <w:sz w:val="17"/>
                <w:szCs w:val="17"/>
                <w:color w:val="auto"/>
              </w:rPr>
              <w:t>Change in fair value of hedge</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8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(5,116)</w:t>
            </w:r>
          </w:p>
        </w:tc>
        <w:tc>
          <w:tcPr>
            <w:tcW w:w="0" w:type="dxa"/>
            <w:vAlign w:val="bottom"/>
          </w:tcPr>
          <w:p>
            <w:pPr>
              <w:spacing w:after="0"/>
              <w:rPr>
                <w:sz w:val="1"/>
                <w:szCs w:val="1"/>
                <w:color w:val="auto"/>
              </w:rPr>
            </w:pPr>
          </w:p>
        </w:tc>
      </w:tr>
      <w:tr>
        <w:trPr>
          <w:trHeight w:val="199"/>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w:t>
            </w: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value of hedge instruments</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1,844</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1,844</w:t>
            </w:r>
          </w:p>
        </w:tc>
        <w:tc>
          <w:tcPr>
            <w:tcW w:w="0" w:type="dxa"/>
            <w:vAlign w:val="bottom"/>
          </w:tcPr>
          <w:p>
            <w:pPr>
              <w:spacing w:after="0"/>
              <w:rPr>
                <w:sz w:val="1"/>
                <w:szCs w:val="1"/>
                <w:color w:val="auto"/>
              </w:rPr>
            </w:pPr>
          </w:p>
        </w:tc>
      </w:tr>
      <w:tr>
        <w:trPr>
          <w:trHeight w:val="209"/>
        </w:trPr>
        <w:tc>
          <w:tcPr>
            <w:tcW w:w="248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14,758</w:t>
            </w:r>
          </w:p>
        </w:tc>
        <w:tc>
          <w:tcPr>
            <w:tcW w:w="0" w:type="dxa"/>
            <w:vAlign w:val="bottom"/>
          </w:tcPr>
          <w:p>
            <w:pPr>
              <w:spacing w:after="0"/>
              <w:rPr>
                <w:sz w:val="1"/>
                <w:szCs w:val="1"/>
                <w:color w:val="auto"/>
              </w:rPr>
            </w:pPr>
          </w:p>
        </w:tc>
      </w:tr>
      <w:tr>
        <w:trPr>
          <w:trHeight w:val="26"/>
        </w:trPr>
        <w:tc>
          <w:tcPr>
            <w:tcW w:w="24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December 31, 2016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110,509</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1,105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424,246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401,887</w:t>
            </w:r>
          </w:p>
        </w:tc>
        <w:tc>
          <w:tcPr>
            <w:tcW w:w="0" w:type="dxa"/>
            <w:vAlign w:val="bottom"/>
          </w:tcPr>
          <w:p>
            <w:pPr>
              <w:spacing w:after="0"/>
              <w:rPr>
                <w:sz w:val="1"/>
                <w:szCs w:val="1"/>
                <w:color w:val="auto"/>
              </w:rPr>
            </w:pPr>
          </w:p>
        </w:tc>
      </w:tr>
      <w:tr>
        <w:trPr>
          <w:trHeight w:val="25"/>
        </w:trPr>
        <w:tc>
          <w:tcPr>
            <w:tcW w:w="2480" w:type="dxa"/>
            <w:vAlign w:val="bottom"/>
            <w:tcBorders>
              <w:top w:val="single" w:sz="8" w:color="CCEEFF"/>
              <w:right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Successor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r>
      <w:tr>
        <w:trPr>
          <w:trHeight w:val="166"/>
        </w:trPr>
        <w:tc>
          <w:tcPr>
            <w:tcW w:w="4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3"/>
                <w:szCs w:val="13"/>
                <w:color w:val="auto"/>
              </w:rPr>
            </w:pPr>
          </w:p>
        </w:tc>
        <w:tc>
          <w:tcPr>
            <w:tcW w:w="7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340" w:type="dxa"/>
            <w:vAlign w:val="bottom"/>
          </w:tcPr>
          <w:p>
            <w:pPr>
              <w:spacing w:after="0"/>
              <w:rPr>
                <w:sz w:val="13"/>
                <w:szCs w:val="13"/>
                <w:color w:val="auto"/>
              </w:rPr>
            </w:pPr>
          </w:p>
        </w:tc>
        <w:tc>
          <w:tcPr>
            <w:tcW w:w="112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January 2,</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100" w:type="dxa"/>
            <w:vAlign w:val="bottom"/>
          </w:tcPr>
          <w:p>
            <w:pPr>
              <w:spacing w:after="0"/>
              <w:rPr>
                <w:sz w:val="13"/>
                <w:szCs w:val="13"/>
                <w:color w:val="auto"/>
              </w:rPr>
            </w:pPr>
          </w:p>
        </w:tc>
        <w:tc>
          <w:tcPr>
            <w:tcW w:w="12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2013 to March 12,</w:t>
            </w:r>
          </w:p>
        </w:tc>
      </w:tr>
      <w:tr>
        <w:trPr>
          <w:trHeight w:val="172"/>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3,132</w:t>
            </w:r>
          </w:p>
        </w:tc>
      </w:tr>
      <w:tr>
        <w:trPr>
          <w:trHeight w:val="216"/>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Adjustments to reconcile net income (loss) to cash provided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by (used for) operating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Depreciation of property and equipment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42,804</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34,859</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24,037</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7,083</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9,210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7,529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Amortization of loan costs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3,816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2,844</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325</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leasehold interests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(1,267)</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loss on disposal of equipment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Deferred income tax expense (benefit)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1,528</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(12,016)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(934)</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 option compensation</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6,635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2,551</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1,358</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w:t>
            </w: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Changes in operating assets and liabilities (excluding the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4340" w:type="dxa"/>
            <w:vAlign w:val="bottom"/>
          </w:tcPr>
          <w:p>
            <w:pPr>
              <w:ind w:left="180"/>
              <w:spacing w:after="0"/>
              <w:rPr>
                <w:sz w:val="20"/>
                <w:szCs w:val="20"/>
                <w:color w:val="auto"/>
              </w:rPr>
            </w:pPr>
            <w:r>
              <w:rPr>
                <w:rFonts w:ascii="Arial" w:cs="Arial" w:eastAsia="Arial" w:hAnsi="Arial"/>
                <w:sz w:val="17"/>
                <w:szCs w:val="17"/>
                <w:color w:val="auto"/>
              </w:rPr>
              <w:t>effects of the acquisition):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(5,023)</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(1,813)</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(12,099)</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(8,608)</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(4,576)</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(4,153)</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(4,563)</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(4,453)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(6,416)</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11,556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(6,145)</w:t>
            </w:r>
          </w:p>
        </w:tc>
      </w:tr>
      <w:tr>
        <w:trPr>
          <w:trHeight w:val="228"/>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29,462</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10,079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39,476</w:t>
            </w: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97,588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83,131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17,996</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31,008</w:t>
            </w: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(90,026)</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(77,157)</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(40,536)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(11,485)</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investments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2"/>
        </w:trPr>
        <w:tc>
          <w:tcPr>
            <w:tcW w:w="434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(638)</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(473)</w:t>
            </w: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(80,051)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(11,958)</w:t>
            </w: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8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From December 29,</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12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January 2,</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100" w:type="dxa"/>
            <w:vAlign w:val="bottom"/>
          </w:tcPr>
          <w:p>
            <w:pPr>
              <w:spacing w:after="0"/>
              <w:rPr>
                <w:sz w:val="13"/>
                <w:szCs w:val="13"/>
                <w:color w:val="auto"/>
              </w:rPr>
            </w:pPr>
          </w:p>
        </w:tc>
        <w:tc>
          <w:tcPr>
            <w:tcW w:w="12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2013 to March 12,</w:t>
            </w: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148,185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624,469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shares of common stock</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429,166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stock options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Purchase of predecessor stock</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(644,257)</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transferred to escrow agent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Cash paid to holders of predecessor stock options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(56,283)</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payments on long-term debt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(6,515)</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(6,136)</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(295,750)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1,762</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capital lease obligations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revolving loan</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revolving loan</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Payment of deferred financing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(17,862)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 of transaction costs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Dividend to shareholders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(145,667)</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(2,551)</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Net cash (used for) provided by financing</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(6,574)</w:t>
            </w:r>
          </w:p>
        </w:tc>
        <w:tc>
          <w:tcPr>
            <w:tcW w:w="100" w:type="dxa"/>
            <w:vAlign w:val="bottom"/>
          </w:tcPr>
          <w:p>
            <w:pPr>
              <w:spacing w:after="0"/>
              <w:rPr>
                <w:sz w:val="18"/>
                <w:szCs w:val="1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(4,317)</w:t>
            </w:r>
          </w:p>
        </w:tc>
        <w:tc>
          <w:tcPr>
            <w:tcW w:w="80" w:type="dxa"/>
            <w:vAlign w:val="bottom"/>
          </w:tcPr>
          <w:p>
            <w:pPr>
              <w:spacing w:after="0"/>
              <w:rPr>
                <w:sz w:val="18"/>
                <w:szCs w:val="18"/>
                <w:color w:val="auto"/>
              </w:rPr>
            </w:pPr>
          </w:p>
        </w:tc>
        <w:tc>
          <w:tcPr>
            <w:tcW w:w="14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7"/>
                <w:szCs w:val="17"/>
                <w:color w:val="auto"/>
              </w:rPr>
              <w:t>7,130</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8"/>
        </w:trPr>
        <w:tc>
          <w:tcPr>
            <w:tcW w:w="4340" w:type="dxa"/>
            <w:vAlign w:val="bottom"/>
          </w:tcPr>
          <w:p>
            <w:pPr>
              <w:ind w:left="180"/>
              <w:spacing w:after="0"/>
              <w:rPr>
                <w:sz w:val="20"/>
                <w:szCs w:val="20"/>
                <w:color w:val="auto"/>
              </w:rPr>
            </w:pPr>
            <w:r>
              <w:rPr>
                <w:rFonts w:ascii="Arial" w:cs="Arial" w:eastAsia="Arial" w:hAnsi="Arial"/>
                <w:sz w:val="17"/>
                <w:szCs w:val="17"/>
                <w:color w:val="auto"/>
              </w:rPr>
              <w:t>activities</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(1,237)</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(18,614)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19,022</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25,446</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6,424</w:t>
            </w: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5,595</w:t>
            </w:r>
          </w:p>
        </w:tc>
        <w:tc>
          <w:tcPr>
            <w:tcW w:w="1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25,446</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Borders>
              <w:top w:val="single" w:sz="8" w:color="CCEEFF"/>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 ($000’s):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34,873</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33,386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22,688</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(received) paid for income taxes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Property and equipment accrued at the end of period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5,956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3,239</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Fixed assets acquired under capital lease obligations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1,073</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Non-cash issuance of common shares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repurchase of common shares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117"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National Vision Holdings, Inc. (“NVHI,” the “Company,” “we,” “our,” or “us”) is the parent company of Nautilus Acquisition Holdings, Inc. (“NAH”). NAH conducts substantially all of its activities through its direct wholly owned subsidiary, National Vision, Inc. (“NVI”) and NVI’s direct wholly owned subsidiaries. The Company was formed on February 14, 2014 for the purpose of acquiring NVI (the “Acquisition”). See Note 2 for further information regarding the Acquisition.</w:t>
      </w:r>
    </w:p>
    <w:p>
      <w:pPr>
        <w:spacing w:after="0" w:line="55"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are a leading value retailer and manufacturer of eyeglasses and value retailer of contact lenses in the United States. We operated 943 and 858 retail optical locations in the United States and its territories as of the years ended December 31, 2016 and January 2, 2016, respectively, through our five store brands, including America’s Best Contacts and Eyeglasses (“ABC”), Eyeglass World (“EGW”), Vista Optical locations on U.S. Army/Air Force military bases (“MIL”) and within Fred Meyer (“FM”) stores, and our management and services arrangement with Walmart (“legacy”).</w:t>
      </w:r>
    </w:p>
    <w:p>
      <w:pPr>
        <w:spacing w:after="0" w:line="76" w:lineRule="exact"/>
        <w:rPr>
          <w:sz w:val="20"/>
          <w:szCs w:val="20"/>
          <w:color w:val="auto"/>
        </w:rPr>
      </w:pPr>
    </w:p>
    <w:p>
      <w:pPr>
        <w:ind w:right="140" w:firstLine="347"/>
        <w:spacing w:after="0" w:line="284" w:lineRule="auto"/>
        <w:rPr>
          <w:sz w:val="20"/>
          <w:szCs w:val="20"/>
          <w:color w:val="auto"/>
        </w:rPr>
      </w:pPr>
      <w:r>
        <w:rPr>
          <w:rFonts w:ascii="Arial" w:cs="Arial" w:eastAsia="Arial" w:hAnsi="Arial"/>
          <w:sz w:val="16"/>
          <w:szCs w:val="16"/>
          <w:color w:val="auto"/>
        </w:rPr>
        <w:t>We sell contact lenses and optical accessory products to retail customers through our wholly owned e-commerce subsidiary, Arlington Contact Lens Service, Inc. (“AC Lens”). AC Lens operates several of its own proprietary retail web sites as well as web sites on behalf of certain independent retailers and insurance companies. AC Lens also distributes contact lenses to Walmart and Sam’s Club under fee for services arrangements. Under the associated agreements, AC Lens sells contact lens products to Walmart and Sam’s Club store locations at its cost, and earns a fulfillment fee per order shipped.</w:t>
      </w:r>
    </w:p>
    <w:p>
      <w:pPr>
        <w:spacing w:after="0" w:line="59"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sell single service health plans in connection with the operations of ABC in California, and arrange for the provision of eye exams at retail locations throughout California through our wholly-owned specialized health maintenance organization (“HMO”), FirstSight Vision Services, Inc. (“FSI”). As of December 31, 2016, FSI operated 162 optometric offices, 152 in Walmart locations in California, of which 43 are adjacent to vision centers we manage and that FSI subleases from us and 109 that are leased directly from Walmart, as well as 10 adjacent to EGW stores. In addition to providing optometric services in all locations, in certain of these locations FSI sells contact lenses to its members.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117"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We operate on a fiscal calendar widely used by the retail industry that results in a given fiscal year consisting of a 52- or 53-week period ending on the last Saturday in December or the first Saturday in January of the next calendar year. In a 52-week fiscal year, each quarter contains 13 weeks of operations; in a 53-week fiscal year, each of the first, second and third quarters includes 13 weeks of operations and the fourth quarter includes 14 weeks of operations.</w:t>
      </w:r>
    </w:p>
    <w:p>
      <w:pPr>
        <w:spacing w:after="0" w:line="72"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References herein to “fiscal year 2016” relate to the 52 weeks ended December 31, 2016. References herein to “fiscal year 2015” relate to the 52 weeks ended January 2, 2016.</w:t>
      </w:r>
    </w:p>
    <w:p>
      <w:pPr>
        <w:spacing w:after="0" w:line="54" w:lineRule="exact"/>
        <w:rPr>
          <w:sz w:val="20"/>
          <w:szCs w:val="20"/>
          <w:color w:val="auto"/>
        </w:rPr>
      </w:pPr>
    </w:p>
    <w:p>
      <w:pPr>
        <w:ind w:right="200" w:firstLine="347"/>
        <w:spacing w:after="0" w:line="307" w:lineRule="auto"/>
        <w:rPr>
          <w:sz w:val="20"/>
          <w:szCs w:val="20"/>
          <w:color w:val="auto"/>
        </w:rPr>
      </w:pPr>
      <w:r>
        <w:rPr>
          <w:rFonts w:ascii="Arial" w:cs="Arial" w:eastAsia="Arial" w:hAnsi="Arial"/>
          <w:sz w:val="15"/>
          <w:szCs w:val="15"/>
          <w:color w:val="auto"/>
        </w:rPr>
        <w:t>For the purpose of discussing our financial results, we refer to ourselves as the “Successor” in the periods following the Acquisition and the “Predecessor” during the periods preceding the Acquisition. References herein to the Successor period ended January 3, 2015 (“2014 Successor period”) relate to the period from March 13, 2014 to January 3, 2015. References herein to the Predecessor period ended March 12, 2014 (“2014 Predecessor period”) relate to the period from December 29, 2013 to March 12, 2014. Unless otherwise stated, references to years in this report relate to fiscal years rather than calendar years.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 and Principles of Consolidation</w:t>
      </w:r>
    </w:p>
    <w:p>
      <w:pPr>
        <w:spacing w:after="0" w:line="117" w:lineRule="exact"/>
        <w:rPr>
          <w:sz w:val="20"/>
          <w:szCs w:val="20"/>
          <w:color w:val="auto"/>
        </w:rPr>
      </w:pPr>
    </w:p>
    <w:p>
      <w:pPr>
        <w:jc w:val="both"/>
        <w:ind w:right="280" w:firstLine="347"/>
        <w:spacing w:after="0" w:line="323" w:lineRule="auto"/>
        <w:rPr>
          <w:sz w:val="20"/>
          <w:szCs w:val="20"/>
          <w:color w:val="auto"/>
        </w:rPr>
      </w:pPr>
      <w:r>
        <w:rPr>
          <w:rFonts w:ascii="Arial" w:cs="Arial" w:eastAsia="Arial" w:hAnsi="Arial"/>
          <w:sz w:val="15"/>
          <w:szCs w:val="15"/>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4" w:name="page195"/>
    <w:bookmarkEnd w:id="19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4760" w:hanging="1"/>
        <w:spacing w:after="0" w:line="355" w:lineRule="auto"/>
        <w:tabs>
          <w:tab w:leader="none" w:pos="261"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Use of Estimates</w:t>
      </w:r>
    </w:p>
    <w:p>
      <w:pPr>
        <w:spacing w:after="0" w:line="1" w:lineRule="exact"/>
        <w:rPr>
          <w:sz w:val="20"/>
          <w:szCs w:val="20"/>
          <w:color w:val="auto"/>
        </w:rPr>
      </w:pPr>
    </w:p>
    <w:p>
      <w:pPr>
        <w:ind w:left="1" w:right="100" w:firstLine="347"/>
        <w:spacing w:after="0" w:line="26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Property and equipment (“P&amp;E”) is stated at cost less accumulated depreciation. Depreciation associated with P&amp;E is presented in depreciation and amortization in the accompanying consolidated statements of operations and comprehensive income (loss). When we retire or otherwise dispose of P&amp;E, the cost and related accumulated depreciation are removed from the accounts and any gain or loss on sale of such assets is included in selling, general, and administrative (“SG&amp;A”) expenses in the consolidated statements of operations and comprehensive income (loss). Major replacements, remodeling, or betterments are capitalized. Expenditures for maintenance and repairs are charged to SG&amp;A.</w:t>
      </w:r>
    </w:p>
    <w:p>
      <w:pPr>
        <w:spacing w:after="0" w:line="6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P&amp;E is depreciated using the straight-line method over the following estimated useful lives: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years</w:t>
            </w:r>
          </w:p>
        </w:tc>
      </w:tr>
      <w:tr>
        <w:trPr>
          <w:trHeight w:val="235"/>
        </w:trPr>
        <w:tc>
          <w:tcPr>
            <w:tcW w:w="4940" w:type="dxa"/>
            <w:vAlign w:val="bottom"/>
            <w:gridSpan w:val="2"/>
          </w:tcPr>
          <w:p>
            <w:pPr>
              <w:spacing w:after="0" w:line="235" w:lineRule="exact"/>
              <w:rPr>
                <w:sz w:val="20"/>
                <w:szCs w:val="20"/>
                <w:color w:val="auto"/>
              </w:rPr>
            </w:pPr>
            <w:r>
              <w:rPr>
                <w:rFonts w:ascii="Arial" w:cs="Arial" w:eastAsia="Arial" w:hAnsi="Arial"/>
                <w:sz w:val="17"/>
                <w:szCs w:val="17"/>
                <w:color w:val="auto"/>
              </w:rPr>
              <w:t>Land improvements</w:t>
            </w:r>
            <w:r>
              <w:rPr>
                <w:rFonts w:ascii="Arial" w:cs="Arial" w:eastAsia="Arial" w:hAnsi="Arial"/>
                <w:sz w:val="27"/>
                <w:szCs w:val="27"/>
                <w:color w:val="auto"/>
                <w:vertAlign w:val="superscript"/>
              </w:rPr>
              <w:t>(a)</w:t>
            </w:r>
          </w:p>
        </w:tc>
        <w:tc>
          <w:tcPr>
            <w:tcW w:w="4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494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Equipment</w:t>
            </w:r>
            <w:r>
              <w:rPr>
                <w:rFonts w:ascii="Arial" w:cs="Arial" w:eastAsia="Arial" w:hAnsi="Arial"/>
                <w:sz w:val="27"/>
                <w:szCs w:val="27"/>
                <w:color w:val="auto"/>
                <w:vertAlign w:val="superscript"/>
              </w:rPr>
              <w:t>(b)</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5 - 7 years</w:t>
            </w:r>
          </w:p>
        </w:tc>
      </w:tr>
      <w:tr>
        <w:trPr>
          <w:trHeight w:val="228"/>
        </w:trPr>
        <w:tc>
          <w:tcPr>
            <w:tcW w:w="4940" w:type="dxa"/>
            <w:vAlign w:val="bottom"/>
            <w:gridSpan w:val="2"/>
          </w:tcPr>
          <w:p>
            <w:pPr>
              <w:spacing w:after="0"/>
              <w:rPr>
                <w:sz w:val="20"/>
                <w:szCs w:val="20"/>
                <w:color w:val="auto"/>
              </w:rPr>
            </w:pPr>
            <w:r>
              <w:rPr>
                <w:rFonts w:ascii="Arial" w:cs="Arial" w:eastAsia="Arial" w:hAnsi="Arial"/>
                <w:sz w:val="17"/>
                <w:szCs w:val="17"/>
                <w:color w:val="auto"/>
              </w:rPr>
              <w:t>Information systems hardware and software</w:t>
            </w:r>
          </w:p>
        </w:tc>
        <w:tc>
          <w:tcPr>
            <w:tcW w:w="4280" w:type="dxa"/>
            <w:vAlign w:val="bottom"/>
          </w:tcPr>
          <w:p>
            <w:pPr>
              <w:jc w:val="right"/>
              <w:spacing w:after="0"/>
              <w:rPr>
                <w:sz w:val="20"/>
                <w:szCs w:val="20"/>
                <w:color w:val="auto"/>
              </w:rPr>
            </w:pPr>
            <w:r>
              <w:rPr>
                <w:rFonts w:ascii="Arial" w:cs="Arial" w:eastAsia="Arial" w:hAnsi="Arial"/>
                <w:sz w:val="17"/>
                <w:szCs w:val="17"/>
                <w:color w:val="auto"/>
              </w:rPr>
              <w:t>3 - 5 years</w:t>
            </w:r>
          </w:p>
        </w:tc>
      </w:tr>
      <w:tr>
        <w:trPr>
          <w:trHeight w:val="241"/>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years</w:t>
            </w:r>
          </w:p>
        </w:tc>
      </w:tr>
      <w:tr>
        <w:trPr>
          <w:trHeight w:val="235"/>
        </w:trPr>
        <w:tc>
          <w:tcPr>
            <w:tcW w:w="4940" w:type="dxa"/>
            <w:vAlign w:val="bottom"/>
            <w:gridSpan w:val="2"/>
          </w:tcPr>
          <w:p>
            <w:pPr>
              <w:spacing w:after="0" w:line="235" w:lineRule="exact"/>
              <w:rPr>
                <w:sz w:val="20"/>
                <w:szCs w:val="20"/>
                <w:color w:val="auto"/>
              </w:rPr>
            </w:pPr>
            <w:r>
              <w:rPr>
                <w:rFonts w:ascii="Arial" w:cs="Arial" w:eastAsia="Arial" w:hAnsi="Arial"/>
                <w:sz w:val="17"/>
                <w:szCs w:val="17"/>
                <w:color w:val="auto"/>
              </w:rPr>
              <w:t>Leasehold improvements</w:t>
            </w:r>
            <w:r>
              <w:rPr>
                <w:rFonts w:ascii="Arial" w:cs="Arial" w:eastAsia="Arial" w:hAnsi="Arial"/>
                <w:sz w:val="27"/>
                <w:szCs w:val="27"/>
                <w:color w:val="auto"/>
                <w:vertAlign w:val="superscript"/>
              </w:rPr>
              <w:t>(a)</w:t>
            </w:r>
          </w:p>
        </w:tc>
        <w:tc>
          <w:tcPr>
            <w:tcW w:w="4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P&amp;E under capital leases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Shorter of useful life or lease term</w:t>
            </w:r>
          </w:p>
        </w:tc>
      </w:tr>
      <w:tr>
        <w:trPr>
          <w:trHeight w:val="183"/>
        </w:trPr>
        <w:tc>
          <w:tcPr>
            <w:tcW w:w="1380" w:type="dxa"/>
            <w:vAlign w:val="bottom"/>
            <w:tcBorders>
              <w:bottom w:val="single" w:sz="8" w:color="auto"/>
            </w:tcBorders>
          </w:tcPr>
          <w:p>
            <w:pPr>
              <w:spacing w:after="0"/>
              <w:rPr>
                <w:sz w:val="15"/>
                <w:szCs w:val="15"/>
                <w:color w:val="auto"/>
              </w:rPr>
            </w:pPr>
          </w:p>
        </w:tc>
        <w:tc>
          <w:tcPr>
            <w:tcW w:w="356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99" w:lineRule="exact"/>
        <w:rPr>
          <w:sz w:val="20"/>
          <w:szCs w:val="20"/>
          <w:color w:val="auto"/>
        </w:rPr>
      </w:pPr>
    </w:p>
    <w:p>
      <w:pPr>
        <w:ind w:left="341" w:right="20" w:hanging="341"/>
        <w:spacing w:after="0" w:line="296" w:lineRule="auto"/>
        <w:tabs>
          <w:tab w:leader="none" w:pos="34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Depreciation of leasehold and land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48" w:lineRule="exact"/>
        <w:rPr>
          <w:rFonts w:ascii="Arial" w:cs="Arial" w:eastAsia="Arial" w:hAnsi="Arial"/>
          <w:sz w:val="13"/>
          <w:szCs w:val="13"/>
          <w:color w:val="auto"/>
        </w:rPr>
      </w:pPr>
    </w:p>
    <w:p>
      <w:pPr>
        <w:ind w:left="341" w:right="500" w:hanging="341"/>
        <w:spacing w:after="0" w:line="258" w:lineRule="auto"/>
        <w:tabs>
          <w:tab w:leader="none" w:pos="34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equipment.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evaluated annually for impairment.</w:t>
      </w:r>
    </w:p>
    <w:p>
      <w:pPr>
        <w:spacing w:after="0" w:line="54" w:lineRule="exact"/>
        <w:rPr>
          <w:sz w:val="20"/>
          <w:szCs w:val="20"/>
          <w:color w:val="auto"/>
        </w:rPr>
      </w:pPr>
    </w:p>
    <w:p>
      <w:pPr>
        <w:ind w:left="1" w:right="160" w:firstLine="347"/>
        <w:spacing w:after="0" w:line="312" w:lineRule="auto"/>
        <w:rPr>
          <w:sz w:val="20"/>
          <w:szCs w:val="20"/>
          <w:color w:val="auto"/>
        </w:rPr>
      </w:pPr>
      <w:r>
        <w:rPr>
          <w:rFonts w:ascii="Arial" w:cs="Arial" w:eastAsia="Arial" w:hAnsi="Arial"/>
          <w:sz w:val="15"/>
          <w:szCs w:val="15"/>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 Amortization expense associated with definite-lived intangible assets is presented in depreciation and amortization in the accompanying consolidated statements of operations and comprehensive income (loss).</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left="1" w:right="140" w:firstLine="347"/>
        <w:spacing w:after="0" w:line="262"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 Our annual testing date for impairment of goodwill and indefinite-lived intangible assets is the first day of the fourth fiscal quarter, which for fiscal years 2016 and 2015 was October 2, 2016, and October 4, 2015, respectively.</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Impairment of P&amp;E</w:t>
      </w:r>
    </w:p>
    <w:p>
      <w:pPr>
        <w:spacing w:after="0" w:line="117" w:lineRule="exact"/>
        <w:rPr>
          <w:sz w:val="20"/>
          <w:szCs w:val="20"/>
          <w:color w:val="auto"/>
        </w:rPr>
      </w:pPr>
    </w:p>
    <w:p>
      <w:pPr>
        <w:ind w:left="1" w:right="260" w:firstLine="347"/>
        <w:spacing w:after="0" w:line="287" w:lineRule="auto"/>
        <w:rPr>
          <w:sz w:val="20"/>
          <w:szCs w:val="20"/>
          <w:color w:val="auto"/>
        </w:rPr>
      </w:pPr>
      <w:r>
        <w:rPr>
          <w:rFonts w:ascii="Arial" w:cs="Arial" w:eastAsia="Arial" w:hAnsi="Arial"/>
          <w:sz w:val="17"/>
          <w:szCs w:val="17"/>
          <w:color w:val="auto"/>
        </w:rPr>
        <w:t>We evaluate long-lived tangible store assets at an individual store level, which is the lowest level at which independent cash flows can be identified, when events or conditions indicate the carrying value of such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34" w:lineRule="exact"/>
        <w:rPr>
          <w:sz w:val="20"/>
          <w:szCs w:val="20"/>
          <w:color w:val="auto"/>
        </w:rPr>
      </w:pPr>
    </w:p>
    <w:p>
      <w:pPr>
        <w:ind w:right="520" w:firstLine="347"/>
        <w:spacing w:after="0" w:line="312" w:lineRule="auto"/>
        <w:rPr>
          <w:sz w:val="20"/>
          <w:szCs w:val="20"/>
          <w:color w:val="auto"/>
        </w:rPr>
      </w:pPr>
      <w:r>
        <w:rPr>
          <w:rFonts w:ascii="Arial" w:cs="Arial" w:eastAsia="Arial" w:hAnsi="Arial"/>
          <w:sz w:val="15"/>
          <w:szCs w:val="15"/>
          <w:color w:val="auto"/>
        </w:rPr>
        <w:t>In circumstances where a discounted cash flow analysis is not appropriate for assessing impairment of P&amp;E, we use a liquidation approach, whereby we estimate the fair value of the subject assets based on the expected sales value that a market participant would be willing to pay for the assets in their current location and condition, net of expected cost to remove and transport the assets to the buyer where applicable. Refer to Note 4 for further detail on impairment testing results.</w:t>
      </w:r>
    </w:p>
    <w:p>
      <w:pPr>
        <w:spacing w:after="0" w:line="42"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As a result of our tests for impairment of our retail store long-lived assets classified as held and used, impairment of $1.2 million, $2.4 million, and $0.4 million was recorded for fiscal year 2016 (Successor), fiscal year 2015 (Successor), and the 2014 Successor period, respectively. No impairment was identified in the 2014 Predecessor period. As of fiscal year end 2016 (Successor), the remaining fair value of the impaired assets was $38 thousand. As of fiscal year end 2015 (Successor), there was no remaining fair value of the impaired assets.</w:t>
      </w:r>
    </w:p>
    <w:p>
      <w:pPr>
        <w:spacing w:after="0" w:line="76"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 There was no impairment associated with software costs in fiscal year 2016 (Successor). An impairment loss of $0.5 million was recorded in fiscal year 2015 (Successor) associated with software that was replaced during the year. No impairment was identified in the 2014 Successor period or 2014 Predecessor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goodwill and intangible assets</w:t>
      </w:r>
    </w:p>
    <w:p>
      <w:pPr>
        <w:spacing w:after="0" w:line="117" w:lineRule="exact"/>
        <w:rPr>
          <w:sz w:val="20"/>
          <w:szCs w:val="20"/>
          <w:color w:val="auto"/>
        </w:rPr>
      </w:pPr>
    </w:p>
    <w:p>
      <w:pPr>
        <w:ind w:right="200" w:firstLine="347"/>
        <w:spacing w:after="0" w:line="266"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 (Level 3 inputs).</w:t>
      </w:r>
    </w:p>
    <w:p>
      <w:pPr>
        <w:spacing w:after="0" w:line="72" w:lineRule="exact"/>
        <w:rPr>
          <w:sz w:val="20"/>
          <w:szCs w:val="20"/>
          <w:color w:val="auto"/>
        </w:rPr>
      </w:pPr>
    </w:p>
    <w:p>
      <w:pPr>
        <w:ind w:right="60" w:firstLine="347"/>
        <w:spacing w:after="0" w:line="284" w:lineRule="auto"/>
        <w:rPr>
          <w:sz w:val="20"/>
          <w:szCs w:val="20"/>
          <w:color w:val="auto"/>
        </w:rPr>
      </w:pPr>
      <w:r>
        <w:rPr>
          <w:rFonts w:ascii="Arial" w:cs="Arial" w:eastAsia="Arial" w:hAnsi="Arial"/>
          <w:sz w:val="16"/>
          <w:szCs w:val="16"/>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(Level 3 inputs). We record an impairment loss as the excess of carrying value over estimated fair value.</w:t>
      </w:r>
    </w:p>
    <w:p>
      <w:pPr>
        <w:spacing w:after="0" w:line="59"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We utilize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(Level 3 inputs) and require significant judgment. If the carrying amount of a reporting unit exceeds its fair value, the Company compares the implied fair value of the reporting unit goodwill with its carrying value. To compute the implied fair value of goodwill, the Company assigns the fair value of the reporting unit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 An impairment charge is recognized for the amount, if any, by which the carrying amount of goodwill exceeds its implied fair value. See Note 4 for further detail on goodwill impairment.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6" w:name="page197"/>
    <w:bookmarkEnd w:id="19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4740" w:hanging="1"/>
        <w:spacing w:after="0" w:line="355" w:lineRule="auto"/>
        <w:tabs>
          <w:tab w:leader="none" w:pos="261"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Revenue Recognition</w:t>
      </w:r>
    </w:p>
    <w:p>
      <w:pPr>
        <w:spacing w:after="0" w:line="1" w:lineRule="exact"/>
        <w:rPr>
          <w:sz w:val="20"/>
          <w:szCs w:val="20"/>
          <w:color w:val="auto"/>
        </w:rPr>
      </w:pPr>
    </w:p>
    <w:p>
      <w:pPr>
        <w:ind w:left="1" w:right="60" w:firstLine="347"/>
        <w:spacing w:after="0" w:line="312" w:lineRule="auto"/>
        <w:rPr>
          <w:sz w:val="20"/>
          <w:szCs w:val="20"/>
          <w:color w:val="auto"/>
        </w:rPr>
      </w:pPr>
      <w:r>
        <w:rPr>
          <w:rFonts w:ascii="Arial" w:cs="Arial" w:eastAsia="Arial" w:hAnsi="Arial"/>
          <w:sz w:val="15"/>
          <w:szCs w:val="15"/>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for our legacy partner, and fulfillment fees earned by AC Lens.</w:t>
      </w:r>
    </w:p>
    <w:p>
      <w:pPr>
        <w:spacing w:after="0" w:line="42" w:lineRule="exact"/>
        <w:rPr>
          <w:sz w:val="20"/>
          <w:szCs w:val="20"/>
          <w:color w:val="auto"/>
        </w:rPr>
      </w:pPr>
    </w:p>
    <w:p>
      <w:pPr>
        <w:ind w:left="1" w:right="80" w:firstLine="347"/>
        <w:spacing w:after="0" w:line="262" w:lineRule="auto"/>
        <w:rPr>
          <w:sz w:val="20"/>
          <w:szCs w:val="20"/>
          <w:color w:val="auto"/>
        </w:rPr>
      </w:pPr>
      <w:r>
        <w:rPr>
          <w:rFonts w:ascii="Arial" w:cs="Arial" w:eastAsia="Arial" w:hAnsi="Arial"/>
          <w:sz w:val="17"/>
          <w:szCs w:val="17"/>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delivery times throughout the concurrent month and generally ranges from four to 10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75" w:lineRule="exact"/>
        <w:rPr>
          <w:sz w:val="20"/>
          <w:szCs w:val="20"/>
          <w:color w:val="auto"/>
        </w:rPr>
      </w:pPr>
    </w:p>
    <w:p>
      <w:pPr>
        <w:ind w:left="1" w:right="140" w:firstLine="347"/>
        <w:spacing w:after="0" w:line="281" w:lineRule="auto"/>
        <w:rPr>
          <w:sz w:val="20"/>
          <w:szCs w:val="20"/>
          <w:color w:val="auto"/>
        </w:rPr>
      </w:pPr>
      <w:r>
        <w:rPr>
          <w:rFonts w:ascii="Arial" w:cs="Arial" w:eastAsia="Arial" w:hAnsi="Arial"/>
          <w:sz w:val="16"/>
          <w:szCs w:val="16"/>
          <w:color w:val="auto"/>
        </w:rPr>
        <w:t>At our ABC brand, our lead offer is two pairs of eyeglasses and a free eye exam for one low price (“two-pair deal”). We concluded the offer represents a multiple element arrangement. The Company has determined that the eye examinations sold to its ABC customers within its two-pair deal represent a separate unit of accounting. However, the arrangement with the customer requires delivery of acceptable prescription eyeglasses, otherwise the Company refunds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3"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FSI subsidiary. We recognize service revenue under these programs on a straight-line basis over the warranty or service period. Amounts collected in advance for these programs are reported as deferred revenue in the accompanying consolidated balance sheets. Refer to Note 12 for further details.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Applicable To Revenue</w:t>
      </w:r>
    </w:p>
    <w:p>
      <w:pPr>
        <w:spacing w:after="0" w:line="117" w:lineRule="exact"/>
        <w:rPr>
          <w:sz w:val="20"/>
          <w:szCs w:val="20"/>
          <w:color w:val="auto"/>
        </w:rPr>
      </w:pPr>
    </w:p>
    <w:p>
      <w:pPr>
        <w:ind w:left="1" w:right="200" w:firstLine="347"/>
        <w:spacing w:after="0" w:line="281" w:lineRule="auto"/>
        <w:rPr>
          <w:sz w:val="20"/>
          <w:szCs w:val="20"/>
          <w:color w:val="auto"/>
        </w:rPr>
      </w:pPr>
      <w:r>
        <w:rPr>
          <w:rFonts w:ascii="Arial" w:cs="Arial" w:eastAsia="Arial" w:hAnsi="Arial"/>
          <w:sz w:val="16"/>
          <w:szCs w:val="16"/>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w:t>
      </w:r>
    </w:p>
    <w:p>
      <w:pPr>
        <w:spacing w:after="0" w:line="63" w:lineRule="exact"/>
        <w:rPr>
          <w:sz w:val="20"/>
          <w:szCs w:val="20"/>
          <w:color w:val="auto"/>
        </w:rPr>
      </w:pPr>
    </w:p>
    <w:p>
      <w:pPr>
        <w:ind w:left="1" w:right="60" w:firstLine="347"/>
        <w:spacing w:after="0" w:line="278" w:lineRule="auto"/>
        <w:rPr>
          <w:sz w:val="20"/>
          <w:szCs w:val="20"/>
          <w:color w:val="auto"/>
        </w:rPr>
      </w:pPr>
      <w:r>
        <w:rPr>
          <w:rFonts w:ascii="Arial" w:cs="Arial" w:eastAsia="Arial" w:hAnsi="Arial"/>
          <w:sz w:val="16"/>
          <w:szCs w:val="16"/>
          <w:color w:val="auto"/>
        </w:rPr>
        <w:t>As a component of the Company’s consolidated procurement program, the Company frequently enters into contracts with vendors that provide for payments of rebates or other allowances. These vendor payments are reflected in the carrying value of the inventory when earned or as progress is made toward earning the rebate or allowance and as a component of cost of products as the inventory is sold. Certain of these vendor contracts provide for rebates and other allowances that are dependent upon the Company meeting specified performance measures such as a cumulative level of purchases over a specified period of time. Such rebates and other allowances are given accounting recognition at the point at which achievement of the specified performance measures is deemed to be probable and reasonably estimable. Vendor rebates and allowances were less than 2.0% of costs of products for fiscal years 2016 and 2015, the 2014 Successor period, and the 2014 Predecessor period.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left="1" w:right="80" w:firstLine="347"/>
        <w:spacing w:after="0" w:line="287" w:lineRule="auto"/>
        <w:rPr>
          <w:sz w:val="20"/>
          <w:szCs w:val="20"/>
          <w:color w:val="auto"/>
        </w:rPr>
      </w:pPr>
      <w:r>
        <w:rPr>
          <w:rFonts w:ascii="Arial" w:cs="Arial" w:eastAsia="Arial" w:hAnsi="Arial"/>
          <w:sz w:val="17"/>
          <w:szCs w:val="17"/>
          <w:color w:val="auto"/>
        </w:rPr>
        <w:t>SG&amp;A includes store associate payroll, taxes, and benefits, store occupancy, advertising and promotion, field supervision, and corporate support.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4" w:right="135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Advertising and promotion costs, including online marketing arrangements, newspaper, direct mail, television and radio, are recorded in SG&amp;A and expensed at the time the advertising first takes place. Production costs of future media advertising and related promotional campaigns are deferred until the advertising events first occur. Advertising expenses were $85.4 million for fiscal year 2016 (Successor), $77.0 million for fiscal year 2015 (Successor), $45.6 million in the 2014 Successor period, and $13.2 million in the 2014 Predecessor Period.</w:t>
      </w:r>
    </w:p>
    <w:p>
      <w:pPr>
        <w:spacing w:after="0" w:line="76"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Non-capital expenditures associated with opening new stores, including rent, store remodels, marketing expenses, travel and relocation costs, and training costs, are recorded in SG&amp;A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We lease our retail stores, optometric examination offices, distribution centers, vehicles, office space and optical labs, with the exception of our St. Cloud, Minnesota lab, which we own. Rent expense on operating leases is recorded in SG&amp;A on a straight-line basis over the term of the lease, commencing on the date the Company takes possession of the leased property. Generally, the Company is required to pay base rent, real estate taxes, maintenance, and insurance. Certain of our lease agreements include rent holidays and rent escalation provisions and may include contingent rent provisions for percentage of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Deferred rent is included in non-current other liabilities on the accompanying consolidated balance sheets.</w:t>
      </w:r>
    </w:p>
    <w:p>
      <w:pPr>
        <w:spacing w:after="0" w:line="83" w:lineRule="exact"/>
        <w:rPr>
          <w:sz w:val="20"/>
          <w:szCs w:val="20"/>
          <w:color w:val="auto"/>
        </w:rPr>
      </w:pPr>
    </w:p>
    <w:p>
      <w:pPr>
        <w:ind w:right="40" w:firstLine="347"/>
        <w:spacing w:after="0" w:line="312" w:lineRule="auto"/>
        <w:rPr>
          <w:sz w:val="20"/>
          <w:szCs w:val="20"/>
          <w:color w:val="auto"/>
        </w:rPr>
      </w:pPr>
      <w:r>
        <w:rPr>
          <w:rFonts w:ascii="Arial" w:cs="Arial" w:eastAsia="Arial" w:hAnsi="Arial"/>
          <w:sz w:val="15"/>
          <w:szCs w:val="15"/>
          <w:color w:val="auto"/>
        </w:rPr>
        <w:t>For leases classified as capital leases, the capital lease asset is recorded as P&amp;E and a corresponding amount is recorded as a long-term debt obligation in the accompanying consolidated balance sheets at an amount equal to the lesser of the net present value of minimum lease payments to be made over the lease term or the fair value of the property being leased. The Company allocates each lease payment between a reduction of the lease obligation and interest expense using the effective interest method.</w:t>
      </w:r>
    </w:p>
    <w:p>
      <w:pPr>
        <w:spacing w:after="0" w:line="42" w:lineRule="exact"/>
        <w:rPr>
          <w:sz w:val="20"/>
          <w:szCs w:val="20"/>
          <w:color w:val="auto"/>
        </w:rPr>
      </w:pPr>
    </w:p>
    <w:p>
      <w:pPr>
        <w:ind w:right="80" w:firstLine="347"/>
        <w:spacing w:after="0" w:line="287" w:lineRule="auto"/>
        <w:rPr>
          <w:sz w:val="20"/>
          <w:szCs w:val="20"/>
          <w:color w:val="auto"/>
        </w:rPr>
      </w:pPr>
      <w:r>
        <w:rPr>
          <w:rFonts w:ascii="Arial" w:cs="Arial" w:eastAsia="Arial" w:hAnsi="Arial"/>
          <w:sz w:val="17"/>
          <w:szCs w:val="17"/>
          <w:color w:val="auto"/>
        </w:rPr>
        <w:t>See Note 5 for further details related to our capital lease commitments, and Note 13 for further details related to our operating lease commitments.</w:t>
      </w:r>
    </w:p>
    <w:p>
      <w:pPr>
        <w:spacing w:after="0" w:line="54"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Tenant improvement allowances (“TIAs”) are contractual amounts received by a lessee from a lessor for improvements made to leased properties by the lessee. TIAs are recorded in other non-current liabilities in the accompanying consolidated balance sheets, and are amortized against rent expense over the life of the respective leases. Receivables from the lessor are recorded in accounts receivable in the accompanying consolidated balance sheets.</w:t>
      </w:r>
    </w:p>
    <w:p>
      <w:pPr>
        <w:spacing w:after="0" w:line="55" w:lineRule="exact"/>
        <w:rPr>
          <w:sz w:val="20"/>
          <w:szCs w:val="20"/>
          <w:color w:val="auto"/>
        </w:rPr>
      </w:pPr>
    </w:p>
    <w:p>
      <w:pPr>
        <w:ind w:firstLine="347"/>
        <w:spacing w:after="0" w:line="312" w:lineRule="auto"/>
        <w:rPr>
          <w:sz w:val="20"/>
          <w:szCs w:val="20"/>
          <w:color w:val="auto"/>
        </w:rPr>
      </w:pPr>
      <w:r>
        <w:rPr>
          <w:rFonts w:ascii="Arial" w:cs="Arial" w:eastAsia="Arial" w:hAnsi="Arial"/>
          <w:sz w:val="15"/>
          <w:szCs w:val="15"/>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 Store closure costs are recorded in current and non-current other liabilities in the accompanying consolidated balance sheets and are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17" w:lineRule="exact"/>
        <w:rPr>
          <w:sz w:val="20"/>
          <w:szCs w:val="20"/>
          <w:color w:val="auto"/>
        </w:rPr>
      </w:pPr>
    </w:p>
    <w:p>
      <w:pPr>
        <w:ind w:right="220" w:firstLine="347"/>
        <w:spacing w:after="0" w:line="312" w:lineRule="auto"/>
        <w:rPr>
          <w:sz w:val="20"/>
          <w:szCs w:val="20"/>
          <w:color w:val="auto"/>
        </w:rPr>
      </w:pPr>
      <w:r>
        <w:rPr>
          <w:rFonts w:ascii="Arial" w:cs="Arial" w:eastAsia="Arial" w:hAnsi="Arial"/>
          <w:sz w:val="15"/>
          <w:szCs w:val="15"/>
          <w:color w:val="auto"/>
        </w:rPr>
        <w:t>We measure stock-based compensation cost, which consists of grants of stock options to employees, based on the estimated grant date fair value of the awards. We recognize compensation costs for time-based vesting awards over the requisite service period. For awards that are subject to performance conditions, we recognize compensation expense once achievement of the conditions is considered to be probable. Our share-based compensation plans are described further in Note 6.</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account for deferred income taxes based on the asset and liability method. The Company must make certain estimates and judgments in determining income tax expense. The Company is required to determine the aggregate amount of income tax expense to accrue and the amount which will be currently payable or refundable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59"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2"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8"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Cash consists of currency and demand deposits with banks.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 The Company also reviews cash balances on a bank by bank basis to identify book overdrafts. Book overdrafts occur when the amount of outstanding checks exceed the cash deposited at a bank. The Company reclassifies book overdrafts, if any, to accounts payable.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Net</w:t>
      </w:r>
    </w:p>
    <w:p>
      <w:pPr>
        <w:spacing w:after="0" w:line="117"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Accounts receivable consists primarily of credit card receivables and receivables from health care plans and programs located throughout the United States (“managed care”). Accounts receivable are reduced by allowances for amounts that may become uncollectible. Estimates of our allowance for uncollectible accounts are based on our historical and current operating, billing, and collection trends.</w:t>
      </w:r>
    </w:p>
    <w:p>
      <w:pPr>
        <w:spacing w:after="0" w:line="72"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Managed care represents 38% of accounts receivable, net, presented in the accompanying consolidated balance sheet as of fiscal year end 2016 (Successor). A relatively small number of payors comprise the majority of our managed care receivables, which potentially subjects us to concentration of credit risk. We monitor the financial condition of managed care payors and establish an allowance for doubtful accounts for balances estimated to be uncollectible. Receivables from Sam’s Club represent another 22% of the overall net accounts receivable balance as of fiscal year end 2016 (Successor). See Note 3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3 for further details.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The Company’s inventory purchasing consists primarily of contact lenses, eyeglasses frames, and unprocessed eyeglass lenses. Our inventory is supplied by a small number of key vendors. During fiscal year 2016 (Successor), three vendors supplied 94% of contact lenses, two vendors supplied 44% of frames, and two vendors provided 89% of lenses. This exposes us to concentration of vendor risk.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Current Assets</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Prepaid expenses and other current assets include primarily prepaid software maintenance and licensing fees, prepaid rent, prepaid insurance, printed materials, and income taxes receivable.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 and Loan Discounts</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Costs incurred in connection with placement of long-term debt paid directly to the Company’s lenders and to third parties are treated as a debt discount. Loan discounts are amortized over the term of the related financing agreement and included in interest expense in the accompanying statements of operations and comprehensive income (loss). The unamortized portion of loan discounts is reflected as a reduction in the related long-term debt.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Non-Current Assets</w:t>
      </w:r>
    </w:p>
    <w:p>
      <w:pPr>
        <w:spacing w:after="0" w:line="117"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Other non-current assets consist primarily of our equity and cost method investments, below market leases, security deposits associated with leased properties, and other long-term prepaid expenses.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in other payables and accrued expenses (current portion) and other non-current liabilities on an undiscounted basis in the accompanying consolidated balance sheets. We reinsure worker’s compensation and medical claims above our retention levels of $0.3 million per claim and $0.2 million per individual, respectively. Estimated recoveries from reinsurance are included in prepaid expenses and other current assets in the amounts of $0.4 million and $0.4 million (current portion) as of fiscal year end 2016 (Successor) and fiscal year end 2015 (Successor), respectively, and other assets in the amounts of $0.7 million and $0.9 million (non-current portion) as of fiscal year end 2016 (Successor) and fiscal year end 2015 (Successor), respectively, on the accompanying consolidated balance sheets. The accrued obligation for self-insurance programs was $11.1 million and $9.9 million as of fiscal year end 2016 (Successor) and fiscal year end 2015 (Successor),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firstLine="347"/>
        <w:spacing w:after="0" w:line="307" w:lineRule="auto"/>
        <w:rPr>
          <w:sz w:val="20"/>
          <w:szCs w:val="20"/>
          <w:color w:val="auto"/>
        </w:rPr>
      </w:pPr>
      <w:r>
        <w:rPr>
          <w:rFonts w:ascii="Arial" w:cs="Arial" w:eastAsia="Arial" w:hAnsi="Arial"/>
          <w:sz w:val="15"/>
          <w:szCs w:val="15"/>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44"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effective portion of the gain or loss on the derivatives is reported as a component of accumulated other comprehensive loss in the accompanying consolidated balance sheets and other comprehensive loss, net of tax, within the consolidated statements of operations and comprehensive income (loss) and is reclassified into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49"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6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8 for further details.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17"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Accumulated other comprehensive loss is defined as the change in equity of a business enterprise during a period from transactions and other events and circumstances from non-owner sources. Accumulated other comprehensive loss, net of income tax, is entirely comprised of the cumulative change in the fair value of our hedging instruments since the inception date of March 13, 2014 (Successor). There were no reclassifications of other comprehensive loss to earnings during fiscal year 2016 (Successor) and fiscal year 2015 (Successor).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right="120" w:firstLine="347"/>
        <w:spacing w:after="0" w:line="303" w:lineRule="auto"/>
        <w:rPr>
          <w:sz w:val="20"/>
          <w:szCs w:val="20"/>
          <w:color w:val="auto"/>
        </w:rPr>
      </w:pPr>
      <w:r>
        <w:rPr>
          <w:rFonts w:ascii="Arial" w:cs="Arial" w:eastAsia="Arial" w:hAnsi="Arial"/>
          <w:sz w:val="15"/>
          <w:szCs w:val="15"/>
          <w:color w:val="auto"/>
        </w:rPr>
        <w:t>Subsequent to the issuance of our 2016 consolidated financial statements, we identified certain classification errors related to our Legacy segment revenues whereby we overstated revenues from services and plans and understated revenues from products by $7.2 million, $7.6 million, $5.9 million, and $1.7 million for fiscal years 2016 and 2015, the 2014 Successor period and the 2014 Predecessor period, respectively. As a result, consolidated net product sales were understated and consolidated net sales of services and plans were overstated by these same amounts. We have corrected the error for all periods presented. There was no impact to total Legacy segment net revenues, Legacy segment EBITDA, total consolidated net revenues or any measure of profit or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Revenue Gross versus Net) </w:t>
      </w:r>
      <w:r>
        <w:rPr>
          <w:rFonts w:ascii="Arial" w:cs="Arial" w:eastAsia="Arial" w:hAnsi="Arial"/>
          <w:sz w:val="16"/>
          <w:szCs w:val="16"/>
          <w:color w:val="auto"/>
        </w:rPr>
        <w:t>in March 2016, and ASU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2016. The guidance is effective for fiscal years beginning after December 15, 2017, and interim reporting periods within that fiscal year. We will adopt this new guidance in the first quarter of 2018, and our adoption method will be the modified retrospective method. The most significant components of the new guidance to the Company relate to performance obligations surrounding our two-pair deal and reporting revenue gross versus net related to our management and services agreement with our legacy partner. We expect adoption to result in additional disclosures relating to revenue.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80" w:firstLine="347"/>
        <w:spacing w:after="0" w:line="276"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This new guidance requires that debt issuance costs related to a recognized debt liability be presented in the balance sheet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 deduction from the carrying amount of debt rather than as an asset. Amortization of the debt issuance costs continues to be reported as interest expense. The guidance requires retrospective application to all periods presented in the consolidated financial statements and represents a change in accounting principle. The new guidance was effective for fiscal years beginning after December 15, 2015, and interim reporting periods within that fiscal year. The Company adopted this new guidance as of the third quarter ended October 1, 2016. As a result of the adoption of the new guidance, the Company presented capitalized debt issuance costs in its consolidated balance sheets as a direct reduction to debt and the new guidance was retrospectively applied to all prior periods presented in its consolidated balance sheets. The application of the new guidance resulted in a reclassification of $17.6 million in deferred financing fee assets to long-term debt, less current portion and debt discount, as of the fiscal year end 2015 (Successor).</w:t>
      </w:r>
    </w:p>
    <w:p>
      <w:pPr>
        <w:spacing w:after="0" w:line="71" w:lineRule="exact"/>
        <w:rPr>
          <w:sz w:val="20"/>
          <w:szCs w:val="20"/>
          <w:color w:val="auto"/>
        </w:rPr>
      </w:pPr>
    </w:p>
    <w:p>
      <w:pPr>
        <w:ind w:right="40" w:firstLine="347"/>
        <w:spacing w:after="0" w:line="298"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financial statements, but we expect that adoption will have a material impact to our total assets and liabilities since we have a significant number of operating leases not currently recognized on our consolidated balance sheets.</w:t>
      </w:r>
    </w:p>
    <w:p>
      <w:pPr>
        <w:spacing w:after="0" w:line="54" w:lineRule="exact"/>
        <w:rPr>
          <w:sz w:val="20"/>
          <w:szCs w:val="20"/>
          <w:color w:val="auto"/>
        </w:rPr>
      </w:pPr>
    </w:p>
    <w:p>
      <w:pPr>
        <w:ind w:right="140" w:firstLine="347"/>
        <w:spacing w:after="0" w:line="262"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75"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w:t>
      </w:r>
    </w:p>
    <w:p>
      <w:pPr>
        <w:spacing w:after="0" w:line="123"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Through March 12, 2014, NVI operated as a wholly-owned subsidiary of Vision Holding Corp. (“VHC”), an affiliate of the private investment firm Berkshire Partners LLC (“Berkshire”). On February 6, 2014, VHC entered into an Agreement and Plan of Merger (the “Agreement”) with Nautilus Merger Sub, Inc. (“NMS”), its parent NAH, and BSR LLC under which NMS would merge with and into VHC. NMS and NAH are affiliates of Kohlberg Kravis Roberts &amp; Co. L.P. (“KKR Sponsor”). BSR LLC is an affiliate of Berkshire. Following the merger of NMS into VHC, VHC was merged into NVI.</w:t>
      </w:r>
    </w:p>
    <w:p>
      <w:pPr>
        <w:spacing w:after="0" w:line="76"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The merger contemplated under the Agreement was completed on March 13, 2014, upon which date the majority ownership of the Company was transferred from private equity funds managed by Berkshire to affiliates of KKR Sponsor. Following the Acquisition, NVI became a wholly-owned subsidiary of NAH.</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 (continued)</w:t>
      </w:r>
    </w:p>
    <w:p>
      <w:pPr>
        <w:spacing w:after="0" w:line="71"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All acquisition-related transactions were pushed down to the Company using purchase accounting. As a result, our consolidated financial statements for the periods prior to the Acquisition are not comparable to those for the period after the Acquisition. Total net assets acquired were $537.2 million in exchange for cash consideration of $415.9 million and $121.3 million of previous shareholders’ and options holders’ roll-over investments.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estimated fair values of assets acquired and liabilities assumed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78,932</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Accounts receivables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22,081</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63,575</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10,875</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149,492</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348,351</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shd w:val="clear" w:color="auto" w:fill="CCEEFF"/>
          </w:tcPr>
          <w:p>
            <w:pPr>
              <w:spacing w:after="0"/>
              <w:rPr>
                <w:sz w:val="20"/>
                <w:szCs w:val="20"/>
                <w:color w:val="auto"/>
              </w:rPr>
            </w:pPr>
          </w:p>
        </w:tc>
      </w:tr>
      <w:tr>
        <w:trPr>
          <w:trHeight w:val="235"/>
        </w:trPr>
        <w:tc>
          <w:tcPr>
            <w:tcW w:w="7640" w:type="dxa"/>
            <w:vAlign w:val="bottom"/>
          </w:tcPr>
          <w:p>
            <w:pPr>
              <w:spacing w:after="0"/>
              <w:rPr>
                <w:sz w:val="20"/>
                <w:szCs w:val="20"/>
                <w:color w:val="auto"/>
              </w:rPr>
            </w:pPr>
            <w:r>
              <w:rPr>
                <w:rFonts w:ascii="Arial" w:cs="Arial" w:eastAsia="Arial" w:hAnsi="Arial"/>
                <w:sz w:val="17"/>
                <w:szCs w:val="17"/>
                <w:color w:val="auto"/>
              </w:rPr>
              <w:t>Other assets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31,581</w:t>
            </w:r>
          </w:p>
        </w:tc>
        <w:tc>
          <w:tcPr>
            <w:tcW w:w="80" w:type="dxa"/>
            <w:vAlign w:val="bottom"/>
          </w:tcPr>
          <w:p>
            <w:pPr>
              <w:spacing w:after="0"/>
              <w:rPr>
                <w:sz w:val="20"/>
                <w:szCs w:val="20"/>
                <w:color w:val="auto"/>
              </w:rPr>
            </w:pP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1,511,109</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Accounts payable and other payables and accrued expenses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136,993</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Unearned and deferred revenue</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64,943</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Long-term debt net of discounts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625,994</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120,176</w:t>
            </w:r>
          </w:p>
        </w:tc>
        <w:tc>
          <w:tcPr>
            <w:tcW w:w="80" w:type="dxa"/>
            <w:vAlign w:val="bottom"/>
            <w:shd w:val="clear" w:color="auto" w:fill="CCEEFF"/>
          </w:tcPr>
          <w:p>
            <w:pPr>
              <w:spacing w:after="0"/>
              <w:rPr>
                <w:sz w:val="20"/>
                <w:szCs w:val="20"/>
                <w:color w:val="auto"/>
              </w:rPr>
            </w:pPr>
          </w:p>
        </w:tc>
      </w:tr>
      <w:tr>
        <w:trPr>
          <w:trHeight w:val="235"/>
        </w:trPr>
        <w:tc>
          <w:tcPr>
            <w:tcW w:w="7640" w:type="dxa"/>
            <w:vAlign w:val="bottom"/>
          </w:tcPr>
          <w:p>
            <w:pPr>
              <w:spacing w:after="0"/>
              <w:rPr>
                <w:sz w:val="20"/>
                <w:szCs w:val="20"/>
                <w:color w:val="auto"/>
              </w:rPr>
            </w:pPr>
            <w:r>
              <w:rPr>
                <w:rFonts w:ascii="Arial" w:cs="Arial" w:eastAsia="Arial" w:hAnsi="Arial"/>
                <w:sz w:val="17"/>
                <w:szCs w:val="17"/>
                <w:color w:val="auto"/>
              </w:rPr>
              <w:t>Other liabilities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25,846</w:t>
            </w:r>
          </w:p>
        </w:tc>
        <w:tc>
          <w:tcPr>
            <w:tcW w:w="80" w:type="dxa"/>
            <w:vAlign w:val="bottom"/>
          </w:tcPr>
          <w:p>
            <w:pPr>
              <w:spacing w:after="0"/>
              <w:rPr>
                <w:sz w:val="20"/>
                <w:szCs w:val="20"/>
                <w:color w:val="auto"/>
              </w:rPr>
            </w:pPr>
          </w:p>
        </w:tc>
      </w:tr>
      <w:tr>
        <w:trPr>
          <w:trHeight w:val="228"/>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973,952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Net assets acquired</w:t>
            </w: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537,157</w:t>
            </w:r>
          </w:p>
        </w:tc>
        <w:tc>
          <w:tcPr>
            <w:tcW w:w="8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None of the goodwill recorded in the transaction is tax-deductible. Goodwill recorded for each of our six reporting units at Acquisition was calculated as the difference between the estimated enterprise fair value of each reporting unit and the estimated fair value of the net identifiable assets acquired for each reporting unit. See Note 4 for further details related to goodwill.</w:t>
      </w:r>
    </w:p>
    <w:p>
      <w:pPr>
        <w:spacing w:after="0" w:line="49" w:lineRule="exact"/>
        <w:rPr>
          <w:sz w:val="20"/>
          <w:szCs w:val="20"/>
          <w:color w:val="auto"/>
        </w:rPr>
      </w:pPr>
    </w:p>
    <w:p>
      <w:pPr>
        <w:ind w:firstLine="347"/>
        <w:spacing w:after="0" w:line="357" w:lineRule="auto"/>
        <w:rPr>
          <w:sz w:val="20"/>
          <w:szCs w:val="20"/>
          <w:color w:val="auto"/>
        </w:rPr>
      </w:pPr>
      <w:r>
        <w:rPr>
          <w:rFonts w:ascii="Arial" w:cs="Arial" w:eastAsia="Arial" w:hAnsi="Arial"/>
          <w:sz w:val="15"/>
          <w:szCs w:val="15"/>
          <w:color w:val="auto"/>
        </w:rPr>
        <w:t>Acquisition related costs included in the accompanying consolidated statements of operations and comprehensive income (loss) include legal, accounting and tax advice as well as participation of advisers in the due diligence reviews of prospective purchasers.</w:t>
      </w:r>
    </w:p>
    <w:p>
      <w:pPr>
        <w:spacing w:after="0" w:line="8"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Certain expenses were contingent upon change in control and were reflected in neither the Predecessor nor Successor periods, as summarized below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Seller costs contingent upon successful transaction</w:t>
            </w:r>
          </w:p>
        </w:tc>
        <w:tc>
          <w:tcPr>
            <w:tcW w:w="4220" w:type="dxa"/>
            <w:vAlign w:val="bottom"/>
            <w:gridSpan w:val="2"/>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7,944</w:t>
            </w:r>
          </w:p>
        </w:tc>
      </w:tr>
      <w:tr>
        <w:trPr>
          <w:trHeight w:val="228"/>
        </w:trPr>
        <w:tc>
          <w:tcPr>
            <w:tcW w:w="3980" w:type="dxa"/>
            <w:vAlign w:val="bottom"/>
          </w:tcPr>
          <w:p>
            <w:pPr>
              <w:spacing w:after="0"/>
              <w:rPr>
                <w:sz w:val="20"/>
                <w:szCs w:val="20"/>
                <w:color w:val="auto"/>
              </w:rPr>
            </w:pPr>
            <w:r>
              <w:rPr>
                <w:rFonts w:ascii="Arial" w:cs="Arial" w:eastAsia="Arial" w:hAnsi="Arial"/>
                <w:sz w:val="17"/>
                <w:szCs w:val="17"/>
                <w:color w:val="auto"/>
              </w:rPr>
              <w:t>Long-term incentive plan bonuses and other fees</w:t>
            </w: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750</w:t>
            </w:r>
          </w:p>
        </w:tc>
      </w:tr>
      <w:tr>
        <w:trPr>
          <w:trHeight w:val="24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Stock option settlement</w:t>
            </w:r>
          </w:p>
        </w:tc>
        <w:tc>
          <w:tcPr>
            <w:tcW w:w="3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59,613</w:t>
            </w:r>
          </w:p>
        </w:tc>
      </w:tr>
      <w:tr>
        <w:trPr>
          <w:trHeight w:val="228"/>
        </w:trPr>
        <w:tc>
          <w:tcPr>
            <w:tcW w:w="3980" w:type="dxa"/>
            <w:vAlign w:val="bottom"/>
          </w:tcPr>
          <w:p>
            <w:pPr>
              <w:spacing w:after="0"/>
              <w:rPr>
                <w:sz w:val="20"/>
                <w:szCs w:val="20"/>
                <w:color w:val="auto"/>
              </w:rPr>
            </w:pPr>
            <w:r>
              <w:rPr>
                <w:rFonts w:ascii="Arial" w:cs="Arial" w:eastAsia="Arial" w:hAnsi="Arial"/>
                <w:sz w:val="17"/>
                <w:szCs w:val="17"/>
                <w:color w:val="auto"/>
              </w:rPr>
              <w:t>Write-off of deferred debt issuance costs</w:t>
            </w: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4,595</w:t>
            </w:r>
          </w:p>
        </w:tc>
      </w:tr>
      <w:tr>
        <w:trPr>
          <w:trHeight w:val="241"/>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Write-off of unamortized loan discount</w:t>
            </w:r>
          </w:p>
        </w:tc>
        <w:tc>
          <w:tcPr>
            <w:tcW w:w="36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3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76,644</w:t>
            </w:r>
          </w:p>
        </w:tc>
        <w:tc>
          <w:tcPr>
            <w:tcW w:w="8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2"/>
        </w:trPr>
        <w:tc>
          <w:tcPr>
            <w:tcW w:w="3980" w:type="dxa"/>
            <w:vAlign w:val="bottom"/>
          </w:tcPr>
          <w:p>
            <w:pPr>
              <w:spacing w:after="0"/>
              <w:rPr>
                <w:sz w:val="24"/>
                <w:szCs w:val="24"/>
                <w:color w:val="auto"/>
              </w:rPr>
            </w:pPr>
          </w:p>
        </w:tc>
        <w:tc>
          <w:tcPr>
            <w:tcW w:w="4220" w:type="dxa"/>
            <w:vAlign w:val="bottom"/>
            <w:gridSpan w:val="2"/>
          </w:tcPr>
          <w:p>
            <w:pPr>
              <w:jc w:val="right"/>
              <w:ind w:right="3333"/>
              <w:spacing w:after="0"/>
              <w:rPr>
                <w:sz w:val="20"/>
                <w:szCs w:val="20"/>
                <w:color w:val="auto"/>
              </w:rPr>
            </w:pPr>
            <w:r>
              <w:rPr>
                <w:rFonts w:ascii="Arial" w:cs="Arial" w:eastAsia="Arial" w:hAnsi="Arial"/>
                <w:sz w:val="17"/>
                <w:szCs w:val="17"/>
                <w:color w:val="auto"/>
              </w:rPr>
              <w:t>F-17</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3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98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203" w:name="page204"/>
    <w:bookmarkEnd w:id="20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w:t>
      </w:r>
    </w:p>
    <w:p>
      <w:pPr>
        <w:spacing w:after="0" w:line="87"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January 2, 2016</w:t>
            </w:r>
          </w:p>
        </w:tc>
        <w:tc>
          <w:tcPr>
            <w:tcW w:w="60" w:type="dxa"/>
            <w:vAlign w:val="bottom"/>
          </w:tcPr>
          <w:p>
            <w:pPr>
              <w:spacing w:after="0"/>
              <w:rPr>
                <w:sz w:val="15"/>
                <w:szCs w:val="15"/>
                <w:color w:val="auto"/>
              </w:rPr>
            </w:pPr>
          </w:p>
        </w:tc>
      </w:tr>
      <w:tr>
        <w:trPr>
          <w:trHeight w:val="228"/>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Trade receivables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20,817</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16,635</w:t>
            </w:r>
          </w:p>
        </w:tc>
      </w:tr>
      <w:tr>
        <w:trPr>
          <w:trHeight w:val="241"/>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Credit card receivables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8,437</w:t>
            </w:r>
          </w:p>
        </w:tc>
      </w:tr>
      <w:tr>
        <w:trPr>
          <w:trHeight w:val="228"/>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Tenant improvement allowances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3,962</w:t>
            </w:r>
          </w:p>
        </w:tc>
      </w:tr>
      <w:tr>
        <w:trPr>
          <w:trHeight w:val="241"/>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Other receivables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1,881</w:t>
            </w:r>
          </w:p>
        </w:tc>
      </w:tr>
      <w:tr>
        <w:trPr>
          <w:trHeight w:val="235"/>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Allowance for uncollectible accounts</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(1,583)</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(1,568)</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34,370</w:t>
            </w:r>
          </w:p>
        </w:tc>
        <w:tc>
          <w:tcPr>
            <w:tcW w:w="1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29,347</w:t>
            </w:r>
          </w:p>
        </w:tc>
      </w:tr>
      <w:tr>
        <w:trPr>
          <w:trHeight w:val="235"/>
        </w:trPr>
        <w:tc>
          <w:tcPr>
            <w:tcW w:w="1380" w:type="dxa"/>
            <w:vAlign w:val="bottom"/>
            <w:tcBorders>
              <w:top w:val="single" w:sz="8" w:color="CCEEFF"/>
            </w:tcBorders>
          </w:tcPr>
          <w:p>
            <w:pPr>
              <w:spacing w:after="0"/>
              <w:rPr>
                <w:sz w:val="20"/>
                <w:szCs w:val="20"/>
                <w:color w:val="auto"/>
              </w:rPr>
            </w:pPr>
          </w:p>
        </w:tc>
        <w:tc>
          <w:tcPr>
            <w:tcW w:w="46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6220" w:type="dxa"/>
            <w:vAlign w:val="bottom"/>
            <w:gridSpan w:val="3"/>
          </w:tcPr>
          <w:p>
            <w:pPr>
              <w:ind w:left="180"/>
              <w:spacing w:after="0" w:line="235"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7"/>
                <w:szCs w:val="2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42,266</w:t>
            </w:r>
          </w:p>
        </w:tc>
        <w:tc>
          <w:tcPr>
            <w:tcW w:w="18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36,159</w:t>
            </w:r>
          </w:p>
        </w:tc>
      </w:tr>
      <w:tr>
        <w:trPr>
          <w:trHeight w:val="235"/>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Finished goods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38,858</w:t>
            </w:r>
          </w:p>
        </w:tc>
      </w:tr>
      <w:tr>
        <w:trPr>
          <w:trHeight w:val="20"/>
        </w:trPr>
        <w:tc>
          <w:tcPr>
            <w:tcW w:w="13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5"/>
        </w:trPr>
        <w:tc>
          <w:tcPr>
            <w:tcW w:w="1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87,064</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75,017</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138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99" w:lineRule="exact"/>
        <w:rPr>
          <w:sz w:val="20"/>
          <w:szCs w:val="20"/>
          <w:color w:val="auto"/>
        </w:rPr>
      </w:pPr>
    </w:p>
    <w:p>
      <w:pPr>
        <w:ind w:left="341" w:right="160" w:hanging="341"/>
        <w:spacing w:after="0" w:line="258" w:lineRule="auto"/>
        <w:tabs>
          <w:tab w:leader="none" w:pos="34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4"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Land and building</w:t>
            </w:r>
          </w:p>
        </w:tc>
        <w:tc>
          <w:tcPr>
            <w:tcW w:w="2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3,607</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3,607</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Equipment</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161,714</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117,837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Furniture and fixtures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36,046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31,394</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Leasehold improvements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121,963</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90,117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Construction in progress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28,099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19,286</w:t>
            </w:r>
          </w:p>
        </w:tc>
      </w:tr>
      <w:tr>
        <w:trPr>
          <w:trHeight w:val="23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under capital leases</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2,240</w:t>
            </w:r>
          </w:p>
        </w:tc>
      </w:tr>
      <w:tr>
        <w:trPr>
          <w:trHeight w:val="228"/>
        </w:trPr>
        <w:tc>
          <w:tcPr>
            <w:tcW w:w="3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354,673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264,481</w:t>
            </w:r>
          </w:p>
        </w:tc>
      </w:tr>
      <w:tr>
        <w:trPr>
          <w:trHeight w:val="23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98,259</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57,281</w:t>
            </w:r>
          </w:p>
        </w:tc>
      </w:tr>
      <w:tr>
        <w:trPr>
          <w:trHeight w:val="222"/>
        </w:trPr>
        <w:tc>
          <w:tcPr>
            <w:tcW w:w="392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256,414</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w:t>
            </w:r>
          </w:p>
        </w:tc>
      </w:tr>
      <w:tr>
        <w:trPr>
          <w:trHeight w:val="20"/>
        </w:trPr>
        <w:tc>
          <w:tcPr>
            <w:tcW w:w="3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3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9"/>
                <w:szCs w:val="19"/>
                <w:color w:val="auto"/>
              </w:rPr>
            </w:pPr>
          </w:p>
        </w:tc>
      </w:tr>
      <w:tr>
        <w:trPr>
          <w:trHeight w:val="166"/>
        </w:trPr>
        <w:tc>
          <w:tcPr>
            <w:tcW w:w="3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r>
      <w:tr>
        <w:trPr>
          <w:trHeight w:val="172"/>
        </w:trPr>
        <w:tc>
          <w:tcPr>
            <w:tcW w:w="3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January 2, 2016</w:t>
            </w:r>
          </w:p>
        </w:tc>
      </w:tr>
      <w:tr>
        <w:trPr>
          <w:trHeight w:val="235"/>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21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employee compensation and benefits</w:t>
            </w:r>
          </w:p>
        </w:tc>
        <w:tc>
          <w:tcPr>
            <w:tcW w:w="2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19,009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18,148</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7,209</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6,189</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capital expenditures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5,956</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advertising</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1,058</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5,610</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Reserves for customer returns and remakes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4,611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3,783</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payable to legacy partner</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3,369</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3,322</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Fair value of derivative liabilities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8,218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rental expenses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2,172</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2,256</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management fees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1,222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1,372</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use taxes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954</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professional fees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1,116</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interest on debt and derivatives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290</w:t>
            </w:r>
          </w:p>
        </w:tc>
      </w:tr>
      <w:tr>
        <w:trPr>
          <w:trHeight w:val="228"/>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Miscellaneous and other</w:t>
            </w:r>
          </w:p>
        </w:tc>
        <w:tc>
          <w:tcPr>
            <w:tcW w:w="21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9,890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r>
      <w:tr>
        <w:trPr>
          <w:trHeight w:val="26"/>
        </w:trPr>
        <w:tc>
          <w:tcPr>
            <w:tcW w:w="39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69,402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56,566</w:t>
            </w:r>
          </w:p>
        </w:tc>
      </w:tr>
      <w:tr>
        <w:trPr>
          <w:trHeight w:val="20"/>
        </w:trPr>
        <w:tc>
          <w:tcPr>
            <w:tcW w:w="39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22"/>
        </w:trPr>
        <w:tc>
          <w:tcPr>
            <w:tcW w:w="3920" w:type="dxa"/>
            <w:vAlign w:val="bottom"/>
          </w:tcPr>
          <w:p>
            <w:pPr>
              <w:spacing w:after="0"/>
              <w:rPr>
                <w:sz w:val="24"/>
                <w:szCs w:val="24"/>
                <w:color w:val="auto"/>
              </w:rPr>
            </w:pPr>
          </w:p>
        </w:tc>
        <w:tc>
          <w:tcPr>
            <w:tcW w:w="2440" w:type="dxa"/>
            <w:vAlign w:val="bottom"/>
            <w:gridSpan w:val="3"/>
          </w:tcPr>
          <w:p>
            <w:pPr>
              <w:jc w:val="right"/>
              <w:ind w:right="1504"/>
              <w:spacing w:after="0"/>
              <w:rPr>
                <w:sz w:val="20"/>
                <w:szCs w:val="20"/>
                <w:color w:val="auto"/>
              </w:rPr>
            </w:pPr>
            <w:r>
              <w:rPr>
                <w:rFonts w:ascii="Arial" w:cs="Arial" w:eastAsia="Arial" w:hAnsi="Arial"/>
                <w:sz w:val="17"/>
                <w:szCs w:val="17"/>
                <w:color w:val="auto"/>
              </w:rPr>
              <w:t>F-18</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0"/>
        </w:trPr>
        <w:tc>
          <w:tcPr>
            <w:tcW w:w="3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5"/>
        </w:trPr>
        <w:tc>
          <w:tcPr>
            <w:tcW w:w="392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04" w:name="page205"/>
    <w:bookmarkEnd w:id="20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 (continued)</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3"/>
                <w:szCs w:val="13"/>
                <w:color w:val="auto"/>
              </w:rPr>
            </w:pPr>
          </w:p>
        </w:tc>
        <w:tc>
          <w:tcPr>
            <w:tcW w:w="11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January 2, 2016</w:t>
            </w:r>
          </w:p>
        </w:tc>
        <w:tc>
          <w:tcPr>
            <w:tcW w:w="40" w:type="dxa"/>
            <w:vAlign w:val="bottom"/>
          </w:tcPr>
          <w:p>
            <w:pPr>
              <w:spacing w:after="0"/>
              <w:rPr>
                <w:sz w:val="15"/>
                <w:szCs w:val="15"/>
                <w:color w:val="auto"/>
              </w:rPr>
            </w:pPr>
          </w:p>
        </w:tc>
      </w:tr>
      <w:tr>
        <w:trPr>
          <w:trHeight w:val="228"/>
        </w:trPr>
        <w:tc>
          <w:tcPr>
            <w:tcW w:w="6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Fair value of derivative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15,518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18,620</w:t>
            </w:r>
          </w:p>
        </w:tc>
      </w:tr>
      <w:tr>
        <w:trPr>
          <w:trHeight w:val="241"/>
        </w:trPr>
        <w:tc>
          <w:tcPr>
            <w:tcW w:w="6240" w:type="dxa"/>
            <w:vAlign w:val="bottom"/>
            <w:tcBorders>
              <w:right w:val="single" w:sz="8" w:color="CCEEFF"/>
            </w:tcBorders>
            <w:gridSpan w:val="3"/>
            <w:shd w:val="clear" w:color="auto" w:fill="CCEEFF"/>
          </w:tcPr>
          <w:p>
            <w:pPr>
              <w:ind w:left="180"/>
              <w:spacing w:after="0" w:line="241"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21,089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17,644</w:t>
            </w: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Deferred rental expenses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6,256</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4,884</w:t>
            </w:r>
          </w:p>
        </w:tc>
      </w:tr>
      <w:tr>
        <w:trPr>
          <w:trHeight w:val="241"/>
        </w:trPr>
        <w:tc>
          <w:tcPr>
            <w:tcW w:w="62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3,700</w:t>
            </w: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Above market leases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1,705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3,230</w:t>
            </w:r>
          </w:p>
        </w:tc>
      </w:tr>
      <w:tr>
        <w:trPr>
          <w:trHeight w:val="241"/>
        </w:trPr>
        <w:tc>
          <w:tcPr>
            <w:tcW w:w="62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2,000</w:t>
            </w:r>
          </w:p>
        </w:tc>
      </w:tr>
      <w:tr>
        <w:trPr>
          <w:trHeight w:val="235"/>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1,079</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50,497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51,157</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46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life of the respective leases.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4.  Goodwill and Intangible Assets</w:t>
      </w:r>
    </w:p>
    <w:p>
      <w:pPr>
        <w:spacing w:after="0" w:line="123" w:lineRule="exact"/>
        <w:rPr>
          <w:sz w:val="20"/>
          <w:szCs w:val="20"/>
          <w:color w:val="auto"/>
        </w:rPr>
      </w:pPr>
    </w:p>
    <w:p>
      <w:pPr>
        <w:jc w:val="both"/>
        <w:ind w:left="1" w:right="400" w:firstLine="347"/>
        <w:spacing w:after="0" w:line="288" w:lineRule="auto"/>
        <w:rPr>
          <w:sz w:val="20"/>
          <w:szCs w:val="20"/>
          <w:color w:val="auto"/>
        </w:rPr>
      </w:pPr>
      <w:r>
        <w:rPr>
          <w:rFonts w:ascii="Arial" w:cs="Arial" w:eastAsia="Arial" w:hAnsi="Arial"/>
          <w:sz w:val="16"/>
          <w:szCs w:val="16"/>
          <w:color w:val="auto"/>
        </w:rPr>
        <w:t>A goodwill impairment of $3.3 million and $4.8 million was identified at the AC Lens reporting unit for fiscal year 2016 (Successor) and fiscal year 2015 (Successor), respectively, as a result of performing our annual impairment tests. The primary reason for the impairment charges in each year was due to competitive pressure in the e-commerce contact lens business. As of fiscal year end 2016 (Successor), there was no remaining goodwill at the AC Lens reporting unit.</w:t>
      </w:r>
    </w:p>
    <w:p>
      <w:pPr>
        <w:spacing w:after="0" w:line="55" w:lineRule="exact"/>
        <w:rPr>
          <w:sz w:val="20"/>
          <w:szCs w:val="20"/>
          <w:color w:val="auto"/>
        </w:rPr>
      </w:pPr>
    </w:p>
    <w:p>
      <w:pPr>
        <w:ind w:left="1" w:right="180" w:firstLine="347"/>
        <w:spacing w:after="0" w:line="263" w:lineRule="auto"/>
        <w:rPr>
          <w:sz w:val="20"/>
          <w:szCs w:val="20"/>
          <w:color w:val="auto"/>
        </w:rPr>
      </w:pPr>
      <w:r>
        <w:rPr>
          <w:rFonts w:ascii="Arial" w:cs="Arial" w:eastAsia="Arial" w:hAnsi="Arial"/>
          <w:sz w:val="17"/>
          <w:szCs w:val="17"/>
          <w:color w:val="auto"/>
        </w:rPr>
        <w:t>We determined that the results of the goodwill impairment test was an indicator of impairment of definite-lived, amortizing intangible assets and P&amp;E at AC Lens. As a result of our tests for impairment of those assets, we recorded impairment of $1.3 million in indefinite-lived intangible assets and impairment of $1.2 million in P&amp;E for fiscal year 2016 (Successor). There was no remaining fair value of definite-lived intangible assets after the impairment charges, and the remaining fair value of the P&amp;E was $0.3 million.</w:t>
      </w:r>
    </w:p>
    <w:p>
      <w:pPr>
        <w:spacing w:after="0" w:line="76" w:lineRule="exact"/>
        <w:rPr>
          <w:sz w:val="20"/>
          <w:szCs w:val="20"/>
          <w:color w:val="auto"/>
        </w:rPr>
      </w:pPr>
    </w:p>
    <w:p>
      <w:pPr>
        <w:ind w:left="1" w:firstLine="347"/>
        <w:spacing w:after="0" w:line="266" w:lineRule="auto"/>
        <w:rPr>
          <w:sz w:val="20"/>
          <w:szCs w:val="20"/>
          <w:color w:val="auto"/>
        </w:rPr>
      </w:pPr>
      <w:r>
        <w:rPr>
          <w:rFonts w:ascii="Arial" w:cs="Arial" w:eastAsia="Arial" w:hAnsi="Arial"/>
          <w:sz w:val="17"/>
          <w:szCs w:val="17"/>
          <w:color w:val="auto"/>
        </w:rPr>
        <w:t>A goodwill impairment of $4.2 million was identified at the Fred Meyer reporting unit for the 2014 Successor period, primarily as a result of decreases in long-range sales projections from the date of the Acquisition to the impairment measurement date. The remaining balance of $11.5 million of goodwill at the reporting unit was unchanged for fiscal years 2016 (Successor) and 2015 (Successor).</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There was no impairment of goodwill recorded at any reporting unit related to the 2014 Predecessor period.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presents the changes in the carrying amount of our goodwill since the Acquisition:</w:t>
      </w:r>
    </w:p>
    <w:p>
      <w:pPr>
        <w:spacing w:after="0" w:line="85"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13, 2014 (Successor)</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3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4140" w:type="dxa"/>
            <w:vAlign w:val="bottom"/>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3, 2015 (Successor)</w:t>
            </w:r>
          </w:p>
        </w:tc>
        <w:tc>
          <w:tcPr>
            <w:tcW w:w="35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4"/>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(4,226)</w:t>
            </w:r>
          </w:p>
        </w:tc>
      </w:tr>
      <w:tr>
        <w:trPr>
          <w:trHeight w:val="228"/>
        </w:trPr>
        <w:tc>
          <w:tcPr>
            <w:tcW w:w="414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801,996</w:t>
            </w:r>
          </w:p>
        </w:tc>
        <w:tc>
          <w:tcPr>
            <w:tcW w:w="80" w:type="dxa"/>
            <w:vAlign w:val="bottom"/>
            <w:tcBorders>
              <w:top w:val="single" w:sz="8" w:color="CCEEFF"/>
            </w:tcBorders>
          </w:tcPr>
          <w:p>
            <w:pPr>
              <w:spacing w:after="0"/>
              <w:rPr>
                <w:sz w:val="19"/>
                <w:szCs w:val="19"/>
                <w:color w:val="auto"/>
              </w:rPr>
            </w:pPr>
          </w:p>
        </w:tc>
      </w:tr>
      <w:tr>
        <w:trPr>
          <w:trHeight w:val="234"/>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w w:val="99"/>
              </w:rPr>
              <w:t>Deferred income tax adjustment (purchase accounting)</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(660)</w:t>
            </w:r>
          </w:p>
        </w:tc>
      </w:tr>
      <w:tr>
        <w:trPr>
          <w:trHeight w:val="228"/>
        </w:trPr>
        <w:tc>
          <w:tcPr>
            <w:tcW w:w="41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 January 2, 2016 (Successor)</w:t>
            </w:r>
          </w:p>
        </w:tc>
        <w:tc>
          <w:tcPr>
            <w:tcW w:w="35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1"/>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805,562</w:t>
            </w: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(8,989)</w:t>
            </w:r>
          </w:p>
        </w:tc>
      </w:tr>
      <w:tr>
        <w:trPr>
          <w:trHeight w:val="235"/>
        </w:trPr>
        <w:tc>
          <w:tcPr>
            <w:tcW w:w="4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796,573</w:t>
            </w:r>
          </w:p>
        </w:tc>
        <w:tc>
          <w:tcPr>
            <w:tcW w:w="80" w:type="dxa"/>
            <w:vAlign w:val="bottom"/>
            <w:shd w:val="clear" w:color="auto" w:fill="CCEEFF"/>
          </w:tcPr>
          <w:p>
            <w:pPr>
              <w:spacing w:after="0"/>
              <w:rPr>
                <w:sz w:val="20"/>
                <w:szCs w:val="20"/>
                <w:color w:val="auto"/>
              </w:rPr>
            </w:pPr>
          </w:p>
        </w:tc>
      </w:tr>
      <w:tr>
        <w:trPr>
          <w:trHeight w:val="417"/>
        </w:trPr>
        <w:tc>
          <w:tcPr>
            <w:tcW w:w="4140" w:type="dxa"/>
            <w:vAlign w:val="bottom"/>
          </w:tcPr>
          <w:p>
            <w:pPr>
              <w:spacing w:after="0"/>
              <w:rPr>
                <w:sz w:val="24"/>
                <w:szCs w:val="24"/>
                <w:color w:val="auto"/>
              </w:rPr>
            </w:pPr>
          </w:p>
        </w:tc>
        <w:tc>
          <w:tcPr>
            <w:tcW w:w="3800" w:type="dxa"/>
            <w:vAlign w:val="bottom"/>
            <w:gridSpan w:val="2"/>
          </w:tcPr>
          <w:p>
            <w:pPr>
              <w:jc w:val="right"/>
              <w:ind w:right="3160"/>
              <w:spacing w:after="0"/>
              <w:rPr>
                <w:sz w:val="20"/>
                <w:szCs w:val="20"/>
                <w:color w:val="auto"/>
              </w:rPr>
            </w:pPr>
            <w:r>
              <w:rPr>
                <w:rFonts w:ascii="Arial" w:cs="Arial" w:eastAsia="Arial" w:hAnsi="Arial"/>
                <w:sz w:val="17"/>
                <w:szCs w:val="17"/>
                <w:color w:val="auto"/>
              </w:rPr>
              <w:t>F-19</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4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40" w:type="dxa"/>
            <w:vAlign w:val="bottom"/>
            <w:shd w:val="clear" w:color="auto" w:fill="000000"/>
          </w:tcPr>
          <w:p>
            <w:pPr>
              <w:spacing w:after="0"/>
              <w:rPr>
                <w:sz w:val="5"/>
                <w:szCs w:val="5"/>
                <w:color w:val="auto"/>
              </w:rPr>
            </w:pPr>
          </w:p>
        </w:tc>
        <w:tc>
          <w:tcPr>
            <w:tcW w:w="35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3" w:right="13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gridSpan w:val="9"/>
          </w:tcPr>
          <w:p>
            <w:pPr>
              <w:ind w:left="2860"/>
              <w:spacing w:after="0"/>
              <w:rPr>
                <w:sz w:val="20"/>
                <w:szCs w:val="20"/>
                <w:color w:val="auto"/>
              </w:rPr>
            </w:pPr>
            <w:r>
              <w:rPr>
                <w:rFonts w:ascii="Arial" w:cs="Arial" w:eastAsia="Arial" w:hAnsi="Arial"/>
                <w:sz w:val="17"/>
                <w:szCs w:val="17"/>
                <w:b w:val="1"/>
                <w:bCs w:val="1"/>
                <w:color w:val="auto"/>
                <w:w w:val="92"/>
              </w:rPr>
              <w:t>National Vision Holdings, Inc. and Subsidiaries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80" w:type="dxa"/>
            <w:vAlign w:val="bottom"/>
            <w:gridSpan w:val="9"/>
          </w:tcPr>
          <w:p>
            <w:pPr>
              <w:ind w:left="3000"/>
              <w:spacing w:after="0"/>
              <w:rPr>
                <w:sz w:val="20"/>
                <w:szCs w:val="20"/>
                <w:color w:val="auto"/>
              </w:rPr>
            </w:pPr>
            <w:r>
              <w:rPr>
                <w:rFonts w:ascii="Arial" w:cs="Arial" w:eastAsia="Arial" w:hAnsi="Arial"/>
                <w:sz w:val="17"/>
                <w:szCs w:val="17"/>
                <w:b w:val="1"/>
                <w:bCs w:val="1"/>
                <w:color w:val="auto"/>
                <w:w w:val="94"/>
              </w:rPr>
              <w:t>Notes to Consolidated Financial Statements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600" w:type="dxa"/>
            <w:vAlign w:val="bottom"/>
          </w:tcPr>
          <w:p>
            <w:pPr>
              <w:spacing w:after="0"/>
              <w:rPr>
                <w:sz w:val="20"/>
                <w:szCs w:val="20"/>
                <w:color w:val="auto"/>
              </w:rPr>
            </w:pPr>
            <w:r>
              <w:rPr>
                <w:rFonts w:ascii="Arial" w:cs="Arial" w:eastAsia="Arial" w:hAnsi="Arial"/>
                <w:sz w:val="17"/>
                <w:szCs w:val="17"/>
                <w:b w:val="1"/>
                <w:bCs w:val="1"/>
                <w:color w:val="auto"/>
              </w:rPr>
              <w:t>4.  Goodwill and Intangible Assets (continued)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00" w:type="dxa"/>
            <w:vAlign w:val="bottom"/>
            <w:vMerge w:val="restart"/>
          </w:tcPr>
          <w:p>
            <w:pPr>
              <w:spacing w:after="0"/>
              <w:rPr>
                <w:sz w:val="20"/>
                <w:szCs w:val="20"/>
                <w:color w:val="auto"/>
              </w:rPr>
            </w:pPr>
            <w:r>
              <w:rPr>
                <w:rFonts w:ascii="Arial" w:cs="Arial" w:eastAsia="Arial" w:hAnsi="Arial"/>
                <w:sz w:val="17"/>
                <w:szCs w:val="17"/>
                <w:color w:val="auto"/>
              </w:rPr>
              <w:t>Balance as of December 31, 2016 (Successor)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25"/>
        </w:trPr>
        <w:tc>
          <w:tcPr>
            <w:tcW w:w="4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805,562</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7"/>
                <w:szCs w:val="17"/>
                <w:color w:val="auto"/>
              </w:rPr>
              <w:t>Accumulated impairment losses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6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793,229</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7780" w:type="dxa"/>
            <w:vAlign w:val="bottom"/>
            <w:gridSpan w:val="14"/>
          </w:tcPr>
          <w:p>
            <w:pPr>
              <w:ind w:left="340"/>
              <w:spacing w:after="0"/>
              <w:rPr>
                <w:sz w:val="20"/>
                <w:szCs w:val="20"/>
                <w:color w:val="auto"/>
              </w:rPr>
            </w:pPr>
            <w:r>
              <w:rPr>
                <w:rFonts w:ascii="Arial" w:cs="Arial" w:eastAsia="Arial" w:hAnsi="Arial"/>
                <w:sz w:val="17"/>
                <w:szCs w:val="17"/>
                <w:color w:val="auto"/>
                <w:w w:val="95"/>
              </w:rPr>
              <w:t>Goodwill in our reportable segments (see Note 15) as of fiscal year end 2016 (Successor)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Owned &amp;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Host Segment</w:t>
            </w:r>
          </w:p>
        </w:tc>
        <w:tc>
          <w:tcPr>
            <w:tcW w:w="180" w:type="dxa"/>
            <w:vAlign w:val="bottom"/>
          </w:tcPr>
          <w:p>
            <w:pPr>
              <w:spacing w:after="0"/>
              <w:rPr>
                <w:sz w:val="15"/>
                <w:szCs w:val="15"/>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Legacy Segment</w:t>
            </w:r>
          </w:p>
        </w:tc>
        <w:tc>
          <w:tcPr>
            <w:tcW w:w="180" w:type="dxa"/>
            <w:vAlign w:val="bottom"/>
          </w:tcPr>
          <w:p>
            <w:pPr>
              <w:spacing w:after="0"/>
              <w:rPr>
                <w:sz w:val="15"/>
                <w:szCs w:val="15"/>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Corporate/Other</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Gross goodwill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737,386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60,069</w:t>
            </w: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8,107</w:t>
            </w:r>
          </w:p>
        </w:tc>
        <w:tc>
          <w:tcPr>
            <w:tcW w:w="180" w:type="dxa"/>
            <w:vAlign w:val="bottom"/>
            <w:tcBorders>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$ 805,562</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7"/>
                <w:szCs w:val="17"/>
                <w:color w:val="auto"/>
              </w:rPr>
              <w:t>Accumulated impairment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(4,226)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7"/>
                <w:szCs w:val="17"/>
                <w:color w:val="auto"/>
                <w:w w:val="92"/>
              </w:rPr>
              <w:t>(8,107)</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Goodwill as of December 31, 2016 (Successor)</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733,160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60,069</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$ 793,229</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3"/>
        </w:trPr>
        <w:tc>
          <w:tcPr>
            <w:tcW w:w="7780" w:type="dxa"/>
            <w:vAlign w:val="bottom"/>
            <w:gridSpan w:val="14"/>
          </w:tcPr>
          <w:p>
            <w:pPr>
              <w:ind w:left="340"/>
              <w:spacing w:after="0"/>
              <w:rPr>
                <w:sz w:val="20"/>
                <w:szCs w:val="20"/>
                <w:color w:val="auto"/>
              </w:rPr>
            </w:pPr>
            <w:r>
              <w:rPr>
                <w:rFonts w:ascii="Arial" w:cs="Arial" w:eastAsia="Arial" w:hAnsi="Arial"/>
                <w:sz w:val="17"/>
                <w:szCs w:val="17"/>
                <w:color w:val="auto"/>
                <w:w w:val="99"/>
              </w:rPr>
              <w:t>The following table sets forth indefinite-lived, non-amortizing intangible assets by major asset class: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1"/>
              </w:rPr>
              <w:t>Successor</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left="320"/>
              <w:spacing w:after="0" w:line="153" w:lineRule="exact"/>
              <w:rPr>
                <w:sz w:val="20"/>
                <w:szCs w:val="20"/>
                <w:color w:val="auto"/>
              </w:rPr>
            </w:pPr>
            <w:r>
              <w:rPr>
                <w:rFonts w:ascii="Arial" w:cs="Arial" w:eastAsia="Arial" w:hAnsi="Arial"/>
                <w:sz w:val="14"/>
                <w:szCs w:val="14"/>
                <w:b w:val="1"/>
                <w:bCs w:val="1"/>
                <w:color w:val="auto"/>
                <w:w w:val="85"/>
              </w:rPr>
              <w:t>As of</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73"/>
              </w:rPr>
              <w:t>As of</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December 31, 2016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January 2, 2016</w:t>
            </w:r>
          </w:p>
        </w:tc>
        <w:tc>
          <w:tcPr>
            <w:tcW w:w="0" w:type="dxa"/>
            <w:vAlign w:val="bottom"/>
          </w:tcPr>
          <w:p>
            <w:pPr>
              <w:spacing w:after="0"/>
              <w:rPr>
                <w:sz w:val="1"/>
                <w:szCs w:val="1"/>
                <w:color w:val="auto"/>
              </w:rPr>
            </w:pPr>
          </w:p>
        </w:tc>
      </w:tr>
      <w:tr>
        <w:trPr>
          <w:trHeight w:val="228"/>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Trademarks and tradenames:</w:t>
            </w: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72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180"/>
              <w:spacing w:after="0"/>
              <w:rPr>
                <w:sz w:val="20"/>
                <w:szCs w:val="20"/>
                <w:color w:val="auto"/>
              </w:rPr>
            </w:pPr>
            <w:r>
              <w:rPr>
                <w:rFonts w:ascii="Arial" w:cs="Arial" w:eastAsia="Arial" w:hAnsi="Arial"/>
                <w:sz w:val="17"/>
                <w:szCs w:val="17"/>
                <w:color w:val="auto"/>
              </w:rPr>
              <w:t>America’s Best Contacts and Eyeglasses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200,547</w:t>
            </w:r>
          </w:p>
        </w:tc>
        <w:tc>
          <w:tcPr>
            <w:tcW w:w="80" w:type="dxa"/>
            <w:vAlign w:val="bottom"/>
          </w:tcPr>
          <w:p>
            <w:pPr>
              <w:spacing w:after="0"/>
              <w:rPr>
                <w:sz w:val="19"/>
                <w:szCs w:val="19"/>
                <w:color w:val="auto"/>
              </w:rPr>
            </w:pPr>
          </w:p>
        </w:tc>
        <w:tc>
          <w:tcPr>
            <w:tcW w:w="480" w:type="dxa"/>
            <w:vAlign w:val="bottom"/>
            <w:gridSpan w:val="3"/>
          </w:tcPr>
          <w:p>
            <w:pPr>
              <w:jc w:val="right"/>
              <w:ind w:right="20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200,547</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Eyeglass World</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40,000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240,547</w:t>
            </w:r>
          </w:p>
        </w:tc>
        <w:tc>
          <w:tcPr>
            <w:tcW w:w="80" w:type="dxa"/>
            <w:vAlign w:val="bottom"/>
          </w:tcPr>
          <w:p>
            <w:pPr>
              <w:spacing w:after="0"/>
              <w:rPr>
                <w:sz w:val="18"/>
                <w:szCs w:val="18"/>
                <w:color w:val="auto"/>
              </w:rPr>
            </w:pPr>
          </w:p>
        </w:tc>
        <w:tc>
          <w:tcPr>
            <w:tcW w:w="480" w:type="dxa"/>
            <w:vAlign w:val="bottom"/>
            <w:gridSpan w:val="3"/>
          </w:tcPr>
          <w:p>
            <w:pPr>
              <w:jc w:val="right"/>
              <w:ind w:right="20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definite-lived, amortizing intangible assets by major asset class: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2"/>
              </w:rPr>
              <w:t>As of December 31, 2016</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6"/>
              </w:rPr>
              <w:t>As of January 2, 2016</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Gross Carrying</w:t>
            </w:r>
          </w:p>
        </w:tc>
        <w:tc>
          <w:tcPr>
            <w:tcW w:w="110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Remaining</w:t>
            </w:r>
          </w:p>
        </w:tc>
      </w:tr>
      <w:tr>
        <w:trPr>
          <w:trHeight w:val="179"/>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80" w:type="dxa"/>
            <w:vAlign w:val="bottom"/>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gridSpan w:val="2"/>
          </w:tcPr>
          <w:p>
            <w:pPr>
              <w:spacing w:after="0"/>
              <w:rPr>
                <w:sz w:val="15"/>
                <w:szCs w:val="15"/>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Life (Years)</w:t>
            </w:r>
          </w:p>
        </w:tc>
        <w:tc>
          <w:tcPr>
            <w:tcW w:w="80" w:type="dxa"/>
            <w:vAlign w:val="bottom"/>
          </w:tcPr>
          <w:p>
            <w:pPr>
              <w:spacing w:after="0"/>
              <w:rPr>
                <w:sz w:val="15"/>
                <w:szCs w:val="15"/>
                <w:color w:val="auto"/>
              </w:rPr>
            </w:pPr>
          </w:p>
        </w:tc>
      </w:tr>
      <w:tr>
        <w:trPr>
          <w:trHeight w:val="228"/>
        </w:trPr>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Contracts and relationships: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2500" w:type="dxa"/>
            <w:vAlign w:val="bottom"/>
            <w:gridSpan w:val="3"/>
          </w:tcPr>
          <w:p>
            <w:pPr>
              <w:ind w:left="180"/>
              <w:spacing w:after="0"/>
              <w:rPr>
                <w:sz w:val="20"/>
                <w:szCs w:val="20"/>
                <w:color w:val="auto"/>
              </w:rPr>
            </w:pPr>
            <w:r>
              <w:rPr>
                <w:rFonts w:ascii="Arial" w:cs="Arial" w:eastAsia="Arial" w:hAnsi="Arial"/>
                <w:sz w:val="17"/>
                <w:szCs w:val="17"/>
                <w:color w:val="auto"/>
              </w:rPr>
              <w:t>Legacy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16,582</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10,693</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r>
      <w:tr>
        <w:trPr>
          <w:trHeight w:val="241"/>
        </w:trPr>
        <w:tc>
          <w:tcPr>
            <w:tcW w:w="2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Fred Meyer</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20"/>
                <w:szCs w:val="20"/>
                <w:color w:val="auto"/>
              </w:rPr>
            </w:pPr>
          </w:p>
        </w:tc>
      </w:tr>
      <w:tr>
        <w:trPr>
          <w:trHeight w:val="228"/>
        </w:trPr>
        <w:tc>
          <w:tcPr>
            <w:tcW w:w="2500" w:type="dxa"/>
            <w:vAlign w:val="bottom"/>
            <w:gridSpan w:val="3"/>
          </w:tcPr>
          <w:p>
            <w:pPr>
              <w:spacing w:after="0"/>
              <w:rPr>
                <w:sz w:val="20"/>
                <w:szCs w:val="20"/>
                <w:color w:val="auto"/>
              </w:rPr>
            </w:pPr>
            <w:r>
              <w:rPr>
                <w:rFonts w:ascii="Arial" w:cs="Arial" w:eastAsia="Arial" w:hAnsi="Arial"/>
                <w:sz w:val="17"/>
                <w:szCs w:val="17"/>
                <w:color w:val="auto"/>
              </w:rPr>
              <w:t>Customer database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2,470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1,593</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r>
      <w:tr>
        <w:trPr>
          <w:trHeight w:val="241"/>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1,697</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105,138</w:t>
            </w:r>
          </w:p>
        </w:tc>
        <w:tc>
          <w:tcPr>
            <w:tcW w:w="20" w:type="dxa"/>
            <w:vAlign w:val="bottom"/>
          </w:tcPr>
          <w:p>
            <w:pPr>
              <w:spacing w:after="0"/>
              <w:rPr>
                <w:sz w:val="18"/>
                <w:szCs w:val="18"/>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23,800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108,548</w:t>
            </w:r>
          </w:p>
        </w:tc>
        <w:tc>
          <w:tcPr>
            <w:tcW w:w="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16,737</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right="120" w:firstLine="347"/>
        <w:spacing w:after="0" w:line="337" w:lineRule="auto"/>
        <w:rPr>
          <w:sz w:val="20"/>
          <w:szCs w:val="20"/>
          <w:color w:val="auto"/>
        </w:rPr>
      </w:pPr>
      <w:r>
        <w:rPr>
          <w:rFonts w:ascii="Arial" w:cs="Arial" w:eastAsia="Arial" w:hAnsi="Arial"/>
          <w:sz w:val="15"/>
          <w:szCs w:val="15"/>
          <w:color w:val="auto"/>
        </w:rPr>
        <w:t>Aggregate amortization expense is presented in depreciation and amortization in the accompanying statements of operations and comprehensive income (loss). Aggregate future estimated amortization expense is shown in the following table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4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4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8,436</w:t>
            </w: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2018</w:t>
            </w: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8,371</w:t>
            </w:r>
          </w:p>
        </w:tc>
      </w:tr>
      <w:tr>
        <w:trPr>
          <w:trHeight w:val="241"/>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7,598</w:t>
            </w: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2020</w:t>
            </w: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7,547</w:t>
            </w:r>
          </w:p>
        </w:tc>
      </w:tr>
      <w:tr>
        <w:trPr>
          <w:trHeight w:val="241"/>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7,405</w:t>
            </w:r>
          </w:p>
        </w:tc>
      </w:tr>
      <w:tr>
        <w:trPr>
          <w:trHeight w:val="235"/>
        </w:trPr>
        <w:tc>
          <w:tcPr>
            <w:tcW w:w="2580" w:type="dxa"/>
            <w:vAlign w:val="bottom"/>
          </w:tcPr>
          <w:p>
            <w:pPr>
              <w:spacing w:after="0"/>
              <w:rPr>
                <w:sz w:val="20"/>
                <w:szCs w:val="20"/>
                <w:color w:val="auto"/>
              </w:rPr>
            </w:pPr>
            <w:r>
              <w:rPr>
                <w:rFonts w:ascii="Arial" w:cs="Arial" w:eastAsia="Arial" w:hAnsi="Arial"/>
                <w:sz w:val="17"/>
                <w:szCs w:val="17"/>
                <w:color w:val="auto"/>
              </w:rPr>
              <w:t>Thereafter</w:t>
            </w:r>
          </w:p>
        </w:tc>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41,981</w:t>
            </w:r>
          </w:p>
        </w:tc>
        <w:tc>
          <w:tcPr>
            <w:tcW w:w="80" w:type="dxa"/>
            <w:vAlign w:val="bottom"/>
          </w:tcPr>
          <w:p>
            <w:pPr>
              <w:spacing w:after="0"/>
              <w:rPr>
                <w:sz w:val="20"/>
                <w:szCs w:val="20"/>
                <w:color w:val="auto"/>
              </w:rPr>
            </w:pPr>
          </w:p>
        </w:tc>
      </w:tr>
      <w:tr>
        <w:trPr>
          <w:trHeight w:val="260"/>
        </w:trPr>
        <w:tc>
          <w:tcPr>
            <w:tcW w:w="258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81,338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17"/>
        </w:trPr>
        <w:tc>
          <w:tcPr>
            <w:tcW w:w="2580" w:type="dxa"/>
            <w:vAlign w:val="bottom"/>
          </w:tcPr>
          <w:p>
            <w:pPr>
              <w:spacing w:after="0"/>
              <w:rPr>
                <w:sz w:val="24"/>
                <w:szCs w:val="24"/>
                <w:color w:val="auto"/>
              </w:rPr>
            </w:pPr>
          </w:p>
        </w:tc>
        <w:tc>
          <w:tcPr>
            <w:tcW w:w="5440" w:type="dxa"/>
            <w:vAlign w:val="bottom"/>
            <w:gridSpan w:val="4"/>
          </w:tcPr>
          <w:p>
            <w:pPr>
              <w:jc w:val="right"/>
              <w:ind w:right="3240"/>
              <w:spacing w:after="0"/>
              <w:rPr>
                <w:sz w:val="20"/>
                <w:szCs w:val="20"/>
                <w:color w:val="auto"/>
              </w:rPr>
            </w:pPr>
            <w:r>
              <w:rPr>
                <w:rFonts w:ascii="Arial" w:cs="Arial" w:eastAsia="Arial" w:hAnsi="Arial"/>
                <w:sz w:val="17"/>
                <w:szCs w:val="17"/>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2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2580" w:type="dxa"/>
            <w:vAlign w:val="bottom"/>
            <w:shd w:val="clear" w:color="auto" w:fill="000000"/>
          </w:tcPr>
          <w:p>
            <w:pPr>
              <w:spacing w:after="0"/>
              <w:rPr>
                <w:sz w:val="5"/>
                <w:szCs w:val="5"/>
                <w:color w:val="auto"/>
              </w:rPr>
            </w:pPr>
          </w:p>
        </w:tc>
        <w:tc>
          <w:tcPr>
            <w:tcW w:w="4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January 2, 2016</w:t>
            </w:r>
          </w:p>
        </w:tc>
        <w:tc>
          <w:tcPr>
            <w:tcW w:w="60" w:type="dxa"/>
            <w:vAlign w:val="bottom"/>
          </w:tcPr>
          <w:p>
            <w:pPr>
              <w:spacing w:after="0"/>
              <w:rPr>
                <w:sz w:val="15"/>
                <w:szCs w:val="15"/>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First Lien term loan, due March 13,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633,598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640,114</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Second Lien term loan, due March 13, 2022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125,000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125,000</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Term loans before unamortized discount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765,114</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Unamortized discount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(15,661)</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(19,559)</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term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742,937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745,555</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(6,515)</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(6,515)</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Term loans - non-current portion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736,422</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739,040</w:t>
            </w:r>
          </w:p>
        </w:tc>
      </w:tr>
      <w:tr>
        <w:trPr>
          <w:trHeight w:val="228"/>
        </w:trPr>
        <w:tc>
          <w:tcPr>
            <w:tcW w:w="6220" w:type="dxa"/>
            <w:vAlign w:val="bottom"/>
            <w:gridSpan w:val="2"/>
          </w:tcPr>
          <w:p>
            <w:pPr>
              <w:spacing w:after="0"/>
              <w:rPr>
                <w:sz w:val="20"/>
                <w:szCs w:val="20"/>
                <w:color w:val="auto"/>
              </w:rPr>
            </w:pPr>
            <w:r>
              <w:rPr>
                <w:rFonts w:ascii="Arial" w:cs="Arial" w:eastAsia="Arial" w:hAnsi="Arial"/>
                <w:sz w:val="17"/>
                <w:szCs w:val="17"/>
                <w:color w:val="auto"/>
              </w:rPr>
              <w:t>Capitalized lease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2,270</w:t>
            </w:r>
          </w:p>
        </w:tc>
      </w:tr>
      <w:tr>
        <w:trPr>
          <w:trHeight w:val="241"/>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Agreements</w:t>
      </w:r>
    </w:p>
    <w:p>
      <w:pPr>
        <w:spacing w:after="0" w:line="117"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In connection with the Acquisition, our subsidiary NVI repaid its previously outstanding term loan on March 13, 2014 and entered into new syndicated First Lien and Second Lien Credit Agreements. Under those agreements, NVI is the “borrower.” Borrowings under the First Lien and Second Lien Credit Agreements are secured by substantially all of NVI’s assets. References to “we,” or “our” below relate to NVI.</w:t>
      </w:r>
    </w:p>
    <w:p>
      <w:pPr>
        <w:spacing w:after="0" w:line="72"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First Lien Term Loan bears interest, at our election, at either 2.0% over “ABR” (as defined below) or 3.0% over the London Interbank Offered Rate (“LIBOR”). The Second Lien Term Loan bears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75"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The principal under the First Lien Credit Agreement is payable in equal installments of $1.6 million on the last business day of each of our fiscal quarters.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3"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54"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The First Lien Credit Agreement also provides for up to $75 million in revolving loans (the “Revolving Loan Facility”). Amounts borrowed under the Revolving Loan Facility bear interest, at our election, at either 2.0% over ABR or 3.0% over LIBOR. These interest rate spreads will decline to 1.75% and 2.75%, respectively, if our Credit Agreement EBITDA ratio declines to 4.25 to 1.00 or less, and the spreads will further decline to 1.50% and 2.50%, respectively, if such ratio declines to 3.75 to 1.00 or less. We may use up to $20 million of the Revolving Loan Facility to issue letters of credit. Letter of Credit fees accrue at the same rate as the then-applicable LIBOR spread. As of fiscal years ended 2016 (Successor) and 2015 (Successor), we had no outstanding revolving loan obligations and had $5.5 million in outstanding letters of credit related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 (continued)</w:t>
      </w:r>
    </w:p>
    <w:p>
      <w:pPr>
        <w:spacing w:after="0" w:line="71" w:lineRule="exact"/>
        <w:rPr>
          <w:sz w:val="20"/>
          <w:szCs w:val="20"/>
          <w:color w:val="auto"/>
        </w:rPr>
      </w:pPr>
    </w:p>
    <w:p>
      <w:pPr>
        <w:jc w:val="both"/>
        <w:ind w:right="360"/>
        <w:spacing w:after="0" w:line="296" w:lineRule="auto"/>
        <w:rPr>
          <w:sz w:val="20"/>
          <w:szCs w:val="20"/>
          <w:color w:val="auto"/>
        </w:rPr>
      </w:pPr>
      <w:r>
        <w:rPr>
          <w:rFonts w:ascii="Arial" w:cs="Arial" w:eastAsia="Arial" w:hAnsi="Arial"/>
          <w:sz w:val="16"/>
          <w:szCs w:val="16"/>
          <w:color w:val="auto"/>
        </w:rPr>
        <w:t>Revolving Loan Facility. Our credit agreement also provides that, if aggregate borrowings (inclusive of certain letters of credit) under our revolving credit facility exceed 30% of the total revolving commitment, the ratio of debt under our First Lien Credit Agreement to EBITDA may not, on the last day of the applicable measurement period, exceed 7.75 to 1.00.</w:t>
      </w:r>
    </w:p>
    <w:p>
      <w:pPr>
        <w:spacing w:after="0" w:line="49"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Scheduled annual maturities of debt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6,515</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6,515</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6,515</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6,515</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607,538</w:t>
            </w:r>
          </w:p>
        </w:tc>
      </w:tr>
      <w:tr>
        <w:trPr>
          <w:trHeight w:val="235"/>
        </w:trPr>
        <w:tc>
          <w:tcPr>
            <w:tcW w:w="74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8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Leases</w:t>
      </w:r>
    </w:p>
    <w:p>
      <w:pPr>
        <w:spacing w:after="0" w:line="117"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Our obligations under capital leases are included in the consolidated balance sheets as long-term debt, less current portion and debt discount (non-current portion) and current maturities of long-term debt (current portion). Future minimum lease payments required under our capital leases as of fiscal year end 2016 (Successor),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r>
      <w:tr>
        <w:trPr>
          <w:trHeight w:val="228"/>
        </w:trPr>
        <w:tc>
          <w:tcPr>
            <w:tcW w:w="6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2017</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1,089</w:t>
            </w:r>
          </w:p>
        </w:tc>
      </w:tr>
      <w:tr>
        <w:trPr>
          <w:trHeight w:val="228"/>
        </w:trPr>
        <w:tc>
          <w:tcPr>
            <w:tcW w:w="6500" w:type="dxa"/>
            <w:vAlign w:val="bottom"/>
          </w:tcPr>
          <w:p>
            <w:pPr>
              <w:spacing w:after="0"/>
              <w:rPr>
                <w:sz w:val="19"/>
                <w:szCs w:val="19"/>
                <w:color w:val="auto"/>
              </w:rPr>
            </w:pPr>
          </w:p>
        </w:tc>
        <w:tc>
          <w:tcPr>
            <w:tcW w:w="1480" w:type="dxa"/>
            <w:vAlign w:val="bottom"/>
            <w:gridSpan w:val="2"/>
          </w:tcPr>
          <w:p>
            <w:pPr>
              <w:jc w:val="center"/>
              <w:ind w:left="93"/>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1,010</w:t>
            </w:r>
          </w:p>
        </w:tc>
      </w:tr>
      <w:tr>
        <w:trPr>
          <w:trHeight w:val="241"/>
        </w:trPr>
        <w:tc>
          <w:tcPr>
            <w:tcW w:w="65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2019</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532</w:t>
            </w:r>
          </w:p>
        </w:tc>
      </w:tr>
      <w:tr>
        <w:trPr>
          <w:trHeight w:val="228"/>
        </w:trPr>
        <w:tc>
          <w:tcPr>
            <w:tcW w:w="6500" w:type="dxa"/>
            <w:vAlign w:val="bottom"/>
          </w:tcPr>
          <w:p>
            <w:pPr>
              <w:spacing w:after="0"/>
              <w:rPr>
                <w:sz w:val="19"/>
                <w:szCs w:val="19"/>
                <w:color w:val="auto"/>
              </w:rPr>
            </w:pPr>
          </w:p>
        </w:tc>
        <w:tc>
          <w:tcPr>
            <w:tcW w:w="1480" w:type="dxa"/>
            <w:vAlign w:val="bottom"/>
            <w:gridSpan w:val="2"/>
          </w:tcPr>
          <w:p>
            <w:pPr>
              <w:jc w:val="center"/>
              <w:ind w:left="93"/>
              <w:spacing w:after="0"/>
              <w:rPr>
                <w:sz w:val="20"/>
                <w:szCs w:val="20"/>
                <w:color w:val="auto"/>
              </w:rPr>
            </w:pPr>
            <w:r>
              <w:rPr>
                <w:rFonts w:ascii="Arial" w:cs="Arial" w:eastAsia="Arial" w:hAnsi="Arial"/>
                <w:sz w:val="17"/>
                <w:szCs w:val="17"/>
                <w:color w:val="auto"/>
                <w:w w:val="89"/>
              </w:rPr>
              <w:t>2020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r>
      <w:tr>
        <w:trPr>
          <w:trHeight w:val="241"/>
        </w:trPr>
        <w:tc>
          <w:tcPr>
            <w:tcW w:w="65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2021</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r>
      <w:tr>
        <w:trPr>
          <w:trHeight w:val="235"/>
        </w:trPr>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Thereafter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385</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3,342</w:t>
            </w:r>
          </w:p>
        </w:tc>
      </w:tr>
      <w:tr>
        <w:trPr>
          <w:trHeight w:val="235"/>
        </w:trPr>
        <w:tc>
          <w:tcPr>
            <w:tcW w:w="650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(654)</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net minimum lease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2,688</w:t>
            </w:r>
          </w:p>
        </w:tc>
      </w:tr>
      <w:tr>
        <w:trPr>
          <w:trHeight w:val="235"/>
        </w:trPr>
        <w:tc>
          <w:tcPr>
            <w:tcW w:w="6500" w:type="dxa"/>
            <w:vAlign w:val="bottom"/>
          </w:tcPr>
          <w:p>
            <w:pPr>
              <w:spacing w:after="0"/>
              <w:rPr>
                <w:sz w:val="20"/>
                <w:szCs w:val="20"/>
                <w:color w:val="auto"/>
              </w:rPr>
            </w:pPr>
            <w:r>
              <w:rPr>
                <w:rFonts w:ascii="Arial" w:cs="Arial" w:eastAsia="Arial" w:hAnsi="Arial"/>
                <w:sz w:val="17"/>
                <w:szCs w:val="17"/>
                <w:color w:val="auto"/>
              </w:rPr>
              <w:t>Less: Current maturities of capital lease obligations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(770)</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Capital lease obligations - non-current portion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1,918</w:t>
            </w:r>
          </w:p>
        </w:tc>
      </w:tr>
      <w:tr>
        <w:trPr>
          <w:trHeight w:val="25"/>
        </w:trPr>
        <w:tc>
          <w:tcPr>
            <w:tcW w:w="6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Stock Incentive Plan</w:t>
      </w:r>
    </w:p>
    <w:p>
      <w:pPr>
        <w:spacing w:after="0" w:line="117"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The Company grants share-based payment awards under the 2014 Stock incentive Plan for Key Employees of NVI and its Subsidiaries. The plan includes options to purchase common shares of NVHI at an option price equal to the most recently established per share fair value. The Board of Directors determines the exercise price of service-based and performance-based options with the intent of the exercise price to approximate the fair value of the common stock. In setting the exercise price, the Board considers such factors as the Company’s actual and projected financial results, valuations of the Company performed by third parties, and other factors it believes are material to the valuation process. Due to the limited number of participants in the plan and high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levels of retention among participants, forfeitures are expected to be immaterial. Therefore, all service-based options outstanding at fiscal year end 2016 are expected to vest.</w:t>
      </w:r>
    </w:p>
    <w:p>
      <w:pPr>
        <w:spacing w:after="0" w:line="54" w:lineRule="exact"/>
        <w:rPr>
          <w:sz w:val="20"/>
          <w:szCs w:val="20"/>
          <w:color w:val="auto"/>
        </w:rPr>
      </w:pPr>
    </w:p>
    <w:p>
      <w:pPr>
        <w:ind w:right="680" w:firstLine="347"/>
        <w:spacing w:after="0" w:line="287" w:lineRule="auto"/>
        <w:rPr>
          <w:sz w:val="20"/>
          <w:szCs w:val="20"/>
          <w:color w:val="auto"/>
        </w:rPr>
      </w:pPr>
      <w:r>
        <w:rPr>
          <w:rFonts w:ascii="Arial" w:cs="Arial" w:eastAsia="Arial" w:hAnsi="Arial"/>
          <w:sz w:val="17"/>
          <w:szCs w:val="17"/>
          <w:color w:val="auto"/>
        </w:rPr>
        <w:t>There are 19,407,000 options authorized in the plan, of which 18,606,287 are issued and outstanding, and 436,477 are authorized but unissued as of fiscal year end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ind w:left="340"/>
              <w:spacing w:after="0"/>
              <w:rPr>
                <w:sz w:val="20"/>
                <w:szCs w:val="20"/>
                <w:color w:val="auto"/>
              </w:rPr>
            </w:pPr>
            <w:r>
              <w:rPr>
                <w:rFonts w:ascii="Arial" w:cs="Arial" w:eastAsia="Arial" w:hAnsi="Arial"/>
                <w:sz w:val="17"/>
                <w:szCs w:val="17"/>
                <w:color w:val="auto"/>
              </w:rPr>
              <w:t>The following presents a roll-forward of performance-based options: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7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Issued on March 13, 2014 (Successor)</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9,735,098</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768,557</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(405,000)</w:t>
            </w: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10,098,655</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spacing w:after="0"/>
              <w:rPr>
                <w:sz w:val="20"/>
                <w:szCs w:val="20"/>
                <w:color w:val="auto"/>
              </w:rPr>
            </w:pPr>
            <w:r>
              <w:rPr>
                <w:rFonts w:ascii="Arial" w:cs="Arial" w:eastAsia="Arial" w:hAnsi="Arial"/>
                <w:sz w:val="17"/>
                <w:szCs w:val="17"/>
                <w:color w:val="auto"/>
              </w:rPr>
              <w:t>1,069,714</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(121,972)</w:t>
            </w: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11,046,397</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780,000</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(490,543)</w:t>
            </w:r>
          </w:p>
        </w:tc>
      </w:tr>
      <w:tr>
        <w:trPr>
          <w:trHeight w:val="260"/>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options at December 31, 2016 (Successor)</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11,335,854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92"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vesting of performance-based options is conditional upon the achievement by affiliates of KKR Sponsor, with respect to its investment in the Company,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vesting conditions has not been deemed to be probable as of the fiscal years ended 2016 (Successor), 2015 (Successor), and the 2014 Successor period end.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220" w:firstLine="347"/>
        <w:spacing w:after="0" w:line="266" w:lineRule="auto"/>
        <w:rPr>
          <w:sz w:val="20"/>
          <w:szCs w:val="20"/>
          <w:color w:val="auto"/>
        </w:rPr>
      </w:pPr>
      <w:r>
        <w:rPr>
          <w:rFonts w:ascii="Arial" w:cs="Arial" w:eastAsia="Arial" w:hAnsi="Arial"/>
          <w:sz w:val="17"/>
          <w:szCs w:val="17"/>
          <w:color w:val="auto"/>
        </w:rPr>
        <w:t>Compensation expense associated with service-based condition stock options is included in SG&amp;A in the accompanying consolidated statements of operations and comprehensive income (loss). The following table summarizes service-based condition stock option activity during the Successor periods (amounts reflect the effects of the option modification executed in conjunction with the recapitalization dividend on June 1, 2015 discussed in Note 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Weighted</w:t>
            </w: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3"/>
                <w:szCs w:val="13"/>
                <w:color w:val="auto"/>
              </w:rPr>
            </w:pPr>
          </w:p>
        </w:tc>
        <w:tc>
          <w:tcPr>
            <w:tcW w:w="9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Aggregate</w:t>
            </w: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Exercise Price</w:t>
            </w: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Contractual</w:t>
            </w:r>
          </w:p>
        </w:tc>
        <w:tc>
          <w:tcPr>
            <w:tcW w:w="10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Intrinsic Value</w:t>
            </w:r>
          </w:p>
        </w:tc>
      </w:tr>
      <w:tr>
        <w:trPr>
          <w:trHeight w:val="179"/>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Life (years)</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5"/>
                <w:szCs w:val="15"/>
                <w:color w:val="auto"/>
              </w:rPr>
            </w:pPr>
          </w:p>
        </w:tc>
      </w:tr>
      <w:tr>
        <w:trPr>
          <w:trHeight w:val="228"/>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options at March 13, 2014 (Successor)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6,490,063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512,372</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5.00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50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(270,000)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5.00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6,732,435</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713,143</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4.17</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(416,634)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4.18</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50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(81,314)</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4.18</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6,947,630</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3.79</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520,000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7.02</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3.72</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Repurchased</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(43,913)</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3.77</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(205,682)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3.68</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1"/>
        </w:trPr>
        <w:tc>
          <w:tcPr>
            <w:tcW w:w="5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options at December 31, 2016 (Successor)</w:t>
            </w: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6,938,035</w:t>
            </w:r>
          </w:p>
        </w:tc>
        <w:tc>
          <w:tcPr>
            <w:tcW w:w="18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4.04</w:t>
            </w:r>
          </w:p>
        </w:tc>
        <w:tc>
          <w:tcPr>
            <w:tcW w:w="10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7.60</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24,496</w:t>
            </w:r>
          </w:p>
        </w:tc>
      </w:tr>
      <w:tr>
        <w:trPr>
          <w:trHeight w:val="241"/>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 and exercisable at December 31, 2016 (Successor)</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2,111,695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8,072</w:t>
            </w:r>
          </w:p>
        </w:tc>
      </w:tr>
    </w:tbl>
    <w:p>
      <w:pPr>
        <w:spacing w:after="0" w:line="92"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Substantially all service-based options vest in 20% annual increments on each of the first five anniversaries of the grant date. The Company has selected an accelerated method of recording compensation expense associated with service-based options, whereby the total grant-date fair value of the awards is amortized 46%, 26%, 16%, 9%, and 4% for years one through five, respectively. Service-based options have a contractual maturity of 10 years.</w:t>
      </w:r>
    </w:p>
    <w:p>
      <w:pPr>
        <w:spacing w:after="0" w:line="7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The fair value of service-based stock option grants has been estimated at the grant date using the Black-Scholes-Merton option pricing model, which assumes that the estimated fair value of options is amortized over the corresponding vesting period. The following assumptions were used in our estimate: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5"/>
                <w:szCs w:val="15"/>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5"/>
              </w:rPr>
              <w:t>As of</w:t>
            </w:r>
          </w:p>
        </w:tc>
        <w:tc>
          <w:tcPr>
            <w:tcW w:w="146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December 31, 2016</w:t>
            </w:r>
          </w:p>
        </w:tc>
        <w:tc>
          <w:tcPr>
            <w:tcW w:w="1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80" w:type="dxa"/>
            <w:vAlign w:val="bottom"/>
          </w:tcPr>
          <w:p>
            <w:pPr>
              <w:spacing w:after="0"/>
              <w:rPr>
                <w:sz w:val="15"/>
                <w:szCs w:val="15"/>
                <w:color w:val="auto"/>
              </w:rPr>
            </w:pPr>
          </w:p>
        </w:tc>
      </w:tr>
      <w:tr>
        <w:trPr>
          <w:trHeight w:val="228"/>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term</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 years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5.09 - 6.50 years</w:t>
            </w:r>
          </w:p>
        </w:tc>
      </w:tr>
      <w:tr>
        <w:trPr>
          <w:trHeight w:val="228"/>
        </w:trPr>
        <w:tc>
          <w:tcPr>
            <w:tcW w:w="628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60.4%</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60.4% to 63.3%</w:t>
            </w:r>
          </w:p>
        </w:tc>
      </w:tr>
      <w:tr>
        <w:trPr>
          <w:trHeight w:val="241"/>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 to 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to 2.0%</w:t>
            </w:r>
          </w:p>
        </w:tc>
      </w:tr>
      <w:tr>
        <w:trPr>
          <w:trHeight w:val="221"/>
        </w:trPr>
        <w:tc>
          <w:tcPr>
            <w:tcW w:w="628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10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expected term is based on the mid-point between the weighted average time to vesting and the contractual time to maturity. Expected volatility is based on the volatility of comparable companies. The risk-free interest rate was based on the U.S. Treasury yield curve. The dividend yield was based on the Company’s expectation of not paying dividends on the common stock of NVHI for the foreseeable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860" w:firstLine="347"/>
        <w:spacing w:after="0" w:line="287" w:lineRule="auto"/>
        <w:rPr>
          <w:sz w:val="20"/>
          <w:szCs w:val="20"/>
          <w:color w:val="auto"/>
        </w:rPr>
      </w:pPr>
      <w:r>
        <w:rPr>
          <w:rFonts w:ascii="Arial" w:cs="Arial" w:eastAsia="Arial" w:hAnsi="Arial"/>
          <w:sz w:val="17"/>
          <w:szCs w:val="17"/>
          <w:color w:val="auto"/>
        </w:rPr>
        <w:t>The following table summarizes information about the service-based options outstanding as of fiscal year end 2016 (Successor):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Fair value of</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0"/>
              </w:rPr>
              <w:t>Aggregate</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4"/>
              </w:rPr>
              <w:t>Remaining</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87"/>
              </w:rPr>
              <w:t>options</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2"/>
              </w:rPr>
              <w:t>Weighted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3"/>
              </w:rPr>
              <w:t>grant date</w:t>
            </w:r>
          </w:p>
        </w:tc>
        <w:tc>
          <w:tcPr>
            <w:tcW w:w="100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unrecognized</w:t>
            </w:r>
          </w:p>
        </w:tc>
        <w:tc>
          <w:tcPr>
            <w:tcW w:w="12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Remaining requisite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Non-vested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4"/>
              </w:rPr>
              <w:t>vested</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ind w:right="200"/>
              <w:spacing w:after="0" w:line="130" w:lineRule="exact"/>
              <w:rPr>
                <w:sz w:val="20"/>
                <w:szCs w:val="20"/>
                <w:color w:val="auto"/>
              </w:rPr>
            </w:pPr>
            <w:r>
              <w:rPr>
                <w:rFonts w:ascii="Arial" w:cs="Arial" w:eastAsia="Arial" w:hAnsi="Arial"/>
                <w:sz w:val="12"/>
                <w:szCs w:val="12"/>
                <w:b w:val="1"/>
                <w:bCs w:val="1"/>
                <w:color w:val="auto"/>
                <w:w w:val="91"/>
              </w:rPr>
              <w:t>average grant</w:t>
            </w:r>
          </w:p>
        </w:tc>
        <w:tc>
          <w:tcPr>
            <w:tcW w:w="8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4"/>
              </w:rPr>
              <w:t>fair value</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83"/>
              </w:rPr>
              <w:t>service cost</w:t>
            </w:r>
          </w:p>
        </w:tc>
        <w:tc>
          <w:tcPr>
            <w:tcW w:w="12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service period</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7"/>
              </w:rPr>
              <w:t>options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(in</w:t>
            </w:r>
          </w:p>
        </w:tc>
      </w:tr>
      <w:tr>
        <w:trPr>
          <w:trHeight w:val="160"/>
        </w:trPr>
        <w:tc>
          <w:tcPr>
            <w:tcW w:w="2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Grants During:</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1"/>
              </w:rPr>
              <w:t>date fair value</w:t>
            </w:r>
          </w:p>
        </w:tc>
        <w:tc>
          <w:tcPr>
            <w:tcW w:w="180" w:type="dxa"/>
            <w:vAlign w:val="bottom"/>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granted</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(years)</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18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thousands)</w:t>
            </w:r>
          </w:p>
        </w:tc>
        <w:tc>
          <w:tcPr>
            <w:tcW w:w="80" w:type="dxa"/>
            <w:vAlign w:val="bottom"/>
          </w:tcPr>
          <w:p>
            <w:pPr>
              <w:spacing w:after="0"/>
              <w:rPr>
                <w:sz w:val="13"/>
                <w:szCs w:val="13"/>
                <w:color w:val="auto"/>
              </w:rPr>
            </w:pPr>
          </w:p>
        </w:tc>
      </w:tr>
      <w:tr>
        <w:trPr>
          <w:trHeight w:val="177"/>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Successor Period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7,002,434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3,321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3,794,456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5,808</w:t>
            </w:r>
          </w:p>
        </w:tc>
      </w:tr>
      <w:tr>
        <w:trPr>
          <w:trHeight w:val="183"/>
        </w:trPr>
        <w:tc>
          <w:tcPr>
            <w:tcW w:w="2220" w:type="dxa"/>
            <w:vAlign w:val="bottom"/>
          </w:tcPr>
          <w:p>
            <w:pPr>
              <w:spacing w:after="0"/>
              <w:rPr>
                <w:sz w:val="20"/>
                <w:szCs w:val="20"/>
                <w:color w:val="auto"/>
              </w:rPr>
            </w:pPr>
            <w:r>
              <w:rPr>
                <w:rFonts w:ascii="Arial" w:cs="Arial" w:eastAsia="Arial" w:hAnsi="Arial"/>
                <w:sz w:val="15"/>
                <w:szCs w:val="15"/>
                <w:color w:val="auto"/>
              </w:rPr>
              <w:t>Fiscal Year 2015 (Successor)</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2.86</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713,143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2,043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789</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3.70</w:t>
            </w:r>
          </w:p>
        </w:tc>
        <w:tc>
          <w:tcPr>
            <w:tcW w:w="700" w:type="dxa"/>
            <w:vAlign w:val="bottom"/>
          </w:tcPr>
          <w:p>
            <w:pPr>
              <w:jc w:val="right"/>
              <w:spacing w:after="0"/>
              <w:rPr>
                <w:sz w:val="20"/>
                <w:szCs w:val="20"/>
                <w:color w:val="auto"/>
              </w:rPr>
            </w:pPr>
            <w:r>
              <w:rPr>
                <w:rFonts w:ascii="Arial" w:cs="Arial" w:eastAsia="Arial" w:hAnsi="Arial"/>
                <w:sz w:val="15"/>
                <w:szCs w:val="15"/>
                <w:color w:val="auto"/>
              </w:rPr>
              <w:t>511,886</w:t>
            </w: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564</w:t>
            </w:r>
          </w:p>
        </w:tc>
      </w:tr>
      <w:tr>
        <w:trPr>
          <w:trHeight w:val="183"/>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Fiscal Year 2016 (Successor)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2,078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bl>
    <w:p>
      <w:pPr>
        <w:spacing w:after="0" w:line="92" w:lineRule="exact"/>
        <w:rPr>
          <w:sz w:val="20"/>
          <w:szCs w:val="20"/>
          <w:color w:val="auto"/>
        </w:rPr>
      </w:pPr>
    </w:p>
    <w:p>
      <w:pPr>
        <w:ind w:right="400" w:firstLine="347"/>
        <w:spacing w:after="0" w:line="266" w:lineRule="auto"/>
        <w:rPr>
          <w:sz w:val="20"/>
          <w:szCs w:val="20"/>
          <w:color w:val="auto"/>
        </w:rPr>
      </w:pPr>
      <w:r>
        <w:rPr>
          <w:rFonts w:ascii="Arial" w:cs="Arial" w:eastAsia="Arial" w:hAnsi="Arial"/>
          <w:sz w:val="17"/>
          <w:szCs w:val="17"/>
          <w:color w:val="auto"/>
        </w:rPr>
        <w:t>The aggregate intrinsic value of service-based options exercised was $0.3 million for fiscal year 2016 (Successor) and immaterial for fiscal year 2015 (Successor). There was no excess tax benefit associated with exercises of service-based options during fiscal years 2016 (Successor) or 2015 (Successor). There were no exercises of service-based options during the 2014 Successor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Incentive Plans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The Vision Holding Corp. 2005 and 2013 Stock Incentive Plans provided for the issuance of stock options to directors, certain employees and consultants of Vision Holding, its subsidiaries and affiliates. There were 398,235 fully vested options issued and outstanding that were rolled forward from the Predecessor Incentive Plans. During fiscal year 2015 (Successor), 65,837 roll-over options were exercised at a weighted average exercise price of $0.31. There are 332,398 roll-over options outstanding as of fiscal year end 2016. No options were issued, exercised or forfeited under the Predecessor Stock Incentive Plans during the 2014 Predecessor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income tax provision (benefit) consists of:</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Borders>
              <w:right w:val="single" w:sz="8" w:color="auto"/>
            </w:tcBorders>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100" w:type="dxa"/>
            <w:vAlign w:val="bottom"/>
          </w:tcPr>
          <w:p>
            <w:pPr>
              <w:spacing w:after="0"/>
              <w:rPr>
                <w:sz w:val="15"/>
                <w:szCs w:val="15"/>
                <w:color w:val="auto"/>
              </w:rPr>
            </w:pPr>
          </w:p>
        </w:tc>
      </w:tr>
      <w:tr>
        <w:trPr>
          <w:trHeight w:val="228"/>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income tax:</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r>
      <w:tr>
        <w:trPr>
          <w:trHeight w:val="241"/>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State</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1,302</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202</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Deferred income tax:</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10,058</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1,360</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(8,297)</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(884)</w:t>
            </w:r>
          </w:p>
        </w:tc>
      </w:tr>
      <w:tr>
        <w:trPr>
          <w:trHeight w:val="235"/>
        </w:trPr>
        <w:tc>
          <w:tcPr>
            <w:tcW w:w="3640" w:type="dxa"/>
            <w:vAlign w:val="bottom"/>
            <w:gridSpan w:val="2"/>
          </w:tcPr>
          <w:p>
            <w:pPr>
              <w:spacing w:after="0"/>
              <w:rPr>
                <w:sz w:val="20"/>
                <w:szCs w:val="20"/>
                <w:color w:val="auto"/>
              </w:rPr>
            </w:pPr>
            <w:r>
              <w:rPr>
                <w:rFonts w:ascii="Arial" w:cs="Arial" w:eastAsia="Arial" w:hAnsi="Arial"/>
                <w:sz w:val="17"/>
                <w:szCs w:val="17"/>
                <w:color w:val="auto"/>
              </w:rPr>
              <w:t>State</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(3,719)</w:t>
            </w:r>
          </w:p>
        </w:tc>
        <w:tc>
          <w:tcPr>
            <w:tcW w:w="1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0"/>
        </w:trPr>
        <w:tc>
          <w:tcPr>
            <w:tcW w:w="3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tax provision (benefit)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5"/>
        </w:trPr>
        <w:tc>
          <w:tcPr>
            <w:tcW w:w="3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3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340" w:firstLine="347"/>
        <w:spacing w:after="0" w:line="287" w:lineRule="auto"/>
        <w:rPr>
          <w:sz w:val="20"/>
          <w:szCs w:val="20"/>
          <w:color w:val="auto"/>
        </w:rPr>
      </w:pPr>
      <w:r>
        <w:rPr>
          <w:rFonts w:ascii="Arial" w:cs="Arial" w:eastAsia="Arial" w:hAnsi="Arial"/>
          <w:sz w:val="17"/>
          <w:szCs w:val="17"/>
          <w:color w:val="auto"/>
        </w:rPr>
        <w:t>Our income tax provision differs from the amounts computed by multiplying earnings before income taxes by the statutory federal income tax rate as shown in the following table: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Borders>
              <w:right w:val="single" w:sz="8" w:color="auto"/>
            </w:tcBorders>
            <w:gridSpan w:val="4"/>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From March 13,</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320" w:type="dxa"/>
            <w:vAlign w:val="bottom"/>
            <w:gridSpan w:val="2"/>
          </w:tcPr>
          <w:p>
            <w:pPr>
              <w:jc w:val="right"/>
              <w:ind w:right="440"/>
              <w:spacing w:after="0" w:line="157"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2014 to</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2, 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January 3, 2015</w:t>
            </w: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02"/>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 income tax provision (benefit) at</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statutory rate of 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(13,918)</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80" w:type="dxa"/>
            <w:vAlign w:val="bottom"/>
            <w:shd w:val="clear" w:color="auto" w:fill="CCEEFF"/>
          </w:tcPr>
          <w:p>
            <w:pPr>
              <w:spacing w:after="0"/>
              <w:rPr>
                <w:sz w:val="20"/>
                <w:szCs w:val="20"/>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State income tax provision (benefit), net of</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federal income tax</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(1,508)</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9"/>
                <w:szCs w:val="19"/>
                <w:color w:val="auto"/>
              </w:rPr>
            </w:pP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1,639</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3460" w:type="dxa"/>
            <w:vAlign w:val="bottom"/>
            <w:gridSpan w:val="2"/>
          </w:tcPr>
          <w:p>
            <w:pPr>
              <w:spacing w:after="0"/>
              <w:rPr>
                <w:sz w:val="20"/>
                <w:szCs w:val="20"/>
                <w:color w:val="auto"/>
              </w:rPr>
            </w:pPr>
            <w:r>
              <w:rPr>
                <w:rFonts w:ascii="Arial" w:cs="Arial" w:eastAsia="Arial" w:hAnsi="Arial"/>
                <w:sz w:val="17"/>
                <w:szCs w:val="17"/>
                <w:color w:val="auto"/>
              </w:rPr>
              <w:t>Transaction costs not deductible for tax</w:t>
            </w: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1,871</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Tax impact of non-deductible items</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0"/>
                <w:szCs w:val="20"/>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Increase (decrease) in deferred tax asset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(239)</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20"/>
                <w:szCs w:val="20"/>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7"/>
                <w:szCs w:val="17"/>
                <w:color w:val="auto"/>
              </w:rPr>
              <w:t>Effective income tax rate</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39.7%</w:t>
            </w:r>
          </w:p>
        </w:tc>
      </w:tr>
      <w:tr>
        <w:trPr>
          <w:trHeight w:val="25"/>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92" w:lineRule="exact"/>
        <w:rPr>
          <w:sz w:val="20"/>
          <w:szCs w:val="20"/>
          <w:color w:val="auto"/>
        </w:rPr>
      </w:pPr>
    </w:p>
    <w:p>
      <w:pPr>
        <w:ind w:right="280" w:firstLine="347"/>
        <w:spacing w:after="0" w:line="287" w:lineRule="auto"/>
        <w:rPr>
          <w:sz w:val="20"/>
          <w:szCs w:val="20"/>
          <w:color w:val="auto"/>
        </w:rPr>
      </w:pPr>
      <w:r>
        <w:rPr>
          <w:rFonts w:ascii="Arial" w:cs="Arial" w:eastAsia="Arial" w:hAnsi="Arial"/>
          <w:sz w:val="17"/>
          <w:szCs w:val="17"/>
          <w:color w:val="auto"/>
        </w:rPr>
        <w:t>The sources of the difference between the financial accounting and tax bases of our liabilities and assets that give rise to the deferred tax liabilities and deferred tax assets and the tax effects of each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4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76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January 2, 2016</w:t>
            </w:r>
          </w:p>
        </w:tc>
      </w:tr>
      <w:tr>
        <w:trPr>
          <w:trHeight w:val="228"/>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168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20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3,195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14,197</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Alternative minimum tax payment and employment credits</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1,658</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10,751</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8,831</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expenses and reserves</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15,193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11,024</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Reserves for uncollectible receivables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745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1,284</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1,890</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Capitalized fees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2,515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2,552</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6,489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5,337</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Debt issuance costs and original issue discount</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894</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derivatives liability</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9,180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7,337</w:t>
            </w:r>
          </w:p>
        </w:tc>
      </w:tr>
      <w:tr>
        <w:trPr>
          <w:trHeight w:val="235"/>
        </w:trPr>
        <w:tc>
          <w:tcPr>
            <w:tcW w:w="4360" w:type="dxa"/>
            <w:vAlign w:val="bottom"/>
          </w:tcPr>
          <w:p>
            <w:pPr>
              <w:ind w:left="180"/>
              <w:spacing w:after="0"/>
              <w:rPr>
                <w:sz w:val="20"/>
                <w:szCs w:val="20"/>
                <w:color w:val="auto"/>
              </w:rPr>
            </w:pPr>
            <w:r>
              <w:rPr>
                <w:rFonts w:ascii="Arial" w:cs="Arial" w:eastAsia="Arial" w:hAnsi="Arial"/>
                <w:sz w:val="17"/>
                <w:szCs w:val="17"/>
                <w:color w:val="auto"/>
              </w:rPr>
              <w:t>Other</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1,529</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312</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53,700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55,316</w:t>
            </w:r>
          </w:p>
        </w:tc>
      </w:tr>
      <w:tr>
        <w:trPr>
          <w:trHeight w:val="235"/>
        </w:trPr>
        <w:tc>
          <w:tcPr>
            <w:tcW w:w="4360" w:type="dxa"/>
            <w:vAlign w:val="bottom"/>
          </w:tcPr>
          <w:p>
            <w:pPr>
              <w:ind w:left="180"/>
              <w:spacing w:after="0"/>
              <w:rPr>
                <w:sz w:val="20"/>
                <w:szCs w:val="20"/>
                <w:color w:val="auto"/>
              </w:rPr>
            </w:pPr>
            <w:r>
              <w:rPr>
                <w:rFonts w:ascii="Arial" w:cs="Arial" w:eastAsia="Arial" w:hAnsi="Arial"/>
                <w:sz w:val="17"/>
                <w:szCs w:val="17"/>
                <w:color w:val="auto"/>
              </w:rPr>
              <w:t>Valuation allowance</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1,131</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152</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assets</w:t>
            </w:r>
          </w:p>
        </w:tc>
        <w:tc>
          <w:tcPr>
            <w:tcW w:w="1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52,569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55,164</w:t>
            </w:r>
          </w:p>
        </w:tc>
      </w:tr>
      <w:tr>
        <w:trPr>
          <w:trHeight w:val="417"/>
        </w:trPr>
        <w:tc>
          <w:tcPr>
            <w:tcW w:w="4360" w:type="dxa"/>
            <w:vAlign w:val="bottom"/>
          </w:tcPr>
          <w:p>
            <w:pPr>
              <w:spacing w:after="0"/>
              <w:rPr>
                <w:sz w:val="24"/>
                <w:szCs w:val="24"/>
                <w:color w:val="auto"/>
              </w:rPr>
            </w:pPr>
          </w:p>
        </w:tc>
        <w:tc>
          <w:tcPr>
            <w:tcW w:w="2000" w:type="dxa"/>
            <w:vAlign w:val="bottom"/>
            <w:gridSpan w:val="3"/>
          </w:tcPr>
          <w:p>
            <w:pPr>
              <w:jc w:val="right"/>
              <w:ind w:right="1580"/>
              <w:spacing w:after="0"/>
              <w:rPr>
                <w:sz w:val="20"/>
                <w:szCs w:val="20"/>
                <w:color w:val="auto"/>
              </w:rPr>
            </w:pPr>
            <w:r>
              <w:rPr>
                <w:rFonts w:ascii="Arial" w:cs="Arial" w:eastAsia="Arial" w:hAnsi="Arial"/>
                <w:sz w:val="17"/>
                <w:szCs w:val="17"/>
                <w:color w:val="auto"/>
              </w:rPr>
              <w:t>F-26</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3"/>
        </w:trPr>
        <w:tc>
          <w:tcPr>
            <w:tcW w:w="4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436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2, 2016</w:t>
            </w:r>
          </w:p>
        </w:tc>
      </w:tr>
      <w:tr>
        <w:trPr>
          <w:trHeight w:val="224"/>
        </w:trPr>
        <w:tc>
          <w:tcPr>
            <w:tcW w:w="60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Deferred tax liabilities: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6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(41,872)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(32,685)</w:t>
            </w:r>
          </w:p>
        </w:tc>
      </w:tr>
      <w:tr>
        <w:trPr>
          <w:trHeight w:val="228"/>
        </w:trPr>
        <w:tc>
          <w:tcPr>
            <w:tcW w:w="6220" w:type="dxa"/>
            <w:vAlign w:val="bottom"/>
            <w:gridSpan w:val="2"/>
          </w:tcPr>
          <w:p>
            <w:pPr>
              <w:ind w:left="180"/>
              <w:spacing w:after="0"/>
              <w:rPr>
                <w:sz w:val="20"/>
                <w:szCs w:val="20"/>
                <w:color w:val="auto"/>
              </w:rPr>
            </w:pPr>
            <w:r>
              <w:rPr>
                <w:rFonts w:ascii="Arial" w:cs="Arial" w:eastAsia="Arial" w:hAnsi="Arial"/>
                <w:sz w:val="17"/>
                <w:szCs w:val="17"/>
                <w:color w:val="auto"/>
              </w:rPr>
              <w:t>Prepaid expenses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(1,629)</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(1,633)</w:t>
            </w:r>
          </w:p>
        </w:tc>
      </w:tr>
      <w:tr>
        <w:trPr>
          <w:trHeight w:val="241"/>
        </w:trPr>
        <w:tc>
          <w:tcPr>
            <w:tcW w:w="6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Intangible assets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(120,346)</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(122,166)</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8"/>
        </w:trPr>
        <w:tc>
          <w:tcPr>
            <w:tcW w:w="6220" w:type="dxa"/>
            <w:vAlign w:val="bottom"/>
            <w:gridSpan w:val="2"/>
          </w:tcPr>
          <w:p>
            <w:pPr>
              <w:ind w:left="340"/>
              <w:spacing w:after="0"/>
              <w:rPr>
                <w:sz w:val="20"/>
                <w:szCs w:val="20"/>
                <w:color w:val="auto"/>
              </w:rPr>
            </w:pPr>
            <w:r>
              <w:rPr>
                <w:rFonts w:ascii="Arial" w:cs="Arial" w:eastAsia="Arial" w:hAnsi="Arial"/>
                <w:sz w:val="17"/>
                <w:szCs w:val="17"/>
                <w:color w:val="auto"/>
              </w:rPr>
              <w:t>Total deferred tax liabilities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(163,847)</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(156,484)</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(111,278)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(101,320)</w:t>
            </w:r>
          </w:p>
        </w:tc>
      </w:tr>
      <w:tr>
        <w:trPr>
          <w:trHeight w:val="25"/>
        </w:trPr>
        <w:tc>
          <w:tcPr>
            <w:tcW w:w="60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60" w:firstLine="347"/>
        <w:spacing w:after="0" w:line="288" w:lineRule="auto"/>
        <w:rPr>
          <w:sz w:val="20"/>
          <w:szCs w:val="20"/>
          <w:color w:val="auto"/>
        </w:rPr>
      </w:pPr>
      <w:r>
        <w:rPr>
          <w:rFonts w:ascii="Arial" w:cs="Arial" w:eastAsia="Arial" w:hAnsi="Arial"/>
          <w:sz w:val="16"/>
          <w:szCs w:val="16"/>
          <w:color w:val="auto"/>
        </w:rPr>
        <w:t>At fiscal year 2016 (Successor), we had available U.S. federal net operating loss (“NOL”) carry-forwards aggregating to $8.1 million that can be utilized to reduce future federal income taxes. If not utilized, $6.7 million of these carry-forward losses expire at the end of our 2020 fiscal year and $1.4 million of these carry-forward losses expire at the end of our 2033 fiscal year. In addition, we have NOL carry-forwards in varying amounts and with varying expiration dates in the majority of states in which we operate.</w:t>
      </w:r>
    </w:p>
    <w:p>
      <w:pPr>
        <w:spacing w:after="0" w:line="55"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At fiscal year end 2016 (Successor), we also have non-expiring federal and state alternative minimum tax carry-forward credits and employment credits totaling $2.3 million available to offset certain future taxes.</w:t>
      </w:r>
    </w:p>
    <w:p>
      <w:pPr>
        <w:spacing w:after="0" w:line="54"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As a result of new store openings in years subsequent to the years in which certain NOLs were generated, the portion of our taxable income apportioned to some states in which we have NOL carry forward credits has declined from those states’ apportionment during the loss years. We believe it is unlikely that we will fully utilize our NOL carry-forwards in all state jurisdictions before their eventual expiration. Accordingly, we have recorded valuation allowances of $0.1 million and $0.2 million against our deferred tax assets at fiscal year end 2016 (Successor) and fiscal year end 2015 (Successor), respectively.</w:t>
      </w:r>
    </w:p>
    <w:p>
      <w:pPr>
        <w:spacing w:after="0" w:line="59"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Our equity method investment discussed in Note 10 has resulted in book losses that are not deductible for income tax purposes, creating a deferred tax asset of approximately $1.0 million. The Company does not expect to generate a significant capital gain from its investment in near future. Therefore, we do not believe it is more-likely-than-not that we will realize a tax benefit for this deferred tax asset, and accordingly we have established a valuation allowance for the entire $1.0 million.</w:t>
      </w:r>
    </w:p>
    <w:p>
      <w:pPr>
        <w:spacing w:after="0" w:line="5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As a result of our utilization of NOL carry-forwards to reduce or eliminate subsequent years’ tax obligations, our federal and a substantial number of our state income tax returns for fiscal years 2001 through 2015 remain open for examination by the tax authorities. We had no uncertain tax positions or unrecognized tax benefits as of fiscal year end 2016 (Successor) and fiscal year end 2015 (Successor).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On March 7, 2014, the Company entered into two pay-fixed and receive-floating interest rate swap agreements to offset the variability of cash flows in LIBOR-indexed debt interest payments, subject to a 1% floor, attributable to changes in the benchmark interest rate from March 13, 2017 to March 13, 2021 related to its current First and Second Lien Credit Agreements. The fixed rates associated with the first derivative (“Derivative 1”) notional amount of $175.0 million and the second derivative (“Derivative 2”) notional amount of $225.0 million were 3.4063% and 3.5125%, respectively. Derivative 1 will hedge the first amount of LIBOR-based interest payments up to its applicable notional amount and Derivative 2 will hedge the next amount (i.e., the first amount not already hedged by Derivative 1) up to its applicable notional amount.</w:t>
      </w:r>
    </w:p>
    <w:p>
      <w:pPr>
        <w:spacing w:after="0" w:line="76" w:lineRule="exact"/>
        <w:rPr>
          <w:sz w:val="20"/>
          <w:szCs w:val="20"/>
          <w:color w:val="auto"/>
        </w:rPr>
      </w:pPr>
    </w:p>
    <w:p>
      <w:pPr>
        <w:jc w:val="both"/>
        <w:ind w:right="180" w:firstLine="347"/>
        <w:spacing w:after="0" w:line="288" w:lineRule="auto"/>
        <w:rPr>
          <w:sz w:val="20"/>
          <w:szCs w:val="20"/>
          <w:color w:val="auto"/>
        </w:rPr>
      </w:pPr>
      <w:r>
        <w:rPr>
          <w:rFonts w:ascii="Arial" w:cs="Arial" w:eastAsia="Arial" w:hAnsi="Arial"/>
          <w:sz w:val="16"/>
          <w:szCs w:val="16"/>
          <w:color w:val="auto"/>
        </w:rPr>
        <w:t>On June 25, 2015, the Company entered into a third pay-fixed and receive-floating interest rate swap agreement (“Derivative 3”) for a notional amount of $100.0 million and a fixed rate of 2.6000%. Derivative 3 will hedge the interest payments associated with the first principal amount of LIBOR-based debt, effective March 13, 2017, due under the current First Lien and Second Lien Credit Agreements, up to its notional amount, not already hedged by derivatives 1 and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 (continued)</w:t>
      </w:r>
    </w:p>
    <w:p>
      <w:pPr>
        <w:spacing w:after="0" w:line="71" w:lineRule="exact"/>
        <w:rPr>
          <w:sz w:val="20"/>
          <w:szCs w:val="20"/>
          <w:color w:val="auto"/>
        </w:rPr>
      </w:pPr>
    </w:p>
    <w:p>
      <w:pPr>
        <w:ind w:right="140" w:firstLine="347"/>
        <w:spacing w:after="0" w:line="323" w:lineRule="auto"/>
        <w:rPr>
          <w:sz w:val="20"/>
          <w:szCs w:val="20"/>
          <w:color w:val="auto"/>
        </w:rPr>
      </w:pPr>
      <w:r>
        <w:rPr>
          <w:rFonts w:ascii="Arial" w:cs="Arial" w:eastAsia="Arial" w:hAnsi="Arial"/>
          <w:sz w:val="15"/>
          <w:szCs w:val="15"/>
          <w:color w:val="auto"/>
        </w:rPr>
        <w:t>Changes in the cash flows of each derivative are expected to be highly effective in offsetting the changes in interest payments on a principal balance equal to the derivative’s notional amount, attributable to the hedged risk. We measured no ineffectiveness related to these instruments during fiscal years 2016 (Successor), fiscal year 2015 (Successor), or the 2014 Successor period.</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90"/>
              </w:rPr>
              <w:t>Other Payables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7"/>
              </w:rPr>
              <w:t>Comprehensive</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02"/>
              <w:spacing w:after="0" w:line="157" w:lineRule="exact"/>
              <w:rPr>
                <w:sz w:val="20"/>
                <w:szCs w:val="20"/>
                <w:color w:val="auto"/>
              </w:rPr>
            </w:pPr>
            <w:r>
              <w:rPr>
                <w:rFonts w:ascii="Arial" w:cs="Arial" w:eastAsia="Arial" w:hAnsi="Arial"/>
                <w:sz w:val="14"/>
                <w:szCs w:val="14"/>
                <w:b w:val="1"/>
                <w:bCs w:val="1"/>
                <w:color w:val="auto"/>
                <w:w w:val="92"/>
              </w:rPr>
              <w:t>Notional</w:t>
            </w:r>
          </w:p>
        </w:tc>
        <w:tc>
          <w:tcPr>
            <w:tcW w:w="18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Final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89"/>
              </w:rPr>
              <w:t>and Accrued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8"/>
              </w:rPr>
              <w:t>Loss, Net</w:t>
            </w: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Tax</w:t>
            </w:r>
          </w:p>
        </w:tc>
        <w:tc>
          <w:tcPr>
            <w:tcW w:w="80" w:type="dxa"/>
            <w:vAlign w:val="bottom"/>
          </w:tcPr>
          <w:p>
            <w:pPr>
              <w:spacing w:after="0"/>
              <w:rPr>
                <w:sz w:val="15"/>
                <w:szCs w:val="15"/>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2016 (Successor)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14,556</w:t>
            </w: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As of January 2, 2016 (Successor)</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18,620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11,284</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These interest rate swap agreements were designated as cash flow hedges by the Company at inception. The Company will be required to net settle monthly with counterparties beginning in the second quarter of 2017. These settlements will result in the reclassification into earnings of losses that are reported in accumulated other comprehensive loss. As of fiscal year 2016 (Successor), the Company expects to reclassify $8.2 million of accumulated other comprehensive loss into earnings in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Related Party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2015 Dividend To Stockholders Of NVHI</w:t>
      </w:r>
    </w:p>
    <w:p>
      <w:pPr>
        <w:spacing w:after="0" w:line="117" w:lineRule="exact"/>
        <w:rPr>
          <w:sz w:val="20"/>
          <w:szCs w:val="20"/>
          <w:color w:val="auto"/>
        </w:rPr>
      </w:pPr>
    </w:p>
    <w:p>
      <w:pPr>
        <w:ind w:right="400" w:firstLine="347"/>
        <w:spacing w:after="0" w:line="271" w:lineRule="auto"/>
        <w:rPr>
          <w:sz w:val="20"/>
          <w:szCs w:val="20"/>
          <w:color w:val="auto"/>
        </w:rPr>
      </w:pPr>
      <w:r>
        <w:rPr>
          <w:rFonts w:ascii="Arial" w:cs="Arial" w:eastAsia="Arial" w:hAnsi="Arial"/>
          <w:sz w:val="17"/>
          <w:szCs w:val="17"/>
          <w:color w:val="auto"/>
        </w:rPr>
        <w:t>On June 1, 2015 the Company declared a recapitalization dividend to its stockholders. Since the Company was in an accumulated deficit position on the date of declaration, according to the Company’s accounting policy, the combined total cash payment of $145.7 million was recorded as a reduction to additional paid-in capital.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right="560" w:firstLine="347"/>
        <w:spacing w:after="0" w:line="287"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680"/>
              <w:spacing w:after="0" w:line="157"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28"/>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KKR Sponsor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r>
      <w:tr>
        <w:trPr>
          <w:trHeight w:val="235"/>
        </w:trPr>
        <w:tc>
          <w:tcPr>
            <w:tcW w:w="3640" w:type="dxa"/>
            <w:vAlign w:val="bottom"/>
            <w:gridSpan w:val="2"/>
          </w:tcPr>
          <w:p>
            <w:pPr>
              <w:spacing w:after="0"/>
              <w:rPr>
                <w:sz w:val="20"/>
                <w:szCs w:val="20"/>
                <w:color w:val="auto"/>
              </w:rPr>
            </w:pPr>
            <w:r>
              <w:rPr>
                <w:rFonts w:ascii="Arial" w:cs="Arial" w:eastAsia="Arial" w:hAnsi="Arial"/>
                <w:sz w:val="17"/>
                <w:szCs w:val="17"/>
                <w:color w:val="auto"/>
              </w:rPr>
              <w:t>Berkshire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199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154</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0"/>
                <w:szCs w:val="20"/>
                <w:color w:val="auto"/>
              </w:rPr>
            </w:pPr>
          </w:p>
        </w:tc>
      </w:tr>
    </w:tbl>
    <w:p>
      <w:pPr>
        <w:spacing w:after="0" w:line="92"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consolidated statements of operations and comprehensive income (loss), with the exception of $2.1 million in fees paid to KKR Sponsor and its affiliates for expenses related to new debt issued during the second quarter ended July 4, 2015 (Successor), which are recorded in debt issuance costs in the accompanying consolidated statements of operations and comprehensive income (loss).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During the 2014 Successor period, the Company made an investment in a private start-up company whose principal business is licensing software to eyeglass retailers. We hold a 29% equity interest in this company. We identified this company as a variable interest entity since the equity investment at risk is not sufficient to finance the activities of the entity without additional subordinated financial support. We concluded that we are not the primary beneficiary of the entity and therefore it would not be appropriate for us to consolidate this company. This conclusion is based on the fact that we do not have the power to direct the activities of the entity that most significantly impact its economic performance, and we will not absorb or receive a majority of the entity’s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 (continued)</w:t>
      </w:r>
    </w:p>
    <w:p>
      <w:pPr>
        <w:spacing w:after="0" w:line="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expected losses or expected residual returns, since our return on investment is proportionate to our equity interest in the entity. We are not obligated to provide any further financing to this company, and the total amount invested represents the extent of our exposure to losses.</w:t>
      </w:r>
    </w:p>
    <w:p>
      <w:pPr>
        <w:spacing w:after="0" w:line="68"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Under the equity method of accounting we are required to record our interest in the investee’s reported net income or loss for each reporting period, which is presented in other expense (income) in the Company’s consolidated statements of operations and comprehensive income (loss). We recorded losses of $1.4 million, $0.9 million, and $0.3 million for fiscal year 2016 (Successor), fiscal year 2015 (Successor), and the 2014 Successor period, respectively.</w:t>
      </w:r>
    </w:p>
    <w:p>
      <w:pPr>
        <w:spacing w:after="0" w:line="72"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Company evaluates its investments for other-than-temporary impairment annually, or more often if events or changes in circumstances indicate that the carrying value of the investment may not be recoverable. No impairment of this investment was identified for fiscal years 2016 (Successor) and 2015 (Successor), or the 2014 Successor period.</w:t>
      </w:r>
    </w:p>
    <w:p>
      <w:pPr>
        <w:spacing w:after="0" w:line="68" w:lineRule="exact"/>
        <w:rPr>
          <w:sz w:val="20"/>
          <w:szCs w:val="20"/>
          <w:color w:val="auto"/>
        </w:rPr>
      </w:pPr>
    </w:p>
    <w:p>
      <w:pPr>
        <w:ind w:right="40" w:firstLine="347"/>
        <w:spacing w:after="0" w:line="320" w:lineRule="auto"/>
        <w:rPr>
          <w:sz w:val="20"/>
          <w:szCs w:val="20"/>
          <w:color w:val="auto"/>
        </w:rPr>
      </w:pPr>
      <w:r>
        <w:rPr>
          <w:rFonts w:ascii="Arial" w:cs="Arial" w:eastAsia="Arial" w:hAnsi="Arial"/>
          <w:sz w:val="16"/>
          <w:szCs w:val="16"/>
          <w:color w:val="auto"/>
        </w:rPr>
        <w:t>Our equity method investment balance is reflected in non-current other assets in the accompanying consolidated balance sheets and was $3.3 million and $4.7 million at the end of fiscal years 2016 (Successor) and 2015 (Successor),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Fair Value Measurement of Financial Assets and Liabilities</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76" w:lineRule="exact"/>
        <w:rPr>
          <w:sz w:val="20"/>
          <w:szCs w:val="20"/>
          <w:color w:val="auto"/>
        </w:rPr>
      </w:pPr>
    </w:p>
    <w:p>
      <w:pPr>
        <w:ind w:right="180" w:firstLine="347"/>
        <w:spacing w:after="0" w:line="262"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80" w:hanging="342"/>
        <w:spacing w:after="0"/>
        <w:tabs>
          <w:tab w:leader="none" w:pos="6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0" w:right="120" w:hanging="342"/>
        <w:spacing w:after="0" w:line="266" w:lineRule="auto"/>
        <w:tabs>
          <w:tab w:leader="none" w:pos="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1" w:lineRule="exact"/>
        <w:rPr>
          <w:rFonts w:ascii="Arial" w:cs="Arial" w:eastAsia="Arial" w:hAnsi="Arial"/>
          <w:sz w:val="17"/>
          <w:szCs w:val="17"/>
          <w:color w:val="auto"/>
        </w:rPr>
      </w:pPr>
    </w:p>
    <w:p>
      <w:pPr>
        <w:ind w:left="680" w:right="220" w:hanging="342"/>
        <w:spacing w:after="0" w:line="271" w:lineRule="auto"/>
        <w:tabs>
          <w:tab w:leader="none" w:pos="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 of cash and cash equivalents approximates fair value due to the short term maturity of the instruments.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cash and cash equivalents are denominated in U.S. currency.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5" w:name="page216"/>
    <w:bookmarkEnd w:id="21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3540" w:hanging="1"/>
        <w:spacing w:after="0" w:line="355" w:lineRule="auto"/>
        <w:tabs>
          <w:tab w:leader="none" w:pos="338"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Accounts Receivable</w:t>
      </w:r>
    </w:p>
    <w:p>
      <w:pPr>
        <w:spacing w:after="0" w:line="1"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180" w:firstLine="347"/>
        <w:spacing w:after="0" w:line="287"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120" w:firstLine="347"/>
        <w:spacing w:after="0" w:line="284" w:lineRule="auto"/>
        <w:rPr>
          <w:sz w:val="20"/>
          <w:szCs w:val="20"/>
          <w:color w:val="auto"/>
        </w:rPr>
      </w:pPr>
      <w:r>
        <w:rPr>
          <w:rFonts w:ascii="Arial" w:cs="Arial" w:eastAsia="Arial" w:hAnsi="Arial"/>
          <w:sz w:val="16"/>
          <w:szCs w:val="16"/>
          <w:color w:val="auto"/>
        </w:rPr>
        <w:t>Our long-term debt is traded in private markets on a less-than-daily basis. Fair value is based on the average of trading prices and bid/ask quotes around period-end (Level 2 inputs). The estimated fair values of our combined First and Second Lien Term Loans were $753.0 million and $746.6 million as of the end of fiscal years 2016 (Successor) and 2015 (Successor), respectively, compared to carrying values of $742.9 million and $745.6 million, respectively, which includes the current portion, and is net of unamortized original issue discounts and deferred debt issuance costs discussed in Note 5.</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Capital Leases</w:t>
      </w:r>
    </w:p>
    <w:p>
      <w:pPr>
        <w:spacing w:after="0" w:line="117" w:lineRule="exact"/>
        <w:rPr>
          <w:sz w:val="20"/>
          <w:szCs w:val="20"/>
          <w:color w:val="auto"/>
        </w:rPr>
      </w:pPr>
    </w:p>
    <w:p>
      <w:pPr>
        <w:ind w:left="1" w:right="120" w:firstLine="347"/>
        <w:spacing w:after="0" w:line="266" w:lineRule="auto"/>
        <w:rPr>
          <w:sz w:val="20"/>
          <w:szCs w:val="20"/>
          <w:color w:val="auto"/>
        </w:rPr>
      </w:pPr>
      <w:r>
        <w:rPr>
          <w:rFonts w:ascii="Arial" w:cs="Arial" w:eastAsia="Arial" w:hAnsi="Arial"/>
          <w:sz w:val="17"/>
          <w:szCs w:val="17"/>
          <w:color w:val="auto"/>
        </w:rPr>
        <w:t>The fair value of capital lease obligations is based on estimated future contractual cash flows discounted at an appropriate market rate of interest (Level 2 inputs). The estimated fair values of our capital leases were $2.9 million and $2.7 million as of the end of fiscal years 2016 (Successor) and 2015 (Successor), respectively, compared to carrying values of $2.7 million and $2.3 million, respectively.</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firstLine="347"/>
        <w:spacing w:after="0" w:line="262" w:lineRule="auto"/>
        <w:rPr>
          <w:sz w:val="20"/>
          <w:szCs w:val="20"/>
          <w:color w:val="auto"/>
        </w:rPr>
      </w:pPr>
      <w:r>
        <w:rPr>
          <w:rFonts w:ascii="Arial" w:cs="Arial" w:eastAsia="Arial" w:hAnsi="Arial"/>
          <w:sz w:val="17"/>
          <w:szCs w:val="17"/>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8 for further details related to the fair value of our derivative instruments.</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4" w:right="1399" w:bottom="1440" w:gutter="0" w:footer="0" w:header="0"/>
        </w:sectPr>
      </w:pPr>
    </w:p>
    <w:bookmarkStart w:id="216" w:name="page217"/>
    <w:bookmarkEnd w:id="216"/>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ind w:left="341" w:hanging="341"/>
        <w:spacing w:after="0"/>
        <w:tabs>
          <w:tab w:leader="none" w:pos="34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23"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The following depicts a roll-forward of deferred revenue:</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6"/>
              </w:rPr>
              <w:t>Fiscal Year End 2016 (Successor)</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8"/>
              </w:rPr>
              <w:t>Warranty</w:t>
            </w: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Premiums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77,878</w:t>
            </w: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43,767</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10,915</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102,703</w:t>
            </w:r>
          </w:p>
        </w:tc>
      </w:tr>
      <w:tr>
        <w:trPr>
          <w:trHeight w:val="241"/>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(45,138)</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(37,091)</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(10,924)</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(93,153)</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63,478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87,428</w:t>
            </w:r>
          </w:p>
        </w:tc>
      </w:tr>
      <w:tr>
        <w:trPr>
          <w:trHeight w:val="25"/>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34,464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57,996</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29,014</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29,432</w:t>
            </w:r>
          </w:p>
        </w:tc>
      </w:tr>
      <w:tr>
        <w:trPr>
          <w:trHeight w:val="20"/>
        </w:trPr>
        <w:tc>
          <w:tcPr>
            <w:tcW w:w="4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63,478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87,428</w:t>
            </w:r>
          </w:p>
        </w:tc>
      </w:tr>
      <w:tr>
        <w:trPr>
          <w:trHeight w:val="25"/>
        </w:trPr>
        <w:tc>
          <w:tcPr>
            <w:tcW w:w="4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5"/>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6"/>
              </w:rPr>
              <w:t>Fiscal Year End 2015 (Successor)</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3"/>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8"/>
              </w:rPr>
              <w:t>Warranty</w:t>
            </w: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Premiums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45,706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64,200</w:t>
            </w: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42,115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41,595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95,826</w:t>
            </w:r>
          </w:p>
        </w:tc>
      </w:tr>
      <w:tr>
        <w:trPr>
          <w:trHeight w:val="241"/>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(39,524)</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(30,499)</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(12,125)</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(82,148)</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77,878</w:t>
            </w:r>
          </w:p>
        </w:tc>
      </w:tr>
      <w:tr>
        <w:trPr>
          <w:trHeight w:val="25"/>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50,086</w:t>
            </w:r>
          </w:p>
        </w:tc>
      </w:tr>
      <w:tr>
        <w:trPr>
          <w:trHeight w:val="235"/>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27,342</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27,792</w:t>
            </w:r>
          </w:p>
        </w:tc>
      </w:tr>
      <w:tr>
        <w:trPr>
          <w:trHeight w:val="20"/>
        </w:trPr>
        <w:tc>
          <w:tcPr>
            <w:tcW w:w="4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77,878</w:t>
            </w:r>
          </w:p>
        </w:tc>
      </w:tr>
      <w:tr>
        <w:trPr>
          <w:trHeight w:val="25"/>
        </w:trPr>
        <w:tc>
          <w:tcPr>
            <w:tcW w:w="4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left="1" w:right="460" w:firstLine="347"/>
        <w:spacing w:after="0" w:line="287" w:lineRule="auto"/>
        <w:rPr>
          <w:sz w:val="20"/>
          <w:szCs w:val="20"/>
          <w:color w:val="auto"/>
        </w:rPr>
      </w:pPr>
      <w:r>
        <w:rPr>
          <w:rFonts w:ascii="Arial" w:cs="Arial" w:eastAsia="Arial" w:hAnsi="Arial"/>
          <w:sz w:val="17"/>
          <w:szCs w:val="17"/>
          <w:color w:val="auto"/>
        </w:rPr>
        <w:t>Deferred revenue recorded as of fiscal year end 2016 (Successor) is expected to be reflected in future operating results as follows (in thousands):</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80" w:type="dxa"/>
            <w:vAlign w:val="bottom"/>
            <w:shd w:val="clear" w:color="auto" w:fill="CCEEFF"/>
          </w:tcPr>
          <w:p>
            <w:pPr>
              <w:spacing w:after="0"/>
              <w:rPr>
                <w:sz w:val="19"/>
                <w:szCs w:val="19"/>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21,712</w:t>
            </w:r>
          </w:p>
        </w:tc>
        <w:tc>
          <w:tcPr>
            <w:tcW w:w="80" w:type="dxa"/>
            <w:vAlign w:val="bottom"/>
          </w:tcPr>
          <w:p>
            <w:pPr>
              <w:spacing w:after="0"/>
              <w:rPr>
                <w:sz w:val="19"/>
                <w:szCs w:val="19"/>
                <w:color w:val="auto"/>
              </w:rPr>
            </w:pP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344</w:t>
            </w:r>
          </w:p>
        </w:tc>
        <w:tc>
          <w:tcPr>
            <w:tcW w:w="80" w:type="dxa"/>
            <w:vAlign w:val="bottom"/>
          </w:tcPr>
          <w:p>
            <w:pPr>
              <w:spacing w:after="0"/>
              <w:rPr>
                <w:sz w:val="19"/>
                <w:szCs w:val="19"/>
                <w:color w:val="auto"/>
              </w:rPr>
            </w:pP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748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87,428</w:t>
            </w: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left="1" w:right="140" w:firstLine="347"/>
        <w:spacing w:after="0" w:line="312" w:lineRule="auto"/>
        <w:rPr>
          <w:sz w:val="20"/>
          <w:szCs w:val="20"/>
          <w:color w:val="auto"/>
        </w:rPr>
      </w:pPr>
      <w:r>
        <w:rPr>
          <w:rFonts w:ascii="Arial" w:cs="Arial" w:eastAsia="Arial" w:hAnsi="Arial"/>
          <w:sz w:val="15"/>
          <w:szCs w:val="15"/>
          <w:color w:val="auto"/>
        </w:rPr>
        <w:t>Total rental expenses related to all operating leases were approximately $69.7 million in fiscal year 2016 (Successor), $60.4 million in fiscal year 2015 (Successor), $43.3 million in the 2014 Successor period, and $10.4 million in the 2014 Predecessor period. Total rental expense includes percentage rent of approximately $6.3 million in fiscal year 2016 (Successor), $4.6 million in fiscal year 2015 (Successor), $3.6 million in the 2014 Successor period, and $0.9 million in the 2014 Predecessor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71" w:lineRule="exact"/>
        <w:rPr>
          <w:sz w:val="20"/>
          <w:szCs w:val="20"/>
          <w:color w:val="auto"/>
        </w:rPr>
      </w:pPr>
    </w:p>
    <w:p>
      <w:pPr>
        <w:ind w:right="200" w:firstLine="347"/>
        <w:spacing w:after="0" w:line="287" w:lineRule="auto"/>
        <w:rPr>
          <w:sz w:val="20"/>
          <w:szCs w:val="20"/>
          <w:color w:val="auto"/>
        </w:rPr>
      </w:pPr>
      <w:r>
        <w:rPr>
          <w:rFonts w:ascii="Arial" w:cs="Arial" w:eastAsia="Arial" w:hAnsi="Arial"/>
          <w:sz w:val="17"/>
          <w:szCs w:val="17"/>
          <w:color w:val="auto"/>
        </w:rPr>
        <w:t>At fiscal year end 2016 (Successor), aggregate future minimum rental payments under our operating leases are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64,046</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51,668</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41,116</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30,367</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18,679</w:t>
            </w:r>
          </w:p>
        </w:tc>
      </w:tr>
      <w:tr>
        <w:trPr>
          <w:trHeight w:val="235"/>
        </w:trPr>
        <w:tc>
          <w:tcPr>
            <w:tcW w:w="74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42,847</w:t>
            </w:r>
          </w:p>
        </w:tc>
        <w:tc>
          <w:tcPr>
            <w:tcW w:w="8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248,723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Agreements</w:t>
      </w:r>
    </w:p>
    <w:p>
      <w:pPr>
        <w:spacing w:after="0" w:line="117"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In October of 2016 the Company entered into to a multi-year marketing agreement in the normal course of business. The agreement begins in January 2017 and continues through December 2019, with no renewal provision. The Company has committed to pay a total fee of $9.9 million over the term of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Warranty Costs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are presented in cost of services and plans in the accompanying consolidated statements of operations and comprehensive income (loss).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January 2, 2016</w:t>
            </w: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year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r>
      <w:tr>
        <w:trPr>
          <w:trHeight w:val="228"/>
        </w:trPr>
        <w:tc>
          <w:tcPr>
            <w:tcW w:w="6220" w:type="dxa"/>
            <w:vAlign w:val="bottom"/>
            <w:gridSpan w:val="2"/>
          </w:tcPr>
          <w:p>
            <w:pPr>
              <w:spacing w:after="0"/>
              <w:rPr>
                <w:sz w:val="20"/>
                <w:szCs w:val="20"/>
                <w:color w:val="auto"/>
              </w:rPr>
            </w:pPr>
            <w:r>
              <w:rPr>
                <w:rFonts w:ascii="Arial" w:cs="Arial" w:eastAsia="Arial" w:hAnsi="Arial"/>
                <w:sz w:val="17"/>
                <w:szCs w:val="17"/>
                <w:color w:val="auto"/>
              </w:rPr>
              <w:t>Charged to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23,857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19,662</w:t>
            </w:r>
          </w:p>
        </w:tc>
      </w:tr>
      <w:tr>
        <w:trPr>
          <w:trHeight w:val="241"/>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Paid</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(23,591)</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(20,296)</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End of year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1,343</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1,077</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117" w:lineRule="exact"/>
        <w:rPr>
          <w:sz w:val="20"/>
          <w:szCs w:val="20"/>
          <w:color w:val="auto"/>
        </w:rPr>
      </w:pPr>
    </w:p>
    <w:p>
      <w:pPr>
        <w:ind w:right="120" w:firstLine="347"/>
        <w:spacing w:after="0" w:line="284" w:lineRule="auto"/>
        <w:rPr>
          <w:sz w:val="20"/>
          <w:szCs w:val="20"/>
          <w:color w:val="auto"/>
        </w:rPr>
      </w:pPr>
      <w:r>
        <w:rPr>
          <w:rFonts w:ascii="Arial" w:cs="Arial" w:eastAsia="Arial" w:hAnsi="Arial"/>
          <w:sz w:val="16"/>
          <w:szCs w:val="16"/>
          <w:color w:val="auto"/>
        </w:rPr>
        <w:t>We sponsor a 401(k) plan into which employees may defer a portion of their wages. We may match a portion of such deferred wages. Expense associated with our 401(k) plan is presented in SG&amp;A expenses in the accompanying consolidated statements of operations and comprehensive income (loss). The expense for the plan was $2.6 million in the fiscal year 2016 (Successor), $2.2 million in the fiscal year 2015 (Successor), $1.5 million in the 2014 Successor period, and $0.4 million in the 2014 Predecessor period. There were no changes in the plan resulting from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From time to time, the Company is involved in various legal proceedings incidental to its business. Because of the nature and inherent uncertainties of litigation, the Company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18" w:name="page219"/>
    <w:bookmarkEnd w:id="21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71" w:lineRule="exact"/>
        <w:rPr>
          <w:sz w:val="20"/>
          <w:szCs w:val="20"/>
          <w:color w:val="auto"/>
        </w:rPr>
      </w:pPr>
    </w:p>
    <w:p>
      <w:pPr>
        <w:ind w:left="1" w:firstLine="347"/>
        <w:spacing w:after="0" w:line="262" w:lineRule="auto"/>
        <w:rPr>
          <w:sz w:val="20"/>
          <w:szCs w:val="20"/>
          <w:color w:val="auto"/>
        </w:rPr>
      </w:pPr>
      <w:r>
        <w:rPr>
          <w:rFonts w:ascii="Arial" w:cs="Arial" w:eastAsia="Arial" w:hAnsi="Arial"/>
          <w:sz w:val="17"/>
          <w:szCs w:val="17"/>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the Company reassesses whether there is at least a reasonable possibility that a loss, or additional losses, may be incurred. If there is a reasonable possibility that a loss may be incurred, the Company discloses the estimate of the amount of the loss or range of losses, or that an estimate of loss cannot be made. The Company expenses its legal fees as incurred.</w:t>
      </w:r>
    </w:p>
    <w:p>
      <w:pPr>
        <w:spacing w:after="0" w:line="75" w:lineRule="exact"/>
        <w:rPr>
          <w:sz w:val="20"/>
          <w:szCs w:val="20"/>
          <w:color w:val="auto"/>
        </w:rPr>
      </w:pPr>
    </w:p>
    <w:p>
      <w:pPr>
        <w:ind w:left="1" w:right="200" w:firstLine="347"/>
        <w:spacing w:after="0" w:line="301" w:lineRule="auto"/>
        <w:rPr>
          <w:sz w:val="20"/>
          <w:szCs w:val="20"/>
          <w:color w:val="auto"/>
        </w:rPr>
      </w:pPr>
      <w:r>
        <w:rPr>
          <w:rFonts w:ascii="Arial" w:cs="Arial" w:eastAsia="Arial" w:hAnsi="Arial"/>
          <w:sz w:val="15"/>
          <w:szCs w:val="15"/>
          <w:color w:val="auto"/>
        </w:rPr>
        <w:t>In January 29, 2016, FSI,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FSI participated in arrangements that caused the illegal delivery of eye examinations to the plaintiffs, and that FSI thereby violated, among others, the corporate practice of optometry and the unfair competition and false advertising laws of California. In March 2017, the Court granted a motion to dismiss previously filed by FSI. The plaintiffs have appealed to the U.S. Court of Appeals for the Ninth Circuit. The Company believes that the claim against it is without merit and intends to vigorously defend the litigation.</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14.  Earnings Per Share</w:t>
      </w:r>
    </w:p>
    <w:p>
      <w:pPr>
        <w:spacing w:after="0" w:line="123"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for the period. Diluted EPS is computed by dividing net income (loss)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w:t>
      </w:r>
    </w:p>
    <w:p>
      <w:pPr>
        <w:spacing w:after="0" w:line="76"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 reconciliation of the numerators and denominators of the basic and diluted EPS calculations is as follows: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680"/>
              <w:spacing w:after="0" w:line="157"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EPS data</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28"/>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80" w:type="dxa"/>
            <w:vAlign w:val="bottom"/>
            <w:shd w:val="clear" w:color="auto" w:fill="CCEEFF"/>
          </w:tcPr>
          <w:p>
            <w:pPr>
              <w:spacing w:after="0"/>
              <w:rPr>
                <w:sz w:val="19"/>
                <w:szCs w:val="19"/>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640" w:type="dxa"/>
            <w:vAlign w:val="bottom"/>
            <w:gridSpan w:val="2"/>
          </w:tcPr>
          <w:p>
            <w:pPr>
              <w:ind w:left="180"/>
              <w:spacing w:after="0"/>
              <w:rPr>
                <w:sz w:val="20"/>
                <w:szCs w:val="20"/>
                <w:color w:val="auto"/>
              </w:rPr>
            </w:pPr>
            <w:r>
              <w:rPr>
                <w:rFonts w:ascii="Arial" w:cs="Arial" w:eastAsia="Arial" w:hAnsi="Arial"/>
                <w:sz w:val="17"/>
                <w:szCs w:val="17"/>
                <w:color w:val="auto"/>
              </w:rPr>
              <w:t>EPS</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110,474</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110,036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109,732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9"/>
                <w:szCs w:val="19"/>
                <w:color w:val="auto"/>
              </w:rPr>
            </w:pPr>
          </w:p>
        </w:tc>
      </w:tr>
      <w:tr>
        <w:trPr>
          <w:trHeight w:val="241"/>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Stock options</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1,606</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Weighted average shares outstanding for diluted</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EPS</w:t>
            </w: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112,080</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110,036</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109,732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0.13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0.03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(0.25)</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24.06</w:t>
            </w:r>
          </w:p>
        </w:tc>
        <w:tc>
          <w:tcPr>
            <w:tcW w:w="80" w:type="dxa"/>
            <w:vAlign w:val="bottom"/>
          </w:tcPr>
          <w:p>
            <w:pPr>
              <w:spacing w:after="0"/>
              <w:rPr>
                <w:sz w:val="19"/>
                <w:szCs w:val="19"/>
                <w:color w:val="auto"/>
              </w:rPr>
            </w:pPr>
          </w:p>
        </w:tc>
      </w:tr>
      <w:tr>
        <w:trPr>
          <w:trHeight w:val="241"/>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c>
          <w:tcPr>
            <w:tcW w:w="80" w:type="dxa"/>
            <w:vAlign w:val="bottom"/>
            <w:shd w:val="clear" w:color="auto" w:fill="CCEEFF"/>
          </w:tcPr>
          <w:p>
            <w:pPr>
              <w:spacing w:after="0"/>
              <w:rPr>
                <w:sz w:val="20"/>
                <w:szCs w:val="20"/>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40" w:type="dxa"/>
            <w:vAlign w:val="bottom"/>
            <w:gridSpan w:val="2"/>
          </w:tcPr>
          <w:p>
            <w:pPr>
              <w:ind w:left="180"/>
              <w:spacing w:after="0"/>
              <w:rPr>
                <w:sz w:val="20"/>
                <w:szCs w:val="20"/>
                <w:color w:val="auto"/>
              </w:rPr>
            </w:pPr>
            <w:r>
              <w:rPr>
                <w:rFonts w:ascii="Arial" w:cs="Arial" w:eastAsia="Arial" w:hAnsi="Arial"/>
                <w:sz w:val="17"/>
                <w:szCs w:val="17"/>
                <w:color w:val="auto"/>
              </w:rPr>
              <w:t>EPS</w:t>
            </w:r>
          </w:p>
        </w:tc>
        <w:tc>
          <w:tcPr>
            <w:tcW w:w="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1,744</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6,712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90" w:lineRule="exact"/>
        <w:rPr>
          <w:sz w:val="20"/>
          <w:szCs w:val="20"/>
          <w:color w:val="auto"/>
        </w:rPr>
      </w:pPr>
    </w:p>
    <w:p>
      <w:pPr>
        <w:ind w:left="341" w:hanging="341"/>
        <w:spacing w:after="0"/>
        <w:tabs>
          <w:tab w:leader="none" w:pos="341"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3"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Our operations consist of two reportable segments:</w:t>
      </w:r>
    </w:p>
    <w:p>
      <w:pPr>
        <w:spacing w:after="0" w:line="117" w:lineRule="exact"/>
        <w:rPr>
          <w:rFonts w:ascii="Arial" w:cs="Arial" w:eastAsia="Arial" w:hAnsi="Arial"/>
          <w:sz w:val="17"/>
          <w:szCs w:val="17"/>
          <w:b w:val="1"/>
          <w:bCs w:val="1"/>
          <w:color w:val="auto"/>
        </w:rPr>
      </w:pPr>
    </w:p>
    <w:p>
      <w:pPr>
        <w:ind w:left="681" w:right="20" w:hanging="342"/>
        <w:spacing w:after="0" w:line="263" w:lineRule="auto"/>
        <w:tabs>
          <w:tab w:leader="none" w:pos="68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Owned &amp; host - Our owned brands consist of our ABC and EGW operating segments. In ABC stores, vision care services are provided by optometrists employed either by us or by independent professional corporations. EGW locations primarily feature independent optometrists to perform eye exams and on-site laboratories. Our two host operating segments consist of MIL and FM. These brands provide eye exams principally by independent optometrists in nearly all locations. We have aggregated our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71" w:lineRule="exact"/>
        <w:rPr>
          <w:sz w:val="20"/>
          <w:szCs w:val="20"/>
          <w:color w:val="auto"/>
        </w:rPr>
      </w:pPr>
    </w:p>
    <w:p>
      <w:pPr>
        <w:jc w:val="both"/>
        <w:ind w:left="700" w:right="240"/>
        <w:spacing w:after="0" w:line="271" w:lineRule="auto"/>
        <w:rPr>
          <w:sz w:val="20"/>
          <w:szCs w:val="20"/>
          <w:color w:val="auto"/>
        </w:rPr>
      </w:pPr>
      <w:r>
        <w:rPr>
          <w:rFonts w:ascii="Arial" w:cs="Arial" w:eastAsia="Arial" w:hAnsi="Arial"/>
          <w:sz w:val="17"/>
          <w:szCs w:val="17"/>
          <w:color w:val="auto"/>
        </w:rPr>
        <w:t>ABC, EGW, MIL, and FM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8" w:lineRule="exact"/>
        <w:rPr>
          <w:sz w:val="20"/>
          <w:szCs w:val="20"/>
          <w:color w:val="auto"/>
        </w:rPr>
      </w:pPr>
    </w:p>
    <w:p>
      <w:pPr>
        <w:ind w:left="680" w:hanging="342"/>
        <w:spacing w:after="0" w:line="294" w:lineRule="auto"/>
        <w:tabs>
          <w:tab w:leader="none" w:pos="6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Legacy - The Company manages the operations of, and supplies inventory and lab processing services to, 227 legacy retail vision centers. Under our legacy agreements, our responsibilities include development of annual operating budgets, providing managers and staff at each location, training personnel, ordering and maintaining merchandise inventory at the locations, providing sales receipts to customers, and owning and maintaining store furniture, fixtures and equipment.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During fiscal year 2016 (Successor), sales to our legacy partner represented 12.7% of consolidated net revenue. This exposes us to concentration of customer risk.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$38.3 million, $40.6 million, $33.7 million and $9.0 million for fiscal year 2016 (Successor), fiscal year 2015 (Successor), the 2014 Successor period and the 2014 Predecessor period, respectively.</w:t>
      </w:r>
    </w:p>
    <w:p>
      <w:pPr>
        <w:spacing w:after="0" w:line="61"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The “Corporate/Other” category includes the results of operations of our two other operating segments AC Lens and FSI,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49"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chief operating decision maker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68" w:lineRule="exact"/>
        <w:rPr>
          <w:sz w:val="20"/>
          <w:szCs w:val="20"/>
          <w:color w:val="auto"/>
        </w:rPr>
      </w:pPr>
    </w:p>
    <w:p>
      <w:pPr>
        <w:ind w:right="120" w:firstLine="347"/>
        <w:spacing w:after="0" w:line="281"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7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8"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consolidated financial statements, except for net revenue, which is presented on a cash basis, excluding the effects of unearned and deferred revenue, consistent with what the CODM regularly reviews. Asset information is not included in the following summary since the CODM does not regularly review such information for the reportable segments. In addition, asset and goodwill impairments are treated in the same manner and are not presented in the reportable segment columns. See Note 1 for discussion regarding retail store long-lived assets and Note 4 for recorded goodwill impairment on a reportable segment level.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Fiscal Year 2016 (Successor)</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Owned &amp; Host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Reconciliations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730,741</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103,618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151,083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980,953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158,667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48,592</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17,533</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(9,550)</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215,242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889,408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152,210</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168,616</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(14,039)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1,196,195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212,208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48,097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131,257</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390,369</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127,904</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11,510</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14,998</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154,412</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340,112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59,607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146,255</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544,781</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343,838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52,925</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127,475</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524,238</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7,132</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1,667</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1,667</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205,458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39,678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(113,913)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(12,846)</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118,377</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51,993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Fiscal Year 2015 (Successor)</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Owned &amp; Host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Reconciliations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622,845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104,218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145,794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870,463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136,480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50,795</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18,468</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(13,678)</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192,065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759,325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155,013</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164,262</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(16,072)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1,062,528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180,847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49,701</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123,771</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353,894</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111,383</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10,759</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15,064</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137,206</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292,230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60,460</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138,835</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491,100</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127,429</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474,053</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7,716</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w:t>
            </w:r>
          </w:p>
        </w:tc>
        <w:tc>
          <w:tcPr>
            <w:tcW w:w="1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2,551</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173,395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41,629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(113,182)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(15,647)</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86,195</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44,069</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5,385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ind w:left="720"/>
              <w:spacing w:after="0"/>
              <w:rPr>
                <w:sz w:val="20"/>
                <w:szCs w:val="20"/>
                <w:color w:val="auto"/>
              </w:rPr>
            </w:pPr>
            <w:r>
              <w:rPr>
                <w:rFonts w:ascii="Arial" w:cs="Arial" w:eastAsia="Arial" w:hAnsi="Arial"/>
                <w:sz w:val="17"/>
                <w:szCs w:val="17"/>
                <w:color w:val="auto"/>
              </w:rPr>
              <w:t>F-35</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4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40" w:top="273" w:right="13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200"/>
              <w:spacing w:after="0"/>
              <w:rPr>
                <w:sz w:val="20"/>
                <w:szCs w:val="20"/>
                <w:color w:val="auto"/>
              </w:rPr>
            </w:pPr>
            <w:r>
              <w:rPr>
                <w:rFonts w:ascii="Arial" w:cs="Arial" w:eastAsia="Arial" w:hAnsi="Arial"/>
                <w:sz w:val="14"/>
                <w:szCs w:val="14"/>
                <w:b w:val="1"/>
                <w:bCs w:val="1"/>
                <w:color w:val="auto"/>
                <w:w w:val="86"/>
              </w:rPr>
              <w:t>2014 Successor Period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Corporate/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gridSpan w:val="2"/>
          </w:tcPr>
          <w:p>
            <w:pPr>
              <w:spacing w:after="0"/>
              <w:rPr>
                <w:sz w:val="15"/>
                <w:szCs w:val="15"/>
                <w:color w:val="auto"/>
              </w:rPr>
            </w:pPr>
          </w:p>
        </w:tc>
        <w:tc>
          <w:tcPr>
            <w:tcW w:w="10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8"/>
              </w:rPr>
              <w:t>Owned &amp; Host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6"/>
              </w:rPr>
              <w:t>Legacy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6"/>
              </w:rPr>
              <w:t>Reconciliations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415,081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78,499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93,902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41,283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14,583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(17,173)</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132,595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508,983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119,782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124,644</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(17,729)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735,680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125,618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7"/>
                <w:szCs w:val="17"/>
                <w:color w:val="auto"/>
              </w:rPr>
              <w:t>38,857</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102,103</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11,977</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99,849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8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204,662</w:t>
            </w: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47,685</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114,080</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366,476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198,869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41,348</w:t>
            </w: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91,258</w:t>
            </w: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331,475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4,672</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Acquisition related costs and other expense</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(income), net</w:t>
            </w: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105,452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30,749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(99,799)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(17,778)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31,566</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(39,765)</w:t>
            </w:r>
          </w:p>
        </w:tc>
        <w:tc>
          <w:tcPr>
            <w:tcW w:w="0" w:type="dxa"/>
            <w:vAlign w:val="bottom"/>
          </w:tcPr>
          <w:p>
            <w:pPr>
              <w:spacing w:after="0"/>
              <w:rPr>
                <w:sz w:val="1"/>
                <w:szCs w:val="1"/>
                <w:color w:val="auto"/>
              </w:rPr>
            </w:pPr>
          </w:p>
        </w:tc>
      </w:tr>
      <w:tr>
        <w:trPr>
          <w:trHeight w:val="235"/>
        </w:trPr>
        <w:tc>
          <w:tcPr>
            <w:tcW w:w="34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c>
          <w:tcPr>
            <w:tcW w:w="96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bottom w:val="single" w:sz="8" w:color="auto"/>
            </w:tcBorders>
          </w:tcPr>
          <w:p>
            <w:pPr>
              <w:spacing w:after="0"/>
              <w:rPr>
                <w:sz w:val="20"/>
                <w:szCs w:val="20"/>
                <w:color w:val="auto"/>
              </w:rPr>
            </w:pPr>
          </w:p>
        </w:tc>
        <w:tc>
          <w:tcPr>
            <w:tcW w:w="160" w:type="dxa"/>
            <w:vAlign w:val="bottom"/>
            <w:tcBorders>
              <w:top w:val="single" w:sz="8" w:color="CCEEFF"/>
              <w:bottom w:val="single" w:sz="8" w:color="auto"/>
            </w:tcBorders>
          </w:tcPr>
          <w:p>
            <w:pPr>
              <w:spacing w:after="0"/>
              <w:rPr>
                <w:sz w:val="20"/>
                <w:szCs w:val="20"/>
                <w:color w:val="auto"/>
              </w:rPr>
            </w:pPr>
          </w:p>
        </w:tc>
        <w:tc>
          <w:tcPr>
            <w:tcW w:w="3160" w:type="dxa"/>
            <w:vAlign w:val="bottom"/>
            <w:tcBorders>
              <w:top w:val="single" w:sz="8" w:color="CCEEFF"/>
              <w:bottom w:val="single" w:sz="8" w:color="auto"/>
            </w:tcBorders>
            <w:gridSpan w:val="8"/>
          </w:tcPr>
          <w:p>
            <w:pPr>
              <w:jc w:val="right"/>
              <w:ind w:right="1120"/>
              <w:spacing w:after="0"/>
              <w:rPr>
                <w:sz w:val="20"/>
                <w:szCs w:val="20"/>
                <w:color w:val="auto"/>
              </w:rPr>
            </w:pPr>
            <w:r>
              <w:rPr>
                <w:rFonts w:ascii="Arial" w:cs="Arial" w:eastAsia="Arial" w:hAnsi="Arial"/>
                <w:sz w:val="14"/>
                <w:szCs w:val="14"/>
                <w:b w:val="1"/>
                <w:bCs w:val="1"/>
                <w:color w:val="auto"/>
              </w:rPr>
              <w:t>2014 Predecessor Period</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Corporate/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Owned &amp; Host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Legacy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Reconciliations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116,310</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(6,940)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26,994</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11,123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4,036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(3,931)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143,304</w:t>
            </w: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32,275</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32,309</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34,374</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24,524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19,805</w:t>
            </w: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3"/>
          </w:tcPr>
          <w:p>
            <w:pPr>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54,179</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50,112</w:t>
            </w: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18,951</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80" w:type="dxa"/>
            <w:vAlign w:val="bottom"/>
            <w:gridSpan w:val="3"/>
          </w:tcPr>
          <w:p>
            <w:pPr>
              <w:spacing w:after="0"/>
              <w:rPr>
                <w:sz w:val="20"/>
                <w:szCs w:val="20"/>
                <w:color w:val="auto"/>
              </w:rPr>
            </w:pPr>
            <w:r>
              <w:rPr>
                <w:rFonts w:ascii="Arial" w:cs="Arial" w:eastAsia="Arial" w:hAnsi="Arial"/>
                <w:sz w:val="17"/>
                <w:szCs w:val="17"/>
                <w:color w:val="auto"/>
              </w:rPr>
              <w:t>Acquisition related costs and other expense</w:t>
            </w:r>
          </w:p>
        </w:tc>
        <w:tc>
          <w:tcPr>
            <w:tcW w:w="12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vMerge w:val="restart"/>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3"/>
          </w:tcPr>
          <w:p>
            <w:pPr>
              <w:ind w:left="180"/>
              <w:spacing w:after="0"/>
              <w:rPr>
                <w:sz w:val="20"/>
                <w:szCs w:val="20"/>
                <w:color w:val="auto"/>
              </w:rPr>
            </w:pPr>
            <w:r>
              <w:rPr>
                <w:rFonts w:ascii="Arial" w:cs="Arial" w:eastAsia="Arial" w:hAnsi="Arial"/>
                <w:sz w:val="17"/>
                <w:szCs w:val="17"/>
                <w:color w:val="auto"/>
              </w:rPr>
              <w:t>(income), net</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39,013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(9,079)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Net Product Revenue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consolidated net product revenue information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1"/>
              <w:spacing w:after="0" w:line="157" w:lineRule="exact"/>
              <w:rPr>
                <w:sz w:val="20"/>
                <w:szCs w:val="20"/>
                <w:color w:val="auto"/>
              </w:rPr>
            </w:pPr>
            <w:r>
              <w:rPr>
                <w:rFonts w:ascii="Arial" w:cs="Arial" w:eastAsia="Arial" w:hAnsi="Arial"/>
                <w:sz w:val="14"/>
                <w:szCs w:val="14"/>
                <w:b w:val="1"/>
                <w:bCs w:val="1"/>
                <w:color w:val="auto"/>
                <w:w w:val="92"/>
              </w:rPr>
              <w:t>January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January 3,</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5"/>
              </w:rPr>
              <w:t>March 12,</w:t>
            </w:r>
          </w:p>
        </w:tc>
      </w:tr>
      <w:tr>
        <w:trPr>
          <w:trHeight w:val="179"/>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r>
      <w:tr>
        <w:trPr>
          <w:trHeight w:val="228"/>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Product Sales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4340" w:type="dxa"/>
            <w:vAlign w:val="bottom"/>
            <w:gridSpan w:val="2"/>
          </w:tcPr>
          <w:p>
            <w:pPr>
              <w:spacing w:after="0"/>
              <w:rPr>
                <w:sz w:val="20"/>
                <w:szCs w:val="20"/>
                <w:color w:val="auto"/>
              </w:rPr>
            </w:pPr>
            <w:r>
              <w:rPr>
                <w:rFonts w:ascii="Arial" w:cs="Arial" w:eastAsia="Arial" w:hAnsi="Arial"/>
                <w:sz w:val="17"/>
                <w:szCs w:val="17"/>
                <w:color w:val="auto"/>
              </w:rPr>
              <w:t>Eyeglasses and sunglasses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663,253</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574,969</w:t>
            </w:r>
          </w:p>
        </w:tc>
        <w:tc>
          <w:tcPr>
            <w:tcW w:w="340" w:type="dxa"/>
            <w:vAlign w:val="bottom"/>
            <w:gridSpan w:val="3"/>
          </w:tcPr>
          <w:p>
            <w:pPr>
              <w:jc w:val="right"/>
              <w:ind w:right="1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385,172</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103,270</w:t>
            </w:r>
          </w:p>
        </w:tc>
      </w:tr>
      <w:tr>
        <w:trPr>
          <w:trHeight w:val="241"/>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Contact lenses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310,322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211,601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53,892</w:t>
            </w:r>
          </w:p>
        </w:tc>
      </w:tr>
      <w:tr>
        <w:trPr>
          <w:trHeight w:val="235"/>
        </w:trPr>
        <w:tc>
          <w:tcPr>
            <w:tcW w:w="4320" w:type="dxa"/>
            <w:vAlign w:val="bottom"/>
          </w:tcPr>
          <w:p>
            <w:pPr>
              <w:spacing w:after="0"/>
              <w:rPr>
                <w:sz w:val="20"/>
                <w:szCs w:val="20"/>
                <w:color w:val="auto"/>
              </w:rPr>
            </w:pPr>
            <w:r>
              <w:rPr>
                <w:rFonts w:ascii="Arial" w:cs="Arial" w:eastAsia="Arial" w:hAnsi="Arial"/>
                <w:sz w:val="17"/>
                <w:szCs w:val="17"/>
                <w:color w:val="auto"/>
              </w:rPr>
              <w:t>Accessories and other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6,312</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80" w:type="dxa"/>
            <w:vAlign w:val="bottom"/>
          </w:tcPr>
          <w:p>
            <w:pPr>
              <w:spacing w:after="0"/>
              <w:rPr>
                <w:sz w:val="20"/>
                <w:szCs w:val="20"/>
                <w:color w:val="auto"/>
              </w:rPr>
            </w:pPr>
          </w:p>
        </w:tc>
      </w:tr>
      <w:tr>
        <w:trPr>
          <w:trHeight w:val="26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net product revenues</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870,463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123"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 Company has evaluated subsequent events for recognition and disclosure for occurrences and transactions after the date of the consolidated financial statements as of July 10,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(continued)</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 2017, the Company declared a recapitalization dividend to its stockholders. The dividend was funded with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$175.0 million in new term loans under the Company’s First Lien Credit Agreement. The borrowing rate on this $175.0 million term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loan was 4.0%, consistent with the existing first lien term loans. Quarterly principal payments increased by $0.5 million.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additional principal matures consistent with the original first lien amount on March 13, 2021. We recorded $2.3 million in related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party fees and $0.4 million in third party fees in debt issuance costs.</w:t>
      </w:r>
    </w:p>
    <w:p>
      <w:pPr>
        <w:spacing w:after="0" w:line="105"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AC Lens,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will record a $7.0 million charge to accrue for this settlement in the second quarter of 2017.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Condensed Consolidated Balance Sheets</w:t>
      </w:r>
    </w:p>
    <w:p>
      <w:pPr>
        <w:ind w:left="3080"/>
        <w:spacing w:after="0"/>
        <w:rPr>
          <w:sz w:val="20"/>
          <w:szCs w:val="20"/>
          <w:color w:val="auto"/>
        </w:rPr>
      </w:pPr>
      <w:r>
        <w:rPr>
          <w:rFonts w:ascii="Arial" w:cs="Arial" w:eastAsia="Arial" w:hAnsi="Arial"/>
          <w:sz w:val="17"/>
          <w:szCs w:val="17"/>
          <w:b w:val="1"/>
          <w:bCs w:val="1"/>
          <w:color w:val="auto"/>
        </w:rPr>
        <w:t>As of July 1, 2017 and December 31, 2016</w:t>
      </w:r>
    </w:p>
    <w:p>
      <w:pPr>
        <w:ind w:left="3060"/>
        <w:spacing w:after="0"/>
        <w:rPr>
          <w:sz w:val="20"/>
          <w:szCs w:val="20"/>
          <w:color w:val="auto"/>
        </w:rPr>
      </w:pPr>
      <w:r>
        <w:rPr>
          <w:rFonts w:ascii="Arial" w:cs="Arial" w:eastAsia="Arial" w:hAnsi="Arial"/>
          <w:sz w:val="17"/>
          <w:szCs w:val="17"/>
          <w:i w:val="1"/>
          <w:iCs w:val="1"/>
          <w:color w:val="auto"/>
        </w:rPr>
        <w:t>In Thousands, Except Par Value Information</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r>
      <w:tr>
        <w:trPr>
          <w:trHeight w:val="172"/>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July 1, 2017</w:t>
            </w:r>
          </w:p>
        </w:tc>
        <w:tc>
          <w:tcPr>
            <w:tcW w:w="18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24,864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4,945</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38,156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34,370</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89,376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87,064</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20,880</w:t>
            </w:r>
          </w:p>
        </w:tc>
        <w:tc>
          <w:tcPr>
            <w:tcW w:w="80" w:type="dxa"/>
            <w:vAlign w:val="bottom"/>
          </w:tcPr>
          <w:p>
            <w:pPr>
              <w:spacing w:after="0"/>
              <w:rPr>
                <w:sz w:val="19"/>
                <w:szCs w:val="19"/>
                <w:color w:val="auto"/>
              </w:rPr>
            </w:pPr>
          </w:p>
        </w:tc>
      </w:tr>
      <w:tr>
        <w:trPr>
          <w:trHeight w:val="235"/>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174,396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147,259</w:t>
            </w:r>
          </w:p>
        </w:tc>
      </w:tr>
      <w:tr>
        <w:trPr>
          <w:trHeight w:val="235"/>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281,321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256,414</w:t>
            </w: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792,744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793,229</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Trademarks and trade names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240,547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240,547</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77,121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81,338</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10,544</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12,330</w:t>
            </w:r>
          </w:p>
        </w:tc>
        <w:tc>
          <w:tcPr>
            <w:tcW w:w="80" w:type="dxa"/>
            <w:vAlign w:val="bottom"/>
          </w:tcPr>
          <w:p>
            <w:pPr>
              <w:spacing w:after="0"/>
              <w:rPr>
                <w:sz w:val="19"/>
                <w:szCs w:val="19"/>
                <w:color w:val="auto"/>
              </w:rPr>
            </w:pPr>
          </w:p>
        </w:tc>
      </w:tr>
      <w:tr>
        <w:trPr>
          <w:trHeight w:val="228"/>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non-current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1,383,858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1,531,117</w:t>
            </w:r>
          </w:p>
        </w:tc>
      </w:tr>
      <w:tr>
        <w:trPr>
          <w:trHeight w:val="25"/>
        </w:trPr>
        <w:tc>
          <w:tcPr>
            <w:tcW w:w="62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34,433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39,400</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81,847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69,402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Unearned revenue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22,669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25,600</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63,353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57,996</w:t>
            </w:r>
          </w:p>
        </w:tc>
      </w:tr>
      <w:tr>
        <w:trPr>
          <w:trHeight w:val="234"/>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maturities of long-term debt</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211,865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199,683</w:t>
            </w:r>
          </w:p>
        </w:tc>
      </w:tr>
      <w:tr>
        <w:trPr>
          <w:trHeight w:val="241"/>
        </w:trPr>
        <w:tc>
          <w:tcPr>
            <w:tcW w:w="6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913,341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738,340</w:t>
            </w:r>
          </w:p>
        </w:tc>
      </w:tr>
      <w:tr>
        <w:trPr>
          <w:trHeight w:val="23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31,651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29,432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50,779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50,497</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119,528</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111,278</w:t>
            </w:r>
          </w:p>
        </w:tc>
        <w:tc>
          <w:tcPr>
            <w:tcW w:w="80" w:type="dxa"/>
            <w:vAlign w:val="bottom"/>
          </w:tcPr>
          <w:p>
            <w:pPr>
              <w:spacing w:after="0"/>
              <w:rPr>
                <w:sz w:val="19"/>
                <w:szCs w:val="19"/>
                <w:color w:val="auto"/>
              </w:rPr>
            </w:pPr>
          </w:p>
        </w:tc>
      </w:tr>
      <w:tr>
        <w:trPr>
          <w:trHeight w:val="235"/>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201,958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191,207</w:t>
            </w: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(See Note 8)</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9"/>
        </w:trPr>
        <w:tc>
          <w:tcPr>
            <w:tcW w:w="6280" w:type="dxa"/>
            <w:vAlign w:val="bottom"/>
            <w:gridSpan w:val="2"/>
          </w:tcPr>
          <w:p>
            <w:pPr>
              <w:ind w:left="180"/>
              <w:spacing w:after="0"/>
              <w:rPr>
                <w:sz w:val="20"/>
                <w:szCs w:val="20"/>
                <w:color w:val="auto"/>
              </w:rPr>
            </w:pPr>
            <w:r>
              <w:rPr>
                <w:rFonts w:ascii="Arial" w:cs="Arial" w:eastAsia="Arial" w:hAnsi="Arial"/>
                <w:sz w:val="17"/>
                <w:szCs w:val="17"/>
                <w:color w:val="auto"/>
                <w:w w:val="97"/>
              </w:rPr>
              <w:t>Common stock, $0.01 par value; 200,000 shares authorized; 110,925 and 110,509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shares issued and outstanding as of July 1, 2017 and December 31, 2016,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1,105</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256,339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424,246</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(14,605)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(14,556)</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Retained earnings (deficit)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6,899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(8,675)</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Treasury stock, at cost; 55 shares as of July 1, 2017 and December 31, 2016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(233)</w:t>
            </w:r>
          </w:p>
        </w:tc>
      </w:tr>
      <w:tr>
        <w:trPr>
          <w:trHeight w:val="228"/>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1,531,117</w:t>
            </w: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left="1360" w:right="1660"/>
        <w:spacing w:after="0" w:line="250" w:lineRule="auto"/>
        <w:rPr>
          <w:sz w:val="20"/>
          <w:szCs w:val="20"/>
          <w:color w:val="auto"/>
        </w:rPr>
      </w:pPr>
      <w:r>
        <w:rPr>
          <w:rFonts w:ascii="Arial" w:cs="Arial" w:eastAsia="Arial" w:hAnsi="Arial"/>
          <w:sz w:val="17"/>
          <w:szCs w:val="17"/>
          <w:b w:val="1"/>
          <w:bCs w:val="1"/>
          <w:color w:val="auto"/>
        </w:rPr>
        <w:t xml:space="preserve">National Vision Holdings, Inc. and Subsidiaries Condensed Consolidated Statements of Operations and Comprehensive Income For the Six Months Ended July 1, 2017 and July 2, 2016 </w:t>
      </w:r>
      <w:r>
        <w:rPr>
          <w:rFonts w:ascii="Arial" w:cs="Arial" w:eastAsia="Arial" w:hAnsi="Arial"/>
          <w:sz w:val="17"/>
          <w:szCs w:val="17"/>
          <w:i w:val="1"/>
          <w:iCs w:val="1"/>
          <w:color w:val="auto"/>
        </w:rPr>
        <w:t xml:space="preserve">In Thousands, Except Per Share Information </w:t>
      </w:r>
      <w:r>
        <w:rPr>
          <w:rFonts w:ascii="Arial" w:cs="Arial" w:eastAsia="Arial" w:hAnsi="Arial"/>
          <w:sz w:val="17"/>
          <w:szCs w:val="17"/>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2, 2016</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583,544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510,149</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sales of services and plans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107,716</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617,865</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 (exclusive of depreciation and amortization):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200,324</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75,464</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275,788</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260,924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25,020</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Litigation settlement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659</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286,655</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55,422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19,649</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35,773</w:t>
            </w: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Income tax provision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14,332</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35"/>
        </w:trPr>
        <w:tc>
          <w:tcPr>
            <w:tcW w:w="62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0.14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0.19</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0.19</w:t>
            </w: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110,422</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114,711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111,362</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Change in fair value of hedge instruments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(12,582)</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 value of hedge instruments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4,957</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15,525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13,816</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5" w:name="page226"/>
    <w:bookmarkEnd w:id="2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spacing w:after="0"/>
        <w:rPr>
          <w:sz w:val="20"/>
          <w:szCs w:val="20"/>
          <w:color w:val="auto"/>
        </w:rPr>
      </w:pPr>
      <w:r>
        <w:rPr>
          <w:rFonts w:ascii="Arial" w:cs="Arial" w:eastAsia="Arial" w:hAnsi="Arial"/>
          <w:sz w:val="17"/>
          <w:szCs w:val="17"/>
          <w:b w:val="1"/>
          <w:bCs w:val="1"/>
          <w:color w:val="auto"/>
        </w:rPr>
        <w:t>For the Six Months Ended July 1, 2017 and July 2, 2016</w:t>
      </w:r>
    </w:p>
    <w:p>
      <w:pPr>
        <w:jc w:val="center"/>
        <w:spacing w:after="0"/>
        <w:rPr>
          <w:sz w:val="20"/>
          <w:szCs w:val="20"/>
          <w:color w:val="auto"/>
        </w:rPr>
      </w:pPr>
      <w:r>
        <w:rPr>
          <w:rFonts w:ascii="Arial" w:cs="Arial" w:eastAsia="Arial" w:hAnsi="Arial"/>
          <w:sz w:val="17"/>
          <w:szCs w:val="17"/>
          <w:i w:val="1"/>
          <w:iCs w:val="1"/>
          <w:color w:val="auto"/>
        </w:rPr>
        <w:t>In Thousands</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2, 2016</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15,574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21,441</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Depreciation of property and equipment</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24,835</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20,426</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4,594</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Amortization of loan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1,984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 expense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14,334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 option compensation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2,454</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Non-cash inventory adjustments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620</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372</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(3,786)</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2,312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(6,192)</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(3,485)</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252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(4,967)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(9,547)</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8,363</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64,172</w:t>
            </w:r>
          </w:p>
        </w:tc>
      </w:tr>
      <w:tr>
        <w:trPr>
          <w:trHeight w:val="231"/>
        </w:trPr>
        <w:tc>
          <w:tcPr>
            <w:tcW w:w="62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(44,219)</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(46,609)</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Purchase of investments</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(44,548)</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(47,522)</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173,712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payments on long-term debt</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884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capital lease obligations</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(424)</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Dividend to stockholders</w:t>
            </w:r>
          </w:p>
        </w:tc>
        <w:tc>
          <w:tcPr>
            <w:tcW w:w="1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(170,983)</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Net cash used for financing activities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(2,642)</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14,008</w:t>
            </w: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5,596</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19,604</w:t>
            </w:r>
          </w:p>
        </w:tc>
      </w:tr>
      <w:tr>
        <w:trPr>
          <w:trHeight w:val="235"/>
        </w:trPr>
        <w:tc>
          <w:tcPr>
            <w:tcW w:w="62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cash flow disclosure information: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Non-cash financing activities: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offering costs accrued at the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91" w:lineRule="exact"/>
        <w:rPr>
          <w:sz w:val="20"/>
          <w:szCs w:val="20"/>
          <w:color w:val="auto"/>
        </w:rPr>
      </w:pPr>
    </w:p>
    <w:p>
      <w:pPr>
        <w:ind w:right="20" w:firstLine="347"/>
        <w:spacing w:after="0" w:line="247" w:lineRule="auto"/>
        <w:rPr>
          <w:sz w:val="20"/>
          <w:szCs w:val="20"/>
          <w:color w:val="auto"/>
        </w:rPr>
      </w:pPr>
      <w:r>
        <w:rPr>
          <w:rFonts w:ascii="Arial" w:cs="Arial" w:eastAsia="Arial" w:hAnsi="Arial"/>
          <w:sz w:val="17"/>
          <w:szCs w:val="17"/>
          <w:color w:val="auto"/>
        </w:rPr>
        <w:t>National Vision Holdings, Inc. (“NVHI,” the “Company,” “we,” “our,” or “us”) and Subsidiaries is a leading value retailer and manufacturer of eyeglasses and value retailer of contact lenses. We operated 980 and 943 retail optical locations in the United States and its territories as of July 1, 2017 and December 31, 2016, respectively, through our five store brands, including America’s Best Contacts and Eyeglasses, Eyeglass World, Vista Optical locations on U.S. Army/Air Force military bases and within Fred Meyer stores, and our management and services arrangement with Walmart.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w:t>
      </w:r>
    </w:p>
    <w:p>
      <w:pPr>
        <w:spacing w:after="0" w:line="104" w:lineRule="exact"/>
        <w:rPr>
          <w:sz w:val="20"/>
          <w:szCs w:val="20"/>
          <w:color w:val="auto"/>
        </w:rPr>
      </w:pPr>
    </w:p>
    <w:p>
      <w:pPr>
        <w:ind w:firstLine="347"/>
        <w:spacing w:after="0" w:line="263" w:lineRule="auto"/>
        <w:rPr>
          <w:sz w:val="20"/>
          <w:szCs w:val="20"/>
          <w:color w:val="auto"/>
        </w:rPr>
      </w:pPr>
      <w:r>
        <w:rPr>
          <w:rFonts w:ascii="Arial" w:cs="Arial" w:eastAsia="Arial" w:hAnsi="Arial"/>
          <w:sz w:val="16"/>
          <w:szCs w:val="16"/>
          <w:color w:val="auto"/>
        </w:rPr>
        <w:t>The accompanying condensed consolidated financial statements have been prepared by the Company in accordance with accounting principles generally accepted in the United States of America (“U.S. GAAP”) for interim financial information and, therefore, do not include all information and footnotes required by U.S. GAAP for complete financial statements. The condensed consolidated balance sheet as of December 31, 2016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July 1, 2017, and the results of operations and cash flows for the six months ended July 1, 2017 and July 2, 2016.</w:t>
      </w:r>
    </w:p>
    <w:p>
      <w:pPr>
        <w:spacing w:after="0" w:line="49" w:lineRule="exact"/>
        <w:rPr>
          <w:sz w:val="20"/>
          <w:szCs w:val="20"/>
          <w:color w:val="auto"/>
        </w:rPr>
      </w:pPr>
    </w:p>
    <w:p>
      <w:pPr>
        <w:ind w:right="60" w:firstLine="347"/>
        <w:spacing w:after="0" w:line="244" w:lineRule="auto"/>
        <w:rPr>
          <w:sz w:val="20"/>
          <w:szCs w:val="20"/>
          <w:color w:val="auto"/>
        </w:rPr>
      </w:pPr>
      <w:r>
        <w:rPr>
          <w:rFonts w:ascii="Arial" w:cs="Arial" w:eastAsia="Arial" w:hAnsi="Arial"/>
          <w:sz w:val="17"/>
          <w:szCs w:val="17"/>
          <w:color w:val="auto"/>
        </w:rPr>
        <w:t>The results of operations for the six months ended July 1, 2017 and July 2, 2016 are not necessarily indicative of the results to be expected for the full fiscal year due to uncertainty of general economic conditions that may impact our key end markets. 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We are less susceptible to seasonality related to fourth quarter holiday spending by retail consumers. Our quarterly results can also be affected by the timing of new store openings and store closings and the timing of certain holidays.</w:t>
      </w:r>
    </w:p>
    <w:p>
      <w:pPr>
        <w:spacing w:after="0" w:line="53" w:lineRule="exact"/>
        <w:rPr>
          <w:sz w:val="20"/>
          <w:szCs w:val="20"/>
          <w:color w:val="auto"/>
        </w:rPr>
      </w:pPr>
    </w:p>
    <w:p>
      <w:pPr>
        <w:ind w:right="20" w:firstLine="347"/>
        <w:spacing w:after="0" w:line="243" w:lineRule="auto"/>
        <w:rPr>
          <w:sz w:val="20"/>
          <w:szCs w:val="20"/>
          <w:color w:val="auto"/>
        </w:rPr>
      </w:pPr>
      <w:r>
        <w:rPr>
          <w:rFonts w:ascii="Arial" w:cs="Arial" w:eastAsia="Arial" w:hAnsi="Arial"/>
          <w:sz w:val="17"/>
          <w:szCs w:val="17"/>
          <w:color w:val="auto"/>
        </w:rPr>
        <w:t xml:space="preserve">Certain information and footnote disclosures normally included in our annual consolidated financial statements prepared in accordance with U.S.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December 31, 2016. The significant accounting policies followed by the Company are set forth in Note 1 within those audited consolidated financial statements. We use the same accounting policies in preparing interim and annual consolidated financial statements. There were no changes in our significant accounting policies during the six months ended July 1, 2017, except for the adoption of Accounting Standards Update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and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neither of which had a material effect on the Company's financial condition,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cash flows.</w:t>
      </w:r>
    </w:p>
    <w:p>
      <w:pPr>
        <w:spacing w:after="0" w:line="67"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The condensed consolidated financial statements include our accounts and those of our subsidiaries, all of which are wholly-owned. All intercompany balances and transactions have been eliminated in consolidation.</w:t>
      </w:r>
    </w:p>
    <w:p>
      <w:pPr>
        <w:spacing w:after="0" w:line="41" w:lineRule="exact"/>
        <w:rPr>
          <w:sz w:val="20"/>
          <w:szCs w:val="20"/>
          <w:color w:val="auto"/>
        </w:rPr>
      </w:pPr>
    </w:p>
    <w:p>
      <w:pPr>
        <w:ind w:right="460" w:firstLine="347"/>
        <w:spacing w:after="0" w:line="271" w:lineRule="auto"/>
        <w:rPr>
          <w:sz w:val="20"/>
          <w:szCs w:val="20"/>
          <w:color w:val="auto"/>
        </w:rPr>
      </w:pPr>
      <w:r>
        <w:rPr>
          <w:rFonts w:ascii="Arial" w:cs="Arial" w:eastAsia="Arial" w:hAnsi="Arial"/>
          <w:sz w:val="17"/>
          <w:szCs w:val="17"/>
          <w:color w:val="auto"/>
        </w:rPr>
        <w:t>We have evaluated subsequent events for recognition and disclosure for occurrences and transactions after the date of the condensed consolidated financial statements as of August 28,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91" w:lineRule="exact"/>
        <w:rPr>
          <w:sz w:val="20"/>
          <w:szCs w:val="20"/>
          <w:color w:val="auto"/>
        </w:rPr>
      </w:pPr>
    </w:p>
    <w:p>
      <w:pPr>
        <w:ind w:right="100" w:firstLine="347"/>
        <w:spacing w:after="0" w:line="255" w:lineRule="auto"/>
        <w:rPr>
          <w:sz w:val="20"/>
          <w:szCs w:val="20"/>
          <w:color w:val="auto"/>
        </w:rPr>
      </w:pPr>
      <w:r>
        <w:rPr>
          <w:rFonts w:ascii="Arial" w:cs="Arial" w:eastAsia="Arial" w:hAnsi="Arial"/>
          <w:sz w:val="17"/>
          <w:szCs w:val="17"/>
          <w:color w:val="auto"/>
        </w:rPr>
        <w:t>We report on a fiscal year consisting of 52 or 53 weeks ending on the Saturday closest to December 31. Fiscal year 2017 contains 52 weeks and will end on December 30, 2017. The six month periods presented herein contain 26 weeks. All references to years and quarters relate to fiscal periods rather than calendar periods.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104" w:lineRule="exact"/>
        <w:rPr>
          <w:sz w:val="20"/>
          <w:szCs w:val="20"/>
          <w:color w:val="auto"/>
        </w:rPr>
      </w:pPr>
    </w:p>
    <w:p>
      <w:pPr>
        <w:ind w:right="100" w:firstLine="347"/>
        <w:spacing w:after="0" w:line="25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7" w:name="page228"/>
    <w:bookmarkEnd w:id="227"/>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4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6" w:lineRule="exact"/>
        <w:rPr>
          <w:sz w:val="20"/>
          <w:szCs w:val="20"/>
          <w:color w:val="auto"/>
        </w:rPr>
      </w:pPr>
    </w:p>
    <w:p>
      <w:pPr>
        <w:ind w:left="1" w:right="4460" w:hanging="1"/>
        <w:spacing w:after="0" w:line="355" w:lineRule="auto"/>
        <w:tabs>
          <w:tab w:leader="none" w:pos="209"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(continued) </w:t>
      </w:r>
      <w:r>
        <w:rPr>
          <w:rFonts w:ascii="Arial" w:cs="Arial" w:eastAsia="Arial" w:hAnsi="Arial"/>
          <w:sz w:val="17"/>
          <w:szCs w:val="17"/>
          <w:i w:val="1"/>
          <w:iCs w:val="1"/>
          <w:color w:val="auto"/>
        </w:rPr>
        <w:t>Deferred Offering Costs</w:t>
      </w:r>
    </w:p>
    <w:p>
      <w:pPr>
        <w:spacing w:after="0" w:line="1" w:lineRule="exact"/>
        <w:rPr>
          <w:sz w:val="20"/>
          <w:szCs w:val="20"/>
          <w:color w:val="auto"/>
        </w:rPr>
      </w:pPr>
    </w:p>
    <w:p>
      <w:pPr>
        <w:ind w:left="1" w:right="160" w:firstLine="347"/>
        <w:spacing w:after="0" w:line="307" w:lineRule="auto"/>
        <w:rPr>
          <w:sz w:val="20"/>
          <w:szCs w:val="20"/>
          <w:color w:val="auto"/>
        </w:rPr>
      </w:pPr>
      <w:r>
        <w:rPr>
          <w:rFonts w:ascii="Arial" w:cs="Arial" w:eastAsia="Arial" w:hAnsi="Arial"/>
          <w:sz w:val="15"/>
          <w:szCs w:val="15"/>
          <w:color w:val="auto"/>
        </w:rPr>
        <w:t>We capitalize direct incremental legal and accounting fees relating to the initial public offering. These deferred offering costs will be offset against offering proceeds upon the consummation of the offering. In the event the offering is terminated, deferred offering costs will be expensed. As of July 1, 2017, the Company capitalized $2.1 million of deferred offering costs in prepaid expenses and other current assets in its condensed consolidated balance sheet, and accrued for $1.5 million during the six months ended July 1, 2017, which are presented in the condensed consolidated statement of cash flows as non-cash financing activities.</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left="1" w:right="40" w:firstLine="347"/>
        <w:spacing w:after="0" w:line="295" w:lineRule="auto"/>
        <w:rPr>
          <w:sz w:val="20"/>
          <w:szCs w:val="20"/>
          <w:color w:val="auto"/>
        </w:rPr>
      </w:pPr>
      <w:r>
        <w:rPr>
          <w:rFonts w:ascii="Arial" w:cs="Arial" w:eastAsia="Arial" w:hAnsi="Arial"/>
          <w:sz w:val="15"/>
          <w:szCs w:val="15"/>
          <w:color w:val="auto"/>
        </w:rPr>
        <w:t xml:space="preserve">In May 2014, the Financial Accounting Standards Board (“FASB”) issued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to clarify the principles used to recognize revenue for all entities. ASU 2014-09 provides new guidance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5"/>
          <w:szCs w:val="15"/>
          <w:i w:val="1"/>
          <w:iCs w:val="1"/>
          <w:color w:val="auto"/>
        </w:rPr>
        <w:t>Principal versus Agent Considerations (Reporting Revenue Gross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versus Net) </w:t>
      </w:r>
      <w:r>
        <w:rPr>
          <w:rFonts w:ascii="Arial" w:cs="Arial" w:eastAsia="Arial" w:hAnsi="Arial"/>
          <w:sz w:val="15"/>
          <w:szCs w:val="15"/>
          <w:color w:val="auto"/>
        </w:rPr>
        <w:t>in March 2016, and ASU 2016-10,</w:t>
      </w:r>
      <w:r>
        <w:rPr>
          <w:rFonts w:ascii="Arial" w:cs="Arial" w:eastAsia="Arial" w:hAnsi="Arial"/>
          <w:sz w:val="15"/>
          <w:szCs w:val="15"/>
          <w:i w:val="1"/>
          <w:iCs w:val="1"/>
          <w:color w:val="auto"/>
        </w:rPr>
        <w:t xml:space="preserve"> Identifying Performance Obligations and Licensing </w:t>
      </w:r>
      <w:r>
        <w:rPr>
          <w:rFonts w:ascii="Arial" w:cs="Arial" w:eastAsia="Arial" w:hAnsi="Arial"/>
          <w:sz w:val="15"/>
          <w:szCs w:val="15"/>
          <w:color w:val="auto"/>
        </w:rPr>
        <w:t>in April 2016. The guidance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fiscal years beginning after December 15, 2017, and interim reporting periods within that fiscal year. The Company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and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56" w:lineRule="exact"/>
        <w:rPr>
          <w:sz w:val="20"/>
          <w:szCs w:val="20"/>
          <w:color w:val="auto"/>
        </w:rPr>
      </w:pPr>
    </w:p>
    <w:p>
      <w:pPr>
        <w:ind w:left="1" w:right="40" w:firstLine="347"/>
        <w:spacing w:after="0" w:line="27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consolidated financial statements, but expect that adoption will have a material impact to the Company’s total assets and liabilities since we have a significant number of operating leases not currently recognized on our consolidated balance sheets.</w:t>
      </w:r>
    </w:p>
    <w:p>
      <w:pPr>
        <w:spacing w:after="0" w:line="67" w:lineRule="exact"/>
        <w:rPr>
          <w:sz w:val="20"/>
          <w:szCs w:val="20"/>
          <w:color w:val="auto"/>
        </w:rPr>
      </w:pPr>
    </w:p>
    <w:p>
      <w:pPr>
        <w:ind w:left="1" w:right="140" w:firstLine="347"/>
        <w:spacing w:after="0" w:line="262"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75"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228" w:name="page229"/>
    <w:bookmarkEnd w:id="228"/>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Description of Business and Basis of Presentation (continued)</w:t>
      </w:r>
    </w:p>
    <w:p>
      <w:pPr>
        <w:spacing w:after="0" w:line="71" w:lineRule="exact"/>
        <w:rPr>
          <w:sz w:val="20"/>
          <w:szCs w:val="20"/>
          <w:color w:val="auto"/>
        </w:rPr>
      </w:pPr>
    </w:p>
    <w:p>
      <w:pPr>
        <w:ind w:left="1" w:right="240"/>
        <w:spacing w:after="0" w:line="271" w:lineRule="auto"/>
        <w:rPr>
          <w:sz w:val="20"/>
          <w:szCs w:val="20"/>
          <w:color w:val="auto"/>
        </w:rPr>
      </w:pPr>
      <w:r>
        <w:rPr>
          <w:rFonts w:ascii="Arial" w:cs="Arial" w:eastAsia="Arial" w:hAnsi="Arial"/>
          <w:sz w:val="17"/>
          <w:szCs w:val="17"/>
          <w:color w:val="auto"/>
        </w:rPr>
        <w:t>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During the first quarter of 2017, we identified an error in our previously issued 2016 consolidated financial statements related to contact lens inventories that were expired or expiring and could not be sold as of December 31, 2016. Fiscal year 2016 costs applicable to revenue (products) was understated by $2.1 million, and net income was overstated by $1.3 million. We corrected the error in the six months ended July 1, 2017. Management concluded that the error was not material to the 2016 consolidated financial statements or the estimated 2017 results of operations.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Method Investment</w:t>
      </w:r>
    </w:p>
    <w:p>
      <w:pPr>
        <w:spacing w:after="0" w:line="117" w:lineRule="exact"/>
        <w:rPr>
          <w:sz w:val="20"/>
          <w:szCs w:val="20"/>
          <w:color w:val="auto"/>
        </w:rPr>
      </w:pPr>
    </w:p>
    <w:p>
      <w:pPr>
        <w:ind w:left="1" w:right="180" w:firstLine="347"/>
        <w:spacing w:after="0" w:line="307" w:lineRule="auto"/>
        <w:rPr>
          <w:sz w:val="20"/>
          <w:szCs w:val="20"/>
          <w:color w:val="auto"/>
        </w:rPr>
      </w:pPr>
      <w:r>
        <w:rPr>
          <w:rFonts w:ascii="Arial" w:cs="Arial" w:eastAsia="Arial" w:hAnsi="Arial"/>
          <w:sz w:val="15"/>
          <w:szCs w:val="15"/>
          <w:color w:val="auto"/>
        </w:rPr>
        <w:t>The Company has a $1.0 million cost method investment in a private start-up company whose principal business is creating eyeglasses through three dimensional printing which can be customized based on a scan of the customer's face. During the second quarter of fiscal 2017, management determined that it is unlikely that the business will be able to continue operations for the foreseeable future. Therefore, we have recorded an impairment charge for the entire amount of the investment in the condensed consolidated statements of operations and other comprehensive income for the six months ended July 1, 2017.</w:t>
      </w:r>
    </w:p>
    <w:p>
      <w:pPr>
        <w:spacing w:after="0" w:line="38" w:lineRule="exact"/>
        <w:rPr>
          <w:sz w:val="20"/>
          <w:szCs w:val="20"/>
          <w:color w:val="auto"/>
        </w:rPr>
      </w:pPr>
    </w:p>
    <w:p>
      <w:pPr>
        <w:ind w:left="341" w:hanging="341"/>
        <w:spacing w:after="0"/>
        <w:tabs>
          <w:tab w:leader="none" w:pos="341"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w:t>
      </w:r>
    </w:p>
    <w:p>
      <w:pPr>
        <w:spacing w:after="0" w:line="8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9"/>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July 1, 2017</w:t>
            </w:r>
          </w:p>
        </w:tc>
        <w:tc>
          <w:tcPr>
            <w:tcW w:w="1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December 31, 2016</w:t>
            </w:r>
          </w:p>
        </w:tc>
      </w:tr>
      <w:tr>
        <w:trPr>
          <w:trHeight w:val="228"/>
        </w:trPr>
        <w:tc>
          <w:tcPr>
            <w:tcW w:w="6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Trade receivables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26,490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20,817</w:t>
            </w:r>
          </w:p>
        </w:tc>
      </w:tr>
      <w:tr>
        <w:trPr>
          <w:trHeight w:val="241"/>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Credit card receivables</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9,398</w:t>
            </w:r>
          </w:p>
        </w:tc>
      </w:tr>
      <w:tr>
        <w:trPr>
          <w:trHeight w:val="228"/>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Tenant improvement allowances receivable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3,308</w:t>
            </w:r>
          </w:p>
        </w:tc>
      </w:tr>
      <w:tr>
        <w:trPr>
          <w:trHeight w:val="241"/>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receivables</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2,430</w:t>
            </w:r>
          </w:p>
        </w:tc>
      </w:tr>
      <w:tr>
        <w:trPr>
          <w:trHeight w:val="235"/>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Allowance for uncollectible accounts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(2,144)</w:t>
            </w: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(1,583)</w:t>
            </w: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34,370</w:t>
            </w:r>
          </w:p>
        </w:tc>
      </w:tr>
      <w:tr>
        <w:trPr>
          <w:trHeight w:val="228"/>
        </w:trPr>
        <w:tc>
          <w:tcPr>
            <w:tcW w:w="65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Inventories:</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1"/>
        </w:trPr>
        <w:tc>
          <w:tcPr>
            <w:tcW w:w="650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7"/>
                <w:szCs w:val="27"/>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43,793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42,266</w:t>
            </w:r>
          </w:p>
        </w:tc>
      </w:tr>
      <w:tr>
        <w:trPr>
          <w:trHeight w:val="235"/>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Finished goods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45,583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44,798</w:t>
            </w: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87,064</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5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right="160" w:hanging="341"/>
        <w:spacing w:after="0" w:line="258" w:lineRule="auto"/>
        <w:tabs>
          <w:tab w:leader="none" w:pos="341"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29" w:name="page230"/>
    <w:bookmarkEnd w:id="229"/>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 (continued)</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Land and building</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3,616</w:t>
            </w:r>
          </w:p>
        </w:tc>
        <w:tc>
          <w:tcPr>
            <w:tcW w:w="100" w:type="dxa"/>
            <w:vAlign w:val="bottom"/>
          </w:tcPr>
          <w:p>
            <w:pPr>
              <w:spacing w:after="0"/>
              <w:rPr>
                <w:sz w:val="19"/>
                <w:szCs w:val="19"/>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Equipment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182,816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Furniture and fixtures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39,294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36,046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138,223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Construction in progress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30,968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28,099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under capital leases</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9,262</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21"/>
        </w:trPr>
        <w:tc>
          <w:tcPr>
            <w:tcW w:w="13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404,179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354,673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122,858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98,259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5"/>
        </w:trPr>
        <w:tc>
          <w:tcPr>
            <w:tcW w:w="138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281,321</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256,414</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7"/>
        </w:trPr>
        <w:tc>
          <w:tcPr>
            <w:tcW w:w="13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As of</w:t>
            </w:r>
          </w:p>
        </w:tc>
      </w:tr>
      <w:tr>
        <w:trPr>
          <w:trHeight w:val="179"/>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6"/>
              </w:rPr>
              <w:t>July 1, 2017</w:t>
            </w:r>
          </w:p>
        </w:tc>
        <w:tc>
          <w:tcPr>
            <w:tcW w:w="100" w:type="dxa"/>
            <w:vAlign w:val="bottom"/>
          </w:tcPr>
          <w:p>
            <w:pPr>
              <w:spacing w:after="0"/>
              <w:rPr>
                <w:sz w:val="15"/>
                <w:szCs w:val="15"/>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December 31, 2016</w:t>
            </w:r>
          </w:p>
        </w:tc>
      </w:tr>
      <w:tr>
        <w:trPr>
          <w:trHeight w:val="228"/>
        </w:trPr>
        <w:tc>
          <w:tcPr>
            <w:tcW w:w="6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Employee compensation and benefits</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20,180</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18,984</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Advertising</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1,058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Self-insurance reserves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6,727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7,235</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Reserves for customer returns and remakes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4,611</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9,522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9,202</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Legacy management and services agreement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4,591</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Rental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1,830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2,172</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Fair value of derivative liabilities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8,218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Sales and use taxes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954</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Professional fees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1,298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Payable to charitable organizations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1,000</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on debt and derivatives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190</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Supplies and other store support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3,489</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Litigation settlements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7,554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422</w:t>
            </w:r>
          </w:p>
        </w:tc>
      </w:tr>
      <w:tr>
        <w:trPr>
          <w:trHeight w:val="235"/>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6,195</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5,978</w:t>
            </w:r>
          </w:p>
        </w:tc>
        <w:tc>
          <w:tcPr>
            <w:tcW w:w="40" w:type="dxa"/>
            <w:vAlign w:val="bottom"/>
          </w:tcPr>
          <w:p>
            <w:pPr>
              <w:spacing w:after="0"/>
              <w:rPr>
                <w:sz w:val="20"/>
                <w:szCs w:val="20"/>
                <w:color w:val="auto"/>
              </w:rPr>
            </w:pPr>
          </w:p>
        </w:tc>
      </w:tr>
      <w:tr>
        <w:trPr>
          <w:trHeight w:val="260"/>
        </w:trPr>
        <w:tc>
          <w:tcPr>
            <w:tcW w:w="138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81,847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69,402</w:t>
            </w:r>
          </w:p>
        </w:tc>
      </w:tr>
      <w:tr>
        <w:trPr>
          <w:trHeight w:val="235"/>
        </w:trPr>
        <w:tc>
          <w:tcPr>
            <w:tcW w:w="1380" w:type="dxa"/>
            <w:vAlign w:val="bottom"/>
            <w:tcBorders>
              <w:top w:val="single" w:sz="8" w:color="CCEEFF"/>
            </w:tcBorders>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Fair value of derivative liabilities</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14,715</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15,518</w:t>
            </w:r>
          </w:p>
        </w:tc>
      </w:tr>
      <w:tr>
        <w:trPr>
          <w:trHeight w:val="241"/>
        </w:trPr>
        <w:tc>
          <w:tcPr>
            <w:tcW w:w="652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22,104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21,089</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Deferred rental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6,815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6,256</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3,908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Above market leases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1,169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1,705</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35"/>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1,021</w:t>
            </w:r>
          </w:p>
        </w:tc>
        <w:tc>
          <w:tcPr>
            <w:tcW w:w="40" w:type="dxa"/>
            <w:vAlign w:val="bottom"/>
          </w:tcPr>
          <w:p>
            <w:pPr>
              <w:spacing w:after="0"/>
              <w:rPr>
                <w:sz w:val="20"/>
                <w:szCs w:val="20"/>
                <w:color w:val="auto"/>
              </w:rPr>
            </w:pPr>
          </w:p>
        </w:tc>
      </w:tr>
      <w:tr>
        <w:trPr>
          <w:trHeight w:val="260"/>
        </w:trPr>
        <w:tc>
          <w:tcPr>
            <w:tcW w:w="138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50,779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50,497</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5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47"/>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respective lease term.</w:t>
      </w:r>
    </w:p>
    <w:p>
      <w:pPr>
        <w:spacing w:after="0" w:line="87" w:lineRule="exact"/>
        <w:rPr>
          <w:sz w:val="20"/>
          <w:szCs w:val="20"/>
          <w:color w:val="auto"/>
        </w:rPr>
      </w:pPr>
    </w:p>
    <w:p>
      <w:pPr>
        <w:ind w:left="341" w:hanging="341"/>
        <w:spacing w:after="0"/>
        <w:tabs>
          <w:tab w:leader="none" w:pos="341"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w:t>
      </w:r>
    </w:p>
    <w:p>
      <w:pPr>
        <w:spacing w:after="0" w:line="123" w:lineRule="exact"/>
        <w:rPr>
          <w:sz w:val="20"/>
          <w:szCs w:val="20"/>
          <w:color w:val="auto"/>
        </w:rPr>
      </w:pPr>
    </w:p>
    <w:p>
      <w:pPr>
        <w:ind w:left="1" w:right="40" w:firstLine="347"/>
        <w:spacing w:after="0" w:line="287"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30" w:name="page231"/>
    <w:bookmarkEnd w:id="230"/>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 (continued)</w:t>
      </w:r>
    </w:p>
    <w:p>
      <w:pPr>
        <w:spacing w:after="0" w:line="71" w:lineRule="exact"/>
        <w:rPr>
          <w:sz w:val="20"/>
          <w:szCs w:val="20"/>
          <w:color w:val="auto"/>
        </w:rPr>
      </w:pPr>
    </w:p>
    <w:p>
      <w:pPr>
        <w:ind w:left="1" w:right="160"/>
        <w:spacing w:after="0" w:line="271" w:lineRule="auto"/>
        <w:rPr>
          <w:sz w:val="20"/>
          <w:szCs w:val="20"/>
          <w:color w:val="auto"/>
        </w:rPr>
      </w:pPr>
      <w:r>
        <w:rPr>
          <w:rFonts w:ascii="Arial" w:cs="Arial" w:eastAsia="Arial" w:hAnsi="Arial"/>
          <w:sz w:val="17"/>
          <w:szCs w:val="17"/>
          <w:color w:val="auto"/>
        </w:rPr>
        <w:t>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68" w:lineRule="exact"/>
        <w:rPr>
          <w:sz w:val="20"/>
          <w:szCs w:val="20"/>
          <w:color w:val="auto"/>
        </w:rPr>
      </w:pPr>
    </w:p>
    <w:p>
      <w:pPr>
        <w:ind w:left="1" w:right="160" w:firstLine="347"/>
        <w:spacing w:after="0" w:line="262"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81" w:hanging="342"/>
        <w:spacing w:after="0"/>
        <w:tabs>
          <w:tab w:leader="none" w:pos="68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1" w:right="100" w:hanging="342"/>
        <w:spacing w:after="0" w:line="266" w:lineRule="auto"/>
        <w:tabs>
          <w:tab w:leader="none" w:pos="68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1" w:lineRule="exact"/>
        <w:rPr>
          <w:rFonts w:ascii="Arial" w:cs="Arial" w:eastAsia="Arial" w:hAnsi="Arial"/>
          <w:sz w:val="17"/>
          <w:szCs w:val="17"/>
          <w:color w:val="auto"/>
        </w:rPr>
      </w:pPr>
    </w:p>
    <w:p>
      <w:pPr>
        <w:ind w:left="681" w:right="200" w:hanging="342"/>
        <w:spacing w:after="0" w:line="271" w:lineRule="auto"/>
        <w:tabs>
          <w:tab w:leader="none" w:pos="68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carrying amount of cash and cash equivalents approximates fair value due to the short term maturity of the instruments.</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All cash and cash equivalents are denominated in U.S. currency.</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Receivable</w:t>
      </w:r>
    </w:p>
    <w:p>
      <w:pPr>
        <w:spacing w:after="0" w:line="117"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220" w:firstLine="347"/>
        <w:spacing w:after="0" w:line="287"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Our long-term debt is traded in private markets on a less-than-daily basis. Fair value is based on the average of trading prices and bid/ask quotes around period-end (Level 2 inputs). The estimated fair values of our combined First and Second Lien Term Loans were $932.2 million and $753.0 million as of July 1, 2017 and December 31, 2016, respectively, compared to carrying values of $914.5 million and $742.9 million, respectively, which includes the current portion, and is net of unamortized discounts and deferred debt issuance costs. See Note 6 for further information related to debt transactions recorded during six months ended July 1, 2017.</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4" w:right="1359" w:bottom="1440" w:gutter="0" w:footer="0" w:header="0"/>
        </w:sectPr>
      </w:pPr>
    </w:p>
    <w:bookmarkStart w:id="231" w:name="page232"/>
    <w:bookmarkEnd w:id="231"/>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1" w:right="3600" w:hanging="1"/>
        <w:spacing w:after="0" w:line="355" w:lineRule="auto"/>
        <w:tabs>
          <w:tab w:leader="none" w:pos="348"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Long-term Debt - Capital Leases</w:t>
      </w:r>
    </w:p>
    <w:p>
      <w:pPr>
        <w:spacing w:after="0" w:line="1" w:lineRule="exact"/>
        <w:rPr>
          <w:sz w:val="20"/>
          <w:szCs w:val="20"/>
          <w:color w:val="auto"/>
        </w:rPr>
      </w:pPr>
    </w:p>
    <w:p>
      <w:pPr>
        <w:ind w:left="1" w:right="100" w:firstLine="347"/>
        <w:spacing w:after="0" w:line="296" w:lineRule="auto"/>
        <w:rPr>
          <w:sz w:val="20"/>
          <w:szCs w:val="20"/>
          <w:color w:val="auto"/>
        </w:rPr>
      </w:pPr>
      <w:r>
        <w:rPr>
          <w:rFonts w:ascii="Arial" w:cs="Arial" w:eastAsia="Arial" w:hAnsi="Arial"/>
          <w:sz w:val="16"/>
          <w:szCs w:val="16"/>
          <w:color w:val="auto"/>
        </w:rPr>
        <w:t>The fair value of capital lease obligations is based on estimated future contractual cash flows discounted at an appropriate market rate of interest (Level 2 inputs). The estimated fair values of our capital leases were $9.7 million and $2.9 million as of July 1, 2017 and December 31, 2016, respectively, compared to carrying values of $8.4 million and $2.7 million.</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right="220" w:firstLine="347"/>
        <w:spacing w:after="0" w:line="281" w:lineRule="auto"/>
        <w:rPr>
          <w:sz w:val="20"/>
          <w:szCs w:val="20"/>
          <w:color w:val="auto"/>
        </w:rPr>
      </w:pPr>
      <w:r>
        <w:rPr>
          <w:rFonts w:ascii="Arial" w:cs="Arial" w:eastAsia="Arial" w:hAnsi="Arial"/>
          <w:sz w:val="16"/>
          <w:szCs w:val="16"/>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These swap agreements were designated as cash flow hedges by the Company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63" w:lineRule="exact"/>
        <w:rPr>
          <w:sz w:val="20"/>
          <w:szCs w:val="20"/>
          <w:color w:val="auto"/>
        </w:rPr>
      </w:pPr>
    </w:p>
    <w:p>
      <w:pPr>
        <w:ind w:left="1" w:right="80" w:firstLine="347"/>
        <w:spacing w:after="0" w:line="262" w:lineRule="auto"/>
        <w:rPr>
          <w:sz w:val="20"/>
          <w:szCs w:val="20"/>
          <w:color w:val="auto"/>
        </w:rPr>
      </w:pPr>
      <w:r>
        <w:rPr>
          <w:rFonts w:ascii="Arial" w:cs="Arial" w:eastAsia="Arial" w:hAnsi="Arial"/>
          <w:sz w:val="17"/>
          <w:szCs w:val="17"/>
          <w:color w:val="auto"/>
        </w:rPr>
        <w:t>We recognize as assets or liabilities at fair value the estimated amounts we would receive or pay upon a termination of interest rate swaps prior to their scheduled expiration dates. We record the period change in fair value of cash flow hedges, net of tax, in the accompanying condensed consolidated statements of comprehensive income and the cumulative change in fair value of cash flow hedges since inception, net of tax, in accumulated other comprehensive loss (“AOCL”) in the accompanying condensed consolidated balances sheets. Fair value is based on information that is model-driven and whose inputs are observable (Level 2 inputs).</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7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Other Payables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Notional</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Final</w:t>
            </w:r>
          </w:p>
        </w:tc>
        <w:tc>
          <w:tcPr>
            <w:tcW w:w="20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and Accrued</w:t>
            </w:r>
          </w:p>
        </w:tc>
        <w:tc>
          <w:tcPr>
            <w:tcW w:w="20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9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rPr>
              <w:t>AOCL,</w:t>
            </w: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Liabilities</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5"/>
                <w:szCs w:val="15"/>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138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88"/>
              </w:rPr>
              <w:t>$9,100</w:t>
            </w:r>
          </w:p>
        </w:tc>
        <w:tc>
          <w:tcPr>
            <w:tcW w:w="102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91"/>
              </w:rPr>
              <w:t>$14,715</w:t>
            </w:r>
          </w:p>
        </w:tc>
        <w:tc>
          <w:tcPr>
            <w:tcW w:w="1000" w:type="dxa"/>
            <w:vAlign w:val="bottom"/>
            <w:gridSpan w:val="2"/>
            <w:shd w:val="clear" w:color="auto" w:fill="CCEEFF"/>
          </w:tcPr>
          <w:p>
            <w:pPr>
              <w:jc w:val="center"/>
              <w:ind w:left="153"/>
              <w:spacing w:after="0"/>
              <w:rPr>
                <w:sz w:val="20"/>
                <w:szCs w:val="20"/>
                <w:color w:val="auto"/>
              </w:rPr>
            </w:pPr>
            <w:r>
              <w:rPr>
                <w:rFonts w:ascii="Arial" w:cs="Arial" w:eastAsia="Arial" w:hAnsi="Arial"/>
                <w:sz w:val="17"/>
                <w:szCs w:val="17"/>
                <w:color w:val="auto"/>
                <w:w w:val="91"/>
              </w:rPr>
              <w:t>$14,605</w:t>
            </w:r>
          </w:p>
        </w:tc>
        <w:tc>
          <w:tcPr>
            <w:tcW w:w="80" w:type="dxa"/>
            <w:vAlign w:val="bottom"/>
            <w:shd w:val="clear" w:color="auto" w:fill="CCEEFF"/>
          </w:tcPr>
          <w:p>
            <w:pPr>
              <w:spacing w:after="0"/>
              <w:rPr>
                <w:sz w:val="19"/>
                <w:szCs w:val="19"/>
                <w:color w:val="auto"/>
              </w:rPr>
            </w:pP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500,000</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1380" w:type="dxa"/>
            <w:vAlign w:val="bottom"/>
            <w:gridSpan w:val="2"/>
          </w:tcPr>
          <w:p>
            <w:pPr>
              <w:jc w:val="center"/>
              <w:ind w:left="113"/>
              <w:spacing w:after="0"/>
              <w:rPr>
                <w:sz w:val="20"/>
                <w:szCs w:val="20"/>
                <w:color w:val="auto"/>
              </w:rPr>
            </w:pPr>
            <w:r>
              <w:rPr>
                <w:rFonts w:ascii="Arial" w:cs="Arial" w:eastAsia="Arial" w:hAnsi="Arial"/>
                <w:sz w:val="17"/>
                <w:szCs w:val="17"/>
                <w:color w:val="auto"/>
                <w:w w:val="88"/>
              </w:rPr>
              <w:t>$8,218</w:t>
            </w:r>
          </w:p>
        </w:tc>
        <w:tc>
          <w:tcPr>
            <w:tcW w:w="1020" w:type="dxa"/>
            <w:vAlign w:val="bottom"/>
            <w:gridSpan w:val="2"/>
          </w:tcPr>
          <w:p>
            <w:pPr>
              <w:jc w:val="center"/>
              <w:ind w:left="93"/>
              <w:spacing w:after="0"/>
              <w:rPr>
                <w:sz w:val="20"/>
                <w:szCs w:val="20"/>
                <w:color w:val="auto"/>
              </w:rPr>
            </w:pPr>
            <w:r>
              <w:rPr>
                <w:rFonts w:ascii="Arial" w:cs="Arial" w:eastAsia="Arial" w:hAnsi="Arial"/>
                <w:sz w:val="17"/>
                <w:szCs w:val="17"/>
                <w:color w:val="auto"/>
                <w:w w:val="91"/>
              </w:rPr>
              <w:t>$15,518</w:t>
            </w:r>
          </w:p>
        </w:tc>
        <w:tc>
          <w:tcPr>
            <w:tcW w:w="1000" w:type="dxa"/>
            <w:vAlign w:val="bottom"/>
            <w:gridSpan w:val="2"/>
          </w:tcPr>
          <w:p>
            <w:pPr>
              <w:jc w:val="center"/>
              <w:ind w:left="153"/>
              <w:spacing w:after="0"/>
              <w:rPr>
                <w:sz w:val="20"/>
                <w:szCs w:val="20"/>
                <w:color w:val="auto"/>
              </w:rPr>
            </w:pPr>
            <w:r>
              <w:rPr>
                <w:rFonts w:ascii="Arial" w:cs="Arial" w:eastAsia="Arial" w:hAnsi="Arial"/>
                <w:sz w:val="17"/>
                <w:szCs w:val="17"/>
                <w:color w:val="auto"/>
                <w:w w:val="91"/>
              </w:rPr>
              <w:t>$14,556</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1" w:right="100" w:firstLine="347"/>
        <w:spacing w:after="0" w:line="320" w:lineRule="auto"/>
        <w:rPr>
          <w:sz w:val="20"/>
          <w:szCs w:val="20"/>
          <w:color w:val="auto"/>
        </w:rPr>
      </w:pPr>
      <w:r>
        <w:rPr>
          <w:rFonts w:ascii="Arial" w:cs="Arial" w:eastAsia="Arial" w:hAnsi="Arial"/>
          <w:sz w:val="16"/>
          <w:szCs w:val="16"/>
          <w:color w:val="auto"/>
        </w:rPr>
        <w:t>As of July 1, 2017, the Company expects to reclassify $9.1 million of AOCL into earnings in the next 12 months. See Note 11 for details related to reclassification adjustments from AOCL to earnings during the six months ended July 1, 2017.</w:t>
      </w:r>
    </w:p>
    <w:p>
      <w:pPr>
        <w:spacing w:after="0" w:line="25" w:lineRule="exact"/>
        <w:rPr>
          <w:sz w:val="20"/>
          <w:szCs w:val="20"/>
          <w:color w:val="auto"/>
        </w:rPr>
      </w:pPr>
    </w:p>
    <w:p>
      <w:pPr>
        <w:ind w:left="341" w:hanging="341"/>
        <w:spacing w:after="0"/>
        <w:tabs>
          <w:tab w:leader="none" w:pos="341"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w:t>
      </w:r>
    </w:p>
    <w:p>
      <w:pPr>
        <w:spacing w:after="0" w:line="123" w:lineRule="exact"/>
        <w:rPr>
          <w:sz w:val="20"/>
          <w:szCs w:val="20"/>
          <w:color w:val="auto"/>
        </w:rPr>
      </w:pPr>
    </w:p>
    <w:p>
      <w:pPr>
        <w:ind w:left="1" w:right="460" w:firstLine="347"/>
        <w:spacing w:after="0" w:line="271" w:lineRule="auto"/>
        <w:rPr>
          <w:sz w:val="20"/>
          <w:szCs w:val="20"/>
          <w:color w:val="auto"/>
        </w:rPr>
      </w:pPr>
      <w:r>
        <w:rPr>
          <w:rFonts w:ascii="Arial" w:cs="Arial" w:eastAsia="Arial" w:hAnsi="Arial"/>
          <w:sz w:val="17"/>
          <w:szCs w:val="17"/>
          <w:color w:val="auto"/>
        </w:rPr>
        <w:t>Our current equity compensation plan includes options to purchase shares of NVHI held by certain employees. There are 21,607,000 options authorized in the plan, of which 1,761,476 are authorized but unissued as of July 1, 2017. The following presents a roll-forward of options during the six months ended July 1, 2017:</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Vested</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Performance-</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3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Rollover</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Based</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Based</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28"/>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issued and outstanding</w:t>
            </w:r>
          </w:p>
        </w:tc>
        <w:tc>
          <w:tcPr>
            <w:tcW w:w="1460" w:type="dxa"/>
            <w:vAlign w:val="bottom"/>
            <w:tcBorders>
              <w:right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380" w:type="dxa"/>
            <w:vAlign w:val="bottom"/>
            <w:gridSpan w:val="3"/>
          </w:tcPr>
          <w:p>
            <w:pPr>
              <w:jc w:val="right"/>
              <w:ind w:right="180"/>
              <w:spacing w:after="0"/>
              <w:rPr>
                <w:sz w:val="20"/>
                <w:szCs w:val="20"/>
                <w:color w:val="auto"/>
              </w:rPr>
            </w:pPr>
            <w:r>
              <w:rPr>
                <w:rFonts w:ascii="Arial" w:cs="Arial" w:eastAsia="Arial" w:hAnsi="Arial"/>
                <w:sz w:val="17"/>
                <w:szCs w:val="17"/>
                <w:color w:val="auto"/>
              </w:rPr>
              <w:t>332,398</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6,938,035</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11,335,854</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18,606,287</w:t>
            </w:r>
          </w:p>
        </w:tc>
        <w:tc>
          <w:tcPr>
            <w:tcW w:w="80" w:type="dxa"/>
            <w:vAlign w:val="bottom"/>
          </w:tcPr>
          <w:p>
            <w:pPr>
              <w:spacing w:after="0"/>
              <w:rPr>
                <w:sz w:val="19"/>
                <w:szCs w:val="19"/>
                <w:color w:val="auto"/>
              </w:rPr>
            </w:pPr>
          </w:p>
        </w:tc>
      </w:tr>
      <w:tr>
        <w:trPr>
          <w:trHeight w:val="241"/>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w:t>
            </w:r>
          </w:p>
        </w:tc>
        <w:tc>
          <w:tcPr>
            <w:tcW w:w="146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350,000</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525,000</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40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(416,000)</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(416,000)</w:t>
            </w:r>
          </w:p>
        </w:tc>
      </w:tr>
      <w:tr>
        <w:trPr>
          <w:trHeight w:val="20"/>
        </w:trPr>
        <w:tc>
          <w:tcPr>
            <w:tcW w:w="340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60" w:type="dxa"/>
            <w:vAlign w:val="bottom"/>
            <w:tcBorders>
              <w:right w:val="single" w:sz="8" w:color="CCEEFF"/>
            </w:tcBorders>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332,398</w:t>
            </w:r>
          </w:p>
        </w:tc>
        <w:tc>
          <w:tcPr>
            <w:tcW w:w="180" w:type="dxa"/>
            <w:vAlign w:val="bottom"/>
            <w:tcBorders>
              <w:right w:val="single" w:sz="8" w:color="CCEEFF"/>
            </w:tcBorders>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6,872,035</w:t>
            </w:r>
          </w:p>
        </w:tc>
        <w:tc>
          <w:tcPr>
            <w:tcW w:w="180" w:type="dxa"/>
            <w:vAlign w:val="bottom"/>
            <w:tcBorders>
              <w:right w:val="single" w:sz="8" w:color="CCEEFF"/>
            </w:tcBorders>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11,860,854</w:t>
            </w:r>
          </w:p>
        </w:tc>
        <w:tc>
          <w:tcPr>
            <w:tcW w:w="18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19,065,287</w:t>
            </w:r>
          </w:p>
        </w:tc>
        <w:tc>
          <w:tcPr>
            <w:tcW w:w="80" w:type="dxa"/>
            <w:vAlign w:val="bottom"/>
            <w:shd w:val="clear" w:color="auto" w:fill="CCEEFF"/>
          </w:tcPr>
          <w:p>
            <w:pPr>
              <w:spacing w:after="0"/>
              <w:rPr>
                <w:sz w:val="22"/>
                <w:szCs w:val="22"/>
                <w:color w:val="auto"/>
              </w:rPr>
            </w:pPr>
          </w:p>
        </w:tc>
      </w:tr>
      <w:tr>
        <w:trPr>
          <w:trHeight w:val="235"/>
        </w:trPr>
        <w:tc>
          <w:tcPr>
            <w:tcW w:w="340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5"/>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vested and exercisable</w:t>
            </w:r>
          </w:p>
        </w:tc>
        <w:tc>
          <w:tcPr>
            <w:tcW w:w="146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380" w:type="dxa"/>
            <w:vAlign w:val="bottom"/>
            <w:gridSpan w:val="3"/>
          </w:tcPr>
          <w:p>
            <w:pPr>
              <w:jc w:val="right"/>
              <w:ind w:right="180"/>
              <w:spacing w:after="0"/>
              <w:rPr>
                <w:sz w:val="20"/>
                <w:szCs w:val="20"/>
                <w:color w:val="auto"/>
              </w:rPr>
            </w:pPr>
            <w:r>
              <w:rPr>
                <w:rFonts w:ascii="Arial" w:cs="Arial" w:eastAsia="Arial" w:hAnsi="Arial"/>
                <w:sz w:val="17"/>
                <w:szCs w:val="17"/>
                <w:color w:val="auto"/>
              </w:rPr>
              <w:t>332,398</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2,111,695</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2,428,093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46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1,343,447</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1,359,447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40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(416,000)</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(416,000)</w:t>
            </w:r>
          </w:p>
        </w:tc>
      </w:tr>
      <w:tr>
        <w:trPr>
          <w:trHeight w:val="260"/>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60" w:type="dxa"/>
            <w:vAlign w:val="bottom"/>
            <w:tcBorders>
              <w:bottom w:val="single" w:sz="8" w:color="CCEEFF"/>
              <w:right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332,398</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3,039,142</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3,371,540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417"/>
        </w:trPr>
        <w:tc>
          <w:tcPr>
            <w:tcW w:w="3400" w:type="dxa"/>
            <w:vAlign w:val="bottom"/>
          </w:tcPr>
          <w:p>
            <w:pPr>
              <w:spacing w:after="0"/>
              <w:rPr>
                <w:sz w:val="24"/>
                <w:szCs w:val="24"/>
                <w:color w:val="auto"/>
              </w:rPr>
            </w:pPr>
          </w:p>
        </w:tc>
        <w:tc>
          <w:tcPr>
            <w:tcW w:w="2380" w:type="dxa"/>
            <w:vAlign w:val="bottom"/>
            <w:gridSpan w:val="3"/>
          </w:tcPr>
          <w:p>
            <w:pPr>
              <w:ind w:left="1040"/>
              <w:spacing w:after="0"/>
              <w:rPr>
                <w:sz w:val="20"/>
                <w:szCs w:val="20"/>
                <w:color w:val="auto"/>
              </w:rPr>
            </w:pPr>
            <w:r>
              <w:rPr>
                <w:rFonts w:ascii="Arial" w:cs="Arial" w:eastAsia="Arial" w:hAnsi="Arial"/>
                <w:sz w:val="17"/>
                <w:szCs w:val="17"/>
                <w:color w:val="auto"/>
              </w:rPr>
              <w:t>F-46</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3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400" w:type="dxa"/>
            <w:vAlign w:val="bottom"/>
            <w:shd w:val="clear" w:color="auto" w:fill="000000"/>
          </w:tcPr>
          <w:p>
            <w:pPr>
              <w:spacing w:after="0"/>
              <w:rPr>
                <w:sz w:val="5"/>
                <w:szCs w:val="5"/>
                <w:color w:val="auto"/>
              </w:rPr>
            </w:pPr>
          </w:p>
        </w:tc>
        <w:tc>
          <w:tcPr>
            <w:tcW w:w="1460" w:type="dxa"/>
            <w:vAlign w:val="bottom"/>
            <w:tcBorders>
              <w:right w:val="single" w:sz="8" w:color="auto"/>
            </w:tcBorders>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32" w:name="page233"/>
    <w:bookmarkEnd w:id="23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 (continued)</w:t>
      </w:r>
    </w:p>
    <w:p>
      <w:pPr>
        <w:spacing w:after="0" w:line="71"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The total estimated fair value of service-based options granted during the six months ended July 1, 2017 was $1.5 million. There were 32,000, 72,000, and 312,000 service-based options exercised at a price of $4.70 per share, $3.68 per share, and $2.17 per share, respectively, for a total intrinsic value of $1.5 million. As a result of the application of ASU 2016-09, the Company recorded an income tax benefit of $0.2 million in the condensed consolidated statement of operations and comprehensive income related to these exercises.</w:t>
      </w:r>
    </w:p>
    <w:p>
      <w:pPr>
        <w:spacing w:after="0" w:line="76" w:lineRule="exact"/>
        <w:rPr>
          <w:sz w:val="20"/>
          <w:szCs w:val="20"/>
          <w:color w:val="auto"/>
        </w:rPr>
      </w:pPr>
    </w:p>
    <w:p>
      <w:pPr>
        <w:ind w:left="1" w:right="940" w:firstLine="347"/>
        <w:spacing w:after="0" w:line="287" w:lineRule="auto"/>
        <w:rPr>
          <w:sz w:val="20"/>
          <w:szCs w:val="20"/>
          <w:color w:val="auto"/>
        </w:rPr>
      </w:pPr>
      <w:r>
        <w:rPr>
          <w:rFonts w:ascii="Arial" w:cs="Arial" w:eastAsia="Arial" w:hAnsi="Arial"/>
          <w:sz w:val="17"/>
          <w:szCs w:val="17"/>
          <w:color w:val="auto"/>
        </w:rPr>
        <w:t>The fair value of service-based options vested and outstanding as of July 1, 2017 was $9.3 million. The remaining unrecognized service cost for service-based options was $5.7 million as of July 1, 2017.</w:t>
      </w:r>
    </w:p>
    <w:p>
      <w:pPr>
        <w:spacing w:after="0" w:line="54" w:lineRule="exact"/>
        <w:rPr>
          <w:sz w:val="20"/>
          <w:szCs w:val="20"/>
          <w:color w:val="auto"/>
        </w:rPr>
      </w:pPr>
    </w:p>
    <w:p>
      <w:pPr>
        <w:ind w:left="1" w:firstLine="347"/>
        <w:spacing w:after="0" w:line="280" w:lineRule="auto"/>
        <w:rPr>
          <w:sz w:val="20"/>
          <w:szCs w:val="20"/>
          <w:color w:val="auto"/>
        </w:rPr>
      </w:pPr>
      <w:r>
        <w:rPr>
          <w:rFonts w:ascii="Arial" w:cs="Arial" w:eastAsia="Arial" w:hAnsi="Arial"/>
          <w:sz w:val="16"/>
          <w:szCs w:val="16"/>
          <w:color w:val="auto"/>
        </w:rPr>
        <w:t>Compensation expense associated with service-based stock options is presented in selling, general, and administrative expenses (“SG&amp;A”) in the accompanying condensed consolidated statements of operations and comprehensive income. The vesting of performance-based options is conditional upon the achievement by the majority stockholder in NVHI, affiliates of Kohlberg Kravis Roberts &amp; Co. L.P., (“KKR Sponsor”), with respect to its investment in NVHI,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the conditions triggering vesting has not been deemed to be probable as of July 1, 2017.</w:t>
      </w:r>
    </w:p>
    <w:p>
      <w:pPr>
        <w:spacing w:after="0" w:line="56" w:lineRule="exact"/>
        <w:rPr>
          <w:sz w:val="20"/>
          <w:szCs w:val="20"/>
          <w:color w:val="auto"/>
        </w:rPr>
      </w:pPr>
    </w:p>
    <w:p>
      <w:pPr>
        <w:ind w:left="341" w:hanging="341"/>
        <w:spacing w:after="0"/>
        <w:tabs>
          <w:tab w:leader="none" w:pos="341"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left="1" w:right="560" w:firstLine="347"/>
        <w:spacing w:after="0" w:line="287"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Six Months Ended</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July 1, 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8"/>
              </w:rPr>
              <w:t>July 2, 2016</w:t>
            </w:r>
          </w:p>
        </w:tc>
        <w:tc>
          <w:tcPr>
            <w:tcW w:w="80" w:type="dxa"/>
            <w:vAlign w:val="bottom"/>
          </w:tcPr>
          <w:p>
            <w:pPr>
              <w:spacing w:after="0"/>
              <w:rPr>
                <w:sz w:val="15"/>
                <w:szCs w:val="15"/>
                <w:color w:val="auto"/>
              </w:rPr>
            </w:pPr>
          </w:p>
        </w:tc>
      </w:tr>
      <w:tr>
        <w:trPr>
          <w:trHeight w:val="228"/>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KKR Sponsor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426</w:t>
            </w:r>
          </w:p>
        </w:tc>
      </w:tr>
      <w:tr>
        <w:trPr>
          <w:trHeight w:val="221"/>
        </w:trPr>
        <w:tc>
          <w:tcPr>
            <w:tcW w:w="6040" w:type="dxa"/>
            <w:vAlign w:val="bottom"/>
          </w:tcPr>
          <w:p>
            <w:pPr>
              <w:spacing w:after="0"/>
              <w:rPr>
                <w:sz w:val="20"/>
                <w:szCs w:val="20"/>
                <w:color w:val="auto"/>
              </w:rPr>
            </w:pPr>
            <w:r>
              <w:rPr>
                <w:rFonts w:ascii="Arial" w:cs="Arial" w:eastAsia="Arial" w:hAnsi="Arial"/>
                <w:sz w:val="17"/>
                <w:szCs w:val="17"/>
                <w:color w:val="auto"/>
              </w:rPr>
              <w:t>Berkshire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105" w:lineRule="exact"/>
        <w:rPr>
          <w:sz w:val="20"/>
          <w:szCs w:val="20"/>
          <w:color w:val="auto"/>
        </w:rPr>
      </w:pPr>
    </w:p>
    <w:p>
      <w:pPr>
        <w:ind w:left="1" w:right="60" w:firstLine="347"/>
        <w:spacing w:after="0" w:line="266"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condensed consolidated statements of operations and comprehensive income, except, as discussed further below in Note 6, fees to KKR Sponsor and its affiliates for the six months ended July 1, 2017 include $2.3 million presented in debt issuance costs.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Dividend &amp; Stockholders' Equity</w:t>
      </w:r>
    </w:p>
    <w:p>
      <w:pPr>
        <w:spacing w:after="0" w:line="117" w:lineRule="exact"/>
        <w:rPr>
          <w:sz w:val="20"/>
          <w:szCs w:val="20"/>
          <w:color w:val="auto"/>
        </w:rPr>
      </w:pPr>
    </w:p>
    <w:p>
      <w:pPr>
        <w:ind w:left="1" w:right="20" w:firstLine="347"/>
        <w:spacing w:after="0" w:line="259" w:lineRule="auto"/>
        <w:rPr>
          <w:sz w:val="20"/>
          <w:szCs w:val="20"/>
          <w:color w:val="auto"/>
        </w:rPr>
      </w:pPr>
      <w:r>
        <w:rPr>
          <w:rFonts w:ascii="Arial" w:cs="Arial" w:eastAsia="Arial" w:hAnsi="Arial"/>
          <w:sz w:val="17"/>
          <w:szCs w:val="17"/>
          <w:color w:val="auto"/>
        </w:rPr>
        <w:t>On February 2, 2017, the Company declared a recapitalization dividend to its stockholders, which included affiliates of KKR Sponsor, private equity funds managed by Berkshire, and management. Common stockholders received a dividend per common share of $1.51. There were 110.5 million common shares outstanding and eligible for the dividend. Vested and roll-over option holders received an additional $1.51 per option cash payment. The total additional cash payment to vested and unvested option holders was $3.7 million. The income tax benefit of the additional cash payment was $1.4 million, which was recorded in the condensed consolidated statement of operations and comprehensive income for the six months ended July 1, 2017. Unvested option holders received an exercise price reduction of $1.51 per option. Since the Company was in an accumulated deficit position on the date of declaration, according to our accounting policy the combined total cash payment of $171.0 million was recorded as a reduction to additional paid-in capital. No other material non-recurring changes were recorded to stockholders’ equity during the six months ended July 1, 2017.</w:t>
      </w:r>
    </w:p>
    <w:p>
      <w:pPr>
        <w:spacing w:after="0" w:line="75" w:lineRule="exact"/>
        <w:rPr>
          <w:sz w:val="20"/>
          <w:szCs w:val="20"/>
          <w:color w:val="auto"/>
        </w:rPr>
      </w:pPr>
    </w:p>
    <w:p>
      <w:pPr>
        <w:ind w:left="341" w:hanging="341"/>
        <w:spacing w:after="0"/>
        <w:tabs>
          <w:tab w:leader="none" w:pos="341"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23" w:lineRule="exact"/>
        <w:rPr>
          <w:sz w:val="20"/>
          <w:szCs w:val="20"/>
          <w:color w:val="auto"/>
        </w:rPr>
      </w:pPr>
    </w:p>
    <w:p>
      <w:pPr>
        <w:ind w:left="1" w:right="240" w:firstLine="347"/>
        <w:spacing w:after="0" w:line="266" w:lineRule="auto"/>
        <w:rPr>
          <w:sz w:val="20"/>
          <w:szCs w:val="20"/>
          <w:color w:val="auto"/>
        </w:rPr>
      </w:pPr>
      <w:r>
        <w:rPr>
          <w:rFonts w:ascii="Arial" w:cs="Arial" w:eastAsia="Arial" w:hAnsi="Arial"/>
          <w:sz w:val="17"/>
          <w:szCs w:val="17"/>
          <w:color w:val="auto"/>
        </w:rPr>
        <w:t>The dividend discussed in Note 5 was funded with $175.0 million in borrowed funds under the Company’s First Lien Credit Agreement, in exchange for a $1.3 million issue discount. The borrowing rate was 4.0%, consistent with the existing credit agreement. Quarterly principal payments increased $0.5 million, which increased current maturities from $6.5 million as of December 31, 2016, to $8.3 million as of July 1, 2017.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33" w:name="page234"/>
    <w:bookmarkEnd w:id="233"/>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701" w:hanging="701"/>
        <w:spacing w:after="0"/>
        <w:tabs>
          <w:tab w:leader="none" w:pos="701"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Debt (continued)</w:t>
      </w:r>
    </w:p>
    <w:p>
      <w:pPr>
        <w:spacing w:after="0" w:line="71" w:lineRule="exact"/>
        <w:rPr>
          <w:sz w:val="20"/>
          <w:szCs w:val="20"/>
          <w:color w:val="auto"/>
        </w:rPr>
      </w:pPr>
    </w:p>
    <w:p>
      <w:pPr>
        <w:ind w:left="1" w:right="300"/>
        <w:spacing w:after="0" w:line="271" w:lineRule="auto"/>
        <w:rPr>
          <w:sz w:val="20"/>
          <w:szCs w:val="20"/>
          <w:color w:val="auto"/>
        </w:rPr>
      </w:pPr>
      <w:r>
        <w:rPr>
          <w:rFonts w:ascii="Arial" w:cs="Arial" w:eastAsia="Arial" w:hAnsi="Arial"/>
          <w:sz w:val="17"/>
          <w:szCs w:val="17"/>
          <w:color w:val="auto"/>
        </w:rPr>
        <w:t>additional principal matures consistent with the original First Lien on March 13, 2021. We recorded $2.3 million in related party fees and $0.4 million in third party fees in debt issuance costs in the condensed consolidated statement of operations and comprehensive income during the six months ended July 1, 2017.</w:t>
      </w:r>
    </w:p>
    <w:p>
      <w:pPr>
        <w:spacing w:after="0" w:line="68"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Company entered into multiple new capital leases during the six months ended July 1, 2017. As of July 1, 2017, our capital lease commitments are $1.0 million, $2.0 million, $1.6 million, $1.3 million, $1.1 million and $5.5 million for fiscal years 2017, 2018, 2019, 2020, 2021 and thereafter, respectively.</w:t>
      </w:r>
    </w:p>
    <w:p>
      <w:pPr>
        <w:spacing w:after="0" w:line="62" w:lineRule="exact"/>
        <w:rPr>
          <w:sz w:val="20"/>
          <w:szCs w:val="20"/>
          <w:color w:val="auto"/>
        </w:rPr>
      </w:pPr>
    </w:p>
    <w:p>
      <w:pPr>
        <w:ind w:left="341" w:hanging="341"/>
        <w:spacing w:after="0"/>
        <w:tabs>
          <w:tab w:leader="none" w:pos="341"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Equity Method Investment</w:t>
      </w:r>
    </w:p>
    <w:p>
      <w:pPr>
        <w:spacing w:after="0" w:line="123" w:lineRule="exact"/>
        <w:rPr>
          <w:sz w:val="20"/>
          <w:szCs w:val="20"/>
          <w:color w:val="auto"/>
        </w:rPr>
      </w:pPr>
    </w:p>
    <w:p>
      <w:pPr>
        <w:ind w:left="1" w:right="160" w:firstLine="347"/>
        <w:spacing w:after="0" w:line="261"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The entity is entirely financed by private investors. Under the equity method of accounting we are required to record our interest in the investee's reported net income or loss for each reporting period, which is presented in other expense, net in the Company's condensed consolidated statements of operations and comprehensive income. After adjusting our investment for our interest in the investee's reported net losses, our investment balance in the business was $3.0 million and $3.3 million as of July 1, 2017 and December 31, 2016, respectively, which is included in other assets in the accompanying condensed consolidated balance sheets.</w:t>
      </w:r>
    </w:p>
    <w:p>
      <w:pPr>
        <w:spacing w:after="0" w:line="70" w:lineRule="exact"/>
        <w:rPr>
          <w:sz w:val="20"/>
          <w:szCs w:val="20"/>
          <w:color w:val="auto"/>
        </w:rPr>
      </w:pPr>
    </w:p>
    <w:p>
      <w:pPr>
        <w:ind w:left="341" w:hanging="341"/>
        <w:spacing w:after="0"/>
        <w:tabs>
          <w:tab w:leader="none" w:pos="341"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3"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68" w:lineRule="exact"/>
        <w:rPr>
          <w:sz w:val="20"/>
          <w:szCs w:val="20"/>
          <w:color w:val="auto"/>
        </w:rPr>
      </w:pPr>
    </w:p>
    <w:p>
      <w:pPr>
        <w:ind w:left="1" w:firstLine="347"/>
        <w:spacing w:after="0" w:line="288" w:lineRule="auto"/>
        <w:rPr>
          <w:sz w:val="20"/>
          <w:szCs w:val="20"/>
          <w:color w:val="auto"/>
        </w:rPr>
      </w:pPr>
      <w:r>
        <w:rPr>
          <w:rFonts w:ascii="Arial" w:cs="Arial" w:eastAsia="Arial" w:hAnsi="Arial"/>
          <w:sz w:val="16"/>
          <w:szCs w:val="16"/>
          <w:color w:val="auto"/>
        </w:rPr>
        <w:t>On January 29, 2016, our subsidiary FirstSight Vision Services, Inc. (“FSI”) was named in a lawsuit alleging that it participated in arrangements that caused the illegal delivery of eye examinations to the plaintiffs, and that FSI thereby violated, among other statutes, the Unfair Competition and False Advertising laws of California. On March 23, 2017, the Court granted the motion to dismiss previously filed by FSI. The plaintiffs have filed an appeal to the U.S. Court of Appeals for the Ninth Circuit.</w:t>
      </w:r>
    </w:p>
    <w:p>
      <w:pPr>
        <w:spacing w:after="0" w:line="55" w:lineRule="exact"/>
        <w:rPr>
          <w:sz w:val="20"/>
          <w:szCs w:val="20"/>
          <w:color w:val="auto"/>
        </w:rPr>
      </w:pPr>
    </w:p>
    <w:p>
      <w:pPr>
        <w:ind w:left="1" w:right="40" w:firstLine="347"/>
        <w:spacing w:after="0" w:line="280"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Arlington Contact Lens Service, Inc.,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recorded a $7.0 million charge in litigation settlement in the accompanying condensed consolidated statement of operations and comprehensive income during the six months ended July 1, 2017.</w:t>
      </w:r>
    </w:p>
    <w:p>
      <w:pPr>
        <w:spacing w:after="0" w:line="56" w:lineRule="exact"/>
        <w:rPr>
          <w:sz w:val="20"/>
          <w:szCs w:val="20"/>
          <w:color w:val="auto"/>
        </w:rPr>
      </w:pPr>
    </w:p>
    <w:p>
      <w:pPr>
        <w:ind w:left="341" w:hanging="341"/>
        <w:spacing w:after="0"/>
        <w:tabs>
          <w:tab w:leader="none" w:pos="341"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3" w:lineRule="exact"/>
        <w:rPr>
          <w:sz w:val="20"/>
          <w:szCs w:val="20"/>
          <w:color w:val="auto"/>
        </w:rPr>
      </w:pPr>
    </w:p>
    <w:p>
      <w:pPr>
        <w:ind w:left="1" w:right="440" w:firstLine="347"/>
        <w:spacing w:after="0" w:line="357" w:lineRule="auto"/>
        <w:rPr>
          <w:sz w:val="20"/>
          <w:szCs w:val="20"/>
          <w:color w:val="auto"/>
        </w:rPr>
      </w:pPr>
      <w:r>
        <w:rPr>
          <w:rFonts w:ascii="Arial" w:cs="Arial" w:eastAsia="Arial" w:hAnsi="Arial"/>
          <w:sz w:val="15"/>
          <w:szCs w:val="15"/>
          <w:color w:val="auto"/>
        </w:rPr>
        <w:t>The Company’s reportable segments were determined on the same basis as used by management to evaluate performance internally by the Chief Operating Decision Maker (“CODM”). Our operations consist of two reportable segments:</w:t>
      </w:r>
    </w:p>
    <w:p>
      <w:pPr>
        <w:spacing w:after="0" w:line="8" w:lineRule="exact"/>
        <w:rPr>
          <w:sz w:val="20"/>
          <w:szCs w:val="20"/>
          <w:color w:val="auto"/>
        </w:rPr>
      </w:pPr>
    </w:p>
    <w:p>
      <w:pPr>
        <w:ind w:left="681" w:right="420" w:hanging="342"/>
        <w:spacing w:after="0" w:line="307" w:lineRule="auto"/>
        <w:tabs>
          <w:tab w:leader="none" w:pos="681" w:val="left"/>
        </w:tabs>
        <w:numPr>
          <w:ilvl w:val="0"/>
          <w:numId w:val="160"/>
        </w:numPr>
        <w:rPr>
          <w:rFonts w:ascii="Arial" w:cs="Arial" w:eastAsia="Arial" w:hAnsi="Arial"/>
          <w:sz w:val="15"/>
          <w:szCs w:val="15"/>
          <w:color w:val="auto"/>
        </w:rPr>
      </w:pPr>
      <w:r>
        <w:rPr>
          <w:rFonts w:ascii="Arial" w:cs="Arial" w:eastAsia="Arial" w:hAnsi="Arial"/>
          <w:sz w:val="15"/>
          <w:szCs w:val="15"/>
          <w:color w:val="auto"/>
        </w:rPr>
        <w:t>Owned &amp; host store brands - Our owned brands consist of our America's Best Contacts and Eyeglasses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43" w:lineRule="exact"/>
        <w:rPr>
          <w:rFonts w:ascii="Arial" w:cs="Arial" w:eastAsia="Arial" w:hAnsi="Arial"/>
          <w:sz w:val="15"/>
          <w:szCs w:val="15"/>
          <w:color w:val="auto"/>
        </w:rPr>
      </w:pPr>
    </w:p>
    <w:p>
      <w:pPr>
        <w:ind w:left="681" w:right="240" w:hanging="342"/>
        <w:spacing w:after="0" w:line="271" w:lineRule="auto"/>
        <w:tabs>
          <w:tab w:leader="none" w:pos="68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34" w:name="page235"/>
    <w:bookmarkEnd w:id="234"/>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71" w:lineRule="exact"/>
        <w:rPr>
          <w:sz w:val="20"/>
          <w:szCs w:val="20"/>
          <w:color w:val="auto"/>
        </w:rPr>
      </w:pPr>
    </w:p>
    <w:p>
      <w:pPr>
        <w:ind w:left="701" w:right="60"/>
        <w:spacing w:after="0" w:line="278" w:lineRule="auto"/>
        <w:rPr>
          <w:sz w:val="20"/>
          <w:szCs w:val="20"/>
          <w:color w:val="auto"/>
        </w:rPr>
      </w:pPr>
      <w:r>
        <w:rPr>
          <w:rFonts w:ascii="Arial" w:cs="Arial" w:eastAsia="Arial" w:hAnsi="Arial"/>
          <w:sz w:val="16"/>
          <w:szCs w:val="16"/>
          <w:color w:val="auto"/>
        </w:rPr>
        <w:t>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$19.2 million and $20.2 million for the six months ended July 1, 2017 and July 2, 2016, respectively.</w:t>
      </w:r>
    </w:p>
    <w:p>
      <w:pPr>
        <w:spacing w:after="0" w:line="63"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68" w:lineRule="exact"/>
        <w:rPr>
          <w:sz w:val="20"/>
          <w:szCs w:val="20"/>
          <w:color w:val="auto"/>
        </w:rPr>
      </w:pPr>
    </w:p>
    <w:p>
      <w:pPr>
        <w:ind w:left="1" w:right="60" w:firstLine="347"/>
        <w:spacing w:after="0" w:line="281"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3"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3" w:right="1399" w:bottom="1440" w:gutter="0" w:footer="0" w:header="0"/>
        </w:sectPr>
      </w:pPr>
    </w:p>
    <w:bookmarkStart w:id="235" w:name="page236"/>
    <w:bookmarkEnd w:id="235"/>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701" w:hanging="701"/>
        <w:spacing w:after="0"/>
        <w:tabs>
          <w:tab w:leader="none" w:pos="701"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71" w:lineRule="exact"/>
        <w:rPr>
          <w:sz w:val="20"/>
          <w:szCs w:val="20"/>
          <w:color w:val="auto"/>
        </w:rPr>
      </w:pPr>
    </w:p>
    <w:p>
      <w:pPr>
        <w:ind w:left="1" w:right="40" w:firstLine="347"/>
        <w:spacing w:after="0" w:line="312"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the CODM regularly reviews. Asset information is not included in the following summary since the CODM does not regularly review such information for the reportable segments.</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Six Months Ended July 1, 2017</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Owned &amp;</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0"/>
              </w:rPr>
              <w:t>Corporate/</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Host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Legacy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6"/>
              </w:rPr>
              <w:t>Reconciliations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28"/>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438,491</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54,325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87,950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2,778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583,544</w:t>
            </w:r>
          </w:p>
        </w:tc>
        <w:tc>
          <w:tcPr>
            <w:tcW w:w="100" w:type="dxa"/>
            <w:vAlign w:val="bottom"/>
            <w:tcBorders>
              <w:left w:val="single" w:sz="8" w:color="CCEEFF"/>
            </w:tcBorders>
            <w:shd w:val="clear" w:color="auto" w:fill="CCEEFF"/>
          </w:tcPr>
          <w:p>
            <w:pPr>
              <w:spacing w:after="0"/>
              <w:rPr>
                <w:sz w:val="19"/>
                <w:szCs w:val="19"/>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98,296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24,976</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8,164</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(7,580)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123,856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536,787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79,301</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96,114</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707,400</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127,445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25,711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79,417</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233,347</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7,330</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7,032</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1"/>
        </w:trPr>
        <w:tc>
          <w:tcPr>
            <w:tcW w:w="396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33,041</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86,449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322,216</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26,183</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67,959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294,459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2,702</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Litigation settlement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134,518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20,077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(69,175)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(5,576)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79,844</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149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p>
      <w:pPr>
        <w:spacing w:after="0" w:line="14" w:lineRule="exact"/>
        <w:rPr>
          <w:sz w:val="20"/>
          <w:szCs w:val="20"/>
          <w:color w:val="auto"/>
        </w:rPr>
      </w:pPr>
    </w:p>
    <w:p>
      <w:pPr>
        <w:ind w:left="1"/>
        <w:spacing w:after="0"/>
        <w:rPr>
          <w:sz w:val="20"/>
          <w:szCs w:val="20"/>
          <w:color w:val="auto"/>
        </w:rPr>
      </w:pPr>
      <w:r>
        <w:rPr>
          <w:rFonts w:ascii="Arial" w:cs="Arial" w:eastAsia="Arial" w:hAnsi="Arial"/>
          <w:sz w:val="15"/>
          <w:szCs w:val="15"/>
          <w:color w:val="auto"/>
        </w:rPr>
        <w:t>Depreciation and amortization</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7"/>
          <w:szCs w:val="17"/>
          <w:color w:val="auto"/>
        </w:rPr>
        <w:t>Interest expense, net</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7"/>
          <w:szCs w:val="17"/>
          <w:color w:val="auto"/>
        </w:rPr>
        <w:t>29,052</w:t>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26,114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39370</wp:posOffset>
            </wp:positionV>
            <wp:extent cx="5860415" cy="1905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60415" cy="190500"/>
                    </a:xfrm>
                    <a:prstGeom prst="rect">
                      <a:avLst/>
                    </a:prstGeom>
                    <a:noFill/>
                  </pic:spPr>
                </pic:pic>
              </a:graphicData>
            </a:graphic>
          </wp:anchor>
        </w:drawing>
      </w:r>
    </w:p>
    <w:p>
      <w:pPr>
        <w:spacing w:after="0" w:line="55" w:lineRule="exact"/>
        <w:rPr>
          <w:sz w:val="20"/>
          <w:szCs w:val="20"/>
          <w:color w:val="auto"/>
        </w:rPr>
      </w:pPr>
    </w:p>
    <w:p>
      <w:pPr>
        <w:ind w:left="2600"/>
        <w:spacing w:after="0"/>
        <w:tabs>
          <w:tab w:leader="none" w:pos="29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24,678</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July 2, 2016</w:t>
      </w:r>
    </w:p>
    <w:p>
      <w:pPr>
        <w:spacing w:after="0" w:line="18" w:lineRule="exact"/>
        <w:rPr>
          <w:sz w:val="20"/>
          <w:szCs w:val="20"/>
          <w:color w:val="auto"/>
        </w:rPr>
      </w:pPr>
    </w:p>
    <w:p>
      <w:pPr>
        <w:sectPr>
          <w:pgSz w:w="11900" w:h="16838" w:orient="portrait"/>
          <w:cols w:equalWidth="0" w:num="2">
            <w:col w:w="4941" w:space="720"/>
            <w:col w:w="3560"/>
          </w:cols>
          <w:pgMar w:left="1339" w:top="274" w:right="1339" w:bottom="1440" w:gutter="0" w:footer="0" w:header="0"/>
          <w:type w:val="continuous"/>
        </w:sectPr>
      </w:pPr>
    </w:p>
    <w:tbl>
      <w:tblPr>
        <w:tblLayout w:type="fixed"/>
        <w:tblInd w:w="1"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Owned &amp;</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0"/>
              </w:rPr>
              <w:t>Corporate/</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Host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Reconciliations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28"/>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376,502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53,965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510,149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82,124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25,529</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9,075</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(9,012)</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107,716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458,626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79,494</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84,737</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617,865</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108,902</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25,369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65,069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200,324</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5,790</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1"/>
        </w:trPr>
        <w:tc>
          <w:tcPr>
            <w:tcW w:w="396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170,917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31,159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72,728</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275,788</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169,537</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26,799</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64,588</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260,924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118,172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21,536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(5,976)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80,442</w:t>
            </w:r>
          </w:p>
        </w:tc>
        <w:tc>
          <w:tcPr>
            <w:tcW w:w="100" w:type="dxa"/>
            <w:vAlign w:val="bottom"/>
          </w:tcPr>
          <w:p>
            <w:pPr>
              <w:spacing w:after="0"/>
              <w:rPr>
                <w:sz w:val="18"/>
                <w:szCs w:val="18"/>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19,649</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00" w:type="dxa"/>
            <w:vAlign w:val="bottom"/>
            <w:tcBorders>
              <w:left w:val="single" w:sz="8" w:color="CCEEFF"/>
            </w:tcBorders>
            <w:shd w:val="clear" w:color="auto" w:fill="CCEEFF"/>
          </w:tcPr>
          <w:p>
            <w:pPr>
              <w:spacing w:after="0"/>
              <w:rPr>
                <w:sz w:val="22"/>
                <w:szCs w:val="22"/>
                <w:color w:val="auto"/>
              </w:rPr>
            </w:pPr>
          </w:p>
        </w:tc>
      </w:tr>
      <w:tr>
        <w:trPr>
          <w:trHeight w:val="417"/>
        </w:trPr>
        <w:tc>
          <w:tcPr>
            <w:tcW w:w="37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gridSpan w:val="2"/>
          </w:tcPr>
          <w:p>
            <w:pPr>
              <w:ind w:left="360"/>
              <w:spacing w:after="0"/>
              <w:rPr>
                <w:sz w:val="20"/>
                <w:szCs w:val="20"/>
                <w:color w:val="auto"/>
              </w:rPr>
            </w:pPr>
            <w:r>
              <w:rPr>
                <w:rFonts w:ascii="Arial" w:cs="Arial" w:eastAsia="Arial" w:hAnsi="Arial"/>
                <w:sz w:val="17"/>
                <w:szCs w:val="17"/>
                <w:color w:val="auto"/>
              </w:rPr>
              <w:t>F-50</w:t>
            </w: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3"/>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
        </w:trPr>
        <w:tc>
          <w:tcPr>
            <w:tcW w:w="37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type w:val="continuous"/>
        </w:sectPr>
      </w:pPr>
    </w:p>
    <w:bookmarkStart w:id="236" w:name="page237"/>
    <w:bookmarkEnd w:id="23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Earnings Per Share</w:t>
      </w:r>
    </w:p>
    <w:p>
      <w:pPr>
        <w:spacing w:after="0" w:line="123" w:lineRule="exact"/>
        <w:rPr>
          <w:sz w:val="20"/>
          <w:szCs w:val="20"/>
          <w:color w:val="auto"/>
        </w:rPr>
      </w:pPr>
    </w:p>
    <w:p>
      <w:pPr>
        <w:ind w:right="240" w:firstLine="347"/>
        <w:spacing w:after="0" w:line="262" w:lineRule="auto"/>
        <w:rPr>
          <w:sz w:val="20"/>
          <w:szCs w:val="20"/>
          <w:color w:val="auto"/>
        </w:rPr>
      </w:pPr>
      <w:r>
        <w:rPr>
          <w:rFonts w:ascii="Arial" w:cs="Arial" w:eastAsia="Arial" w:hAnsi="Arial"/>
          <w:sz w:val="17"/>
          <w:szCs w:val="17"/>
          <w:color w:val="auto"/>
        </w:rPr>
        <w:t>Basic earnings per share (“EPS”) is computed by dividing net income available to common stockholders by the weighted average number of common shares outstanding for the period. Diluted EPS is computed by dividing net income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 A reconciliation of the numerators and denominators of the basic and diluted EPS calculations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r>
      <w:tr>
        <w:trPr>
          <w:trHeight w:val="176"/>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EPS data</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July 1, 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July 2, 2016</w:t>
            </w:r>
          </w:p>
        </w:tc>
        <w:tc>
          <w:tcPr>
            <w:tcW w:w="80" w:type="dxa"/>
            <w:vAlign w:val="bottom"/>
          </w:tcPr>
          <w:p>
            <w:pPr>
              <w:spacing w:after="0"/>
              <w:rPr>
                <w:sz w:val="15"/>
                <w:szCs w:val="15"/>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21,441</w:t>
            </w:r>
          </w:p>
        </w:tc>
      </w:tr>
      <w:tr>
        <w:trPr>
          <w:trHeight w:val="228"/>
        </w:trPr>
        <w:tc>
          <w:tcPr>
            <w:tcW w:w="716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 EPS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110,774</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110,422</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Effect of dilutive securities: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7160" w:type="dxa"/>
            <w:vAlign w:val="bottom"/>
            <w:gridSpan w:val="2"/>
          </w:tcPr>
          <w:p>
            <w:pPr>
              <w:ind w:left="180"/>
              <w:spacing w:after="0"/>
              <w:rPr>
                <w:sz w:val="20"/>
                <w:szCs w:val="20"/>
                <w:color w:val="auto"/>
              </w:rPr>
            </w:pPr>
            <w:r>
              <w:rPr>
                <w:rFonts w:ascii="Arial" w:cs="Arial" w:eastAsia="Arial" w:hAnsi="Arial"/>
                <w:sz w:val="17"/>
                <w:szCs w:val="17"/>
                <w:color w:val="auto"/>
              </w:rPr>
              <w:t>Stock options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3,937</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940</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for diluted EPS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114,711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111,362</w:t>
            </w:r>
          </w:p>
        </w:tc>
      </w:tr>
      <w:tr>
        <w:trPr>
          <w:trHeight w:val="228"/>
        </w:trPr>
        <w:tc>
          <w:tcPr>
            <w:tcW w:w="716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0.14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0.19</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0.19</w:t>
            </w:r>
          </w:p>
        </w:tc>
      </w:tr>
      <w:tr>
        <w:trPr>
          <w:trHeight w:val="221"/>
        </w:trPr>
        <w:tc>
          <w:tcPr>
            <w:tcW w:w="716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 EPS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138</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Loss</w:t>
      </w:r>
    </w:p>
    <w:p>
      <w:pPr>
        <w:spacing w:after="0" w:line="123" w:lineRule="exact"/>
        <w:rPr>
          <w:sz w:val="20"/>
          <w:szCs w:val="20"/>
          <w:color w:val="auto"/>
        </w:rPr>
      </w:pPr>
    </w:p>
    <w:p>
      <w:pPr>
        <w:jc w:val="both"/>
        <w:ind w:right="60" w:firstLine="347"/>
        <w:spacing w:after="0" w:line="287" w:lineRule="auto"/>
        <w:rPr>
          <w:sz w:val="20"/>
          <w:szCs w:val="20"/>
          <w:color w:val="auto"/>
        </w:rPr>
      </w:pPr>
      <w:r>
        <w:rPr>
          <w:rFonts w:ascii="Arial" w:cs="Arial" w:eastAsia="Arial" w:hAnsi="Arial"/>
          <w:sz w:val="17"/>
          <w:szCs w:val="17"/>
          <w:color w:val="auto"/>
        </w:rPr>
        <w:t>Changes in the fair value of the Company's cash flow hedge derivative instruments since inception are recorded in AOCL. The following table presents the change in AOCL during the six months ended July 1, 2017, net of tax:</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Cash Flow</w:t>
            </w:r>
          </w:p>
        </w:tc>
      </w:t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7"/>
              </w:rPr>
              <w:t>Hedging Activity</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(14,556)</w:t>
            </w:r>
          </w:p>
        </w:tc>
      </w:tr>
      <w:tr>
        <w:trPr>
          <w:trHeight w:val="228"/>
        </w:trPr>
        <w:tc>
          <w:tcPr>
            <w:tcW w:w="7480" w:type="dxa"/>
            <w:vAlign w:val="bottom"/>
          </w:tcPr>
          <w:p>
            <w:pPr>
              <w:ind w:left="180"/>
              <w:spacing w:after="0"/>
              <w:rPr>
                <w:sz w:val="20"/>
                <w:szCs w:val="20"/>
                <w:color w:val="auto"/>
              </w:rPr>
            </w:pPr>
            <w:r>
              <w:rPr>
                <w:rFonts w:ascii="Arial" w:cs="Arial" w:eastAsia="Arial" w:hAnsi="Arial"/>
                <w:sz w:val="17"/>
                <w:szCs w:val="17"/>
                <w:color w:val="auto"/>
              </w:rPr>
              <w:t>Other comprehensive loss before reclassification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(2,130)</w:t>
            </w:r>
          </w:p>
        </w:tc>
      </w:tr>
      <w:tr>
        <w:trPr>
          <w:trHeight w:val="241"/>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Amount reclassified from AOCL</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7480" w:type="dxa"/>
            <w:vAlign w:val="bottom"/>
          </w:tcPr>
          <w:p>
            <w:pPr>
              <w:ind w:left="180"/>
              <w:spacing w:after="0"/>
              <w:rPr>
                <w:sz w:val="20"/>
                <w:szCs w:val="20"/>
                <w:color w:val="auto"/>
              </w:rPr>
            </w:pPr>
            <w:r>
              <w:rPr>
                <w:rFonts w:ascii="Arial" w:cs="Arial" w:eastAsia="Arial" w:hAnsi="Arial"/>
                <w:sz w:val="17"/>
                <w:szCs w:val="17"/>
                <w:color w:val="auto"/>
              </w:rPr>
              <w:t>Net current period other comprehensive loss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20"/>
        </w:trPr>
        <w:tc>
          <w:tcPr>
            <w:tcW w:w="74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 2017</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5"/>
        </w:trPr>
        <w:tc>
          <w:tcPr>
            <w:tcW w:w="7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Amounts reclassified from AOCL to earnings are included in interest expense in the accompanying condensed consolidated statements of operations and comprehensive income. For a description of the Company’s use of cash flow hedging derivatives, refer to Note 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7" w:name="page238"/>
    <w:bookmarkEnd w:id="23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 - Condensed Financial Information of Registrant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 (Parent Company Only)</w:t>
      </w:r>
    </w:p>
    <w:p>
      <w:pPr>
        <w:jc w:val="center"/>
        <w:spacing w:after="0"/>
        <w:rPr>
          <w:sz w:val="20"/>
          <w:szCs w:val="20"/>
          <w:color w:val="auto"/>
        </w:rPr>
      </w:pPr>
      <w:r>
        <w:rPr>
          <w:rFonts w:ascii="Arial" w:cs="Arial" w:eastAsia="Arial" w:hAnsi="Arial"/>
          <w:sz w:val="17"/>
          <w:szCs w:val="17"/>
          <w:b w:val="1"/>
          <w:bCs w:val="1"/>
          <w:color w:val="auto"/>
        </w:rPr>
        <w:t>Condensed Balance Sheets</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212</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 in subsidiary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401,704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385,739</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b w:val="1"/>
                <w:bCs w:val="1"/>
                <w:color w:val="auto"/>
              </w:rPr>
              <w:t>Total non-current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385,875</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35"/>
        </w:trPr>
        <w:tc>
          <w:tcPr>
            <w:tcW w:w="62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5"/>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non-current liabilities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6"/>
              </w:rPr>
              <w:t>Common stock, $0.01 par value; 200,000 shares authorized; 110,509 and 110,284</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shares issued and outstanding at December 31, 2016 and January 2, 2016,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1,105</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1,103</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424,246</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419,844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(14,556)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(8,675)</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16"/>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3"/>
              </w:rPr>
              <w:t>Treasury stock, at cost; 55 and zero shares as of December 31, 2016 and January 2,</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2016, respectively</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401,887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5"/>
        </w:trPr>
        <w:tc>
          <w:tcPr>
            <w:tcW w:w="622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8" w:name="page239"/>
    <w:bookmarkEnd w:id="2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line="252"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Operations and Other Comprehensive Loss </w:t>
      </w:r>
      <w:r>
        <w:rPr>
          <w:rFonts w:ascii="Arial" w:cs="Arial" w:eastAsia="Arial" w:hAnsi="Arial"/>
          <w:sz w:val="17"/>
          <w:szCs w:val="17"/>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March 13, 2014</w:t>
            </w:r>
          </w:p>
        </w:tc>
      </w:tr>
      <w:tr>
        <w:trPr>
          <w:trHeight w:val="156"/>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2"/>
        </w:trPr>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January 2, 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80" w:type="dxa"/>
            <w:vAlign w:val="bottom"/>
          </w:tcPr>
          <w:p>
            <w:pPr>
              <w:spacing w:after="0"/>
              <w:rPr>
                <w:sz w:val="14"/>
                <w:szCs w:val="14"/>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Costs applicable to revenue</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Loss before equity in net income of subsidiaries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(119)</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 of subsidiaries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14,877</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3,826</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(27,050)</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(27,050)</w:t>
            </w:r>
          </w:p>
        </w:tc>
      </w:tr>
      <w:tr>
        <w:trPr>
          <w:trHeight w:val="25"/>
        </w:trPr>
        <w:tc>
          <w:tcPr>
            <w:tcW w:w="48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(27,050)</w:t>
            </w: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Change in fair value of hedge instruments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(7,065)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(11,555)</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benefit of change in fair value of hedge instruments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2,837</w:t>
            </w:r>
          </w:p>
        </w:tc>
        <w:tc>
          <w:tcPr>
            <w:tcW w:w="120" w:type="dxa"/>
            <w:vAlign w:val="bottom"/>
            <w:shd w:val="clear" w:color="auto" w:fill="CCEEFF"/>
          </w:tcPr>
          <w:p>
            <w:pPr>
              <w:spacing w:after="0"/>
              <w:rPr>
                <w:sz w:val="19"/>
                <w:szCs w:val="19"/>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4,499</w:t>
            </w:r>
          </w:p>
        </w:tc>
        <w:tc>
          <w:tcPr>
            <w:tcW w:w="80" w:type="dxa"/>
            <w:vAlign w:val="bottom"/>
            <w:shd w:val="clear" w:color="auto" w:fill="CCEEFF"/>
          </w:tcPr>
          <w:p>
            <w:pPr>
              <w:spacing w:after="0"/>
              <w:rPr>
                <w:sz w:val="19"/>
                <w:szCs w:val="19"/>
                <w:color w:val="auto"/>
              </w:rPr>
            </w:pP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11,486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(611)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(34,106)</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line="254"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Cash Flows </w:t>
      </w:r>
      <w:r>
        <w:rPr>
          <w:rFonts w:ascii="Arial" w:cs="Arial" w:eastAsia="Arial" w:hAnsi="Arial"/>
          <w:sz w:val="17"/>
          <w:szCs w:val="17"/>
          <w:i w:val="1"/>
          <w:i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March 13, 2014</w:t>
            </w:r>
          </w:p>
        </w:tc>
      </w:tr>
      <w:tr>
        <w:trPr>
          <w:trHeight w:val="156"/>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2"/>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December 31, 2016</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January 2, 2016</w:t>
            </w:r>
          </w:p>
        </w:tc>
        <w:tc>
          <w:tcPr>
            <w:tcW w:w="1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January 3, 2015</w:t>
            </w: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(335)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Dividend from subsidiary</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 in subsidiary</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(884)</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(1,181)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(429,166)</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144,486</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(429,166)</w:t>
            </w:r>
          </w:p>
        </w:tc>
      </w:tr>
      <w:tr>
        <w:trPr>
          <w:trHeight w:val="241"/>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Proceeds from stock options exercises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915</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1,762</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sale of common stock</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stock options</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Dividend to stockholders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 to stockholders</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840" w:type="dxa"/>
            <w:vAlign w:val="bottom"/>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(143,391)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(753)</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765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left="1360" w:right="1920"/>
        <w:spacing w:after="0" w:line="259" w:lineRule="auto"/>
        <w:rPr>
          <w:sz w:val="20"/>
          <w:szCs w:val="20"/>
          <w:color w:val="auto"/>
        </w:rPr>
      </w:pPr>
      <w:r>
        <w:rPr>
          <w:rFonts w:ascii="Arial" w:cs="Arial" w:eastAsia="Arial" w:hAnsi="Arial"/>
          <w:sz w:val="17"/>
          <w:szCs w:val="17"/>
          <w:b w:val="1"/>
          <w:bCs w:val="1"/>
          <w:color w:val="auto"/>
        </w:rPr>
        <w:t>Schedule I - Condensed Financial Information of Registrant National Vision Holdings, Inc. and Subsidiaries (Parent Company Only) Notes to Condensed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National Vision Holdings, Inc. (“NVHI”) conducts substantially all of its activities through its direct wholly owned subsidiary, National Vision, Inc. (“NVI”) and its subsidiaries. NVHI was incorporated in Delaware on February 14, 2014 under the name Nautilus Parent, Inc. There were no financial transactions between inception date and March 13, 2014, the date the majority ownership of the Company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National Vision Holdings, Inc.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Guarantees and Restrictions</w:t>
      </w:r>
    </w:p>
    <w:p>
      <w:pPr>
        <w:spacing w:after="0" w:line="123"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On March 13, 2014, NVI entered into new syndicated First Lien and Second Lien Credit Agreements for principal amounts of $500.0 million due March 13, 2021, and $125.0 million due March 13, 2022, respectively. On June 1, 2015, NVI declared a dividend for $144.7 million to its sole shareholder NVHI. The dividend was funded with an incremental first lien term loan under NVI’s First Lien Credit Agreement. As of Fiscal Year End 2016, NVI had $633.6 million and $125.0 million of principal amount of long-term debt outstanding under its First Lien and Second Lien Term Loans. The First Lien Credit Agreement also provides for up to $75.0 million in revolving loans (the “Revolving Loan Facility”). NVI may use up to $20.0 million of the Revolving Loan Facility to issue letters of credit. As of Fiscal Year End 2016, NVI had no outstanding revolving loan obligations and had $5.5 million in outstanding letters of credit related to the Revolving Loan Facility.</w:t>
      </w:r>
    </w:p>
    <w:p>
      <w:pPr>
        <w:spacing w:after="0" w:line="68"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The First Lien and Second Lien Credit Agreements contain covenants that, among other things, limit NVI’s ability to incur additional debt, create liens against our assets, make acquisitions, pay dividends or distributions on our stock, merge or consolidate with another entity, and transfer or sell assets. Under the agreements, provided no event of default has occurred and is continuing, NVI is permitted to pay dividends to NVHI with certain restrictions as stated in the Credit Agreements.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60415" cy="24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58604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6041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87630</wp:posOffset>
            </wp:positionV>
            <wp:extent cx="1299845" cy="10096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99845"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National Vision Holdings, Inc.</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976630</wp:posOffset>
            </wp:positionV>
            <wp:extent cx="9931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040"/>
        <w:spacing w:after="0"/>
        <w:rPr>
          <w:sz w:val="20"/>
          <w:szCs w:val="20"/>
          <w:color w:val="auto"/>
        </w:rPr>
      </w:pPr>
      <w:r>
        <w:rPr>
          <w:rFonts w:ascii="Arial" w:cs="Arial" w:eastAsia="Arial" w:hAnsi="Arial"/>
          <w:sz w:val="24"/>
          <w:szCs w:val="24"/>
          <w:b w:val="1"/>
          <w:bCs w:val="1"/>
          <w:color w:val="auto"/>
        </w:rPr>
        <w:t>Prospectus</w:t>
      </w:r>
    </w:p>
    <w:p>
      <w:pPr>
        <w:spacing w:after="0" w:line="219" w:lineRule="exact"/>
        <w:rPr>
          <w:sz w:val="20"/>
          <w:szCs w:val="20"/>
          <w:color w:val="auto"/>
        </w:rPr>
      </w:pPr>
    </w:p>
    <w:p>
      <w:pPr>
        <w:jc w:val="right"/>
        <w:ind w:right="4020"/>
        <w:spacing w:after="0"/>
        <w:rPr>
          <w:sz w:val="20"/>
          <w:szCs w:val="20"/>
          <w:color w:val="auto"/>
        </w:rPr>
      </w:pPr>
      <w:r>
        <w:rPr>
          <w:rFonts w:ascii="Arial" w:cs="Arial" w:eastAsia="Arial" w:hAnsi="Arial"/>
          <w:sz w:val="24"/>
          <w:szCs w:val="24"/>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137795</wp:posOffset>
            </wp:positionV>
            <wp:extent cx="9931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9220"/>
          </w:cols>
          <w:pgMar w:left="1340" w:top="273" w:right="13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KKR</w:t>
      </w:r>
    </w:p>
    <w:p>
      <w:pPr>
        <w:spacing w:after="0" w:line="79" w:lineRule="exact"/>
        <w:rPr>
          <w:sz w:val="20"/>
          <w:szCs w:val="20"/>
          <w:color w:val="auto"/>
        </w:rPr>
      </w:pPr>
    </w:p>
    <w:p>
      <w:pPr>
        <w:sectPr>
          <w:pgSz w:w="11900" w:h="16838" w:orient="portrait"/>
          <w:cols w:equalWidth="0" w:num="4">
            <w:col w:w="2200" w:space="720"/>
            <w:col w:w="2980" w:space="720"/>
            <w:col w:w="1240" w:space="720"/>
            <w:col w:w="640"/>
          </w:cols>
          <w:pgMar w:left="1340" w:top="273" w:right="1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Wells Fargo Securities</w:t>
      </w:r>
    </w:p>
    <w:p>
      <w:pPr>
        <w:spacing w:after="0" w:line="159" w:lineRule="exact"/>
        <w:rPr>
          <w:sz w:val="20"/>
          <w:szCs w:val="20"/>
          <w:color w:val="auto"/>
        </w:rPr>
      </w:pPr>
    </w:p>
    <w:p>
      <w:pPr>
        <w:sectPr>
          <w:pgSz w:w="11900" w:h="16838" w:orient="portrait"/>
          <w:cols w:equalWidth="0" w:num="4">
            <w:col w:w="1560" w:space="720"/>
            <w:col w:w="880" w:space="720"/>
            <w:col w:w="2160" w:space="720"/>
            <w:col w:w="2460"/>
          </w:cols>
          <w:pgMar w:left="1340" w:top="273" w:right="1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Co-Managers</w:t>
      </w:r>
    </w:p>
    <w:p>
      <w:pPr>
        <w:sectPr>
          <w:pgSz w:w="11900" w:h="16838" w:orient="portrait"/>
          <w:cols w:equalWidth="0" w:num="1">
            <w:col w:w="9220"/>
          </w:cols>
          <w:pgMar w:left="1340" w:top="273" w:right="1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Macquarie Capital</w:t>
      </w:r>
    </w:p>
    <w:p>
      <w:pPr>
        <w:spacing w:after="0" w:line="200" w:lineRule="exact"/>
        <w:rPr>
          <w:sz w:val="20"/>
          <w:szCs w:val="20"/>
          <w:color w:val="auto"/>
        </w:rPr>
      </w:pPr>
    </w:p>
    <w:p>
      <w:pPr>
        <w:sectPr>
          <w:pgSz w:w="11900" w:h="16838" w:orient="portrait"/>
          <w:cols w:equalWidth="0" w:num="3">
            <w:col w:w="3220" w:space="720"/>
            <w:col w:w="3160" w:space="720"/>
            <w:col w:w="1400"/>
          </w:cols>
          <w:pgMar w:left="1340" w:top="273"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347"/>
        <w:spacing w:after="0" w:line="241" w:lineRule="auto"/>
        <w:rPr>
          <w:sz w:val="20"/>
          <w:szCs w:val="20"/>
          <w:color w:val="auto"/>
        </w:rPr>
      </w:pPr>
      <w:r>
        <w:rPr>
          <w:rFonts w:ascii="Arial" w:cs="Arial" w:eastAsia="Arial" w:hAnsi="Arial"/>
          <w:sz w:val="16"/>
          <w:szCs w:val="16"/>
          <w:color w:val="auto"/>
        </w:rPr>
        <w:t>Through and including the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after the date of this prospectus, all dealers that effect transactions in these securities,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58604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5860415" cy="247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5860415"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type w:val="continuous"/>
        </w:sectPr>
      </w:pPr>
    </w:p>
    <w:bookmarkStart w:id="242" w:name="page243"/>
    <w:bookmarkEnd w:id="242"/>
    <w:p>
      <w:pPr>
        <w:ind w:left="1"/>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23" w:lineRule="exact"/>
        <w:rPr>
          <w:sz w:val="20"/>
          <w:szCs w:val="20"/>
          <w:color w:val="auto"/>
        </w:rPr>
      </w:pPr>
    </w:p>
    <w:p>
      <w:pPr>
        <w:ind w:left="1" w:right="180" w:firstLine="347"/>
        <w:spacing w:after="0" w:line="250" w:lineRule="auto"/>
        <w:rPr>
          <w:sz w:val="20"/>
          <w:szCs w:val="20"/>
          <w:color w:val="auto"/>
        </w:rPr>
      </w:pPr>
      <w:r>
        <w:rPr>
          <w:rFonts w:ascii="Arial" w:cs="Arial" w:eastAsia="Arial" w:hAnsi="Arial"/>
          <w:sz w:val="17"/>
          <w:szCs w:val="17"/>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the NASDAQ listing fee.</w:t>
      </w:r>
    </w:p>
    <w:p>
      <w:pPr>
        <w:spacing w:after="0" w:line="32"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11,590</w:t>
            </w:r>
          </w:p>
        </w:tc>
        <w:tc>
          <w:tcPr>
            <w:tcW w:w="80" w:type="dxa"/>
            <w:vAlign w:val="bottom"/>
            <w:shd w:val="clear" w:color="auto" w:fill="CCEEFF"/>
          </w:tcPr>
          <w:p>
            <w:pPr>
              <w:spacing w:after="0"/>
              <w:rPr>
                <w:sz w:val="20"/>
                <w:szCs w:val="20"/>
                <w:color w:val="auto"/>
              </w:rPr>
            </w:pPr>
          </w:p>
        </w:tc>
      </w:tr>
      <w:tr>
        <w:trPr>
          <w:trHeight w:val="228"/>
        </w:trPr>
        <w:tc>
          <w:tcPr>
            <w:tcW w:w="810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15,500</w:t>
            </w:r>
          </w:p>
        </w:tc>
      </w:tr>
      <w:tr>
        <w:trPr>
          <w:trHeight w:val="241"/>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100" w:type="dxa"/>
            <w:vAlign w:val="bottom"/>
            <w:gridSpan w:val="2"/>
          </w:tcPr>
          <w:p>
            <w:pPr>
              <w:spacing w:after="0"/>
              <w:rPr>
                <w:sz w:val="20"/>
                <w:szCs w:val="20"/>
                <w:color w:val="auto"/>
              </w:rPr>
            </w:pPr>
            <w:r>
              <w:rPr>
                <w:rFonts w:ascii="Arial" w:cs="Arial" w:eastAsia="Arial" w:hAnsi="Arial"/>
                <w:sz w:val="17"/>
                <w:szCs w:val="17"/>
                <w:color w:val="auto"/>
              </w:rPr>
              <w:t>Printing fees and expenses</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100" w:type="dxa"/>
            <w:vAlign w:val="bottom"/>
            <w:gridSpan w:val="2"/>
          </w:tcPr>
          <w:p>
            <w:pPr>
              <w:spacing w:after="0"/>
              <w:rPr>
                <w:sz w:val="20"/>
                <w:szCs w:val="20"/>
                <w:color w:val="auto"/>
              </w:rPr>
            </w:pPr>
            <w:r>
              <w:rPr>
                <w:rFonts w:ascii="Arial" w:cs="Arial" w:eastAsia="Arial" w:hAnsi="Arial"/>
                <w:sz w:val="17"/>
                <w:szCs w:val="17"/>
                <w:color w:val="auto"/>
              </w:rPr>
              <w:t>Blue sky fees and expenses</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Registrar and transfer agent fees</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10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
        </w:trPr>
        <w:tc>
          <w:tcPr>
            <w:tcW w:w="138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7"/>
                <w:szCs w:val="17"/>
                <w:color w:val="auto"/>
              </w:rPr>
              <w:t>Total</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3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23" w:lineRule="exact"/>
        <w:rPr>
          <w:sz w:val="20"/>
          <w:szCs w:val="20"/>
          <w:color w:val="auto"/>
        </w:rPr>
      </w:pPr>
    </w:p>
    <w:p>
      <w:pPr>
        <w:ind w:left="1" w:right="40" w:firstLine="347"/>
        <w:spacing w:after="0" w:line="263" w:lineRule="auto"/>
        <w:rPr>
          <w:sz w:val="20"/>
          <w:szCs w:val="20"/>
          <w:color w:val="auto"/>
        </w:rPr>
      </w:pPr>
      <w:r>
        <w:rPr>
          <w:rFonts w:ascii="Arial" w:cs="Arial" w:eastAsia="Arial" w:hAnsi="Arial"/>
          <w:sz w:val="16"/>
          <w:szCs w:val="16"/>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 We will enter into indemnification agreements with our directors that provide for us to indemnify them to the fullest extent permitted by Delaware law.</w:t>
      </w:r>
    </w:p>
    <w:p>
      <w:pPr>
        <w:spacing w:after="0" w:line="36" w:lineRule="exact"/>
        <w:rPr>
          <w:sz w:val="20"/>
          <w:szCs w:val="20"/>
          <w:color w:val="auto"/>
        </w:rPr>
      </w:pPr>
    </w:p>
    <w:p>
      <w:pPr>
        <w:ind w:left="1" w:right="20" w:firstLine="347"/>
        <w:spacing w:after="0" w:line="258"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53" w:lineRule="exact"/>
        <w:rPr>
          <w:sz w:val="20"/>
          <w:szCs w:val="20"/>
          <w:color w:val="auto"/>
        </w:rPr>
      </w:pPr>
    </w:p>
    <w:p>
      <w:pPr>
        <w:ind w:left="1" w:right="360" w:firstLine="347"/>
        <w:spacing w:after="0" w:line="255"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43" w:name="page244"/>
    <w:bookmarkEnd w:id="2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asserted against such person and incurred by such person in any such capacity, or arising out of his or her status as such, whether or not the corporation would otherwise have the power to indemnify such person under Section 145.</w:t>
      </w:r>
    </w:p>
    <w:p>
      <w:pPr>
        <w:spacing w:after="0" w:line="54"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Our amended and restated bylaws will provide that we must indemnify, and advance expenses to, our directors and officers to the full extent authorized by the DGCL.</w:t>
      </w:r>
    </w:p>
    <w:p>
      <w:pPr>
        <w:spacing w:after="0" w:line="54"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75"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9"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68"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The underwriting agreement provides for indemnification by the underwriters of us and our officers and directors, and by us of the underwriters, for certain liabilities arising under the Securities Act of 1933, as amended, or the Securities Act, or otherwise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23"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Within the past three years, the Registrant has granted or issued the following securities of the Registrant which were not registered under the Securities Act.</w:t>
      </w:r>
    </w:p>
    <w:p>
      <w:pPr>
        <w:spacing w:after="0" w:line="54"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The following does not reflect the -for-one reverse split of the Registrant’s common stock, which will occur prior to the consummation of the offering to which this Registration Statement relates.</w:t>
      </w:r>
    </w:p>
    <w:p>
      <w:pPr>
        <w:spacing w:after="0" w:line="54" w:lineRule="exact"/>
        <w:rPr>
          <w:sz w:val="20"/>
          <w:szCs w:val="20"/>
          <w:color w:val="auto"/>
        </w:rPr>
      </w:pPr>
    </w:p>
    <w:p>
      <w:pPr>
        <w:ind w:left="680" w:hanging="342"/>
        <w:spacing w:after="0"/>
        <w:tabs>
          <w:tab w:leader="none" w:pos="68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Issuances of Capital Stock</w:t>
      </w:r>
    </w:p>
    <w:p>
      <w:pPr>
        <w:spacing w:after="0" w:line="117"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On March 13, 2014, we issued an aggregate of 4,203,123 shares of our common stock at a price per share of $5.00 to certain of our employees in connection with the KKR Acquisition. In addition, certain of our employees were given opportunities to purchase our common stock in connection with their hiring and/or promotion as follows:</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23, 2014, we issued 19,000 shares of our common stock at a price per share of $5.00.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29, 2014, we issued 10,000 shares of our common stock at a price per share of $5.00.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30, 2014, we issued 2,000 shares of our common stock at a price per share of $5.00.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15, 2014, we issued 60,000 shares of our common stock at a price per share of $5.00.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February 11, 2015, we issued 20,000 shares of our common stock at a price per share of $5.00.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10, 2015, we issued 4,780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August 14, 2017, we issued 125,000 shares of our common stock at a price per share of $8.00.</w:t>
      </w:r>
    </w:p>
    <w:p>
      <w:pPr>
        <w:spacing w:after="0" w:line="117" w:lineRule="exact"/>
        <w:rPr>
          <w:sz w:val="20"/>
          <w:szCs w:val="20"/>
          <w:color w:val="auto"/>
        </w:rPr>
      </w:pPr>
    </w:p>
    <w:p>
      <w:pPr>
        <w:ind w:right="60" w:firstLine="347"/>
        <w:spacing w:after="0" w:line="357" w:lineRule="auto"/>
        <w:rPr>
          <w:sz w:val="20"/>
          <w:szCs w:val="20"/>
          <w:color w:val="auto"/>
        </w:rPr>
      </w:pPr>
      <w:r>
        <w:rPr>
          <w:rFonts w:ascii="Arial" w:cs="Arial" w:eastAsia="Arial" w:hAnsi="Arial"/>
          <w:sz w:val="15"/>
          <w:szCs w:val="15"/>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May 22, 2015, we issued 65,837 shares of our common stock at a price per share of $0.20 and $0.52.</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244" w:name="page245"/>
    <w:bookmarkEnd w:id="2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June 12, 2015, we issued 240,000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August 24, 2015, we issued 27,434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4, 2015, we issued 10,000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8, 2015, we issued 24,000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9, 2015, we issued 72,000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11, 2015, we issued 43,200 shares of our common stock at a price per share of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21, 2016, we issued 240,000 shares of our common stock at a price per share of $3.68.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23, 2016, we issued 10,094 shares of our common stock at a price per share of $3.68 and $4.18.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February 1, 2017, we issued 32,000 shares of our common stock at a price per share of $4.70.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February 8, 2017, we issued 72,000 shares of our common stock at a price per share of $3.68.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20, 2017, we issued 240,000 shares of our common stock at a price per share of $2.17.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March 22, 2017, we issued 72,000 shares of our common stock at a price per share of $2.17.</w:t>
      </w:r>
    </w:p>
    <w:p>
      <w:pPr>
        <w:spacing w:after="0" w:line="117"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Also, on July 24, 2017, we issued 12,500 restricted shares of common stock, based on the fair market value of $8.00 per share as of the award date, to a non-employee director.</w:t>
      </w:r>
    </w:p>
    <w:p>
      <w:pPr>
        <w:spacing w:after="0" w:line="54"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9" w:lineRule="exact"/>
        <w:rPr>
          <w:sz w:val="20"/>
          <w:szCs w:val="20"/>
          <w:color w:val="auto"/>
        </w:rPr>
      </w:pPr>
    </w:p>
    <w:p>
      <w:pPr>
        <w:ind w:left="680" w:hanging="342"/>
        <w:spacing w:after="0"/>
        <w:tabs>
          <w:tab w:leader="none" w:pos="6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Stock Option Grants</w:t>
      </w:r>
    </w:p>
    <w:p>
      <w:pPr>
        <w:spacing w:after="0" w:line="117" w:lineRule="exact"/>
        <w:rPr>
          <w:sz w:val="20"/>
          <w:szCs w:val="20"/>
          <w:color w:val="auto"/>
        </w:rPr>
      </w:pPr>
    </w:p>
    <w:p>
      <w:pPr>
        <w:ind w:right="180" w:firstLine="347"/>
        <w:spacing w:after="0" w:line="307" w:lineRule="auto"/>
        <w:rPr>
          <w:sz w:val="20"/>
          <w:szCs w:val="20"/>
          <w:color w:val="auto"/>
        </w:rPr>
      </w:pPr>
      <w:r>
        <w:rPr>
          <w:rFonts w:ascii="Arial" w:cs="Arial" w:eastAsia="Arial" w:hAnsi="Arial"/>
          <w:sz w:val="15"/>
          <w:szCs w:val="15"/>
          <w:color w:val="auto"/>
        </w:rPr>
        <w:t>On March 13, 2014, we granted stock options to purchase an aggregate of 16,225,161 shares of our common stock with an exercise price of $5.00 per share, to certain of our employees in connection with the KKR Acquisition. In addition, certain of our employees rolled over a portion of their outstanding stock options that were issued prior to the KKR Acquisition into options to purchase shares of our common stock, with the exercise price and number of shares underlying such rollover options adjusted as a result of the KKR Acquisition. The exercise price for all such options adjusted to an exercise price of $5.00 per share.</w:t>
      </w:r>
    </w:p>
    <w:p>
      <w:pPr>
        <w:spacing w:after="0" w:line="44" w:lineRule="exact"/>
        <w:rPr>
          <w:sz w:val="20"/>
          <w:szCs w:val="20"/>
          <w:color w:val="auto"/>
        </w:rPr>
      </w:pPr>
    </w:p>
    <w:p>
      <w:pPr>
        <w:ind w:right="400" w:firstLine="347"/>
        <w:spacing w:after="0" w:line="287" w:lineRule="auto"/>
        <w:rPr>
          <w:sz w:val="20"/>
          <w:szCs w:val="20"/>
          <w:color w:val="auto"/>
        </w:rPr>
      </w:pPr>
      <w:r>
        <w:rPr>
          <w:rFonts w:ascii="Arial" w:cs="Arial" w:eastAsia="Arial" w:hAnsi="Arial"/>
          <w:sz w:val="17"/>
          <w:szCs w:val="17"/>
          <w:color w:val="auto"/>
        </w:rPr>
        <w:t>In addition, we granted stock options to certain employees in connection with services provided by such employees or the hiring/promotion of such employees as follows:</w:t>
      </w:r>
    </w:p>
    <w:p>
      <w:pPr>
        <w:spacing w:after="0" w:line="54" w:lineRule="exact"/>
        <w:rPr>
          <w:sz w:val="20"/>
          <w:szCs w:val="20"/>
          <w:color w:val="auto"/>
        </w:rPr>
      </w:pPr>
    </w:p>
    <w:p>
      <w:pPr>
        <w:ind w:left="340" w:right="360" w:firstLine="347"/>
        <w:spacing w:after="0" w:line="287" w:lineRule="auto"/>
        <w:rPr>
          <w:sz w:val="20"/>
          <w:szCs w:val="20"/>
          <w:color w:val="auto"/>
        </w:rPr>
      </w:pPr>
      <w:r>
        <w:rPr>
          <w:rFonts w:ascii="Arial" w:cs="Arial" w:eastAsia="Arial" w:hAnsi="Arial"/>
          <w:sz w:val="17"/>
          <w:szCs w:val="17"/>
          <w:color w:val="auto"/>
        </w:rPr>
        <w:t>On May 13, 2014, we granted stock options to purchase an aggregate of 373,286 shares of our common stock with an exercise price of $5.00 per share.</w:t>
      </w:r>
    </w:p>
    <w:p>
      <w:pPr>
        <w:spacing w:after="0" w:line="54" w:lineRule="exact"/>
        <w:rPr>
          <w:sz w:val="20"/>
          <w:szCs w:val="20"/>
          <w:color w:val="auto"/>
        </w:rPr>
      </w:pPr>
    </w:p>
    <w:p>
      <w:pPr>
        <w:ind w:left="340" w:right="360" w:firstLine="347"/>
        <w:spacing w:after="0" w:line="287" w:lineRule="auto"/>
        <w:rPr>
          <w:sz w:val="20"/>
          <w:szCs w:val="20"/>
          <w:color w:val="auto"/>
        </w:rPr>
      </w:pPr>
      <w:r>
        <w:rPr>
          <w:rFonts w:ascii="Arial" w:cs="Arial" w:eastAsia="Arial" w:hAnsi="Arial"/>
          <w:sz w:val="17"/>
          <w:szCs w:val="17"/>
          <w:color w:val="auto"/>
        </w:rPr>
        <w:t>On May 19, 2014, we granted stock options to purchase an aggregate of 158,000 shares of our common stock with an exercise price of $5.00 per share.</w:t>
      </w:r>
    </w:p>
    <w:p>
      <w:pPr>
        <w:spacing w:after="0" w:line="54" w:lineRule="exact"/>
        <w:rPr>
          <w:sz w:val="20"/>
          <w:szCs w:val="20"/>
          <w:color w:val="auto"/>
        </w:rPr>
      </w:pPr>
    </w:p>
    <w:p>
      <w:pPr>
        <w:ind w:left="340" w:right="440" w:firstLine="347"/>
        <w:spacing w:after="0" w:line="287" w:lineRule="auto"/>
        <w:rPr>
          <w:sz w:val="20"/>
          <w:szCs w:val="20"/>
          <w:color w:val="auto"/>
        </w:rPr>
      </w:pPr>
      <w:r>
        <w:rPr>
          <w:rFonts w:ascii="Arial" w:cs="Arial" w:eastAsia="Arial" w:hAnsi="Arial"/>
          <w:sz w:val="17"/>
          <w:szCs w:val="17"/>
          <w:color w:val="auto"/>
        </w:rPr>
        <w:t>On June 2, 2014, we granted stock options to purchase an aggregate of 224,643 shares of our common stock with an exercise price of $5.00 per share.</w:t>
      </w:r>
    </w:p>
    <w:p>
      <w:pPr>
        <w:spacing w:after="0" w:line="54" w:lineRule="exact"/>
        <w:rPr>
          <w:sz w:val="20"/>
          <w:szCs w:val="20"/>
          <w:color w:val="auto"/>
        </w:rPr>
      </w:pPr>
    </w:p>
    <w:p>
      <w:pPr>
        <w:ind w:left="340" w:right="140" w:firstLine="347"/>
        <w:spacing w:after="0" w:line="287" w:lineRule="auto"/>
        <w:rPr>
          <w:sz w:val="20"/>
          <w:szCs w:val="20"/>
          <w:color w:val="auto"/>
        </w:rPr>
      </w:pPr>
      <w:r>
        <w:rPr>
          <w:rFonts w:ascii="Arial" w:cs="Arial" w:eastAsia="Arial" w:hAnsi="Arial"/>
          <w:sz w:val="17"/>
          <w:szCs w:val="17"/>
          <w:color w:val="auto"/>
        </w:rPr>
        <w:t>On September 16, 2014, we granted stock options to purchase an aggregate of 525,000 shares of our common stock with an exercise price of $5.00 per share to an employee.</w:t>
      </w:r>
    </w:p>
    <w:p>
      <w:pPr>
        <w:spacing w:after="0" w:line="54" w:lineRule="exact"/>
        <w:rPr>
          <w:sz w:val="20"/>
          <w:szCs w:val="20"/>
          <w:color w:val="auto"/>
        </w:rPr>
      </w:pPr>
    </w:p>
    <w:p>
      <w:pPr>
        <w:ind w:left="340" w:right="60" w:firstLine="347"/>
        <w:spacing w:after="0" w:line="287" w:lineRule="auto"/>
        <w:rPr>
          <w:sz w:val="20"/>
          <w:szCs w:val="20"/>
          <w:color w:val="auto"/>
        </w:rPr>
      </w:pPr>
      <w:r>
        <w:rPr>
          <w:rFonts w:ascii="Arial" w:cs="Arial" w:eastAsia="Arial" w:hAnsi="Arial"/>
          <w:sz w:val="17"/>
          <w:szCs w:val="17"/>
          <w:color w:val="auto"/>
        </w:rPr>
        <w:t>On February 11, 2015, we granted stock options to purchase an aggregate of 232,857 shares of our common stock with an exercise price of $5.00 per share.</w:t>
      </w:r>
    </w:p>
    <w:p>
      <w:pPr>
        <w:spacing w:after="0" w:line="54" w:lineRule="exact"/>
        <w:rPr>
          <w:sz w:val="20"/>
          <w:szCs w:val="20"/>
          <w:color w:val="auto"/>
        </w:rPr>
      </w:pPr>
    </w:p>
    <w:p>
      <w:pPr>
        <w:ind w:left="340" w:right="180" w:firstLine="347"/>
        <w:spacing w:after="0" w:line="287" w:lineRule="auto"/>
        <w:rPr>
          <w:sz w:val="20"/>
          <w:szCs w:val="20"/>
          <w:color w:val="auto"/>
        </w:rPr>
      </w:pPr>
      <w:r>
        <w:rPr>
          <w:rFonts w:ascii="Arial" w:cs="Arial" w:eastAsia="Arial" w:hAnsi="Arial"/>
          <w:sz w:val="17"/>
          <w:szCs w:val="17"/>
          <w:color w:val="auto"/>
        </w:rPr>
        <w:t>On September 2 , 2015, we granted stock options to purchase an aggregate of 700,000 shares of our common stock with an exercise price of $4.18 per share.</w:t>
      </w:r>
    </w:p>
    <w:p>
      <w:pPr>
        <w:spacing w:after="0" w:line="54" w:lineRule="exact"/>
        <w:rPr>
          <w:sz w:val="20"/>
          <w:szCs w:val="20"/>
          <w:color w:val="auto"/>
        </w:rPr>
      </w:pPr>
    </w:p>
    <w:p>
      <w:pPr>
        <w:ind w:left="340" w:right="20" w:firstLine="347"/>
        <w:spacing w:after="0" w:line="287" w:lineRule="auto"/>
        <w:rPr>
          <w:sz w:val="20"/>
          <w:szCs w:val="20"/>
          <w:color w:val="auto"/>
        </w:rPr>
      </w:pPr>
      <w:r>
        <w:rPr>
          <w:rFonts w:ascii="Arial" w:cs="Arial" w:eastAsia="Arial" w:hAnsi="Arial"/>
          <w:sz w:val="17"/>
          <w:szCs w:val="17"/>
          <w:color w:val="auto"/>
        </w:rPr>
        <w:t>On November 9, 2015, we granted stock options to purchase an aggregate of 500,000 shares of our common stock with an exercise price of $4.70 per share.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5" w:name="page246"/>
    <w:bookmarkEnd w:id="2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right="40" w:firstLine="347"/>
        <w:spacing w:after="0" w:line="287" w:lineRule="auto"/>
        <w:rPr>
          <w:sz w:val="20"/>
          <w:szCs w:val="20"/>
          <w:color w:val="auto"/>
        </w:rPr>
      </w:pPr>
      <w:r>
        <w:rPr>
          <w:rFonts w:ascii="Arial" w:cs="Arial" w:eastAsia="Arial" w:hAnsi="Arial"/>
          <w:sz w:val="17"/>
          <w:szCs w:val="17"/>
          <w:color w:val="auto"/>
        </w:rPr>
        <w:t>On December 8, 2015, we granted stock options to purchase an aggregate of 150,000 shares of our common stock with an exercise price of $4.70 per share.</w:t>
      </w:r>
    </w:p>
    <w:p>
      <w:pPr>
        <w:spacing w:after="0" w:line="54" w:lineRule="exact"/>
        <w:rPr>
          <w:sz w:val="20"/>
          <w:szCs w:val="20"/>
          <w:color w:val="auto"/>
        </w:rPr>
      </w:pPr>
    </w:p>
    <w:p>
      <w:pPr>
        <w:ind w:left="340" w:right="220" w:firstLine="347"/>
        <w:spacing w:after="0" w:line="287" w:lineRule="auto"/>
        <w:rPr>
          <w:sz w:val="20"/>
          <w:szCs w:val="20"/>
          <w:color w:val="auto"/>
        </w:rPr>
      </w:pPr>
      <w:r>
        <w:rPr>
          <w:rFonts w:ascii="Arial" w:cs="Arial" w:eastAsia="Arial" w:hAnsi="Arial"/>
          <w:sz w:val="17"/>
          <w:szCs w:val="17"/>
          <w:color w:val="auto"/>
        </w:rPr>
        <w:t>On March 16, 2016, we granted stock options to purchase an aggregate of 450,000 shares of our common stock with an exercise price of $4.70 per share.</w:t>
      </w:r>
    </w:p>
    <w:p>
      <w:pPr>
        <w:spacing w:after="0" w:line="54" w:lineRule="exact"/>
        <w:rPr>
          <w:sz w:val="20"/>
          <w:szCs w:val="20"/>
          <w:color w:val="auto"/>
        </w:rPr>
      </w:pPr>
    </w:p>
    <w:p>
      <w:pPr>
        <w:ind w:left="340" w:right="20" w:firstLine="347"/>
        <w:spacing w:after="0" w:line="287" w:lineRule="auto"/>
        <w:rPr>
          <w:sz w:val="20"/>
          <w:szCs w:val="20"/>
          <w:color w:val="auto"/>
        </w:rPr>
      </w:pPr>
      <w:r>
        <w:rPr>
          <w:rFonts w:ascii="Arial" w:cs="Arial" w:eastAsia="Arial" w:hAnsi="Arial"/>
          <w:sz w:val="17"/>
          <w:szCs w:val="17"/>
          <w:color w:val="auto"/>
        </w:rPr>
        <w:t>On December 13, 2016, we granted stock options to purchase an aggregate 1,050,000 shares of our common stock with an exercise price of $7.57 per share.</w:t>
      </w:r>
    </w:p>
    <w:p>
      <w:pPr>
        <w:spacing w:after="0" w:line="54" w:lineRule="exact"/>
        <w:rPr>
          <w:sz w:val="20"/>
          <w:szCs w:val="20"/>
          <w:color w:val="auto"/>
        </w:rPr>
      </w:pPr>
    </w:p>
    <w:p>
      <w:pPr>
        <w:ind w:left="340" w:right="220" w:firstLine="347"/>
        <w:spacing w:after="0" w:line="287" w:lineRule="auto"/>
        <w:rPr>
          <w:sz w:val="20"/>
          <w:szCs w:val="20"/>
          <w:color w:val="auto"/>
        </w:rPr>
      </w:pPr>
      <w:r>
        <w:rPr>
          <w:rFonts w:ascii="Arial" w:cs="Arial" w:eastAsia="Arial" w:hAnsi="Arial"/>
          <w:sz w:val="17"/>
          <w:szCs w:val="17"/>
          <w:color w:val="auto"/>
        </w:rPr>
        <w:t>On March 20, 2017, we granted stock options to purchase an aggregate of 125,000 shares of our common stock with an exercise price of $6.06 per share.</w:t>
      </w:r>
    </w:p>
    <w:p>
      <w:pPr>
        <w:spacing w:after="0" w:line="54" w:lineRule="exact"/>
        <w:rPr>
          <w:sz w:val="20"/>
          <w:szCs w:val="20"/>
          <w:color w:val="auto"/>
        </w:rPr>
      </w:pPr>
    </w:p>
    <w:p>
      <w:pPr>
        <w:ind w:left="340" w:right="300" w:firstLine="347"/>
        <w:spacing w:after="0" w:line="287" w:lineRule="auto"/>
        <w:rPr>
          <w:sz w:val="20"/>
          <w:szCs w:val="20"/>
          <w:color w:val="auto"/>
        </w:rPr>
      </w:pPr>
      <w:r>
        <w:rPr>
          <w:rFonts w:ascii="Arial" w:cs="Arial" w:eastAsia="Arial" w:hAnsi="Arial"/>
          <w:sz w:val="17"/>
          <w:szCs w:val="17"/>
          <w:color w:val="auto"/>
        </w:rPr>
        <w:t>On April 13, 2017, we granted stock options to purchase an aggregate of 100,000 shares of our common stock with an exercise price of $7.66 per share.</w:t>
      </w:r>
    </w:p>
    <w:p>
      <w:pPr>
        <w:spacing w:after="0" w:line="54" w:lineRule="exact"/>
        <w:rPr>
          <w:sz w:val="20"/>
          <w:szCs w:val="20"/>
          <w:color w:val="auto"/>
        </w:rPr>
      </w:pPr>
    </w:p>
    <w:p>
      <w:pPr>
        <w:ind w:left="340" w:right="360" w:firstLine="347"/>
        <w:spacing w:after="0" w:line="287" w:lineRule="auto"/>
        <w:rPr>
          <w:sz w:val="20"/>
          <w:szCs w:val="20"/>
          <w:color w:val="auto"/>
        </w:rPr>
      </w:pPr>
      <w:r>
        <w:rPr>
          <w:rFonts w:ascii="Arial" w:cs="Arial" w:eastAsia="Arial" w:hAnsi="Arial"/>
          <w:sz w:val="17"/>
          <w:szCs w:val="17"/>
          <w:color w:val="auto"/>
        </w:rPr>
        <w:t>On May 16, 2017, we granted stock options to purchase an aggregate of 200,000 shares of our common stock with an exercise price of $7.66 per share.</w:t>
      </w:r>
    </w:p>
    <w:p>
      <w:pPr>
        <w:spacing w:after="0" w:line="54" w:lineRule="exact"/>
        <w:rPr>
          <w:sz w:val="20"/>
          <w:szCs w:val="20"/>
          <w:color w:val="auto"/>
        </w:rPr>
      </w:pPr>
    </w:p>
    <w:p>
      <w:pPr>
        <w:ind w:left="340" w:right="440" w:firstLine="347"/>
        <w:spacing w:after="0" w:line="287" w:lineRule="auto"/>
        <w:rPr>
          <w:sz w:val="20"/>
          <w:szCs w:val="20"/>
          <w:color w:val="auto"/>
        </w:rPr>
      </w:pPr>
      <w:r>
        <w:rPr>
          <w:rFonts w:ascii="Arial" w:cs="Arial" w:eastAsia="Arial" w:hAnsi="Arial"/>
          <w:sz w:val="17"/>
          <w:szCs w:val="17"/>
          <w:color w:val="auto"/>
        </w:rPr>
        <w:t>On June 5, 2017, we granted stock options to purchase an aggregate of 450,000 shares of our common stock with an exercise price of $7.66 per share.</w:t>
      </w:r>
    </w:p>
    <w:p>
      <w:pPr>
        <w:spacing w:after="0" w:line="54" w:lineRule="exact"/>
        <w:rPr>
          <w:sz w:val="20"/>
          <w:szCs w:val="20"/>
          <w:color w:val="auto"/>
        </w:rPr>
      </w:pPr>
    </w:p>
    <w:p>
      <w:pPr>
        <w:ind w:left="340" w:right="380" w:firstLine="347"/>
        <w:spacing w:after="0" w:line="287" w:lineRule="auto"/>
        <w:rPr>
          <w:sz w:val="20"/>
          <w:szCs w:val="20"/>
          <w:color w:val="auto"/>
        </w:rPr>
      </w:pPr>
      <w:r>
        <w:rPr>
          <w:rFonts w:ascii="Arial" w:cs="Arial" w:eastAsia="Arial" w:hAnsi="Arial"/>
          <w:sz w:val="17"/>
          <w:szCs w:val="17"/>
          <w:color w:val="auto"/>
        </w:rPr>
        <w:t>On July 24, 2017, we granted stock options to purchase an aggregate of 200,000 shares of our common stock with an exercise price of $8.00 per share.</w:t>
      </w:r>
    </w:p>
    <w:p>
      <w:pPr>
        <w:spacing w:after="0" w:line="54" w:lineRule="exact"/>
        <w:rPr>
          <w:sz w:val="20"/>
          <w:szCs w:val="20"/>
          <w:color w:val="auto"/>
        </w:rPr>
      </w:pPr>
    </w:p>
    <w:p>
      <w:pPr>
        <w:ind w:left="340" w:right="40" w:firstLine="347"/>
        <w:spacing w:after="0" w:line="287" w:lineRule="auto"/>
        <w:rPr>
          <w:sz w:val="20"/>
          <w:szCs w:val="20"/>
          <w:color w:val="auto"/>
        </w:rPr>
      </w:pPr>
      <w:r>
        <w:rPr>
          <w:rFonts w:ascii="Arial" w:cs="Arial" w:eastAsia="Arial" w:hAnsi="Arial"/>
          <w:sz w:val="17"/>
          <w:szCs w:val="17"/>
          <w:color w:val="auto"/>
        </w:rPr>
        <w:t>On August 14, 2017, we granted stock options to purchase an aggregate of 1,262,414 shares of our common stock with an exercise price of $8.00 per share.</w:t>
      </w:r>
    </w:p>
    <w:p>
      <w:pPr>
        <w:spacing w:after="0" w:line="54" w:lineRule="exact"/>
        <w:rPr>
          <w:sz w:val="20"/>
          <w:szCs w:val="20"/>
          <w:color w:val="auto"/>
        </w:rPr>
      </w:pPr>
    </w:p>
    <w:p>
      <w:pPr>
        <w:ind w:left="340" w:right="180" w:firstLine="347"/>
        <w:spacing w:after="0" w:line="287" w:lineRule="auto"/>
        <w:rPr>
          <w:sz w:val="20"/>
          <w:szCs w:val="20"/>
          <w:color w:val="auto"/>
        </w:rPr>
      </w:pPr>
      <w:r>
        <w:rPr>
          <w:rFonts w:ascii="Arial" w:cs="Arial" w:eastAsia="Arial" w:hAnsi="Arial"/>
          <w:sz w:val="17"/>
          <w:szCs w:val="17"/>
          <w:color w:val="auto"/>
        </w:rPr>
        <w:t>On August 24, 2017, we granted stock options to purchase an aggregate of 150,000 shares of our common stock with an exercise price of $8.00 per share.</w:t>
      </w:r>
    </w:p>
    <w:p>
      <w:pPr>
        <w:spacing w:after="0" w:line="54"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As of September 26, 2017, options (excluding rollover options) to purchase 1,112,634 shares of common stock had been exercised for aggregate consideration in the amount of $3,876,556, and options to purchase 1,618,424 shares of common stock had been canceled or repurchased.</w:t>
      </w:r>
    </w:p>
    <w:p>
      <w:pPr>
        <w:spacing w:after="0" w:line="68"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of the foregoing securities are deemed restricted securities for purposes of the Securities Act.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23" w:lineRule="exact"/>
        <w:rPr>
          <w:sz w:val="20"/>
          <w:szCs w:val="20"/>
          <w:color w:val="auto"/>
        </w:rPr>
      </w:pPr>
    </w:p>
    <w:p>
      <w:pPr>
        <w:ind w:left="680" w:right="60" w:hanging="342"/>
        <w:spacing w:after="0" w:line="287" w:lineRule="auto"/>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See the Exhibit Index immediately preceding the signature pages hereto, which is incorporated by reference as if</w:t>
      </w:r>
      <w:r>
        <w:rPr>
          <w:rFonts w:ascii="Arial" w:cs="Arial" w:eastAsia="Arial" w:hAnsi="Arial"/>
          <w:sz w:val="17"/>
          <w:szCs w:val="17"/>
          <w:i w:val="1"/>
          <w:iCs w:val="1"/>
          <w:color w:val="auto"/>
        </w:rPr>
        <w:t xml:space="preserve"> </w:t>
      </w:r>
      <w:r>
        <w:rPr>
          <w:rFonts w:ascii="Arial" w:cs="Arial" w:eastAsia="Arial" w:hAnsi="Arial"/>
          <w:sz w:val="17"/>
          <w:szCs w:val="17"/>
          <w:color w:val="auto"/>
        </w:rPr>
        <w:t>fully set forth herein.</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 I − Condensed Financial Information of National Vision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23" w:lineRule="exact"/>
        <w:rPr>
          <w:sz w:val="20"/>
          <w:szCs w:val="20"/>
          <w:color w:val="auto"/>
        </w:rPr>
      </w:pPr>
    </w:p>
    <w:p>
      <w:pPr>
        <w:ind w:left="680" w:right="80" w:hanging="342"/>
        <w:spacing w:after="0" w:line="271" w:lineRule="auto"/>
        <w:tabs>
          <w:tab w:leader="none" w:pos="6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7" w:lineRule="exact"/>
        <w:rPr>
          <w:rFonts w:ascii="Arial" w:cs="Arial" w:eastAsia="Arial" w:hAnsi="Arial"/>
          <w:sz w:val="17"/>
          <w:szCs w:val="17"/>
          <w:color w:val="auto"/>
        </w:rPr>
      </w:pPr>
    </w:p>
    <w:p>
      <w:pPr>
        <w:ind w:left="680" w:right="80" w:hanging="342"/>
        <w:spacing w:after="0" w:line="307" w:lineRule="auto"/>
        <w:tabs>
          <w:tab w:leader="none" w:pos="6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6" w:name="page247"/>
    <w:bookmarkEnd w:id="24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spacing w:after="0" w:line="263" w:lineRule="auto"/>
        <w:rPr>
          <w:sz w:val="20"/>
          <w:szCs w:val="20"/>
          <w:color w:val="auto"/>
        </w:rPr>
      </w:pPr>
      <w:r>
        <w:rPr>
          <w:rFonts w:ascii="Arial" w:cs="Arial" w:eastAsia="Arial" w:hAnsi="Arial"/>
          <w:sz w:val="17"/>
          <w:szCs w:val="17"/>
          <w:color w:val="auto"/>
        </w:rPr>
        <w:t>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6" w:lineRule="exact"/>
        <w:rPr>
          <w:sz w:val="20"/>
          <w:szCs w:val="20"/>
          <w:color w:val="auto"/>
        </w:rPr>
      </w:pPr>
    </w:p>
    <w:p>
      <w:pPr>
        <w:ind w:left="680" w:hanging="342"/>
        <w:spacing w:after="0"/>
        <w:tabs>
          <w:tab w:leader="none" w:pos="6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 hereby undertakes that:</w:t>
      </w:r>
    </w:p>
    <w:p>
      <w:pPr>
        <w:spacing w:after="0" w:line="117" w:lineRule="exact"/>
        <w:rPr>
          <w:rFonts w:ascii="Arial" w:cs="Arial" w:eastAsia="Arial" w:hAnsi="Arial"/>
          <w:sz w:val="17"/>
          <w:szCs w:val="17"/>
          <w:color w:val="auto"/>
        </w:rPr>
      </w:pPr>
    </w:p>
    <w:p>
      <w:pPr>
        <w:ind w:left="1020" w:right="420" w:hanging="330"/>
        <w:spacing w:after="0" w:line="288" w:lineRule="auto"/>
        <w:tabs>
          <w:tab w:leader="none" w:pos="10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5" w:lineRule="exact"/>
        <w:rPr>
          <w:rFonts w:ascii="Arial" w:cs="Arial" w:eastAsia="Arial" w:hAnsi="Arial"/>
          <w:sz w:val="16"/>
          <w:szCs w:val="16"/>
          <w:color w:val="auto"/>
        </w:rPr>
      </w:pPr>
    </w:p>
    <w:p>
      <w:pPr>
        <w:ind w:left="1020" w:right="40" w:hanging="330"/>
        <w:spacing w:after="0" w:line="296" w:lineRule="auto"/>
        <w:tabs>
          <w:tab w:leader="none" w:pos="10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4" w:right="1439" w:bottom="1440" w:gutter="0" w:footer="0" w:header="0"/>
        </w:sectPr>
      </w:pPr>
    </w:p>
    <w:bookmarkStart w:id="247" w:name="page248"/>
    <w:bookmarkEnd w:id="2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2500"/>
              <w:spacing w:after="0"/>
              <w:rPr>
                <w:sz w:val="20"/>
                <w:szCs w:val="20"/>
                <w:color w:val="auto"/>
              </w:rPr>
            </w:pPr>
            <w:r>
              <w:rPr>
                <w:rFonts w:ascii="Arial" w:cs="Arial" w:eastAsia="Arial" w:hAnsi="Arial"/>
                <w:sz w:val="17"/>
                <w:szCs w:val="17"/>
                <w:b w:val="1"/>
                <w:bCs w:val="1"/>
                <w:color w:val="auto"/>
              </w:rPr>
              <w:t>EXHIBIT INDEX</w:t>
            </w:r>
          </w:p>
        </w:tc>
      </w:tr>
      <w:tr>
        <w:trPr>
          <w:trHeight w:val="222"/>
        </w:trPr>
        <w:tc>
          <w:tcPr>
            <w:tcW w:w="13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9"/>
                <w:szCs w:val="19"/>
                <w:color w:val="auto"/>
              </w:rPr>
            </w:pPr>
          </w:p>
        </w:tc>
        <w:tc>
          <w:tcPr>
            <w:tcW w:w="7780" w:type="dxa"/>
            <w:vAlign w:val="bottom"/>
            <w:tcBorders>
              <w:bottom w:val="single" w:sz="8" w:color="auto"/>
            </w:tcBorders>
          </w:tcPr>
          <w:p>
            <w:pPr>
              <w:ind w:left="3340"/>
              <w:spacing w:after="0"/>
              <w:rPr>
                <w:sz w:val="20"/>
                <w:szCs w:val="20"/>
                <w:color w:val="auto"/>
              </w:rPr>
            </w:pPr>
            <w:r>
              <w:rPr>
                <w:rFonts w:ascii="Arial" w:cs="Arial" w:eastAsia="Arial" w:hAnsi="Arial"/>
                <w:sz w:val="14"/>
                <w:szCs w:val="14"/>
                <w:b w:val="1"/>
                <w:bCs w:val="1"/>
                <w:color w:val="auto"/>
              </w:rPr>
              <w:t>Exhibit Description</w:t>
            </w:r>
          </w:p>
        </w:tc>
      </w:tr>
      <w:tr>
        <w:trPr>
          <w:trHeight w:val="215"/>
        </w:trPr>
        <w:tc>
          <w:tcPr>
            <w:tcW w:w="480" w:type="dxa"/>
            <w:vAlign w:val="bottom"/>
            <w:gridSpan w:val="3"/>
          </w:tcPr>
          <w:p>
            <w:pPr>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6"/>
              </w:rPr>
              <w:t>Form of Underwriting Agreement by and among National Vision Holdings, Inc. and the underwriters named</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therein</w:t>
            </w:r>
          </w:p>
        </w:tc>
      </w:tr>
      <w:tr>
        <w:trPr>
          <w:trHeight w:val="430"/>
        </w:trPr>
        <w:tc>
          <w:tcPr>
            <w:tcW w:w="3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2"/>
              </w:rPr>
              <w:t>3.</w:t>
            </w:r>
            <w:r>
              <w:rPr>
                <w:rFonts w:ascii="Arial" w:cs="Arial" w:eastAsia="Arial" w:hAnsi="Arial"/>
                <w:sz w:val="17"/>
                <w:szCs w:val="17"/>
                <w:u w:val="single" w:color="auto"/>
                <w:color w:val="0000EE"/>
                <w:w w:val="92"/>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 of Second Amended and Restated Certificate of Incorporation of National Vision Holdings, Inc.</w:t>
            </w:r>
          </w:p>
        </w:tc>
      </w:tr>
      <w:tr>
        <w:trPr>
          <w:trHeight w:val="449"/>
        </w:trPr>
        <w:tc>
          <w:tcPr>
            <w:tcW w:w="3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2"/>
              </w:rPr>
              <w:t>3.</w:t>
            </w:r>
            <w:r>
              <w:rPr>
                <w:rFonts w:ascii="Arial" w:cs="Arial" w:eastAsia="Arial" w:hAnsi="Arial"/>
                <w:sz w:val="17"/>
                <w:szCs w:val="17"/>
                <w:u w:val="single" w:color="auto"/>
                <w:color w:val="0000EE"/>
                <w:w w:val="92"/>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 of Second Amended and Restated Bylaws of National Vision Holdings, Inc.</w:t>
            </w:r>
          </w:p>
        </w:tc>
      </w:tr>
      <w:tr>
        <w:trPr>
          <w:trHeight w:val="488"/>
        </w:trPr>
        <w:tc>
          <w:tcPr>
            <w:tcW w:w="480" w:type="dxa"/>
            <w:vAlign w:val="bottom"/>
            <w:gridSpan w:val="3"/>
          </w:tcPr>
          <w:p>
            <w:pPr>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 of Common Stock Certificate</w:t>
            </w:r>
          </w:p>
        </w:tc>
      </w:tr>
      <w:tr>
        <w:trPr>
          <w:trHeight w:val="430"/>
        </w:trPr>
        <w:tc>
          <w:tcPr>
            <w:tcW w:w="560" w:type="dxa"/>
            <w:vAlign w:val="bottom"/>
            <w:gridSpan w:val="4"/>
          </w:tcPr>
          <w:p>
            <w:pPr>
              <w:spacing w:after="0"/>
              <w:rPr>
                <w:rFonts w:ascii="Arial" w:cs="Arial" w:eastAsia="Arial" w:hAnsi="Arial"/>
                <w:sz w:val="17"/>
                <w:szCs w:val="17"/>
                <w:color w:val="0000EE"/>
              </w:rPr>
            </w:pPr>
            <w:hyperlink r:id="rId311">
              <w:r>
                <w:rPr>
                  <w:rFonts w:ascii="Arial" w:cs="Arial" w:eastAsia="Arial" w:hAnsi="Arial"/>
                  <w:sz w:val="17"/>
                  <w:szCs w:val="17"/>
                  <w:color w:val="0000EE"/>
                </w:rPr>
                <w:t>4.</w:t>
              </w:r>
              <w:r>
                <w:rPr>
                  <w:rFonts w:ascii="Arial" w:cs="Arial" w:eastAsia="Arial" w:hAnsi="Arial"/>
                  <w:sz w:val="17"/>
                  <w:szCs w:val="17"/>
                  <w:u w:val="single" w:color="auto"/>
                  <w:color w:val="0000EE"/>
                </w:rPr>
                <w:t>2***</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7"/>
              </w:rPr>
              <w:t>Registration Rights Agreement, dated as of March 13, 2014, by and among National Vision Holdings, Inc.</w:t>
            </w:r>
          </w:p>
        </w:tc>
      </w:tr>
      <w:tr>
        <w:trPr>
          <w:trHeight w:val="228"/>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(formerly known as Nautilus Parent, Inc.) and the stockholders party thereto</w:t>
            </w:r>
          </w:p>
        </w:tc>
      </w:tr>
      <w:tr>
        <w:trPr>
          <w:trHeight w:val="469"/>
        </w:trPr>
        <w:tc>
          <w:tcPr>
            <w:tcW w:w="480" w:type="dxa"/>
            <w:vAlign w:val="bottom"/>
            <w:gridSpan w:val="3"/>
          </w:tcPr>
          <w:p>
            <w:pPr>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Opinion of Simpson Thacher &amp; Bartlett LLP</w:t>
            </w:r>
          </w:p>
        </w:tc>
      </w:tr>
      <w:tr>
        <w:trPr>
          <w:trHeight w:val="430"/>
        </w:trPr>
        <w:tc>
          <w:tcPr>
            <w:tcW w:w="480" w:type="dxa"/>
            <w:vAlign w:val="bottom"/>
            <w:gridSpan w:val="3"/>
          </w:tcPr>
          <w:p>
            <w:pPr>
              <w:spacing w:after="0"/>
              <w:rPr>
                <w:sz w:val="20"/>
                <w:szCs w:val="20"/>
                <w:color w:val="auto"/>
              </w:rPr>
            </w:pPr>
            <w:r>
              <w:rPr>
                <w:rFonts w:ascii="Arial" w:cs="Arial" w:eastAsia="Arial" w:hAnsi="Arial"/>
                <w:sz w:val="17"/>
                <w:szCs w:val="17"/>
                <w:color w:val="0000EE"/>
              </w:rPr>
              <w:t>10.</w:t>
            </w:r>
            <w:r>
              <w:rPr>
                <w:rFonts w:ascii="Arial" w:cs="Arial" w:eastAsia="Arial" w:hAnsi="Arial"/>
                <w:sz w:val="17"/>
                <w:szCs w:val="17"/>
                <w:u w:val="single" w:color="auto"/>
                <w:color w:val="0000EE"/>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5"/>
              </w:rPr>
              <w:t>Form of Amended and Restated Stockholders’ Agreement by and among National Vision Holdings, Inc. and</w:t>
            </w:r>
          </w:p>
        </w:tc>
      </w:tr>
      <w:tr>
        <w:trPr>
          <w:trHeight w:val="228"/>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the stockholders party thereto</w:t>
            </w:r>
          </w:p>
        </w:tc>
      </w:tr>
      <w:tr>
        <w:trPr>
          <w:trHeight w:val="457"/>
        </w:trPr>
        <w:tc>
          <w:tcPr>
            <w:tcW w:w="560" w:type="dxa"/>
            <w:vAlign w:val="bottom"/>
            <w:gridSpan w:val="4"/>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8"/>
              </w:rPr>
              <w:t>Monitoring Agreement, dated as of March 13, 2014, by and among National Vision, Inc., Kohlberg Kravis</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Roberts &amp; Co. L.P. and Berkshire Partners LLC</w:t>
            </w:r>
          </w:p>
        </w:tc>
      </w:tr>
      <w:tr>
        <w:trPr>
          <w:trHeight w:val="430"/>
        </w:trPr>
        <w:tc>
          <w:tcPr>
            <w:tcW w:w="560" w:type="dxa"/>
            <w:vAlign w:val="bottom"/>
            <w:tcBorders>
              <w:bottom w:val="single" w:sz="8" w:color="0000EE"/>
            </w:tcBorders>
            <w:gridSpan w:val="4"/>
          </w:tcPr>
          <w:p>
            <w:pPr>
              <w:spacing w:after="0"/>
              <w:rPr>
                <w:rFonts w:ascii="Arial" w:cs="Arial" w:eastAsia="Arial" w:hAnsi="Arial"/>
                <w:sz w:val="17"/>
                <w:szCs w:val="17"/>
                <w:color w:val="0000EE"/>
              </w:rPr>
            </w:pPr>
            <w:hyperlink r:id="rId312">
              <w:r>
                <w:rPr>
                  <w:rFonts w:ascii="Arial" w:cs="Arial" w:eastAsia="Arial" w:hAnsi="Arial"/>
                  <w:sz w:val="17"/>
                  <w:szCs w:val="17"/>
                  <w:color w:val="0000EE"/>
                </w:rPr>
                <w:t>10.</w:t>
              </w:r>
              <w:r>
                <w:rPr>
                  <w:rFonts w:ascii="Arial" w:cs="Arial" w:eastAsia="Arial" w:hAnsi="Arial"/>
                  <w:sz w:val="17"/>
                  <w:szCs w:val="17"/>
                  <w:u w:val="single" w:color="auto"/>
                  <w:color w:val="0000EE"/>
                </w:rPr>
                <w:t>3***</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4"/>
              </w:rPr>
              <w:t>First Lien Credit Agreement, dated as of March 13, 2014, among Nautilus Acquisition Holdings, Inc., Nautilus</w:t>
            </w:r>
          </w:p>
        </w:tc>
      </w:tr>
      <w:tr>
        <w:trPr>
          <w:trHeight w:val="215"/>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Merger Sub, Inc., Vision Holdings Corp. and National Vision, Inc., Goldman Sachs Bank USA, as</w:t>
            </w:r>
          </w:p>
        </w:tc>
      </w:tr>
      <w:tr>
        <w:trPr>
          <w:trHeight w:val="209"/>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4"/>
              </w:rPr>
              <w:t>administrative agent, collateral agent, swingline lender and a lender, Morgan Stanley Bank N.A., as the letter</w:t>
            </w:r>
          </w:p>
        </w:tc>
      </w:tr>
      <w:tr>
        <w:trPr>
          <w:trHeight w:val="209"/>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5"/>
              </w:rPr>
              <w:t>of credit issuer, Goldman Sachs Bank USA, Morgan Stanley Senior Funding, Inc., Citigroup Global Markets</w:t>
            </w:r>
          </w:p>
        </w:tc>
      </w:tr>
      <w:tr>
        <w:trPr>
          <w:trHeight w:val="209"/>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6"/>
              </w:rPr>
              <w:t>Inc., Mizuho Bank, Ltd., KKR Capital Markets LLC, Barclays Bank PLC, and Macquarie Capital (USA) Inc.,</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as joint lead arrangers and bookrunners, and the several lenders from time to time parties thereto</w:t>
            </w:r>
          </w:p>
        </w:tc>
      </w:tr>
      <w:tr>
        <w:trPr>
          <w:trHeight w:val="430"/>
        </w:trPr>
        <w:tc>
          <w:tcPr>
            <w:tcW w:w="560" w:type="dxa"/>
            <w:vAlign w:val="bottom"/>
            <w:tcBorders>
              <w:bottom w:val="single" w:sz="8" w:color="0000EE"/>
            </w:tcBorders>
            <w:gridSpan w:val="4"/>
          </w:tcPr>
          <w:p>
            <w:pPr>
              <w:spacing w:after="0"/>
              <w:rPr>
                <w:rFonts w:ascii="Arial" w:cs="Arial" w:eastAsia="Arial" w:hAnsi="Arial"/>
                <w:sz w:val="17"/>
                <w:szCs w:val="17"/>
                <w:color w:val="0000EE"/>
              </w:rPr>
            </w:pPr>
            <w:hyperlink r:id="rId313">
              <w:r>
                <w:rPr>
                  <w:rFonts w:ascii="Arial" w:cs="Arial" w:eastAsia="Arial" w:hAnsi="Arial"/>
                  <w:sz w:val="17"/>
                  <w:szCs w:val="17"/>
                  <w:color w:val="0000EE"/>
                </w:rPr>
                <w:t>10.</w:t>
              </w:r>
              <w:r>
                <w:rPr>
                  <w:rFonts w:ascii="Arial" w:cs="Arial" w:eastAsia="Arial" w:hAnsi="Arial"/>
                  <w:sz w:val="17"/>
                  <w:szCs w:val="17"/>
                  <w:u w:val="single" w:color="auto"/>
                  <w:color w:val="0000EE"/>
                </w:rPr>
                <w:t>4***</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Joinder and Amendment Agreement, dated as of May 29, 2015, among KKR Corporate Lending LLC,</w:t>
            </w:r>
          </w:p>
        </w:tc>
      </w:tr>
      <w:tr>
        <w:trPr>
          <w:trHeight w:val="215"/>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National Vision, Inc., as borrower, the guarantors party thereto and Goldman Sachs Bank USA, as</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administrative agent and collateral agent</w:t>
            </w:r>
          </w:p>
        </w:tc>
      </w:tr>
      <w:tr>
        <w:trPr>
          <w:trHeight w:val="430"/>
        </w:trPr>
        <w:tc>
          <w:tcPr>
            <w:tcW w:w="560" w:type="dxa"/>
            <w:vAlign w:val="bottom"/>
            <w:tcBorders>
              <w:bottom w:val="single" w:sz="8" w:color="0000EE"/>
            </w:tcBorders>
            <w:gridSpan w:val="4"/>
          </w:tcPr>
          <w:p>
            <w:pPr>
              <w:spacing w:after="0"/>
              <w:rPr>
                <w:rFonts w:ascii="Arial" w:cs="Arial" w:eastAsia="Arial" w:hAnsi="Arial"/>
                <w:sz w:val="17"/>
                <w:szCs w:val="17"/>
                <w:color w:val="0000EE"/>
              </w:rPr>
            </w:pPr>
            <w:hyperlink r:id="rId314">
              <w:r>
                <w:rPr>
                  <w:rFonts w:ascii="Arial" w:cs="Arial" w:eastAsia="Arial" w:hAnsi="Arial"/>
                  <w:sz w:val="17"/>
                  <w:szCs w:val="17"/>
                  <w:color w:val="0000EE"/>
                </w:rPr>
                <w:t>10.</w:t>
              </w:r>
              <w:r>
                <w:rPr>
                  <w:rFonts w:ascii="Arial" w:cs="Arial" w:eastAsia="Arial" w:hAnsi="Arial"/>
                  <w:sz w:val="17"/>
                  <w:szCs w:val="17"/>
                  <w:u w:val="single" w:color="auto"/>
                  <w:color w:val="0000EE"/>
                </w:rPr>
                <w:t>5***</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4"/>
              </w:rPr>
              <w:t>Joinder Agreement, dated as of February 3, 2017, among KKR Corporate Lending LLC, National Vision, Inc.,</w:t>
            </w:r>
          </w:p>
        </w:tc>
      </w:tr>
      <w:tr>
        <w:trPr>
          <w:trHeight w:val="215"/>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1"/>
              </w:rPr>
              <w:t>as borrower, the guarantors party thereto and Goldman Sachs Bank USA, as administrative agent and collateral</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agent</w:t>
            </w:r>
          </w:p>
        </w:tc>
      </w:tr>
      <w:tr>
        <w:trPr>
          <w:trHeight w:val="430"/>
        </w:trPr>
        <w:tc>
          <w:tcPr>
            <w:tcW w:w="560" w:type="dxa"/>
            <w:vAlign w:val="bottom"/>
            <w:tcBorders>
              <w:bottom w:val="single" w:sz="8" w:color="0000EE"/>
            </w:tcBorders>
            <w:gridSpan w:val="4"/>
          </w:tcPr>
          <w:p>
            <w:pPr>
              <w:spacing w:after="0"/>
              <w:rPr>
                <w:rFonts w:ascii="Arial" w:cs="Arial" w:eastAsia="Arial" w:hAnsi="Arial"/>
                <w:sz w:val="17"/>
                <w:szCs w:val="17"/>
                <w:color w:val="0000EE"/>
              </w:rPr>
            </w:pPr>
            <w:hyperlink r:id="rId315">
              <w:r>
                <w:rPr>
                  <w:rFonts w:ascii="Arial" w:cs="Arial" w:eastAsia="Arial" w:hAnsi="Arial"/>
                  <w:sz w:val="17"/>
                  <w:szCs w:val="17"/>
                  <w:color w:val="0000EE"/>
                </w:rPr>
                <w:t>10.</w:t>
              </w:r>
              <w:r>
                <w:rPr>
                  <w:rFonts w:ascii="Arial" w:cs="Arial" w:eastAsia="Arial" w:hAnsi="Arial"/>
                  <w:sz w:val="17"/>
                  <w:szCs w:val="17"/>
                  <w:u w:val="single" w:color="auto"/>
                  <w:color w:val="0000EE"/>
                </w:rPr>
                <w:t>6***</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First Lien Guarantee, dated as of March 13, 2014, by the guarantors party thereto</w:t>
            </w:r>
          </w:p>
        </w:tc>
      </w:tr>
      <w:tr>
        <w:trPr>
          <w:trHeight w:val="449"/>
        </w:trPr>
        <w:tc>
          <w:tcPr>
            <w:tcW w:w="560" w:type="dxa"/>
            <w:vAlign w:val="bottom"/>
            <w:tcBorders>
              <w:bottom w:val="single" w:sz="8" w:color="0000EE"/>
            </w:tcBorders>
            <w:gridSpan w:val="4"/>
          </w:tcPr>
          <w:p>
            <w:pPr>
              <w:spacing w:after="0"/>
              <w:rPr>
                <w:rFonts w:ascii="Arial" w:cs="Arial" w:eastAsia="Arial" w:hAnsi="Arial"/>
                <w:sz w:val="17"/>
                <w:szCs w:val="17"/>
                <w:color w:val="0000EE"/>
              </w:rPr>
            </w:pPr>
            <w:hyperlink r:id="rId316">
              <w:r>
                <w:rPr>
                  <w:rFonts w:ascii="Arial" w:cs="Arial" w:eastAsia="Arial" w:hAnsi="Arial"/>
                  <w:sz w:val="17"/>
                  <w:szCs w:val="17"/>
                  <w:color w:val="0000EE"/>
                </w:rPr>
                <w:t>10.</w:t>
              </w:r>
              <w:r>
                <w:rPr>
                  <w:rFonts w:ascii="Arial" w:cs="Arial" w:eastAsia="Arial" w:hAnsi="Arial"/>
                  <w:sz w:val="17"/>
                  <w:szCs w:val="17"/>
                  <w:u w:val="single" w:color="auto"/>
                  <w:color w:val="0000EE"/>
                </w:rPr>
                <w:t>7***</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First Lien Security Agreement, dated as of March 13, 2014, among Nautilus Acquisition Holdings, Inc.,</w:t>
            </w:r>
          </w:p>
        </w:tc>
      </w:tr>
      <w:tr>
        <w:trPr>
          <w:trHeight w:val="215"/>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8"/>
              </w:rPr>
              <w:t>Nautilus Merger Sub, Inc., Vision Holdings Corp., National Vision, Inc., subsidiary grantors party thereto,</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Goldman Sachs Bank USA, as collateral agent</w:t>
            </w:r>
          </w:p>
        </w:tc>
      </w:tr>
      <w:tr>
        <w:trPr>
          <w:trHeight w:val="430"/>
        </w:trPr>
        <w:tc>
          <w:tcPr>
            <w:tcW w:w="560" w:type="dxa"/>
            <w:vAlign w:val="bottom"/>
            <w:tcBorders>
              <w:bottom w:val="single" w:sz="8" w:color="0000EE"/>
            </w:tcBorders>
            <w:gridSpan w:val="4"/>
          </w:tcPr>
          <w:p>
            <w:pPr>
              <w:spacing w:after="0"/>
              <w:rPr>
                <w:rFonts w:ascii="Arial" w:cs="Arial" w:eastAsia="Arial" w:hAnsi="Arial"/>
                <w:sz w:val="17"/>
                <w:szCs w:val="17"/>
                <w:color w:val="0000EE"/>
              </w:rPr>
            </w:pPr>
            <w:hyperlink r:id="rId317">
              <w:r>
                <w:rPr>
                  <w:rFonts w:ascii="Arial" w:cs="Arial" w:eastAsia="Arial" w:hAnsi="Arial"/>
                  <w:sz w:val="17"/>
                  <w:szCs w:val="17"/>
                  <w:color w:val="0000EE"/>
                </w:rPr>
                <w:t>10.</w:t>
              </w:r>
              <w:r>
                <w:rPr>
                  <w:rFonts w:ascii="Arial" w:cs="Arial" w:eastAsia="Arial" w:hAnsi="Arial"/>
                  <w:sz w:val="17"/>
                  <w:szCs w:val="17"/>
                  <w:u w:val="single" w:color="auto"/>
                  <w:color w:val="0000EE"/>
                </w:rPr>
                <w:t>8***</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First Lien Pledge Agreement, dated as of March 13, 2014, among Nautilus Acquisition Holdings, Inc.,</w:t>
            </w:r>
          </w:p>
        </w:tc>
      </w:tr>
      <w:tr>
        <w:trPr>
          <w:trHeight w:val="215"/>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w w:val="98"/>
              </w:rPr>
              <w:t>Nautilus Merger Sub, Inc., Vision Holdings Corp., National Vision, Inc. subsidiary pledgors party thereto,</w:t>
            </w:r>
          </w:p>
        </w:tc>
      </w:tr>
      <w:tr>
        <w:trPr>
          <w:trHeight w:val="221"/>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780" w:type="dxa"/>
            <w:vAlign w:val="bottom"/>
          </w:tcPr>
          <w:p>
            <w:pPr>
              <w:ind w:left="60"/>
              <w:spacing w:after="0"/>
              <w:rPr>
                <w:sz w:val="20"/>
                <w:szCs w:val="20"/>
                <w:color w:val="auto"/>
              </w:rPr>
            </w:pPr>
            <w:r>
              <w:rPr>
                <w:rFonts w:ascii="Arial" w:cs="Arial" w:eastAsia="Arial" w:hAnsi="Arial"/>
                <w:sz w:val="17"/>
                <w:szCs w:val="17"/>
                <w:color w:val="auto"/>
              </w:rPr>
              <w:t>Goldman Sachs Bank USA, as collateral agent</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61"/>
        </w:trPr>
        <w:tc>
          <w:tcPr>
            <w:tcW w:w="1500" w:type="dxa"/>
            <w:vAlign w:val="bottom"/>
            <w:gridSpan w:val="8"/>
          </w:tcPr>
          <w:p>
            <w:pPr>
              <w:spacing w:after="0"/>
              <w:rPr>
                <w:rFonts w:ascii="Arial" w:cs="Arial" w:eastAsia="Arial" w:hAnsi="Arial"/>
                <w:sz w:val="14"/>
                <w:szCs w:val="14"/>
                <w:b w:val="1"/>
                <w:bCs w:val="1"/>
                <w:color w:val="0000EE"/>
                <w:w w:val="98"/>
              </w:rPr>
            </w:pPr>
            <w:hyperlink w:anchor="page7">
              <w:r>
                <w:rPr>
                  <w:rFonts w:ascii="Arial" w:cs="Arial" w:eastAsia="Arial" w:hAnsi="Arial"/>
                  <w:sz w:val="14"/>
                  <w:szCs w:val="14"/>
                  <w:b w:val="1"/>
                  <w:bCs w:val="1"/>
                  <w:color w:val="0000EE"/>
                  <w:w w:val="98"/>
                </w:rPr>
                <w:t>TABLE OF CONTENTS</w:t>
              </w:r>
            </w:hyperlink>
          </w:p>
        </w:tc>
        <w:tc>
          <w:tcPr>
            <w:tcW w:w="7720" w:type="dxa"/>
            <w:vAlign w:val="bottom"/>
          </w:tcPr>
          <w:p>
            <w:pPr>
              <w:spacing w:after="0"/>
              <w:rPr>
                <w:sz w:val="14"/>
                <w:szCs w:val="14"/>
                <w:color w:val="auto"/>
              </w:rPr>
            </w:pPr>
          </w:p>
        </w:tc>
      </w:tr>
      <w:tr>
        <w:trPr>
          <w:trHeight w:val="306"/>
        </w:trPr>
        <w:tc>
          <w:tcPr>
            <w:tcW w:w="1480" w:type="dxa"/>
            <w:vAlign w:val="bottom"/>
            <w:tcBorders>
              <w:top w:val="single" w:sz="8" w:color="0000EE"/>
            </w:tcBorders>
            <w:gridSpan w:val="7"/>
          </w:tcPr>
          <w:p>
            <w:pPr>
              <w:ind w:left="16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24"/>
                <w:szCs w:val="24"/>
                <w:color w:val="auto"/>
              </w:rPr>
            </w:pPr>
          </w:p>
        </w:tc>
        <w:tc>
          <w:tcPr>
            <w:tcW w:w="7720" w:type="dxa"/>
            <w:vAlign w:val="bottom"/>
          </w:tcPr>
          <w:p>
            <w:pPr>
              <w:ind w:left="3280"/>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640" w:type="dxa"/>
            <w:vAlign w:val="bottom"/>
            <w:tcBorders>
              <w:top w:val="single" w:sz="8" w:color="auto"/>
            </w:tcBorders>
            <w:gridSpan w:val="2"/>
          </w:tcPr>
          <w:p>
            <w:pPr>
              <w:spacing w:after="0" w:line="176" w:lineRule="exact"/>
              <w:rPr>
                <w:rFonts w:ascii="Arial" w:cs="Arial" w:eastAsia="Arial" w:hAnsi="Arial"/>
                <w:sz w:val="17"/>
                <w:szCs w:val="17"/>
                <w:color w:val="0000EE"/>
              </w:rPr>
            </w:pPr>
            <w:hyperlink r:id="rId319">
              <w:r>
                <w:rPr>
                  <w:rFonts w:ascii="Arial" w:cs="Arial" w:eastAsia="Arial" w:hAnsi="Arial"/>
                  <w:sz w:val="17"/>
                  <w:szCs w:val="17"/>
                  <w:color w:val="0000EE"/>
                </w:rPr>
                <w:t>10.</w:t>
              </w:r>
              <w:r>
                <w:rPr>
                  <w:rFonts w:ascii="Arial" w:cs="Arial" w:eastAsia="Arial" w:hAnsi="Arial"/>
                  <w:sz w:val="17"/>
                  <w:szCs w:val="17"/>
                  <w:u w:val="single" w:color="auto"/>
                  <w:color w:val="0000EE"/>
                </w:rPr>
                <w:t>9***</w:t>
              </w:r>
            </w:hyperlink>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72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w w:val="99"/>
              </w:rPr>
              <w:t>Second Lien Credit Agreement, dated as of March 13, 2014, among Nautilus Acquisition Holdings, Inc.,</w:t>
            </w:r>
          </w:p>
        </w:tc>
      </w:tr>
      <w:tr>
        <w:trPr>
          <w:trHeight w:val="215"/>
        </w:trPr>
        <w:tc>
          <w:tcPr>
            <w:tcW w:w="5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5"/>
              </w:rPr>
              <w:t>Nautilus Merger Sub, Inc., Vision Holdings Corp. and National Vision, Inc., Morgan Stanley Senior Funding,</w:t>
            </w: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Inc., as administrative agent and collateral agent, and Goldman Sachs Bank USA, Morgan Stanley Senior</w:t>
            </w: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Funding, Inc., Citigroup Global Markets Inc., Mizuho Bank, Ltd., KKR Capital Markets LLC, Barclays Bank</w:t>
            </w: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2"/>
              </w:rPr>
              <w:t>PLC, and Macquarie Capital (USA) Inc., as joint lead arrangers and bookrunners, and the several lenders from</w:t>
            </w:r>
          </w:p>
        </w:tc>
      </w:tr>
      <w:tr>
        <w:trPr>
          <w:trHeight w:val="221"/>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time to time parties thereto</w:t>
            </w:r>
          </w:p>
        </w:tc>
      </w:tr>
      <w:tr>
        <w:trPr>
          <w:trHeight w:val="430"/>
        </w:trPr>
        <w:tc>
          <w:tcPr>
            <w:tcW w:w="740" w:type="dxa"/>
            <w:vAlign w:val="bottom"/>
            <w:gridSpan w:val="4"/>
          </w:tcPr>
          <w:p>
            <w:pPr>
              <w:spacing w:after="0"/>
              <w:rPr>
                <w:rFonts w:ascii="Arial" w:cs="Arial" w:eastAsia="Arial" w:hAnsi="Arial"/>
                <w:sz w:val="17"/>
                <w:szCs w:val="17"/>
                <w:color w:val="0000EE"/>
              </w:rPr>
            </w:pPr>
            <w:hyperlink r:id="rId320">
              <w:r>
                <w:rPr>
                  <w:rFonts w:ascii="Arial" w:cs="Arial" w:eastAsia="Arial" w:hAnsi="Arial"/>
                  <w:sz w:val="17"/>
                  <w:szCs w:val="17"/>
                  <w:color w:val="0000EE"/>
                </w:rPr>
                <w:t>10.</w:t>
              </w:r>
              <w:r>
                <w:rPr>
                  <w:rFonts w:ascii="Arial" w:cs="Arial" w:eastAsia="Arial" w:hAnsi="Arial"/>
                  <w:sz w:val="17"/>
                  <w:szCs w:val="17"/>
                  <w:u w:val="single" w:color="auto"/>
                  <w:color w:val="0000EE"/>
                </w:rPr>
                <w:t>10***</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Second Lien Guarantee, dated as of March 13, 2014, by the guarantors party thereto</w:t>
            </w:r>
          </w:p>
        </w:tc>
      </w:tr>
      <w:tr>
        <w:trPr>
          <w:trHeight w:val="449"/>
        </w:trPr>
        <w:tc>
          <w:tcPr>
            <w:tcW w:w="660" w:type="dxa"/>
            <w:vAlign w:val="bottom"/>
            <w:tcBorders>
              <w:top w:val="single" w:sz="8" w:color="0000EE"/>
            </w:tcBorders>
            <w:gridSpan w:val="3"/>
          </w:tcPr>
          <w:p>
            <w:pPr>
              <w:spacing w:after="0"/>
              <w:rPr>
                <w:rFonts w:ascii="Arial" w:cs="Arial" w:eastAsia="Arial" w:hAnsi="Arial"/>
                <w:sz w:val="17"/>
                <w:szCs w:val="17"/>
                <w:color w:val="0000EE"/>
              </w:rPr>
            </w:pPr>
            <w:hyperlink r:id="rId321">
              <w:r>
                <w:rPr>
                  <w:rFonts w:ascii="Arial" w:cs="Arial" w:eastAsia="Arial" w:hAnsi="Arial"/>
                  <w:sz w:val="17"/>
                  <w:szCs w:val="17"/>
                  <w:color w:val="0000EE"/>
                </w:rPr>
                <w:t>10.</w:t>
              </w:r>
              <w:r>
                <w:rPr>
                  <w:rFonts w:ascii="Arial" w:cs="Arial" w:eastAsia="Arial" w:hAnsi="Arial"/>
                  <w:sz w:val="17"/>
                  <w:szCs w:val="17"/>
                  <w:u w:val="single" w:color="auto"/>
                  <w:color w:val="0000EE"/>
                </w:rPr>
                <w:t>11***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Second Lien Security Agreement, dated as of March 13, 2014, among Nautilus Acquisition Holdings, Inc.,</w:t>
            </w:r>
          </w:p>
        </w:tc>
      </w:tr>
      <w:tr>
        <w:trPr>
          <w:trHeight w:val="215"/>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Nautilus Merger Sub, Inc., Vision Holdings Corp., National Vision, Inc., subsidiary grantors party thereto,</w:t>
            </w:r>
          </w:p>
        </w:tc>
      </w:tr>
      <w:tr>
        <w:trPr>
          <w:trHeight w:val="221"/>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Morgan Stanley Senior Funding, Inc., as collateral agent</w:t>
            </w:r>
          </w:p>
        </w:tc>
      </w:tr>
      <w:tr>
        <w:trPr>
          <w:trHeight w:val="430"/>
        </w:trPr>
        <w:tc>
          <w:tcPr>
            <w:tcW w:w="740" w:type="dxa"/>
            <w:vAlign w:val="bottom"/>
            <w:gridSpan w:val="4"/>
          </w:tcPr>
          <w:p>
            <w:pPr>
              <w:spacing w:after="0"/>
              <w:rPr>
                <w:rFonts w:ascii="Arial" w:cs="Arial" w:eastAsia="Arial" w:hAnsi="Arial"/>
                <w:sz w:val="17"/>
                <w:szCs w:val="17"/>
                <w:color w:val="0000EE"/>
              </w:rPr>
            </w:pPr>
            <w:hyperlink r:id="rId322">
              <w:r>
                <w:rPr>
                  <w:rFonts w:ascii="Arial" w:cs="Arial" w:eastAsia="Arial" w:hAnsi="Arial"/>
                  <w:sz w:val="17"/>
                  <w:szCs w:val="17"/>
                  <w:color w:val="0000EE"/>
                </w:rPr>
                <w:t>10.</w:t>
              </w:r>
              <w:r>
                <w:rPr>
                  <w:rFonts w:ascii="Arial" w:cs="Arial" w:eastAsia="Arial" w:hAnsi="Arial"/>
                  <w:sz w:val="17"/>
                  <w:szCs w:val="17"/>
                  <w:u w:val="single" w:color="auto"/>
                  <w:color w:val="0000EE"/>
                </w:rPr>
                <w:t>12***</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Second Lien Pledge Agreement, dated as of March 13, 2014, among Nautilus Acquisition Holdings, Inc.,</w:t>
            </w:r>
          </w:p>
        </w:tc>
      </w:tr>
      <w:tr>
        <w:trPr>
          <w:trHeight w:val="215"/>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Nautilus Merger Sub, Inc., Vision Holdings Corp., National Vision, Inc., subsidiary pledgors party thereto,</w:t>
            </w:r>
          </w:p>
        </w:tc>
      </w:tr>
      <w:tr>
        <w:trPr>
          <w:trHeight w:val="221"/>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Morgan Stanley Senior Funding, Inc., as collateral agent</w:t>
            </w:r>
          </w:p>
        </w:tc>
      </w:tr>
      <w:tr>
        <w:trPr>
          <w:trHeight w:val="430"/>
        </w:trPr>
        <w:tc>
          <w:tcPr>
            <w:tcW w:w="740" w:type="dxa"/>
            <w:vAlign w:val="bottom"/>
            <w:gridSpan w:val="4"/>
          </w:tcPr>
          <w:p>
            <w:pPr>
              <w:spacing w:after="0"/>
              <w:rPr>
                <w:rFonts w:ascii="Arial" w:cs="Arial" w:eastAsia="Arial" w:hAnsi="Arial"/>
                <w:sz w:val="17"/>
                <w:szCs w:val="17"/>
                <w:color w:val="0000EE"/>
              </w:rPr>
            </w:pPr>
            <w:hyperlink r:id="rId323">
              <w:r>
                <w:rPr>
                  <w:rFonts w:ascii="Arial" w:cs="Arial" w:eastAsia="Arial" w:hAnsi="Arial"/>
                  <w:sz w:val="17"/>
                  <w:szCs w:val="17"/>
                  <w:color w:val="0000EE"/>
                </w:rPr>
                <w:t>10.</w:t>
              </w:r>
              <w:r>
                <w:rPr>
                  <w:rFonts w:ascii="Arial" w:cs="Arial" w:eastAsia="Arial" w:hAnsi="Arial"/>
                  <w:sz w:val="17"/>
                  <w:szCs w:val="17"/>
                  <w:u w:val="single" w:color="auto"/>
                  <w:color w:val="0000EE"/>
                </w:rPr>
                <w:t>13***</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8"/>
              </w:rPr>
              <w:t>First Lien/Second Lien Intercreditor Agreement, dated as of March 13, 2014, among Nautilus Acquisition</w:t>
            </w:r>
          </w:p>
        </w:tc>
      </w:tr>
      <w:tr>
        <w:trPr>
          <w:trHeight w:val="215"/>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6"/>
              </w:rPr>
              <w:t>Holdings, Inc., Nautilus Merger Sub, Inc., other grantors party thereto, Goldman Sachs Bank USA, Morgan</w:t>
            </w:r>
          </w:p>
        </w:tc>
      </w:tr>
      <w:tr>
        <w:trPr>
          <w:trHeight w:val="221"/>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Stanley Senior Funding, Inc. and each additional representative from time to time party thereto</w:t>
            </w:r>
          </w:p>
        </w:tc>
      </w:tr>
      <w:tr>
        <w:trPr>
          <w:trHeight w:val="469"/>
        </w:trPr>
        <w:tc>
          <w:tcPr>
            <w:tcW w:w="1500" w:type="dxa"/>
            <w:vAlign w:val="bottom"/>
            <w:gridSpan w:val="8"/>
          </w:tcPr>
          <w:p>
            <w:pPr>
              <w:spacing w:after="0"/>
              <w:rPr>
                <w:sz w:val="20"/>
                <w:szCs w:val="20"/>
                <w:color w:val="auto"/>
              </w:rPr>
            </w:pPr>
            <w:r>
              <w:rPr>
                <w:rFonts w:ascii="Arial" w:cs="Arial" w:eastAsia="Arial" w:hAnsi="Arial"/>
                <w:sz w:val="17"/>
                <w:szCs w:val="17"/>
                <w:color w:val="auto"/>
              </w:rPr>
              <w:t>10.14**†</w:t>
            </w:r>
          </w:p>
        </w:tc>
        <w:tc>
          <w:tcPr>
            <w:tcW w:w="7720" w:type="dxa"/>
            <w:vAlign w:val="bottom"/>
          </w:tcPr>
          <w:p>
            <w:pPr>
              <w:spacing w:after="0"/>
              <w:rPr>
                <w:sz w:val="20"/>
                <w:szCs w:val="20"/>
                <w:color w:val="auto"/>
              </w:rPr>
            </w:pPr>
            <w:r>
              <w:rPr>
                <w:rFonts w:ascii="Arial" w:cs="Arial" w:eastAsia="Arial" w:hAnsi="Arial"/>
                <w:sz w:val="17"/>
                <w:szCs w:val="17"/>
                <w:color w:val="auto"/>
              </w:rPr>
              <w:t>National Vision Holdings, Inc. 2017 Omnibus Incentive Plan</w:t>
            </w:r>
          </w:p>
        </w:tc>
      </w:tr>
      <w:tr>
        <w:trPr>
          <w:trHeight w:val="469"/>
        </w:trPr>
        <w:tc>
          <w:tcPr>
            <w:tcW w:w="1500" w:type="dxa"/>
            <w:vAlign w:val="bottom"/>
            <w:gridSpan w:val="8"/>
          </w:tcPr>
          <w:p>
            <w:pPr>
              <w:spacing w:after="0"/>
              <w:rPr>
                <w:sz w:val="20"/>
                <w:szCs w:val="20"/>
                <w:color w:val="auto"/>
              </w:rPr>
            </w:pPr>
            <w:r>
              <w:rPr>
                <w:rFonts w:ascii="Arial" w:cs="Arial" w:eastAsia="Arial" w:hAnsi="Arial"/>
                <w:sz w:val="17"/>
                <w:szCs w:val="17"/>
                <w:color w:val="auto"/>
              </w:rPr>
              <w:t>10.15**†</w:t>
            </w:r>
          </w:p>
        </w:tc>
        <w:tc>
          <w:tcPr>
            <w:tcW w:w="7720" w:type="dxa"/>
            <w:vAlign w:val="bottom"/>
          </w:tcPr>
          <w:p>
            <w:pPr>
              <w:spacing w:after="0"/>
              <w:rPr>
                <w:sz w:val="20"/>
                <w:szCs w:val="20"/>
                <w:color w:val="auto"/>
              </w:rPr>
            </w:pPr>
            <w:r>
              <w:rPr>
                <w:rFonts w:ascii="Arial" w:cs="Arial" w:eastAsia="Arial" w:hAnsi="Arial"/>
                <w:sz w:val="17"/>
                <w:szCs w:val="17"/>
                <w:color w:val="auto"/>
              </w:rPr>
              <w:t>Form of Award Agreement under the National Vision Holdings, Inc. 2017 Omnibus Incentive Plan</w:t>
            </w:r>
          </w:p>
        </w:tc>
      </w:tr>
      <w:tr>
        <w:trPr>
          <w:trHeight w:val="430"/>
        </w:trPr>
        <w:tc>
          <w:tcPr>
            <w:tcW w:w="1500" w:type="dxa"/>
            <w:vAlign w:val="bottom"/>
            <w:gridSpan w:val="8"/>
          </w:tcPr>
          <w:p>
            <w:pPr>
              <w:spacing w:after="0"/>
              <w:rPr>
                <w:rFonts w:ascii="Arial" w:cs="Arial" w:eastAsia="Arial" w:hAnsi="Arial"/>
                <w:sz w:val="17"/>
                <w:szCs w:val="17"/>
                <w:color w:val="0000EE"/>
              </w:rPr>
            </w:pPr>
            <w:hyperlink r:id="rId324">
              <w:r>
                <w:rPr>
                  <w:rFonts w:ascii="Arial" w:cs="Arial" w:eastAsia="Arial" w:hAnsi="Arial"/>
                  <w:sz w:val="17"/>
                  <w:szCs w:val="17"/>
                  <w:color w:val="0000EE"/>
                </w:rPr>
                <w:t>10.</w:t>
              </w:r>
              <w:r>
                <w:rPr>
                  <w:rFonts w:ascii="Arial" w:cs="Arial" w:eastAsia="Arial" w:hAnsi="Arial"/>
                  <w:sz w:val="17"/>
                  <w:szCs w:val="17"/>
                  <w:u w:val="single" w:color="auto"/>
                  <w:color w:val="0000EE"/>
                </w:rPr>
                <w:t>16***†</w:t>
              </w:r>
            </w:hyperlink>
          </w:p>
        </w:tc>
        <w:tc>
          <w:tcPr>
            <w:tcW w:w="7720" w:type="dxa"/>
            <w:vAlign w:val="bottom"/>
          </w:tcPr>
          <w:p>
            <w:pPr>
              <w:spacing w:after="0"/>
              <w:rPr>
                <w:sz w:val="20"/>
                <w:szCs w:val="20"/>
                <w:color w:val="auto"/>
              </w:rPr>
            </w:pPr>
            <w:r>
              <w:rPr>
                <w:rFonts w:ascii="Arial" w:cs="Arial" w:eastAsia="Arial" w:hAnsi="Arial"/>
                <w:sz w:val="17"/>
                <w:szCs w:val="17"/>
                <w:color w:val="auto"/>
                <w:w w:val="95"/>
              </w:rPr>
              <w:t>2014 Stock Incentive Plan for Key Employees of National Vision Holdings, Inc. (formerly known as Nautilus</w:t>
            </w:r>
          </w:p>
        </w:tc>
      </w:tr>
      <w:tr>
        <w:trPr>
          <w:trHeight w:val="228"/>
        </w:trPr>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Parent, Inc.) and its Subsidiaries</w:t>
            </w:r>
          </w:p>
        </w:tc>
      </w:tr>
      <w:tr>
        <w:trPr>
          <w:trHeight w:val="430"/>
        </w:trPr>
        <w:tc>
          <w:tcPr>
            <w:tcW w:w="1500" w:type="dxa"/>
            <w:vAlign w:val="bottom"/>
            <w:gridSpan w:val="8"/>
          </w:tcPr>
          <w:p>
            <w:pPr>
              <w:spacing w:after="0"/>
              <w:rPr>
                <w:rFonts w:ascii="Arial" w:cs="Arial" w:eastAsia="Arial" w:hAnsi="Arial"/>
                <w:sz w:val="17"/>
                <w:szCs w:val="17"/>
                <w:color w:val="0000EE"/>
              </w:rPr>
            </w:pPr>
            <w:hyperlink r:id="rId325">
              <w:r>
                <w:rPr>
                  <w:rFonts w:ascii="Arial" w:cs="Arial" w:eastAsia="Arial" w:hAnsi="Arial"/>
                  <w:sz w:val="17"/>
                  <w:szCs w:val="17"/>
                  <w:color w:val="0000EE"/>
                </w:rPr>
                <w:t>10.</w:t>
              </w:r>
              <w:r>
                <w:rPr>
                  <w:rFonts w:ascii="Arial" w:cs="Arial" w:eastAsia="Arial" w:hAnsi="Arial"/>
                  <w:sz w:val="17"/>
                  <w:szCs w:val="17"/>
                  <w:u w:val="single" w:color="auto"/>
                  <w:color w:val="0000EE"/>
                </w:rPr>
                <w:t>17***†</w:t>
              </w:r>
            </w:hyperlink>
          </w:p>
        </w:tc>
        <w:tc>
          <w:tcPr>
            <w:tcW w:w="7720" w:type="dxa"/>
            <w:vAlign w:val="bottom"/>
          </w:tcPr>
          <w:p>
            <w:pPr>
              <w:spacing w:after="0"/>
              <w:rPr>
                <w:sz w:val="20"/>
                <w:szCs w:val="20"/>
                <w:color w:val="auto"/>
              </w:rPr>
            </w:pPr>
            <w:r>
              <w:rPr>
                <w:rFonts w:ascii="Arial" w:cs="Arial" w:eastAsia="Arial" w:hAnsi="Arial"/>
                <w:sz w:val="17"/>
                <w:szCs w:val="17"/>
                <w:color w:val="auto"/>
                <w:w w:val="99"/>
              </w:rPr>
              <w:t>Amendment No. 1 to the 2014 Stock Incentive Plan for Key Employees of National Vision Holdings, Inc.</w:t>
            </w:r>
          </w:p>
        </w:tc>
      </w:tr>
      <w:tr>
        <w:trPr>
          <w:trHeight w:val="228"/>
        </w:trPr>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(formerly known as Nautilus Parent, Inc.) and its Subsidiaries</w:t>
            </w:r>
          </w:p>
        </w:tc>
      </w:tr>
      <w:tr>
        <w:trPr>
          <w:trHeight w:val="430"/>
        </w:trPr>
        <w:tc>
          <w:tcPr>
            <w:tcW w:w="1500" w:type="dxa"/>
            <w:vAlign w:val="bottom"/>
            <w:gridSpan w:val="8"/>
          </w:tcPr>
          <w:p>
            <w:pPr>
              <w:spacing w:after="0"/>
              <w:rPr>
                <w:rFonts w:ascii="Arial" w:cs="Arial" w:eastAsia="Arial" w:hAnsi="Arial"/>
                <w:sz w:val="17"/>
                <w:szCs w:val="17"/>
                <w:color w:val="0000EE"/>
              </w:rPr>
            </w:pPr>
            <w:hyperlink r:id="rId326">
              <w:r>
                <w:rPr>
                  <w:rFonts w:ascii="Arial" w:cs="Arial" w:eastAsia="Arial" w:hAnsi="Arial"/>
                  <w:sz w:val="17"/>
                  <w:szCs w:val="17"/>
                  <w:color w:val="0000EE"/>
                </w:rPr>
                <w:t>10.</w:t>
              </w:r>
              <w:r>
                <w:rPr>
                  <w:rFonts w:ascii="Arial" w:cs="Arial" w:eastAsia="Arial" w:hAnsi="Arial"/>
                  <w:sz w:val="17"/>
                  <w:szCs w:val="17"/>
                  <w:u w:val="single" w:color="auto"/>
                  <w:color w:val="0000EE"/>
                </w:rPr>
                <w:t>18***†</w:t>
              </w:r>
            </w:hyperlink>
          </w:p>
        </w:tc>
        <w:tc>
          <w:tcPr>
            <w:tcW w:w="7720" w:type="dxa"/>
            <w:vAlign w:val="bottom"/>
          </w:tcPr>
          <w:p>
            <w:pPr>
              <w:spacing w:after="0"/>
              <w:rPr>
                <w:sz w:val="20"/>
                <w:szCs w:val="20"/>
                <w:color w:val="auto"/>
              </w:rPr>
            </w:pPr>
            <w:r>
              <w:rPr>
                <w:rFonts w:ascii="Arial" w:cs="Arial" w:eastAsia="Arial" w:hAnsi="Arial"/>
                <w:sz w:val="17"/>
                <w:szCs w:val="17"/>
                <w:color w:val="auto"/>
                <w:w w:val="99"/>
              </w:rPr>
              <w:t>Amendment No. 2 to the 2014 Stock Incentive Plan for Key Employees of National Vision Holdings, Inc.</w:t>
            </w:r>
          </w:p>
        </w:tc>
      </w:tr>
      <w:tr>
        <w:trPr>
          <w:trHeight w:val="228"/>
        </w:trPr>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(formerly known as Nautilus Parent, Inc.) and its Subsidiaries</w:t>
            </w:r>
          </w:p>
        </w:tc>
      </w:tr>
      <w:tr>
        <w:trPr>
          <w:trHeight w:val="430"/>
        </w:trPr>
        <w:tc>
          <w:tcPr>
            <w:tcW w:w="1500" w:type="dxa"/>
            <w:vAlign w:val="bottom"/>
            <w:gridSpan w:val="8"/>
          </w:tcPr>
          <w:p>
            <w:pPr>
              <w:spacing w:after="0"/>
              <w:rPr>
                <w:rFonts w:ascii="Arial" w:cs="Arial" w:eastAsia="Arial" w:hAnsi="Arial"/>
                <w:sz w:val="17"/>
                <w:szCs w:val="17"/>
                <w:color w:val="0000EE"/>
              </w:rPr>
            </w:pPr>
            <w:hyperlink r:id="rId327">
              <w:r>
                <w:rPr>
                  <w:rFonts w:ascii="Arial" w:cs="Arial" w:eastAsia="Arial" w:hAnsi="Arial"/>
                  <w:sz w:val="17"/>
                  <w:szCs w:val="17"/>
                  <w:color w:val="0000EE"/>
                </w:rPr>
                <w:t>10.</w:t>
              </w:r>
              <w:r>
                <w:rPr>
                  <w:rFonts w:ascii="Arial" w:cs="Arial" w:eastAsia="Arial" w:hAnsi="Arial"/>
                  <w:sz w:val="17"/>
                  <w:szCs w:val="17"/>
                  <w:u w:val="single" w:color="auto"/>
                  <w:color w:val="0000EE"/>
                </w:rPr>
                <w:t>19***†</w:t>
              </w:r>
            </w:hyperlink>
          </w:p>
        </w:tc>
        <w:tc>
          <w:tcPr>
            <w:tcW w:w="7720" w:type="dxa"/>
            <w:vAlign w:val="bottom"/>
          </w:tcPr>
          <w:p>
            <w:pPr>
              <w:spacing w:after="0"/>
              <w:rPr>
                <w:sz w:val="20"/>
                <w:szCs w:val="20"/>
                <w:color w:val="auto"/>
              </w:rPr>
            </w:pPr>
            <w:r>
              <w:rPr>
                <w:rFonts w:ascii="Arial" w:cs="Arial" w:eastAsia="Arial" w:hAnsi="Arial"/>
                <w:sz w:val="17"/>
                <w:szCs w:val="17"/>
                <w:color w:val="auto"/>
                <w:w w:val="94"/>
              </w:rPr>
              <w:t>Form of Stock Option Agreement under the 2014 Stock Incentive Plan for Key Employees of National Vision</w:t>
            </w:r>
          </w:p>
        </w:tc>
      </w:tr>
      <w:tr>
        <w:trPr>
          <w:trHeight w:val="228"/>
        </w:trPr>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Holdings, Inc. (formerly known as Nautilus Parent, Inc.) and its Subsidiaries</w:t>
            </w:r>
          </w:p>
        </w:tc>
      </w:tr>
      <w:tr>
        <w:trPr>
          <w:trHeight w:val="430"/>
        </w:trPr>
        <w:tc>
          <w:tcPr>
            <w:tcW w:w="740" w:type="dxa"/>
            <w:vAlign w:val="bottom"/>
            <w:tcBorders>
              <w:bottom w:val="single" w:sz="8" w:color="0000EE"/>
            </w:tcBorders>
            <w:gridSpan w:val="4"/>
          </w:tcPr>
          <w:p>
            <w:pPr>
              <w:spacing w:after="0"/>
              <w:rPr>
                <w:rFonts w:ascii="Arial" w:cs="Arial" w:eastAsia="Arial" w:hAnsi="Arial"/>
                <w:sz w:val="17"/>
                <w:szCs w:val="17"/>
                <w:color w:val="0000EE"/>
              </w:rPr>
            </w:pPr>
            <w:hyperlink r:id="rId328">
              <w:r>
                <w:rPr>
                  <w:rFonts w:ascii="Arial" w:cs="Arial" w:eastAsia="Arial" w:hAnsi="Arial"/>
                  <w:sz w:val="17"/>
                  <w:szCs w:val="17"/>
                  <w:color w:val="0000EE"/>
                </w:rPr>
                <w:t>10.</w:t>
              </w:r>
              <w:r>
                <w:rPr>
                  <w:rFonts w:ascii="Arial" w:cs="Arial" w:eastAsia="Arial" w:hAnsi="Arial"/>
                  <w:sz w:val="17"/>
                  <w:szCs w:val="17"/>
                  <w:u w:val="single" w:color="auto"/>
                  <w:color w:val="0000EE"/>
                </w:rPr>
                <w:t>20***†</w:t>
              </w:r>
            </w:hyperlink>
          </w:p>
        </w:tc>
        <w:tc>
          <w:tcPr>
            <w:tcW w:w="76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Management Stockholder’s Agreement</w:t>
            </w:r>
          </w:p>
        </w:tc>
      </w:tr>
      <w:tr>
        <w:trPr>
          <w:trHeight w:val="449"/>
        </w:trPr>
        <w:tc>
          <w:tcPr>
            <w:tcW w:w="740" w:type="dxa"/>
            <w:vAlign w:val="bottom"/>
            <w:tcBorders>
              <w:bottom w:val="single" w:sz="8" w:color="0000EE"/>
            </w:tcBorders>
            <w:gridSpan w:val="4"/>
          </w:tcPr>
          <w:p>
            <w:pPr>
              <w:spacing w:after="0"/>
              <w:rPr>
                <w:rFonts w:ascii="Arial" w:cs="Arial" w:eastAsia="Arial" w:hAnsi="Arial"/>
                <w:sz w:val="17"/>
                <w:szCs w:val="17"/>
                <w:color w:val="0000EE"/>
              </w:rPr>
            </w:pPr>
            <w:hyperlink r:id="rId329">
              <w:r>
                <w:rPr>
                  <w:rFonts w:ascii="Arial" w:cs="Arial" w:eastAsia="Arial" w:hAnsi="Arial"/>
                  <w:sz w:val="17"/>
                  <w:szCs w:val="17"/>
                  <w:color w:val="0000EE"/>
                </w:rPr>
                <w:t>10.</w:t>
              </w:r>
              <w:r>
                <w:rPr>
                  <w:rFonts w:ascii="Arial" w:cs="Arial" w:eastAsia="Arial" w:hAnsi="Arial"/>
                  <w:sz w:val="17"/>
                  <w:szCs w:val="17"/>
                  <w:u w:val="single" w:color="auto"/>
                  <w:color w:val="0000EE"/>
                </w:rPr>
                <w:t>21***†</w:t>
              </w:r>
            </w:hyperlink>
          </w:p>
        </w:tc>
        <w:tc>
          <w:tcPr>
            <w:tcW w:w="76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Option Rollover Agreement</w:t>
            </w:r>
          </w:p>
        </w:tc>
      </w:tr>
      <w:tr>
        <w:trPr>
          <w:trHeight w:val="449"/>
        </w:trPr>
        <w:tc>
          <w:tcPr>
            <w:tcW w:w="740" w:type="dxa"/>
            <w:vAlign w:val="bottom"/>
            <w:tcBorders>
              <w:bottom w:val="single" w:sz="8" w:color="0000EE"/>
            </w:tcBorders>
            <w:gridSpan w:val="4"/>
          </w:tcPr>
          <w:p>
            <w:pPr>
              <w:spacing w:after="0"/>
              <w:rPr>
                <w:rFonts w:ascii="Arial" w:cs="Arial" w:eastAsia="Arial" w:hAnsi="Arial"/>
                <w:sz w:val="17"/>
                <w:szCs w:val="17"/>
                <w:color w:val="0000EE"/>
              </w:rPr>
            </w:pPr>
            <w:hyperlink r:id="rId330">
              <w:r>
                <w:rPr>
                  <w:rFonts w:ascii="Arial" w:cs="Arial" w:eastAsia="Arial" w:hAnsi="Arial"/>
                  <w:sz w:val="17"/>
                  <w:szCs w:val="17"/>
                  <w:color w:val="0000EE"/>
                </w:rPr>
                <w:t>10.</w:t>
              </w:r>
              <w:r>
                <w:rPr>
                  <w:rFonts w:ascii="Arial" w:cs="Arial" w:eastAsia="Arial" w:hAnsi="Arial"/>
                  <w:sz w:val="17"/>
                  <w:szCs w:val="17"/>
                  <w:u w:val="single" w:color="auto"/>
                  <w:color w:val="0000EE"/>
                </w:rPr>
                <w:t>22***†</w:t>
              </w:r>
            </w:hyperlink>
          </w:p>
        </w:tc>
        <w:tc>
          <w:tcPr>
            <w:tcW w:w="76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Sale Participation Agreement</w:t>
            </w:r>
          </w:p>
        </w:tc>
      </w:tr>
      <w:tr>
        <w:trPr>
          <w:trHeight w:val="449"/>
        </w:trPr>
        <w:tc>
          <w:tcPr>
            <w:tcW w:w="740" w:type="dxa"/>
            <w:vAlign w:val="bottom"/>
            <w:tcBorders>
              <w:bottom w:val="single" w:sz="8" w:color="0000EE"/>
            </w:tcBorders>
            <w:gridSpan w:val="4"/>
          </w:tcPr>
          <w:p>
            <w:pPr>
              <w:spacing w:after="0"/>
              <w:rPr>
                <w:rFonts w:ascii="Arial" w:cs="Arial" w:eastAsia="Arial" w:hAnsi="Arial"/>
                <w:sz w:val="17"/>
                <w:szCs w:val="17"/>
                <w:color w:val="0000EE"/>
              </w:rPr>
            </w:pPr>
            <w:hyperlink r:id="rId331">
              <w:r>
                <w:rPr>
                  <w:rFonts w:ascii="Arial" w:cs="Arial" w:eastAsia="Arial" w:hAnsi="Arial"/>
                  <w:sz w:val="17"/>
                  <w:szCs w:val="17"/>
                  <w:color w:val="0000EE"/>
                </w:rPr>
                <w:t>10.</w:t>
              </w:r>
              <w:r>
                <w:rPr>
                  <w:rFonts w:ascii="Arial" w:cs="Arial" w:eastAsia="Arial" w:hAnsi="Arial"/>
                  <w:sz w:val="17"/>
                  <w:szCs w:val="17"/>
                  <w:u w:val="single" w:color="auto"/>
                  <w:color w:val="0000EE"/>
                </w:rPr>
                <w:t>23***†</w:t>
              </w:r>
            </w:hyperlink>
          </w:p>
        </w:tc>
        <w:tc>
          <w:tcPr>
            <w:tcW w:w="76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Form of Contribution Agreement</w:t>
            </w:r>
          </w:p>
        </w:tc>
      </w:tr>
      <w:tr>
        <w:trPr>
          <w:trHeight w:val="449"/>
        </w:trPr>
        <w:tc>
          <w:tcPr>
            <w:tcW w:w="1500" w:type="dxa"/>
            <w:vAlign w:val="bottom"/>
            <w:gridSpan w:val="8"/>
          </w:tcPr>
          <w:p>
            <w:pPr>
              <w:spacing w:after="0"/>
              <w:rPr>
                <w:rFonts w:ascii="Arial" w:cs="Arial" w:eastAsia="Arial" w:hAnsi="Arial"/>
                <w:sz w:val="17"/>
                <w:szCs w:val="17"/>
                <w:color w:val="0000EE"/>
              </w:rPr>
            </w:pPr>
            <w:hyperlink r:id="rId332">
              <w:r>
                <w:rPr>
                  <w:rFonts w:ascii="Arial" w:cs="Arial" w:eastAsia="Arial" w:hAnsi="Arial"/>
                  <w:sz w:val="17"/>
                  <w:szCs w:val="17"/>
                  <w:color w:val="0000EE"/>
                </w:rPr>
                <w:t>10.</w:t>
              </w:r>
              <w:r>
                <w:rPr>
                  <w:rFonts w:ascii="Arial" w:cs="Arial" w:eastAsia="Arial" w:hAnsi="Arial"/>
                  <w:sz w:val="17"/>
                  <w:szCs w:val="17"/>
                  <w:u w:val="single" w:color="auto"/>
                  <w:color w:val="0000EE"/>
                </w:rPr>
                <w:t>24***†</w:t>
              </w:r>
            </w:hyperlink>
          </w:p>
        </w:tc>
        <w:tc>
          <w:tcPr>
            <w:tcW w:w="7720" w:type="dxa"/>
            <w:vAlign w:val="bottom"/>
          </w:tcPr>
          <w:p>
            <w:pPr>
              <w:spacing w:after="0"/>
              <w:rPr>
                <w:sz w:val="20"/>
                <w:szCs w:val="20"/>
                <w:color w:val="auto"/>
              </w:rPr>
            </w:pPr>
            <w:r>
              <w:rPr>
                <w:rFonts w:ascii="Arial" w:cs="Arial" w:eastAsia="Arial" w:hAnsi="Arial"/>
                <w:sz w:val="17"/>
                <w:szCs w:val="17"/>
                <w:color w:val="auto"/>
              </w:rPr>
              <w:t>National Vision, Inc. Severance Plan, as amended and restated as of March 15, 2017</w:t>
            </w:r>
          </w:p>
        </w:tc>
      </w:tr>
      <w:tr>
        <w:trPr>
          <w:trHeight w:val="684"/>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ind w:left="2980"/>
              <w:spacing w:after="0"/>
              <w:rPr>
                <w:sz w:val="20"/>
                <w:szCs w:val="20"/>
                <w:color w:val="auto"/>
              </w:rPr>
            </w:pPr>
            <w:r>
              <w:rPr>
                <w:rFonts w:ascii="Arial" w:cs="Arial" w:eastAsia="Arial" w:hAnsi="Arial"/>
                <w:sz w:val="17"/>
                <w:szCs w:val="17"/>
                <w:color w:val="auto"/>
              </w:rPr>
              <w:t>II-7</w:t>
            </w:r>
          </w:p>
        </w:tc>
      </w:tr>
      <w:tr>
        <w:trPr>
          <w:trHeight w:val="44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65"/>
        </w:trPr>
        <w:tc>
          <w:tcPr>
            <w:tcW w:w="5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72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66" w:right="1339" w:bottom="1440" w:gutter="0" w:footer="0" w:header="0"/>
        </w:sectPr>
      </w:pPr>
    </w:p>
    <w:bookmarkStart w:id="249" w:name="page250"/>
    <w:bookmarkEnd w:id="249"/>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500" w:type="dxa"/>
            <w:vAlign w:val="bottom"/>
            <w:gridSpan w:val="8"/>
          </w:tcPr>
          <w:p>
            <w:pPr>
              <w:spacing w:after="0"/>
              <w:rPr>
                <w:rFonts w:ascii="Arial" w:cs="Arial" w:eastAsia="Arial" w:hAnsi="Arial"/>
                <w:sz w:val="14"/>
                <w:szCs w:val="14"/>
                <w:b w:val="1"/>
                <w:bCs w:val="1"/>
                <w:color w:val="0000EE"/>
                <w:w w:val="98"/>
              </w:rPr>
            </w:pPr>
            <w:hyperlink w:anchor="page7">
              <w:r>
                <w:rPr>
                  <w:rFonts w:ascii="Arial" w:cs="Arial" w:eastAsia="Arial" w:hAnsi="Arial"/>
                  <w:sz w:val="14"/>
                  <w:szCs w:val="14"/>
                  <w:b w:val="1"/>
                  <w:bCs w:val="1"/>
                  <w:color w:val="0000EE"/>
                  <w:w w:val="98"/>
                </w:rPr>
                <w:t>TABLE OF CONTENTS</w:t>
              </w:r>
            </w:hyperlink>
          </w:p>
        </w:tc>
        <w:tc>
          <w:tcPr>
            <w:tcW w:w="7720" w:type="dxa"/>
            <w:vAlign w:val="bottom"/>
          </w:tcPr>
          <w:p>
            <w:pPr>
              <w:spacing w:after="0"/>
              <w:rPr>
                <w:sz w:val="14"/>
                <w:szCs w:val="14"/>
                <w:color w:val="auto"/>
              </w:rPr>
            </w:pPr>
          </w:p>
        </w:tc>
      </w:tr>
      <w:tr>
        <w:trPr>
          <w:trHeight w:val="306"/>
        </w:trPr>
        <w:tc>
          <w:tcPr>
            <w:tcW w:w="1340" w:type="dxa"/>
            <w:vAlign w:val="bottom"/>
            <w:tcBorders>
              <w:top w:val="single" w:sz="8" w:color="0000EE"/>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740" w:type="dxa"/>
            <w:vAlign w:val="bottom"/>
            <w:tcBorders>
              <w:bottom w:val="single" w:sz="8" w:color="0000EE"/>
            </w:tcBorders>
            <w:gridSpan w:val="4"/>
          </w:tcPr>
          <w:p>
            <w:pPr>
              <w:spacing w:after="0" w:line="176" w:lineRule="exact"/>
              <w:rPr>
                <w:rFonts w:ascii="Arial" w:cs="Arial" w:eastAsia="Arial" w:hAnsi="Arial"/>
                <w:sz w:val="17"/>
                <w:szCs w:val="17"/>
                <w:color w:val="0000EE"/>
              </w:rPr>
            </w:pPr>
            <w:hyperlink r:id="rId333">
              <w:r>
                <w:rPr>
                  <w:rFonts w:ascii="Arial" w:cs="Arial" w:eastAsia="Arial" w:hAnsi="Arial"/>
                  <w:sz w:val="17"/>
                  <w:szCs w:val="17"/>
                  <w:color w:val="0000EE"/>
                </w:rPr>
                <w:t>10.</w:t>
              </w:r>
              <w:r>
                <w:rPr>
                  <w:rFonts w:ascii="Arial" w:cs="Arial" w:eastAsia="Arial" w:hAnsi="Arial"/>
                  <w:sz w:val="17"/>
                  <w:szCs w:val="17"/>
                  <w:u w:val="single" w:color="auto"/>
                  <w:color w:val="0000EE"/>
                </w:rPr>
                <w:t>25***†</w:t>
              </w:r>
            </w:hyperlink>
          </w:p>
        </w:tc>
        <w:tc>
          <w:tcPr>
            <w:tcW w:w="760" w:type="dxa"/>
            <w:vAlign w:val="bottom"/>
            <w:gridSpan w:val="4"/>
          </w:tcPr>
          <w:p>
            <w:pPr>
              <w:spacing w:after="0"/>
              <w:rPr>
                <w:sz w:val="15"/>
                <w:szCs w:val="15"/>
                <w:color w:val="auto"/>
              </w:rPr>
            </w:pPr>
          </w:p>
        </w:tc>
        <w:tc>
          <w:tcPr>
            <w:tcW w:w="7720" w:type="dxa"/>
            <w:vAlign w:val="bottom"/>
          </w:tcPr>
          <w:p>
            <w:pPr>
              <w:spacing w:after="0" w:line="176" w:lineRule="exact"/>
              <w:rPr>
                <w:sz w:val="20"/>
                <w:szCs w:val="20"/>
                <w:color w:val="auto"/>
              </w:rPr>
            </w:pPr>
            <w:r>
              <w:rPr>
                <w:rFonts w:ascii="Arial" w:cs="Arial" w:eastAsia="Arial" w:hAnsi="Arial"/>
                <w:sz w:val="17"/>
                <w:szCs w:val="17"/>
                <w:color w:val="auto"/>
                <w:w w:val="96"/>
              </w:rPr>
              <w:t>National Vision, Inc. Severance Plan Summary Plan Description (Executives), effective as of July 21, 2011</w:t>
            </w:r>
          </w:p>
        </w:tc>
      </w:tr>
      <w:tr>
        <w:trPr>
          <w:trHeight w:val="449"/>
        </w:trPr>
        <w:tc>
          <w:tcPr>
            <w:tcW w:w="1500" w:type="dxa"/>
            <w:vAlign w:val="bottom"/>
            <w:gridSpan w:val="8"/>
          </w:tcPr>
          <w:p>
            <w:pPr>
              <w:spacing w:after="0"/>
              <w:rPr>
                <w:rFonts w:ascii="Arial" w:cs="Arial" w:eastAsia="Arial" w:hAnsi="Arial"/>
                <w:sz w:val="17"/>
                <w:szCs w:val="17"/>
                <w:color w:val="0000EE"/>
              </w:rPr>
            </w:pPr>
            <w:hyperlink r:id="rId334">
              <w:r>
                <w:rPr>
                  <w:rFonts w:ascii="Arial" w:cs="Arial" w:eastAsia="Arial" w:hAnsi="Arial"/>
                  <w:sz w:val="17"/>
                  <w:szCs w:val="17"/>
                  <w:color w:val="0000EE"/>
                </w:rPr>
                <w:t>10.</w:t>
              </w:r>
              <w:r>
                <w:rPr>
                  <w:rFonts w:ascii="Arial" w:cs="Arial" w:eastAsia="Arial" w:hAnsi="Arial"/>
                  <w:sz w:val="17"/>
                  <w:szCs w:val="17"/>
                  <w:u w:val="single" w:color="auto"/>
                  <w:color w:val="0000EE"/>
                </w:rPr>
                <w:t>26***†</w:t>
              </w:r>
            </w:hyperlink>
          </w:p>
        </w:tc>
        <w:tc>
          <w:tcPr>
            <w:tcW w:w="7720" w:type="dxa"/>
            <w:vAlign w:val="bottom"/>
          </w:tcPr>
          <w:p>
            <w:pPr>
              <w:spacing w:after="0"/>
              <w:rPr>
                <w:sz w:val="20"/>
                <w:szCs w:val="20"/>
                <w:color w:val="auto"/>
              </w:rPr>
            </w:pPr>
            <w:r>
              <w:rPr>
                <w:rFonts w:ascii="Arial" w:cs="Arial" w:eastAsia="Arial" w:hAnsi="Arial"/>
                <w:sz w:val="17"/>
                <w:szCs w:val="17"/>
                <w:color w:val="auto"/>
                <w:w w:val="93"/>
              </w:rPr>
              <w:t>National Vision, Inc. Severance Plan Executive Supplement, effective as of November 11, 2013 and amended</w:t>
            </w:r>
          </w:p>
        </w:tc>
      </w:tr>
      <w:tr>
        <w:trPr>
          <w:trHeight w:val="228"/>
        </w:trPr>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as of March 15, 2017</w:t>
            </w:r>
          </w:p>
        </w:tc>
      </w:tr>
      <w:tr>
        <w:trPr>
          <w:trHeight w:val="430"/>
        </w:trPr>
        <w:tc>
          <w:tcPr>
            <w:tcW w:w="1500" w:type="dxa"/>
            <w:vAlign w:val="bottom"/>
            <w:gridSpan w:val="8"/>
          </w:tcPr>
          <w:p>
            <w:pPr>
              <w:spacing w:after="0"/>
              <w:rPr>
                <w:rFonts w:ascii="Arial" w:cs="Arial" w:eastAsia="Arial" w:hAnsi="Arial"/>
                <w:sz w:val="17"/>
                <w:szCs w:val="17"/>
                <w:color w:val="0000EE"/>
              </w:rPr>
            </w:pPr>
            <w:hyperlink r:id="rId335">
              <w:r>
                <w:rPr>
                  <w:rFonts w:ascii="Arial" w:cs="Arial" w:eastAsia="Arial" w:hAnsi="Arial"/>
                  <w:sz w:val="17"/>
                  <w:szCs w:val="17"/>
                  <w:color w:val="0000EE"/>
                </w:rPr>
                <w:t>10.</w:t>
              </w:r>
              <w:r>
                <w:rPr>
                  <w:rFonts w:ascii="Arial" w:cs="Arial" w:eastAsia="Arial" w:hAnsi="Arial"/>
                  <w:sz w:val="17"/>
                  <w:szCs w:val="17"/>
                  <w:u w:val="single" w:color="auto"/>
                  <w:color w:val="0000EE"/>
                </w:rPr>
                <w:t>27***†</w:t>
              </w:r>
            </w:hyperlink>
          </w:p>
        </w:tc>
        <w:tc>
          <w:tcPr>
            <w:tcW w:w="7720" w:type="dxa"/>
            <w:vAlign w:val="bottom"/>
          </w:tcPr>
          <w:p>
            <w:pPr>
              <w:spacing w:after="0"/>
              <w:rPr>
                <w:sz w:val="20"/>
                <w:szCs w:val="20"/>
                <w:color w:val="auto"/>
              </w:rPr>
            </w:pPr>
            <w:r>
              <w:rPr>
                <w:rFonts w:ascii="Arial" w:cs="Arial" w:eastAsia="Arial" w:hAnsi="Arial"/>
                <w:sz w:val="17"/>
                <w:szCs w:val="17"/>
                <w:color w:val="auto"/>
              </w:rPr>
              <w:t>National Vision, Inc. Management Incentive Plan</w:t>
            </w:r>
          </w:p>
        </w:tc>
      </w:tr>
      <w:tr>
        <w:trPr>
          <w:trHeight w:val="449"/>
        </w:trPr>
        <w:tc>
          <w:tcPr>
            <w:tcW w:w="740" w:type="dxa"/>
            <w:vAlign w:val="bottom"/>
            <w:tcBorders>
              <w:top w:val="single" w:sz="8" w:color="0000EE"/>
            </w:tcBorders>
            <w:gridSpan w:val="4"/>
          </w:tcPr>
          <w:p>
            <w:pPr>
              <w:spacing w:after="0"/>
              <w:rPr>
                <w:rFonts w:ascii="Arial" w:cs="Arial" w:eastAsia="Arial" w:hAnsi="Arial"/>
                <w:sz w:val="17"/>
                <w:szCs w:val="17"/>
                <w:color w:val="0000EE"/>
              </w:rPr>
            </w:pPr>
            <w:hyperlink r:id="rId336">
              <w:r>
                <w:rPr>
                  <w:rFonts w:ascii="Arial" w:cs="Arial" w:eastAsia="Arial" w:hAnsi="Arial"/>
                  <w:sz w:val="17"/>
                  <w:szCs w:val="17"/>
                  <w:color w:val="0000EE"/>
                </w:rPr>
                <w:t>10.</w:t>
              </w:r>
              <w:r>
                <w:rPr>
                  <w:rFonts w:ascii="Arial" w:cs="Arial" w:eastAsia="Arial" w:hAnsi="Arial"/>
                  <w:sz w:val="17"/>
                  <w:szCs w:val="17"/>
                  <w:u w:val="single" w:color="auto"/>
                  <w:color w:val="0000EE"/>
                </w:rPr>
                <w:t>28***</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9"/>
              </w:rPr>
              <w:t>Indemnification Agreement, dated as of March 13, 2014, among National Vision Holdings, Inc. (formerly</w:t>
            </w:r>
          </w:p>
        </w:tc>
      </w:tr>
      <w:tr>
        <w:trPr>
          <w:trHeight w:val="215"/>
        </w:trPr>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7"/>
              </w:rPr>
              <w:t>known as Nautilus Parent, Inc.), Nautilus Acquisition Holdings, Inc., Vision Holding Corp., National Vision,</w:t>
            </w:r>
          </w:p>
        </w:tc>
      </w:tr>
      <w:tr>
        <w:trPr>
          <w:trHeight w:val="221"/>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Inc., Kohlberg Kravis Roberts &amp; Co. L.P. and Berkshire Partners LLC</w:t>
            </w:r>
          </w:p>
        </w:tc>
      </w:tr>
      <w:tr>
        <w:trPr>
          <w:trHeight w:val="430"/>
        </w:trPr>
        <w:tc>
          <w:tcPr>
            <w:tcW w:w="740" w:type="dxa"/>
            <w:vAlign w:val="bottom"/>
            <w:tcBorders>
              <w:bottom w:val="single" w:sz="8" w:color="0000EE"/>
            </w:tcBorders>
            <w:gridSpan w:val="4"/>
          </w:tcPr>
          <w:p>
            <w:pPr>
              <w:spacing w:after="0"/>
              <w:rPr>
                <w:rFonts w:ascii="Arial" w:cs="Arial" w:eastAsia="Arial" w:hAnsi="Arial"/>
                <w:sz w:val="17"/>
                <w:szCs w:val="17"/>
                <w:color w:val="0000EE"/>
              </w:rPr>
            </w:pPr>
            <w:hyperlink r:id="rId337">
              <w:r>
                <w:rPr>
                  <w:rFonts w:ascii="Arial" w:cs="Arial" w:eastAsia="Arial" w:hAnsi="Arial"/>
                  <w:sz w:val="17"/>
                  <w:szCs w:val="17"/>
                  <w:color w:val="0000EE"/>
                </w:rPr>
                <w:t>10.</w:t>
              </w:r>
              <w:r>
                <w:rPr>
                  <w:rFonts w:ascii="Arial" w:cs="Arial" w:eastAsia="Arial" w:hAnsi="Arial"/>
                  <w:sz w:val="17"/>
                  <w:szCs w:val="17"/>
                  <w:u w:val="single" w:color="auto"/>
                  <w:color w:val="0000EE"/>
                </w:rPr>
                <w:t>29***‡</w:t>
              </w:r>
            </w:hyperlink>
          </w:p>
        </w:tc>
        <w:tc>
          <w:tcPr>
            <w:tcW w:w="760" w:type="dxa"/>
            <w:vAlign w:val="bottom"/>
            <w:gridSpan w:val="4"/>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Letter Agreement between National Vision, Inc. and Essilor of America, Inc., dated as of May 25, 2011</w:t>
            </w:r>
          </w:p>
        </w:tc>
      </w:tr>
      <w:tr>
        <w:trPr>
          <w:trHeight w:val="449"/>
        </w:trPr>
        <w:tc>
          <w:tcPr>
            <w:tcW w:w="1500" w:type="dxa"/>
            <w:vAlign w:val="bottom"/>
            <w:gridSpan w:val="8"/>
          </w:tcPr>
          <w:p>
            <w:pPr>
              <w:spacing w:after="0"/>
              <w:rPr>
                <w:rFonts w:ascii="Arial" w:cs="Arial" w:eastAsia="Arial" w:hAnsi="Arial"/>
                <w:sz w:val="17"/>
                <w:szCs w:val="17"/>
                <w:color w:val="0000EE"/>
              </w:rPr>
            </w:pPr>
            <w:hyperlink r:id="rId338">
              <w:r>
                <w:rPr>
                  <w:rFonts w:ascii="Arial" w:cs="Arial" w:eastAsia="Arial" w:hAnsi="Arial"/>
                  <w:sz w:val="17"/>
                  <w:szCs w:val="17"/>
                  <w:color w:val="0000EE"/>
                </w:rPr>
                <w:t>10.</w:t>
              </w:r>
              <w:r>
                <w:rPr>
                  <w:rFonts w:ascii="Arial" w:cs="Arial" w:eastAsia="Arial" w:hAnsi="Arial"/>
                  <w:sz w:val="17"/>
                  <w:szCs w:val="17"/>
                  <w:u w:val="single" w:color="auto"/>
                  <w:color w:val="0000EE"/>
                </w:rPr>
                <w:t>30***‡</w:t>
              </w:r>
            </w:hyperlink>
          </w:p>
        </w:tc>
        <w:tc>
          <w:tcPr>
            <w:tcW w:w="7720" w:type="dxa"/>
            <w:vAlign w:val="bottom"/>
          </w:tcPr>
          <w:p>
            <w:pPr>
              <w:spacing w:after="0"/>
              <w:rPr>
                <w:sz w:val="20"/>
                <w:szCs w:val="20"/>
                <w:color w:val="auto"/>
              </w:rPr>
            </w:pPr>
            <w:r>
              <w:rPr>
                <w:rFonts w:ascii="Arial" w:cs="Arial" w:eastAsia="Arial" w:hAnsi="Arial"/>
                <w:sz w:val="17"/>
                <w:szCs w:val="17"/>
                <w:color w:val="auto"/>
                <w:w w:val="97"/>
              </w:rPr>
              <w:t>Letter of Amendment between National Vision, Inc. and Essilor of America, Inc., dated as of December 2,</w:t>
            </w:r>
          </w:p>
        </w:tc>
      </w:tr>
      <w:tr>
        <w:trPr>
          <w:trHeight w:val="228"/>
        </w:trPr>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2014</w:t>
            </w:r>
          </w:p>
        </w:tc>
      </w:tr>
      <w:tr>
        <w:trPr>
          <w:trHeight w:val="430"/>
        </w:trPr>
        <w:tc>
          <w:tcPr>
            <w:tcW w:w="1500" w:type="dxa"/>
            <w:vAlign w:val="bottom"/>
            <w:gridSpan w:val="8"/>
          </w:tcPr>
          <w:p>
            <w:pPr>
              <w:spacing w:after="0"/>
              <w:rPr>
                <w:rFonts w:ascii="Arial" w:cs="Arial" w:eastAsia="Arial" w:hAnsi="Arial"/>
                <w:sz w:val="17"/>
                <w:szCs w:val="17"/>
                <w:color w:val="0000EE"/>
              </w:rPr>
            </w:pPr>
            <w:hyperlink r:id="rId339">
              <w:r>
                <w:rPr>
                  <w:rFonts w:ascii="Arial" w:cs="Arial" w:eastAsia="Arial" w:hAnsi="Arial"/>
                  <w:sz w:val="17"/>
                  <w:szCs w:val="17"/>
                  <w:color w:val="0000EE"/>
                </w:rPr>
                <w:t>10.</w:t>
              </w:r>
              <w:r>
                <w:rPr>
                  <w:rFonts w:ascii="Arial" w:cs="Arial" w:eastAsia="Arial" w:hAnsi="Arial"/>
                  <w:sz w:val="17"/>
                  <w:szCs w:val="17"/>
                  <w:u w:val="single" w:color="auto"/>
                  <w:color w:val="0000EE"/>
                </w:rPr>
                <w:t>31***‡</w:t>
              </w:r>
            </w:hyperlink>
          </w:p>
        </w:tc>
        <w:tc>
          <w:tcPr>
            <w:tcW w:w="7720" w:type="dxa"/>
            <w:vAlign w:val="bottom"/>
          </w:tcPr>
          <w:p>
            <w:pPr>
              <w:spacing w:after="0"/>
              <w:rPr>
                <w:sz w:val="20"/>
                <w:szCs w:val="20"/>
                <w:color w:val="auto"/>
              </w:rPr>
            </w:pPr>
            <w:r>
              <w:rPr>
                <w:rFonts w:ascii="Arial" w:cs="Arial" w:eastAsia="Arial" w:hAnsi="Arial"/>
                <w:sz w:val="17"/>
                <w:szCs w:val="17"/>
                <w:color w:val="auto"/>
                <w:w w:val="93"/>
              </w:rPr>
              <w:t>Management &amp; Services Agreement by and between National Vision, Inc. and Wal-Mart Stores, Inc., dated as</w:t>
            </w:r>
          </w:p>
        </w:tc>
      </w:tr>
      <w:tr>
        <w:trPr>
          <w:trHeight w:val="228"/>
        </w:trPr>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of May 1, 2012</w:t>
            </w:r>
          </w:p>
        </w:tc>
      </w:tr>
      <w:tr>
        <w:trPr>
          <w:trHeight w:val="430"/>
        </w:trPr>
        <w:tc>
          <w:tcPr>
            <w:tcW w:w="740" w:type="dxa"/>
            <w:vAlign w:val="bottom"/>
            <w:gridSpan w:val="4"/>
          </w:tcPr>
          <w:p>
            <w:pPr>
              <w:spacing w:after="0"/>
              <w:rPr>
                <w:rFonts w:ascii="Arial" w:cs="Arial" w:eastAsia="Arial" w:hAnsi="Arial"/>
                <w:sz w:val="17"/>
                <w:szCs w:val="17"/>
                <w:color w:val="0000EE"/>
              </w:rPr>
            </w:pPr>
            <w:hyperlink r:id="rId340">
              <w:r>
                <w:rPr>
                  <w:rFonts w:ascii="Arial" w:cs="Arial" w:eastAsia="Arial" w:hAnsi="Arial"/>
                  <w:sz w:val="17"/>
                  <w:szCs w:val="17"/>
                  <w:color w:val="0000EE"/>
                </w:rPr>
                <w:t>10.</w:t>
              </w:r>
              <w:r>
                <w:rPr>
                  <w:rFonts w:ascii="Arial" w:cs="Arial" w:eastAsia="Arial" w:hAnsi="Arial"/>
                  <w:sz w:val="17"/>
                  <w:szCs w:val="17"/>
                  <w:u w:val="single" w:color="auto"/>
                  <w:color w:val="0000EE"/>
                </w:rPr>
                <w:t>32***</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w w:val="93"/>
              </w:rPr>
              <w:t>Letter Agreement by and between National Vision, Inc. and Wal-Mart Stores, Inc. re: Management &amp; Services</w:t>
            </w:r>
          </w:p>
        </w:tc>
      </w:tr>
      <w:tr>
        <w:trPr>
          <w:trHeight w:val="228"/>
        </w:trPr>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Agreement, dated as of January 11, 2017</w:t>
            </w:r>
          </w:p>
        </w:tc>
      </w:tr>
      <w:tr>
        <w:trPr>
          <w:trHeight w:val="430"/>
        </w:trPr>
        <w:tc>
          <w:tcPr>
            <w:tcW w:w="1500" w:type="dxa"/>
            <w:vAlign w:val="bottom"/>
            <w:gridSpan w:val="8"/>
          </w:tcPr>
          <w:p>
            <w:pPr>
              <w:spacing w:after="0"/>
              <w:rPr>
                <w:rFonts w:ascii="Arial" w:cs="Arial" w:eastAsia="Arial" w:hAnsi="Arial"/>
                <w:sz w:val="17"/>
                <w:szCs w:val="17"/>
                <w:color w:val="0000EE"/>
              </w:rPr>
            </w:pPr>
            <w:hyperlink r:id="rId341">
              <w:r>
                <w:rPr>
                  <w:rFonts w:ascii="Arial" w:cs="Arial" w:eastAsia="Arial" w:hAnsi="Arial"/>
                  <w:sz w:val="17"/>
                  <w:szCs w:val="17"/>
                  <w:color w:val="0000EE"/>
                </w:rPr>
                <w:t>10.</w:t>
              </w:r>
              <w:r>
                <w:rPr>
                  <w:rFonts w:ascii="Arial" w:cs="Arial" w:eastAsia="Arial" w:hAnsi="Arial"/>
                  <w:sz w:val="17"/>
                  <w:szCs w:val="17"/>
                  <w:u w:val="single" w:color="auto"/>
                  <w:color w:val="0000EE"/>
                </w:rPr>
                <w:t>33***‡</w:t>
              </w:r>
            </w:hyperlink>
          </w:p>
        </w:tc>
        <w:tc>
          <w:tcPr>
            <w:tcW w:w="7720" w:type="dxa"/>
            <w:vAlign w:val="bottom"/>
          </w:tcPr>
          <w:p>
            <w:pPr>
              <w:spacing w:after="0"/>
              <w:rPr>
                <w:sz w:val="20"/>
                <w:szCs w:val="20"/>
                <w:color w:val="auto"/>
              </w:rPr>
            </w:pPr>
            <w:r>
              <w:rPr>
                <w:rFonts w:ascii="Arial" w:cs="Arial" w:eastAsia="Arial" w:hAnsi="Arial"/>
                <w:sz w:val="17"/>
                <w:szCs w:val="17"/>
                <w:color w:val="auto"/>
                <w:w w:val="94"/>
              </w:rPr>
              <w:t>Amended and Restated Supplier Agreement between National Vision, Inc. and Walmart, dated as of January</w:t>
            </w:r>
          </w:p>
        </w:tc>
      </w:tr>
      <w:tr>
        <w:trPr>
          <w:trHeight w:val="228"/>
        </w:trPr>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17, 2017</w:t>
            </w:r>
          </w:p>
        </w:tc>
      </w:tr>
      <w:tr>
        <w:trPr>
          <w:trHeight w:val="430"/>
        </w:trPr>
        <w:tc>
          <w:tcPr>
            <w:tcW w:w="660" w:type="dxa"/>
            <w:vAlign w:val="bottom"/>
            <w:gridSpan w:val="3"/>
          </w:tcPr>
          <w:p>
            <w:pPr>
              <w:spacing w:after="0"/>
              <w:rPr>
                <w:rFonts w:ascii="Arial" w:cs="Arial" w:eastAsia="Arial" w:hAnsi="Arial"/>
                <w:sz w:val="17"/>
                <w:szCs w:val="17"/>
                <w:color w:val="0000EE"/>
              </w:rPr>
            </w:pPr>
            <w:hyperlink r:id="rId342">
              <w:r>
                <w:rPr>
                  <w:rFonts w:ascii="Arial" w:cs="Arial" w:eastAsia="Arial" w:hAnsi="Arial"/>
                  <w:sz w:val="17"/>
                  <w:szCs w:val="17"/>
                  <w:color w:val="0000EE"/>
                </w:rPr>
                <w:t>21.</w:t>
              </w:r>
              <w:r>
                <w:rPr>
                  <w:rFonts w:ascii="Arial" w:cs="Arial" w:eastAsia="Arial" w:hAnsi="Arial"/>
                  <w:sz w:val="17"/>
                  <w:szCs w:val="17"/>
                  <w:u w:val="single" w:color="auto"/>
                  <w:color w:val="0000EE"/>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Subsidiaries of National Vision Holdings, Inc.</w:t>
            </w:r>
          </w:p>
        </w:tc>
      </w:tr>
      <w:tr>
        <w:trPr>
          <w:trHeight w:val="488"/>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Consent of Simpson Thacher &amp; Bartlett LLP (included in Exhibit 5.1)</w:t>
            </w:r>
          </w:p>
        </w:tc>
      </w:tr>
      <w:tr>
        <w:trPr>
          <w:trHeight w:val="430"/>
        </w:trPr>
        <w:tc>
          <w:tcPr>
            <w:tcW w:w="4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5"/>
              </w:rPr>
              <w:t>23.</w:t>
            </w:r>
            <w:r>
              <w:rPr>
                <w:rFonts w:ascii="Arial" w:cs="Arial" w:eastAsia="Arial" w:hAnsi="Arial"/>
                <w:sz w:val="17"/>
                <w:szCs w:val="17"/>
                <w:u w:val="single" w:color="auto"/>
                <w:color w:val="0000EE"/>
                <w:w w:val="95"/>
              </w:rPr>
              <w:t>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Consent of Deloitte &amp; Touche LLP</w:t>
            </w:r>
          </w:p>
        </w:tc>
      </w:tr>
      <w:tr>
        <w:trPr>
          <w:trHeight w:val="488"/>
        </w:trPr>
        <w:tc>
          <w:tcPr>
            <w:tcW w:w="660" w:type="dxa"/>
            <w:vAlign w:val="bottom"/>
            <w:gridSpan w:val="3"/>
          </w:tcPr>
          <w:p>
            <w:pPr>
              <w:spacing w:after="0"/>
              <w:rPr>
                <w:sz w:val="20"/>
                <w:szCs w:val="20"/>
                <w:color w:val="auto"/>
              </w:rPr>
            </w:pPr>
            <w:r>
              <w:rPr>
                <w:rFonts w:ascii="Arial" w:cs="Arial" w:eastAsia="Arial" w:hAnsi="Arial"/>
                <w:sz w:val="17"/>
                <w:szCs w:val="17"/>
                <w:color w:val="auto"/>
              </w:rPr>
              <w:t>24.1***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8775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341" w:hanging="341"/>
        <w:spacing w:after="0"/>
        <w:tabs>
          <w:tab w:leader="none" w:pos="341" w:val="left"/>
        </w:tabs>
        <w:numPr>
          <w:ilvl w:val="0"/>
          <w:numId w:val="16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0" w:lineRule="exact"/>
        <w:rPr>
          <w:sz w:val="20"/>
          <w:szCs w:val="20"/>
          <w:color w:val="auto"/>
        </w:rPr>
      </w:pPr>
    </w:p>
    <w:p>
      <w:pPr>
        <w:ind w:left="341" w:hanging="341"/>
        <w:spacing w:after="0"/>
        <w:tabs>
          <w:tab w:leader="none" w:pos="341"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171"/>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00" w:lineRule="exact"/>
        <w:rPr>
          <w:sz w:val="20"/>
          <w:szCs w:val="20"/>
          <w:color w:val="auto"/>
        </w:rPr>
      </w:pPr>
    </w:p>
    <w:p>
      <w:pPr>
        <w:ind w:left="341" w:hanging="341"/>
        <w:spacing w:after="0"/>
        <w:tabs>
          <w:tab w:leader="none" w:pos="341"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Identifies exhibits that consist of a management contract or compensatory plan or arrangement.</w:t>
      </w:r>
    </w:p>
    <w:p>
      <w:pPr>
        <w:spacing w:after="0" w:line="100" w:lineRule="exact"/>
        <w:rPr>
          <w:sz w:val="20"/>
          <w:szCs w:val="20"/>
          <w:color w:val="auto"/>
        </w:rPr>
      </w:pPr>
    </w:p>
    <w:p>
      <w:pPr>
        <w:ind w:left="341" w:right="40" w:hanging="341"/>
        <w:spacing w:after="0" w:line="258" w:lineRule="auto"/>
        <w:tabs>
          <w:tab w:leader="none" w:pos="341" w:val="left"/>
        </w:tabs>
        <w:numPr>
          <w:ilvl w:val="0"/>
          <w:numId w:val="173"/>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66" w:right="1339" w:bottom="1440" w:gutter="0" w:footer="0" w:header="0"/>
        </w:sectPr>
      </w:pPr>
    </w:p>
    <w:bookmarkStart w:id="250" w:name="page251"/>
    <w:bookmarkEnd w:id="2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SIGNATURES</w:t>
      </w:r>
    </w:p>
    <w:p>
      <w:pPr>
        <w:spacing w:after="0" w:line="123" w:lineRule="exact"/>
        <w:rPr>
          <w:sz w:val="20"/>
          <w:szCs w:val="20"/>
          <w:color w:val="auto"/>
        </w:rPr>
      </w:pPr>
    </w:p>
    <w:p>
      <w:pPr>
        <w:ind w:right="179" w:firstLine="347"/>
        <w:spacing w:after="0" w:line="271"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Duluth, Georgia, on October 6, 2017.</w:t>
      </w:r>
    </w:p>
    <w:p>
      <w:pPr>
        <w:spacing w:after="0" w:line="29"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National Vision Holdings, Inc.</w:t>
      </w:r>
    </w:p>
    <w:p>
      <w:pPr>
        <w:spacing w:after="0" w:line="39" w:lineRule="exact"/>
        <w:rPr>
          <w:sz w:val="20"/>
          <w:szCs w:val="20"/>
          <w:color w:val="auto"/>
        </w:rPr>
      </w:pPr>
    </w:p>
    <w:p>
      <w:pPr>
        <w:ind w:left="4820"/>
        <w:spacing w:after="0"/>
        <w:tabs>
          <w:tab w:leader="none" w:pos="5280" w:val="left"/>
        </w:tabs>
        <w:rPr>
          <w:sz w:val="20"/>
          <w:szCs w:val="20"/>
          <w:color w:val="auto"/>
        </w:rPr>
      </w:pPr>
      <w:r>
        <w:rPr>
          <w:rFonts w:ascii="Arial" w:cs="Arial" w:eastAsia="Arial" w:hAnsi="Arial"/>
          <w:sz w:val="17"/>
          <w:szCs w:val="17"/>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15875</wp:posOffset>
            </wp:positionV>
            <wp:extent cx="25330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2" w:lineRule="exact"/>
        <w:rPr>
          <w:sz w:val="20"/>
          <w:szCs w:val="20"/>
          <w:color w:val="auto"/>
        </w:rPr>
      </w:pPr>
    </w:p>
    <w:p>
      <w:pPr>
        <w:ind w:left="5300"/>
        <w:spacing w:after="0"/>
        <w:tabs>
          <w:tab w:leader="none" w:pos="6000" w:val="left"/>
        </w:tabs>
        <w:rPr>
          <w:sz w:val="20"/>
          <w:szCs w:val="20"/>
          <w:color w:val="auto"/>
        </w:rPr>
      </w:pPr>
      <w:r>
        <w:rPr>
          <w:rFonts w:ascii="Arial" w:cs="Arial" w:eastAsia="Arial" w:hAnsi="Arial"/>
          <w:sz w:val="17"/>
          <w:szCs w:val="17"/>
          <w:color w:val="auto"/>
        </w:rPr>
        <w:t>Name:</w:t>
        <w:tab/>
        <w:t>L. Reade Fahs</w:t>
      </w:r>
    </w:p>
    <w:p>
      <w:pPr>
        <w:spacing w:after="0" w:line="39" w:lineRule="exact"/>
        <w:rPr>
          <w:sz w:val="20"/>
          <w:szCs w:val="20"/>
          <w:color w:val="auto"/>
        </w:rPr>
      </w:pPr>
    </w:p>
    <w:p>
      <w:pPr>
        <w:ind w:left="5300"/>
        <w:spacing w:after="0"/>
        <w:tabs>
          <w:tab w:leader="none" w:pos="60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Executive Officer</w:t>
      </w:r>
    </w:p>
    <w:p>
      <w:pPr>
        <w:spacing w:after="0" w:line="130" w:lineRule="exact"/>
        <w:rPr>
          <w:sz w:val="20"/>
          <w:szCs w:val="20"/>
          <w:color w:val="auto"/>
        </w:rPr>
      </w:pPr>
    </w:p>
    <w:p>
      <w:pPr>
        <w:ind w:right="79" w:firstLine="347"/>
        <w:spacing w:after="0" w:line="287"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indicated on October 6, 2017:</w:t>
      </w:r>
    </w:p>
    <w:p>
      <w:pPr>
        <w:spacing w:after="0" w:line="18" w:lineRule="exact"/>
        <w:rPr>
          <w:sz w:val="20"/>
          <w:szCs w:val="20"/>
          <w:color w:val="auto"/>
        </w:rPr>
      </w:pPr>
    </w:p>
    <w:p>
      <w:pPr>
        <w:ind w:left="1920"/>
        <w:spacing w:after="0"/>
        <w:tabs>
          <w:tab w:leader="none" w:pos="66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52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5852160" cy="8255"/>
                    </a:xfrm>
                    <a:prstGeom prst="rect">
                      <a:avLst/>
                    </a:prstGeom>
                    <a:noFill/>
                  </pic:spPr>
                </pic:pic>
              </a:graphicData>
            </a:graphic>
          </wp:anchor>
        </w:drawing>
      </w:r>
    </w:p>
    <w:p>
      <w:pPr>
        <w:sectPr>
          <w:pgSz w:w="11900" w:h="16838" w:orient="portrait"/>
          <w:cols w:equalWidth="0" w:num="1">
            <w:col w:w="9119"/>
          </w:cols>
          <w:pgMar w:left="1340" w:top="274" w:right="1440" w:bottom="1440" w:gutter="0" w:footer="0" w:header="0"/>
        </w:sectPr>
      </w:pPr>
    </w:p>
    <w:p>
      <w:pPr>
        <w:spacing w:after="0" w:line="266"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L. Reade Fahs</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Patrick R. Moore</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Chris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Chris Beasley</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Nathaniel H. Taylor</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Felix Gernburd</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D. Randolph Peeler</w:t>
      </w:r>
    </w:p>
    <w:p>
      <w:pPr>
        <w:spacing w:after="0" w:line="274"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8390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spacing w:after="0" w:line="32"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David M. Tehle</w:t>
      </w:r>
    </w:p>
    <w:p>
      <w:pPr>
        <w:spacing w:after="0" w:line="9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wp:posOffset>
            </wp:positionV>
            <wp:extent cx="25165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32" w:lineRule="exact"/>
        <w:rPr>
          <w:sz w:val="20"/>
          <w:szCs w:val="20"/>
          <w:color w:val="auto"/>
        </w:rPr>
      </w:pPr>
    </w:p>
    <w:p>
      <w:pPr>
        <w:jc w:val="right"/>
        <w:ind w:right="760"/>
        <w:spacing w:after="0"/>
        <w:rPr>
          <w:sz w:val="20"/>
          <w:szCs w:val="20"/>
          <w:color w:val="auto"/>
        </w:rPr>
      </w:pPr>
      <w:r>
        <w:rPr>
          <w:rFonts w:ascii="Arial" w:cs="Arial" w:eastAsia="Arial" w:hAnsi="Arial"/>
          <w:sz w:val="17"/>
          <w:szCs w:val="17"/>
          <w:color w:val="auto"/>
        </w:rPr>
        <w:t>L. Reade Fahs, Attorney-in-Fact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Chief Executive Officer and Director</w:t>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executive officer)</w:t>
      </w: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Senior Vice President, Chief Financial Officer</w:t>
      </w:r>
    </w:p>
    <w:p>
      <w:pPr>
        <w:spacing w:after="0" w:line="5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financial officer)</w:t>
      </w:r>
    </w:p>
    <w:p>
      <w:pPr>
        <w:spacing w:after="0" w:line="28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Senior Vice President, Accounting</w:t>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accounting officer)</w:t>
      </w: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1"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289560</wp:posOffset>
            </wp:positionV>
            <wp:extent cx="5860415"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2">
            <w:col w:w="3760" w:space="720"/>
            <w:col w:w="4639"/>
          </w:cols>
          <w:pgMar w:left="1340" w:top="274" w:right="1440" w:bottom="1440" w:gutter="0" w:footer="0" w:header="0"/>
          <w:type w:val="continuous"/>
        </w:sectPr>
      </w:pPr>
    </w:p>
    <w:bookmarkStart w:id="251" w:name="page252"/>
    <w:bookmarkEnd w:id="25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251065" cy="33020"/>
                    </a:xfrm>
                    <a:prstGeom prst="rect">
                      <a:avLst/>
                    </a:prstGeom>
                    <a:noFill/>
                  </pic:spPr>
                </pic:pic>
              </a:graphicData>
            </a:graphic>
          </wp:anchor>
        </w:drawing>
        <w:t>Exhibit 3.1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CERTIFICATE OF INCORPORATION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 *</w:t>
      </w:r>
    </w:p>
    <w:p>
      <w:pPr>
        <w:spacing w:after="0" w:line="248" w:lineRule="exact"/>
        <w:rPr>
          <w:sz w:val="20"/>
          <w:szCs w:val="20"/>
          <w:color w:val="auto"/>
        </w:rPr>
      </w:pPr>
    </w:p>
    <w:p>
      <w:pPr>
        <w:jc w:val="both"/>
        <w:ind w:firstLine="626"/>
        <w:spacing w:after="0" w:line="276" w:lineRule="auto"/>
        <w:rPr>
          <w:sz w:val="20"/>
          <w:szCs w:val="20"/>
          <w:color w:val="auto"/>
        </w:rPr>
      </w:pPr>
      <w:r>
        <w:rPr>
          <w:rFonts w:ascii="Arial" w:cs="Arial" w:eastAsia="Arial" w:hAnsi="Arial"/>
          <w:sz w:val="16"/>
          <w:szCs w:val="16"/>
          <w:color w:val="auto"/>
        </w:rPr>
        <w:t>The present name of the corporation is National Vision Holdings,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incorporated under the name “Nautilus Parent, Inc.” by the filing of its original Certificate of Incorporation with the Secretary of State of the State of Delaware on February 14, 2014, which was amended and restated on March 10, 2014 (as amended, the “</w:t>
      </w:r>
      <w:r>
        <w:rPr>
          <w:rFonts w:ascii="Arial" w:cs="Arial" w:eastAsia="Arial" w:hAnsi="Arial"/>
          <w:sz w:val="16"/>
          <w:szCs w:val="16"/>
          <w:u w:val="single" w:color="auto"/>
          <w:color w:val="auto"/>
        </w:rPr>
        <w:t>First Amended and Restated Certificate of Incorporation</w:t>
      </w:r>
      <w:r>
        <w:rPr>
          <w:rFonts w:ascii="Arial" w:cs="Arial" w:eastAsia="Arial" w:hAnsi="Arial"/>
          <w:sz w:val="16"/>
          <w:szCs w:val="16"/>
          <w:color w:val="auto"/>
        </w:rPr>
        <w:t>”). The First Amended and Restated Certificate of Incorporation was amended on June 28, 2017 to change the name of the Corporation from “Nautilus Parent, Inc.” to “National Vision Holdings, Inc.” The First</w:t>
      </w:r>
    </w:p>
    <w:p>
      <w:pPr>
        <w:jc w:val="both"/>
        <w:spacing w:after="0" w:line="259" w:lineRule="auto"/>
        <w:rPr>
          <w:sz w:val="20"/>
          <w:szCs w:val="20"/>
          <w:color w:val="auto"/>
        </w:rPr>
      </w:pPr>
      <w:r>
        <w:rPr>
          <w:rFonts w:ascii="Arial" w:cs="Arial" w:eastAsia="Arial" w:hAnsi="Arial"/>
          <w:sz w:val="17"/>
          <w:szCs w:val="17"/>
          <w:color w:val="auto"/>
        </w:rPr>
        <w:t>Amended and Restated Certificate of Incorporation was amended on , 2017 to effect a -for-one reverse stock split of the then-outstanding common stock, par value $0.01 per share, of the Corporation. This Second Amended and Restated Certificate of Incorporation of the Corporation, which restates and integrates and also further amends the provisions of the First Amended and Restated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The First Amended and Restated Certificate of Incorporation is hereby amended, integrated and restated to read in its entirety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2" w:lineRule="exact"/>
        <w:rPr>
          <w:sz w:val="20"/>
          <w:szCs w:val="20"/>
          <w:color w:val="auto"/>
        </w:rPr>
      </w:pPr>
    </w:p>
    <w:p>
      <w:pPr>
        <w:ind w:left="5440"/>
        <w:spacing w:after="0"/>
        <w:rPr>
          <w:sz w:val="20"/>
          <w:szCs w:val="20"/>
          <w:color w:val="auto"/>
        </w:rPr>
      </w:pPr>
      <w:r>
        <w:rPr>
          <w:rFonts w:ascii="Arial" w:cs="Arial" w:eastAsia="Arial" w:hAnsi="Arial"/>
          <w:sz w:val="17"/>
          <w:szCs w:val="17"/>
          <w:b w:val="1"/>
          <w:bCs w:val="1"/>
          <w:u w:val="single" w:color="auto"/>
          <w:color w:val="auto"/>
        </w:rPr>
        <w:t>NAME</w:t>
      </w:r>
    </w:p>
    <w:p>
      <w:pPr>
        <w:spacing w:after="0" w:line="2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name of the Corporation is National Vision Holdings,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REGISTERED OFFICE AND AGENT</w:t>
      </w:r>
    </w:p>
    <w:p>
      <w:pPr>
        <w:spacing w:after="0" w:line="254" w:lineRule="exact"/>
        <w:rPr>
          <w:sz w:val="20"/>
          <w:szCs w:val="20"/>
          <w:color w:val="auto"/>
        </w:rPr>
      </w:pPr>
    </w:p>
    <w:p>
      <w:pPr>
        <w:ind w:right="320" w:firstLine="1252"/>
        <w:spacing w:after="0" w:line="271" w:lineRule="auto"/>
        <w:rPr>
          <w:sz w:val="20"/>
          <w:szCs w:val="20"/>
          <w:color w:val="auto"/>
        </w:rPr>
      </w:pPr>
      <w:r>
        <w:rPr>
          <w:rFonts w:ascii="Arial" w:cs="Arial" w:eastAsia="Arial" w:hAnsi="Arial"/>
          <w:sz w:val="17"/>
          <w:szCs w:val="17"/>
          <w:color w:val="auto"/>
        </w:rPr>
        <w:t>The address of the registered office of the Corporation in the State of Delaware is Corporation Service Company, 251 Little Falls Drive in the City of Wilmington, County of New Castle, Delaware 19808. The name of the registered agent of the Corporation in the State of Delaware at such address is Corporation Service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PURPOSE</w:t>
      </w:r>
    </w:p>
    <w:p>
      <w:pPr>
        <w:spacing w:after="0" w:line="254" w:lineRule="exact"/>
        <w:rPr>
          <w:sz w:val="20"/>
          <w:szCs w:val="20"/>
          <w:color w:val="auto"/>
        </w:rPr>
      </w:pPr>
    </w:p>
    <w:p>
      <w:pPr>
        <w:ind w:right="60" w:firstLine="1252"/>
        <w:spacing w:after="0" w:line="287"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(as the same exists or may hereafter be amended from time to time,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25106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2" w:name="page253"/>
    <w:bookmarkEnd w:id="252"/>
    <w:p>
      <w:pPr>
        <w:jc w:val="center"/>
        <w:ind w:right="-39"/>
        <w:spacing w:after="0"/>
        <w:rPr>
          <w:sz w:val="20"/>
          <w:szCs w:val="20"/>
          <w:color w:val="auto"/>
        </w:rPr>
      </w:pPr>
      <w:r>
        <w:rPr>
          <w:rFonts w:ascii="Arial" w:cs="Arial" w:eastAsia="Arial" w:hAnsi="Arial"/>
          <w:sz w:val="17"/>
          <w:szCs w:val="17"/>
          <w:b w:val="1"/>
          <w:bCs w:val="1"/>
          <w:color w:val="auto"/>
        </w:rPr>
        <w:t>ARTICLE IV</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CAPITAL STOCK</w:t>
      </w:r>
    </w:p>
    <w:p>
      <w:pPr>
        <w:spacing w:after="0" w:line="254" w:lineRule="exact"/>
        <w:rPr>
          <w:sz w:val="20"/>
          <w:szCs w:val="20"/>
          <w:color w:val="auto"/>
        </w:rPr>
      </w:pPr>
    </w:p>
    <w:p>
      <w:pPr>
        <w:ind w:right="20" w:firstLine="1252"/>
        <w:spacing w:after="0" w:line="287" w:lineRule="auto"/>
        <w:rPr>
          <w:sz w:val="20"/>
          <w:szCs w:val="20"/>
          <w:color w:val="auto"/>
        </w:rPr>
      </w:pPr>
      <w:r>
        <w:rPr>
          <w:rFonts w:ascii="Arial" w:cs="Arial" w:eastAsia="Arial" w:hAnsi="Arial"/>
          <w:sz w:val="17"/>
          <w:szCs w:val="17"/>
          <w:color w:val="auto"/>
        </w:rPr>
        <w:t>The total number of shares of all classes of stock that the Corporation shall have authority to issue is 150,000,000 which shall be divided into two classes as follows: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100,000,000 </w:t>
      </w:r>
      <w:r>
        <w:rPr>
          <w:rFonts w:ascii="Arial" w:cs="Arial" w:eastAsia="Arial" w:hAnsi="Arial"/>
          <w:sz w:val="17"/>
          <w:szCs w:val="17"/>
          <w:color w:val="auto"/>
        </w:rPr>
        <w:t>shares of common stock, par value $0.01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and</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50,000,000 shares of preferred stock, par value $0.01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w:t>
      </w:r>
    </w:p>
    <w:p>
      <w:pPr>
        <w:spacing w:after="0" w:line="248" w:lineRule="exact"/>
        <w:rPr>
          <w:sz w:val="20"/>
          <w:szCs w:val="20"/>
          <w:color w:val="auto"/>
        </w:rPr>
      </w:pPr>
    </w:p>
    <w:p>
      <w:pPr>
        <w:ind w:left="680" w:hanging="676"/>
        <w:spacing w:after="0"/>
        <w:tabs>
          <w:tab w:leader="none" w:pos="68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w:t>
      </w:r>
    </w:p>
    <w:p>
      <w:pPr>
        <w:spacing w:after="0" w:line="247" w:lineRule="exact"/>
        <w:rPr>
          <w:rFonts w:ascii="Arial" w:cs="Arial" w:eastAsia="Arial" w:hAnsi="Arial"/>
          <w:sz w:val="17"/>
          <w:szCs w:val="17"/>
          <w:b w:val="1"/>
          <w:bCs w:val="1"/>
          <w:color w:val="auto"/>
        </w:rPr>
      </w:pPr>
    </w:p>
    <w:p>
      <w:pPr>
        <w:ind w:right="60" w:firstLine="630"/>
        <w:spacing w:after="0" w:line="259" w:lineRule="auto"/>
        <w:tabs>
          <w:tab w:leader="none" w:pos="1316" w:val="left"/>
        </w:tabs>
        <w:numPr>
          <w:ilvl w:val="1"/>
          <w:numId w:val="174"/>
        </w:numPr>
        <w:rPr>
          <w:rFonts w:ascii="Arial" w:cs="Arial" w:eastAsia="Arial" w:hAnsi="Arial"/>
          <w:sz w:val="17"/>
          <w:szCs w:val="17"/>
          <w:color w:val="auto"/>
        </w:rPr>
      </w:pPr>
      <w:r>
        <w:rPr>
          <w:rFonts w:ascii="Arial" w:cs="Arial" w:eastAsia="Arial" w:hAnsi="Arial"/>
          <w:sz w:val="17"/>
          <w:szCs w:val="17"/>
          <w:color w:val="auto"/>
        </w:rPr>
        <w:t>Common Stock and Preferred Stock may be issued from time to time by the Corporation for such consideration as may be fixed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213" w:lineRule="exact"/>
        <w:rPr>
          <w:rFonts w:ascii="Arial" w:cs="Arial" w:eastAsia="Arial" w:hAnsi="Arial"/>
          <w:sz w:val="17"/>
          <w:szCs w:val="17"/>
          <w:color w:val="auto"/>
        </w:rPr>
      </w:pPr>
    </w:p>
    <w:p>
      <w:pPr>
        <w:ind w:right="20" w:firstLine="630"/>
        <w:spacing w:after="0" w:line="281" w:lineRule="auto"/>
        <w:tabs>
          <w:tab w:leader="none" w:pos="135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Second Amended and Restated Certificate of Incorporation (including any certificate of designation relating to any series of Preferred Stock) or pursuant to the DGCL.</w:t>
      </w:r>
    </w:p>
    <w:p>
      <w:pPr>
        <w:spacing w:after="0" w:line="193" w:lineRule="exact"/>
        <w:rPr>
          <w:rFonts w:ascii="Arial" w:cs="Arial" w:eastAsia="Arial" w:hAnsi="Arial"/>
          <w:sz w:val="16"/>
          <w:szCs w:val="16"/>
          <w:color w:val="auto"/>
        </w:rPr>
      </w:pPr>
    </w:p>
    <w:p>
      <w:pPr>
        <w:ind w:right="200" w:firstLine="630"/>
        <w:spacing w:after="0" w:line="271" w:lineRule="auto"/>
        <w:tabs>
          <w:tab w:leader="none" w:pos="135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Except as otherwise required by law, holders of any series of Preferred Stock shall be entitled to only such voting rights, if any, as shall expressly be granted thereto by this Second Amended and Restated Certificate of Incorporation (including any certificate of designation relating to such series of Preferred Stock).</w:t>
      </w:r>
    </w:p>
    <w:p>
      <w:pPr>
        <w:spacing w:after="0" w:line="198" w:lineRule="exact"/>
        <w:rPr>
          <w:rFonts w:ascii="Arial" w:cs="Arial" w:eastAsia="Arial" w:hAnsi="Arial"/>
          <w:sz w:val="17"/>
          <w:szCs w:val="17"/>
          <w:color w:val="auto"/>
        </w:rPr>
      </w:pPr>
    </w:p>
    <w:p>
      <w:pPr>
        <w:ind w:firstLine="630"/>
        <w:spacing w:after="0" w:line="266" w:lineRule="auto"/>
        <w:tabs>
          <w:tab w:leader="none" w:pos="1316" w:val="left"/>
        </w:tabs>
        <w:numPr>
          <w:ilvl w:val="1"/>
          <w:numId w:val="174"/>
        </w:numPr>
        <w:rPr>
          <w:rFonts w:ascii="Arial" w:cs="Arial" w:eastAsia="Arial" w:hAnsi="Arial"/>
          <w:sz w:val="17"/>
          <w:szCs w:val="17"/>
          <w:color w:val="auto"/>
        </w:rPr>
      </w:pPr>
      <w:r>
        <w:rPr>
          <w:rFonts w:ascii="Arial" w:cs="Arial" w:eastAsia="Arial" w:hAnsi="Arial"/>
          <w:sz w:val="17"/>
          <w:szCs w:val="17"/>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3" w:name="page254"/>
    <w:bookmarkEnd w:id="253"/>
    <w:p>
      <w:pPr>
        <w:ind w:right="160" w:firstLine="630"/>
        <w:spacing w:after="0" w:line="263" w:lineRule="auto"/>
        <w:tabs>
          <w:tab w:leader="none" w:pos="13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06" w:lineRule="exact"/>
        <w:rPr>
          <w:rFonts w:ascii="Arial" w:cs="Arial" w:eastAsia="Arial" w:hAnsi="Arial"/>
          <w:sz w:val="17"/>
          <w:szCs w:val="17"/>
          <w:color w:val="auto"/>
        </w:rPr>
      </w:pPr>
    </w:p>
    <w:p>
      <w:pPr>
        <w:ind w:right="80" w:firstLine="630"/>
        <w:spacing w:after="0" w:line="263" w:lineRule="auto"/>
        <w:tabs>
          <w:tab w:leader="none" w:pos="131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or the Preferred Stock voting separately as a class shall be required therefor, unless a vote of any such holder is required pursuant to this Second Amended and Restated Certificate of Incorporation (including any certificate of designation relating to any series of Preferred Stock).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OF THE CERTIFICATE OF INCORPORATION AND BYLAWS</w:t>
      </w:r>
    </w:p>
    <w:p>
      <w:pPr>
        <w:spacing w:after="0" w:line="254" w:lineRule="exact"/>
        <w:rPr>
          <w:sz w:val="20"/>
          <w:szCs w:val="20"/>
          <w:color w:val="auto"/>
        </w:rPr>
      </w:pPr>
    </w:p>
    <w:p>
      <w:pPr>
        <w:ind w:firstLine="630"/>
        <w:spacing w:after="0" w:line="276" w:lineRule="auto"/>
        <w:tabs>
          <w:tab w:leader="none" w:pos="131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For so long as KKR and Berkshire (each as defined below) beneficially own collectively, in the aggregate, at least 40% in voting power of the stock of the Corporation entitled to vote generally in the election of directors, in addition to any vote required by applicable law, this Second Amended and Restated Certificate of Incorporation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 Notwithstanding anything contained in this Second Amended and Restated Certificate of Incorporation to the contrary, at any time when KKR and Berkshire (each as defined below) beneficially own collectively, in the aggregate, less than 40% in voting power of the stock of the Corporation entitled to vote generally in the election of directors, in addition to any vote required by applicable law, the following provisions in this Second Amended and Restated Certificate of Incorporation may be amended, altered, repealed or rescinded, in whole or in part, or any provision inconsistent therewith or herewith may be adopted, only by the affirmative vote of the holders of at least 66⅔% in voting power of all the then-outstanding shares of stock of the Corporation entitled to vote thereon, voting together as a single class: this Article V, Article VI, Article VII, Article VIII, Article IX and Article X. For the purposes of this Second Amended and Restated Certificate of Incorporation, beneficial ownership of shares shall be determined in accordance with Rule 13d-3 promulgated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right="40" w:firstLine="630"/>
        <w:spacing w:after="0" w:line="291" w:lineRule="auto"/>
        <w:tabs>
          <w:tab w:leader="none" w:pos="135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Board of Directors is expressly authorized to make, repeal, alter, amend and rescind, in whole or in part, the amended and restated bylaws of the Corporation (as in effect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without the assent or vote of the stockholders in any manner not inconsistent with the laws of the State of Delaware or this Second Amended and Restated Certificate of Incorporation. For so long as KKR and Berkshire (each as defined below) beneficially own collectively, in the aggregate, at least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Notwithstanding anything to the contrary contained in this Second Amended and Restated Certificate of Incorporation or any provision of law which might otherwise permit a lesser vote of the stockholders, at any time when KKR and Berkshire (each as defined below) beneficially own collectively,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w:t>
      </w:r>
    </w:p>
    <w:p>
      <w:pPr>
        <w:spacing w:after="0" w:line="5" w:lineRule="exact"/>
        <w:rPr>
          <w:rFonts w:ascii="Arial" w:cs="Arial" w:eastAsia="Arial" w:hAnsi="Arial"/>
          <w:sz w:val="15"/>
          <w:szCs w:val="15"/>
          <w:color w:val="auto"/>
        </w:rPr>
      </w:pPr>
    </w:p>
    <w:p>
      <w:pPr>
        <w:ind w:right="140"/>
        <w:spacing w:after="0" w:line="264" w:lineRule="auto"/>
        <w:rPr>
          <w:rFonts w:ascii="Arial" w:cs="Arial" w:eastAsia="Arial" w:hAnsi="Arial"/>
          <w:sz w:val="15"/>
          <w:szCs w:val="15"/>
          <w:color w:val="auto"/>
        </w:rPr>
      </w:pPr>
      <w:r>
        <w:rPr>
          <w:rFonts w:ascii="Arial" w:cs="Arial" w:eastAsia="Arial" w:hAnsi="Arial"/>
          <w:sz w:val="17"/>
          <w:szCs w:val="17"/>
          <w:color w:val="auto"/>
        </w:rPr>
        <w:t>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7"/>
          <w:szCs w:val="17"/>
          <w:b w:val="1"/>
          <w:bCs w:val="1"/>
          <w:color w:val="auto"/>
        </w:rPr>
        <w:t>ARTICLE VI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BOARD OF DIRECTORS</w:t>
      </w:r>
    </w:p>
    <w:p>
      <w:pPr>
        <w:spacing w:after="0" w:line="254" w:lineRule="exact"/>
        <w:rPr>
          <w:sz w:val="20"/>
          <w:szCs w:val="20"/>
          <w:color w:val="auto"/>
        </w:rPr>
      </w:pPr>
    </w:p>
    <w:p>
      <w:pPr>
        <w:ind w:firstLine="630"/>
        <w:spacing w:after="0" w:line="275" w:lineRule="auto"/>
        <w:tabs>
          <w:tab w:leader="none" w:pos="131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Subject to the terms of the Stockholders Agreement (as defined below),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prior to the IPO Date to their respective class.</w:t>
      </w:r>
    </w:p>
    <w:p>
      <w:pPr>
        <w:spacing w:after="0" w:line="196" w:lineRule="exact"/>
        <w:rPr>
          <w:rFonts w:ascii="Arial" w:cs="Arial" w:eastAsia="Arial" w:hAnsi="Arial"/>
          <w:sz w:val="16"/>
          <w:szCs w:val="16"/>
          <w:color w:val="auto"/>
        </w:rPr>
      </w:pPr>
    </w:p>
    <w:p>
      <w:pPr>
        <w:ind w:left="1320" w:hanging="690"/>
        <w:spacing w:after="0"/>
        <w:tabs>
          <w:tab w:leader="none" w:pos="13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Subject to the rights granted to the holders of any one or more series of Preferred Stock then outstanding or the rights granted pursuant to the</w:t>
      </w:r>
    </w:p>
    <w:p>
      <w:pPr>
        <w:spacing w:after="0" w:line="37"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Stockholders Agreement, dated as of</w:t>
      </w:r>
      <w:r>
        <w:rPr>
          <w:sz w:val="20"/>
          <w:szCs w:val="20"/>
          <w:color w:val="auto"/>
        </w:rPr>
        <w:tab/>
      </w:r>
      <w:r>
        <w:rPr>
          <w:rFonts w:ascii="Arial" w:cs="Arial" w:eastAsia="Arial" w:hAnsi="Arial"/>
          <w:sz w:val="15"/>
          <w:szCs w:val="15"/>
          <w:color w:val="auto"/>
        </w:rPr>
        <w:t>, 2017 (as the same may be amended, supplemented, restated or otherwise modified from time to time, the</w:t>
      </w:r>
    </w:p>
    <w:p>
      <w:pPr>
        <w:spacing w:after="0" w:line="1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by and among the Corporation, certain affiliates of Kohlberg Kravis Roberts &amp; Co. L.P. (together with its affiliates and subsidiaries and its and their successors and assigns (other than the Corporation and its subsidiaries), collectively, “</w:t>
      </w:r>
      <w:r>
        <w:rPr>
          <w:rFonts w:ascii="Arial" w:cs="Arial" w:eastAsia="Arial" w:hAnsi="Arial"/>
          <w:sz w:val="16"/>
          <w:szCs w:val="16"/>
          <w:u w:val="single" w:color="auto"/>
          <w:color w:val="auto"/>
        </w:rPr>
        <w:t>KKR</w:t>
      </w:r>
      <w:r>
        <w:rPr>
          <w:rFonts w:ascii="Arial" w:cs="Arial" w:eastAsia="Arial" w:hAnsi="Arial"/>
          <w:sz w:val="16"/>
          <w:szCs w:val="16"/>
          <w:color w:val="auto"/>
        </w:rPr>
        <w:t>”) and private equity funds managed by Berkshire Partners LLC (together with its affiliates and subsidiaries and its and their successors and assigns (other than the Corporation and its subsidiaries), collectively, “</w:t>
      </w:r>
      <w:r>
        <w:rPr>
          <w:rFonts w:ascii="Arial" w:cs="Arial" w:eastAsia="Arial" w:hAnsi="Arial"/>
          <w:sz w:val="16"/>
          <w:szCs w:val="16"/>
          <w:u w:val="single" w:color="auto"/>
          <w:color w:val="auto"/>
        </w:rPr>
        <w:t>Berkshire</w:t>
      </w:r>
      <w:r>
        <w:rPr>
          <w:rFonts w:ascii="Arial" w:cs="Arial" w:eastAsia="Arial" w:hAnsi="Arial"/>
          <w:sz w:val="16"/>
          <w:szCs w:val="16"/>
          <w:color w:val="auto"/>
        </w:rPr>
        <w:t xml:space="preserve">”), any newly-created directorship on the Board of Directors that results 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KKR and Berkshire beneficially own collectively, in the aggregate, less than 40% in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even if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5" w:name="page256"/>
    <w:bookmarkEnd w:id="255"/>
    <w:p>
      <w:pPr>
        <w:ind w:left="-20" w:right="20" w:firstLine="630"/>
        <w:spacing w:after="0" w:line="261" w:lineRule="auto"/>
        <w:tabs>
          <w:tab w:leader="none" w:pos="128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Subject to rights granted to KKR and Berkshire under the Stockholders Agreement,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time when KKR and Berkshire beneficially own collectively, in the aggregate, less than 40% in voting power of the stock of the Corporation entitled to vote generally in the election of directors, any such director or all such directors may be removed only for cause and only by the affirmative vote of the holders of at least 66⅔% in voting power of all the then-outstanding shares of stock of the Corporation entitled to vote thereon, voting together as a single class.</w:t>
      </w:r>
    </w:p>
    <w:p>
      <w:pPr>
        <w:spacing w:after="0" w:line="206" w:lineRule="exact"/>
        <w:rPr>
          <w:rFonts w:ascii="Arial" w:cs="Arial" w:eastAsia="Arial" w:hAnsi="Arial"/>
          <w:sz w:val="17"/>
          <w:szCs w:val="17"/>
          <w:color w:val="auto"/>
        </w:rPr>
      </w:pPr>
    </w:p>
    <w:p>
      <w:pPr>
        <w:ind w:left="1300" w:hanging="690"/>
        <w:spacing w:after="0"/>
        <w:tabs>
          <w:tab w:leader="none" w:pos="13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Elections of directors need not be by written ballot unless the Bylaws shall so provide.</w:t>
      </w:r>
    </w:p>
    <w:p>
      <w:pPr>
        <w:spacing w:after="0" w:line="247" w:lineRule="exact"/>
        <w:rPr>
          <w:rFonts w:ascii="Arial" w:cs="Arial" w:eastAsia="Arial" w:hAnsi="Arial"/>
          <w:sz w:val="17"/>
          <w:szCs w:val="17"/>
          <w:color w:val="auto"/>
        </w:rPr>
      </w:pPr>
    </w:p>
    <w:p>
      <w:pPr>
        <w:ind w:left="-20" w:firstLine="630"/>
        <w:spacing w:after="0" w:line="277" w:lineRule="auto"/>
        <w:tabs>
          <w:tab w:leader="none" w:pos="13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wp:posOffset>
            </wp:positionV>
            <wp:extent cx="725106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80"/>
          </w:cols>
          <w:pgMar w:left="260" w:top="127" w:right="25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7"/>
          <w:szCs w:val="17"/>
          <w:b w:val="1"/>
          <w:bCs w:val="1"/>
          <w:color w:val="auto"/>
        </w:rPr>
        <w:t>ARTICLE VII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LIMITATION OF DIRECTOR LIABILITY</w:t>
      </w:r>
    </w:p>
    <w:p>
      <w:pPr>
        <w:spacing w:after="0" w:line="254" w:lineRule="exact"/>
        <w:rPr>
          <w:sz w:val="20"/>
          <w:szCs w:val="20"/>
          <w:color w:val="auto"/>
        </w:rPr>
      </w:pPr>
    </w:p>
    <w:p>
      <w:pPr>
        <w:ind w:left="-20" w:right="140" w:firstLine="630"/>
        <w:spacing w:after="0" w:line="287" w:lineRule="auto"/>
        <w:tabs>
          <w:tab w:leader="none" w:pos="129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184" w:lineRule="exact"/>
        <w:rPr>
          <w:rFonts w:ascii="Arial" w:cs="Arial" w:eastAsia="Arial" w:hAnsi="Arial"/>
          <w:sz w:val="17"/>
          <w:szCs w:val="17"/>
          <w:color w:val="auto"/>
        </w:rPr>
      </w:pPr>
    </w:p>
    <w:p>
      <w:pPr>
        <w:ind w:left="-20" w:firstLine="630"/>
        <w:spacing w:after="0" w:line="271" w:lineRule="auto"/>
        <w:tabs>
          <w:tab w:leader="none" w:pos="133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Neither the amendment nor repeal of this Article VII, nor the adoption of any provision of this Second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STOCKHOLDERS IN LIEU OF MEETING, ANNUAL AND SPECIAL MEETINGS OF STOCKHOLDERS</w:t>
      </w:r>
    </w:p>
    <w:p>
      <w:pPr>
        <w:spacing w:after="0" w:line="254" w:lineRule="exact"/>
        <w:rPr>
          <w:sz w:val="20"/>
          <w:szCs w:val="20"/>
          <w:color w:val="auto"/>
        </w:rPr>
      </w:pPr>
    </w:p>
    <w:p>
      <w:pPr>
        <w:ind w:left="-20" w:right="20" w:firstLine="630"/>
        <w:spacing w:after="0" w:line="258" w:lineRule="auto"/>
        <w:tabs>
          <w:tab w:leader="none" w:pos="129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At any time when KKR and Berkshire beneficially own collectively, in the aggregate, at least 40%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KKR and Berkshire beneficially own collectively,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wp:posOffset>
            </wp:positionV>
            <wp:extent cx="725106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257" w:name="page258"/>
    <w:bookmarkEnd w:id="257"/>
    <w:p>
      <w:pPr>
        <w:ind w:firstLine="630"/>
        <w:spacing w:after="0" w:line="284" w:lineRule="auto"/>
        <w:tabs>
          <w:tab w:leader="none" w:pos="135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KKR and Berkshire beneficially own collectively, in the aggregate, at least 40%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either KKR or Berkshire.</w:t>
      </w:r>
    </w:p>
    <w:p>
      <w:pPr>
        <w:spacing w:after="0" w:line="188" w:lineRule="exact"/>
        <w:rPr>
          <w:rFonts w:ascii="Arial" w:cs="Arial" w:eastAsia="Arial" w:hAnsi="Arial"/>
          <w:sz w:val="16"/>
          <w:szCs w:val="16"/>
          <w:color w:val="auto"/>
        </w:rPr>
      </w:pPr>
    </w:p>
    <w:p>
      <w:pPr>
        <w:ind w:right="200" w:firstLine="630"/>
        <w:spacing w:after="0" w:line="271" w:lineRule="auto"/>
        <w:tabs>
          <w:tab w:leader="none" w:pos="135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COMPETITION AND CORPORATE OPPORTUNITIES</w:t>
      </w:r>
    </w:p>
    <w:p>
      <w:pPr>
        <w:spacing w:after="0" w:line="254" w:lineRule="exact"/>
        <w:rPr>
          <w:sz w:val="20"/>
          <w:szCs w:val="20"/>
          <w:color w:val="auto"/>
        </w:rPr>
      </w:pPr>
    </w:p>
    <w:p>
      <w:pPr>
        <w:ind w:right="80" w:firstLine="630"/>
        <w:spacing w:after="0" w:line="276" w:lineRule="auto"/>
        <w:tabs>
          <w:tab w:leader="none" w:pos="131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recognition and anticipation that (i) certain directors, principals, members, officers, associated funds, employees and/or other representatives of Kohlberg Kravis Roberts &amp; Co. L.P., Berkshire Partners LLC and their respective Affiliates (as defined below) may serve as directors, officers or agents of the Corporation, (ii) Kohlberg Kravis Roberts &amp; Co. L.P., Berkshire Partners LLC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of Directors who are not employees of the Corporation (“</w:t>
      </w:r>
      <w:r>
        <w:rPr>
          <w:rFonts w:ascii="Arial" w:cs="Arial" w:eastAsia="Arial" w:hAnsi="Arial"/>
          <w:sz w:val="16"/>
          <w:szCs w:val="16"/>
          <w:u w:val="single" w:color="auto"/>
          <w:color w:val="auto"/>
        </w:rPr>
        <w:t>Non-Employee Directors</w:t>
      </w:r>
      <w:r>
        <w:rPr>
          <w:rFonts w:ascii="Arial" w:cs="Arial" w:eastAsia="Arial" w:hAnsi="Arial"/>
          <w:sz w:val="16"/>
          <w:szCs w:val="16"/>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Kohlberg Kravis Roberts &amp; Co. L.P., Berkshire Partners LLC, the Non-Employee Directors or their respective Affiliates and the powers, rights, duties and liabilities of the Corporation and its directors, officers and stockholders in connection therewith, subject to the provisions set out in the Stockholders Agreement.</w:t>
      </w:r>
    </w:p>
    <w:p>
      <w:pPr>
        <w:spacing w:after="0" w:line="201" w:lineRule="exact"/>
        <w:rPr>
          <w:rFonts w:ascii="Arial" w:cs="Arial" w:eastAsia="Arial" w:hAnsi="Arial"/>
          <w:sz w:val="16"/>
          <w:szCs w:val="16"/>
          <w:color w:val="auto"/>
        </w:rPr>
      </w:pPr>
    </w:p>
    <w:p>
      <w:pPr>
        <w:ind w:right="20" w:firstLine="630"/>
        <w:spacing w:after="0" w:line="275" w:lineRule="auto"/>
        <w:tabs>
          <w:tab w:leader="none" w:pos="135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None of (i) Kohlberg Kravis Roberts &amp; Co. L.P., Berkshire Partners LLC or any of their respective Affiliates or (ii) any Non-Employee Director (including any Non-Employee Director who serves as an officer of the Corporation in both his or her director and officer capacities) or his or her Affiliates (the Persons (as defined below) identified in (i) and (ii)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rPr>
        <w:t>” and, individually, as an “</w:t>
      </w:r>
      <w:r>
        <w:rPr>
          <w:rFonts w:ascii="Arial" w:cs="Arial" w:eastAsia="Arial" w:hAnsi="Arial"/>
          <w:sz w:val="16"/>
          <w:szCs w:val="16"/>
          <w:u w:val="single" w:color="auto"/>
          <w:color w:val="auto"/>
        </w:rPr>
        <w:t>Identified Person</w:t>
      </w:r>
      <w:r>
        <w:rPr>
          <w:rFonts w:ascii="Arial" w:cs="Arial" w:eastAsia="Arial" w:hAnsi="Arial"/>
          <w:sz w:val="16"/>
          <w:szCs w:val="16"/>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8" w:name="page259"/>
    <w:bookmarkEnd w:id="258"/>
    <w:p>
      <w:pPr>
        <w:ind w:left="-40" w:right="480" w:firstLine="630"/>
        <w:spacing w:after="0" w:line="271" w:lineRule="auto"/>
        <w:tabs>
          <w:tab w:leader="none" w:pos="131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198" w:lineRule="exact"/>
        <w:rPr>
          <w:rFonts w:ascii="Arial" w:cs="Arial" w:eastAsia="Arial" w:hAnsi="Arial"/>
          <w:sz w:val="17"/>
          <w:szCs w:val="17"/>
          <w:color w:val="auto"/>
        </w:rPr>
      </w:pPr>
    </w:p>
    <w:p>
      <w:pPr>
        <w:ind w:left="-40" w:right="60" w:firstLine="630"/>
        <w:spacing w:after="0" w:line="271" w:lineRule="auto"/>
        <w:tabs>
          <w:tab w:leader="none" w:pos="131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IX shall not apply to any such corporate opportunity.</w:t>
      </w:r>
    </w:p>
    <w:p>
      <w:pPr>
        <w:spacing w:after="0" w:line="198" w:lineRule="exact"/>
        <w:rPr>
          <w:rFonts w:ascii="Arial" w:cs="Arial" w:eastAsia="Arial" w:hAnsi="Arial"/>
          <w:sz w:val="17"/>
          <w:szCs w:val="17"/>
          <w:color w:val="auto"/>
        </w:rPr>
      </w:pPr>
    </w:p>
    <w:p>
      <w:pPr>
        <w:ind w:left="-40" w:right="100" w:firstLine="630"/>
        <w:spacing w:after="0" w:line="266" w:lineRule="auto"/>
        <w:tabs>
          <w:tab w:leader="none" w:pos="13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202" w:lineRule="exact"/>
        <w:rPr>
          <w:rFonts w:ascii="Arial" w:cs="Arial" w:eastAsia="Arial" w:hAnsi="Arial"/>
          <w:sz w:val="17"/>
          <w:szCs w:val="17"/>
          <w:color w:val="auto"/>
        </w:rPr>
      </w:pPr>
    </w:p>
    <w:p>
      <w:pPr>
        <w:ind w:left="-40" w:firstLine="630"/>
        <w:spacing w:after="0" w:line="259" w:lineRule="auto"/>
        <w:tabs>
          <w:tab w:leader="none" w:pos="127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For purposes of this Article IX, (i)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 in respect of Kohlberg Kravis Roberts &amp; Co. L.P., any Person that, directly or indirectly, is controlled by Kohlberg Kravis Roberts &amp; Co. L.P., controls Kohlberg Kravis Roberts &amp; Co. L.P., or is under common control with Kohlberg Kravis Roberts &amp; Co. L.P., and shall include any principal, member, director, partner, stockholder, officer, employee or other representative of any of the foregoing (other than the Corporation and any Person that is controlled by the Corporation), (b) in respect of Berkshire Partners LLC, any Person that, directly or indirectly, is controlled by Berkshire Partners LLC, controls Berkshire Partners LLC, or is under common control with Berkshire Partners LLC, and shall include any principal, member, director, partner, stockholder, officer, employee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and (ii)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general or limited partnership, limited liability company, joint venture, trust, association or any other entity.</w:t>
      </w:r>
    </w:p>
    <w:p>
      <w:pPr>
        <w:spacing w:after="0" w:line="210" w:lineRule="exact"/>
        <w:rPr>
          <w:rFonts w:ascii="Arial" w:cs="Arial" w:eastAsia="Arial" w:hAnsi="Arial"/>
          <w:sz w:val="17"/>
          <w:szCs w:val="17"/>
          <w:color w:val="auto"/>
        </w:rPr>
      </w:pPr>
    </w:p>
    <w:p>
      <w:pPr>
        <w:ind w:left="-40" w:firstLine="630"/>
        <w:spacing w:after="0" w:line="262" w:lineRule="auto"/>
        <w:tabs>
          <w:tab w:leader="none" w:pos="131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the fullest extent permitted by law, any Person purchasing or otherwise acquiring any interest in any shares of capital stock of the Corporation shall be deemed to have notice of and to have consented to the provisions of this Article IX. Neither the alteration, amendment, addition to or repeal of this Article IX, nor the adoption of any provision of this Second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49530</wp:posOffset>
            </wp:positionV>
            <wp:extent cx="725106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40"/>
          </w:cols>
          <w:pgMar w:left="280" w:top="128" w:right="27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7"/>
          <w:szCs w:val="17"/>
          <w:b w:val="1"/>
          <w:bCs w:val="1"/>
          <w:color w:val="auto"/>
        </w:rPr>
        <w:t>ARTICLE X</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DGCL SECTION 203 AND BUSINESS COMBINATIONS</w:t>
      </w:r>
    </w:p>
    <w:p>
      <w:pPr>
        <w:spacing w:after="0" w:line="254" w:lineRule="exact"/>
        <w:rPr>
          <w:sz w:val="20"/>
          <w:szCs w:val="20"/>
          <w:color w:val="auto"/>
        </w:rPr>
      </w:pPr>
    </w:p>
    <w:p>
      <w:pPr>
        <w:ind w:left="1280" w:hanging="690"/>
        <w:spacing w:after="0"/>
        <w:tabs>
          <w:tab w:leader="none" w:pos="12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Corporation hereby expressly elects not to be governed by Section 203 of the DGCL.</w:t>
      </w:r>
    </w:p>
    <w:p>
      <w:pPr>
        <w:spacing w:after="0" w:line="247" w:lineRule="exact"/>
        <w:rPr>
          <w:rFonts w:ascii="Arial" w:cs="Arial" w:eastAsia="Arial" w:hAnsi="Arial"/>
          <w:sz w:val="17"/>
          <w:szCs w:val="17"/>
          <w:color w:val="auto"/>
        </w:rPr>
      </w:pPr>
    </w:p>
    <w:p>
      <w:pPr>
        <w:ind w:left="-40" w:right="20" w:firstLine="630"/>
        <w:spacing w:after="0" w:line="271" w:lineRule="auto"/>
        <w:tabs>
          <w:tab w:leader="none" w:pos="131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98" w:lineRule="exact"/>
        <w:rPr>
          <w:rFonts w:ascii="Arial" w:cs="Arial" w:eastAsia="Arial" w:hAnsi="Arial"/>
          <w:sz w:val="17"/>
          <w:szCs w:val="17"/>
          <w:color w:val="auto"/>
        </w:rPr>
      </w:pPr>
    </w:p>
    <w:p>
      <w:pPr>
        <w:ind w:left="1840" w:right="120" w:hanging="624"/>
        <w:spacing w:after="0" w:line="287" w:lineRule="auto"/>
        <w:tabs>
          <w:tab w:leader="none" w:pos="18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prior to such time, the Board of Directors approved either the business combination or the transaction which resulted in the stockholder becoming an interested stockholder, or</w:t>
      </w:r>
    </w:p>
    <w:p>
      <w:pPr>
        <w:spacing w:after="0" w:line="158" w:lineRule="exact"/>
        <w:rPr>
          <w:rFonts w:ascii="Arial" w:cs="Arial" w:eastAsia="Arial" w:hAnsi="Arial"/>
          <w:sz w:val="17"/>
          <w:szCs w:val="17"/>
          <w:color w:val="auto"/>
        </w:rPr>
      </w:pPr>
    </w:p>
    <w:p>
      <w:pPr>
        <w:ind w:left="1840" w:right="140" w:hanging="624"/>
        <w:spacing w:after="0" w:line="262" w:lineRule="auto"/>
        <w:tabs>
          <w:tab w:leader="none" w:pos="18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9" w:lineRule="exact"/>
        <w:rPr>
          <w:rFonts w:ascii="Arial" w:cs="Arial" w:eastAsia="Arial" w:hAnsi="Arial"/>
          <w:sz w:val="17"/>
          <w:szCs w:val="17"/>
          <w:color w:val="auto"/>
        </w:rPr>
      </w:pPr>
    </w:p>
    <w:p>
      <w:pPr>
        <w:jc w:val="both"/>
        <w:ind w:left="1840" w:right="320" w:hanging="624"/>
        <w:spacing w:after="0" w:line="271" w:lineRule="auto"/>
        <w:tabs>
          <w:tab w:leader="none" w:pos="18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172" w:lineRule="exact"/>
        <w:rPr>
          <w:rFonts w:ascii="Arial" w:cs="Arial" w:eastAsia="Arial" w:hAnsi="Arial"/>
          <w:sz w:val="17"/>
          <w:szCs w:val="17"/>
          <w:color w:val="auto"/>
        </w:rPr>
      </w:pPr>
    </w:p>
    <w:p>
      <w:pPr>
        <w:ind w:left="1320" w:hanging="730"/>
        <w:spacing w:after="0"/>
        <w:tabs>
          <w:tab w:leader="none" w:pos="13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For purposes of this Article X, references to:</w:t>
      </w:r>
    </w:p>
    <w:p>
      <w:pPr>
        <w:spacing w:after="0" w:line="247" w:lineRule="exact"/>
        <w:rPr>
          <w:rFonts w:ascii="Arial" w:cs="Arial" w:eastAsia="Arial" w:hAnsi="Arial"/>
          <w:sz w:val="17"/>
          <w:szCs w:val="17"/>
          <w:color w:val="auto"/>
        </w:rPr>
      </w:pPr>
    </w:p>
    <w:p>
      <w:pPr>
        <w:ind w:left="1840" w:right="580" w:hanging="624"/>
        <w:spacing w:after="0" w:line="287" w:lineRule="auto"/>
        <w:tabs>
          <w:tab w:leader="none" w:pos="18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person that directly, or indirectly through one or more intermediaries, controls, or is controlled by, or is under common control with, another person.</w:t>
      </w:r>
    </w:p>
    <w:p>
      <w:pPr>
        <w:spacing w:after="0" w:line="158" w:lineRule="exact"/>
        <w:rPr>
          <w:rFonts w:ascii="Arial" w:cs="Arial" w:eastAsia="Arial" w:hAnsi="Arial"/>
          <w:sz w:val="17"/>
          <w:szCs w:val="17"/>
          <w:color w:val="auto"/>
        </w:rPr>
      </w:pPr>
    </w:p>
    <w:p>
      <w:pPr>
        <w:ind w:left="1840" w:hanging="624"/>
        <w:spacing w:after="0" w:line="263" w:lineRule="auto"/>
        <w:tabs>
          <w:tab w:leader="none" w:pos="18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associate</w:t>
      </w:r>
      <w:r>
        <w:rPr>
          <w:rFonts w:ascii="Arial" w:cs="Arial" w:eastAsia="Arial" w:hAnsi="Arial"/>
          <w:sz w:val="17"/>
          <w:szCs w:val="17"/>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49530</wp:posOffset>
            </wp:positionV>
            <wp:extent cx="7251065"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60"/>
          </w:cols>
          <w:pgMar w:left="280" w:top="121" w:right="259" w:bottom="1440" w:gutter="0" w:footer="0" w:header="0"/>
        </w:sectPr>
      </w:pPr>
    </w:p>
    <w:bookmarkStart w:id="260" w:name="page261"/>
    <w:bookmarkEnd w:id="260"/>
    <w:p>
      <w:pPr>
        <w:ind w:left="680" w:right="40" w:hanging="624"/>
        <w:spacing w:after="0" w:line="288" w:lineRule="auto"/>
        <w:tabs>
          <w:tab w:leader="none" w:pos="6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KKR/Berkshire Direct Transferee</w:t>
      </w:r>
      <w:r>
        <w:rPr>
          <w:rFonts w:ascii="Arial" w:cs="Arial" w:eastAsia="Arial" w:hAnsi="Arial"/>
          <w:sz w:val="16"/>
          <w:szCs w:val="16"/>
          <w:color w:val="auto"/>
        </w:rPr>
        <w:t>” means any person that acquires (other than in a registered public offering or through a broker’s transaction executed on any securities exchange or other over-the-counter market) directly from any of KKR, Berkshire or any of their respective affiliates or successors or any “group,” or any member of any such group, of which such persons are a party under Rule 13d-5 of the Exchange Act beneficial ownership of 5% or more of the then-outstanding voting stock of the Corporation.</w:t>
      </w:r>
    </w:p>
    <w:p>
      <w:pPr>
        <w:spacing w:after="0" w:line="159" w:lineRule="exact"/>
        <w:rPr>
          <w:rFonts w:ascii="Arial" w:cs="Arial" w:eastAsia="Arial" w:hAnsi="Arial"/>
          <w:sz w:val="16"/>
          <w:szCs w:val="16"/>
          <w:color w:val="auto"/>
        </w:rPr>
      </w:pPr>
    </w:p>
    <w:p>
      <w:pPr>
        <w:ind w:left="680" w:hanging="624"/>
        <w:spacing w:after="0" w:line="266" w:lineRule="auto"/>
        <w:tabs>
          <w:tab w:leader="none" w:pos="6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KKR/Berkshire Indirect Transferee</w:t>
      </w:r>
      <w:r>
        <w:rPr>
          <w:rFonts w:ascii="Arial" w:cs="Arial" w:eastAsia="Arial" w:hAnsi="Arial"/>
          <w:sz w:val="17"/>
          <w:szCs w:val="17"/>
          <w:color w:val="auto"/>
        </w:rPr>
        <w:t>” means any person that acquires (other than in a registered public offering or through a broker’s transaction executed on any securities exchange or other over-the-counter market) directly from any KKR/Berkshire Direct Transferee or any other KKR/Berkshire Indirect Transferee beneficial ownership of 5% or more of the then-outstanding voting stock of the Corporation.</w:t>
      </w:r>
    </w:p>
    <w:p>
      <w:pPr>
        <w:spacing w:after="0" w:line="176" w:lineRule="exact"/>
        <w:rPr>
          <w:rFonts w:ascii="Arial" w:cs="Arial" w:eastAsia="Arial" w:hAnsi="Arial"/>
          <w:sz w:val="17"/>
          <w:szCs w:val="17"/>
          <w:color w:val="auto"/>
        </w:rPr>
      </w:pPr>
    </w:p>
    <w:p>
      <w:pPr>
        <w:ind w:left="680" w:hanging="624"/>
        <w:spacing w:after="0"/>
        <w:tabs>
          <w:tab w:leader="none" w:pos="6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when used in reference to the Corporation and any interested stockholder of the Corporation, means:</w:t>
      </w:r>
    </w:p>
    <w:p>
      <w:pPr>
        <w:spacing w:after="0" w:line="247" w:lineRule="exact"/>
        <w:rPr>
          <w:rFonts w:ascii="Arial" w:cs="Arial" w:eastAsia="Arial" w:hAnsi="Arial"/>
          <w:sz w:val="17"/>
          <w:szCs w:val="17"/>
          <w:color w:val="auto"/>
        </w:rPr>
      </w:pPr>
    </w:p>
    <w:p>
      <w:pPr>
        <w:ind w:left="1300" w:right="120" w:hanging="619"/>
        <w:spacing w:after="0" w:line="266" w:lineRule="auto"/>
        <w:tabs>
          <w:tab w:leader="none" w:pos="13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176" w:lineRule="exact"/>
        <w:rPr>
          <w:rFonts w:ascii="Arial" w:cs="Arial" w:eastAsia="Arial" w:hAnsi="Arial"/>
          <w:sz w:val="17"/>
          <w:szCs w:val="17"/>
          <w:color w:val="auto"/>
        </w:rPr>
      </w:pPr>
    </w:p>
    <w:p>
      <w:pPr>
        <w:ind w:left="1300" w:right="120" w:hanging="619"/>
        <w:spacing w:after="0" w:line="307" w:lineRule="auto"/>
        <w:tabs>
          <w:tab w:leader="none" w:pos="130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49530</wp:posOffset>
            </wp:positionV>
            <wp:extent cx="725106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128" w:right="239" w:bottom="1440" w:gutter="0" w:footer="0" w:header="0"/>
        </w:sectPr>
      </w:pPr>
    </w:p>
    <w:bookmarkStart w:id="261" w:name="page262"/>
    <w:bookmarkEnd w:id="261"/>
    <w:p>
      <w:pPr>
        <w:ind w:left="1300" w:hanging="619"/>
        <w:spacing w:after="0" w:line="276" w:lineRule="auto"/>
        <w:tabs>
          <w:tab w:leader="none" w:pos="13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no case under items (c)-(e) of this subsection (iii) shall there be an increase in the interested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proportionate share of the stock of any class or series of the Corporation or of the voting stock of the Corporation (except as a result of immaterial changes due to fractional share adjustments);</w:t>
      </w:r>
    </w:p>
    <w:p>
      <w:pPr>
        <w:spacing w:after="0" w:line="172" w:lineRule="exact"/>
        <w:rPr>
          <w:rFonts w:ascii="Arial" w:cs="Arial" w:eastAsia="Arial" w:hAnsi="Arial"/>
          <w:sz w:val="16"/>
          <w:szCs w:val="16"/>
          <w:color w:val="auto"/>
        </w:rPr>
      </w:pPr>
    </w:p>
    <w:p>
      <w:pPr>
        <w:ind w:left="1300" w:right="80" w:hanging="619"/>
        <w:spacing w:after="0" w:line="284" w:lineRule="auto"/>
        <w:tabs>
          <w:tab w:leader="none" w:pos="13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2" w:lineRule="exact"/>
        <w:rPr>
          <w:rFonts w:ascii="Arial" w:cs="Arial" w:eastAsia="Arial" w:hAnsi="Arial"/>
          <w:sz w:val="16"/>
          <w:szCs w:val="16"/>
          <w:color w:val="auto"/>
        </w:rPr>
      </w:pPr>
    </w:p>
    <w:p>
      <w:pPr>
        <w:ind w:left="1300" w:right="240" w:hanging="619"/>
        <w:spacing w:after="0" w:line="323" w:lineRule="auto"/>
        <w:tabs>
          <w:tab w:leader="none" w:pos="130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37" w:lineRule="exact"/>
        <w:rPr>
          <w:rFonts w:ascii="Arial" w:cs="Arial" w:eastAsia="Arial" w:hAnsi="Arial"/>
          <w:sz w:val="15"/>
          <w:szCs w:val="15"/>
          <w:color w:val="auto"/>
        </w:rPr>
      </w:pPr>
    </w:p>
    <w:p>
      <w:pPr>
        <w:ind w:left="680" w:right="160" w:hanging="624"/>
        <w:spacing w:after="0" w:line="280" w:lineRule="auto"/>
        <w:tabs>
          <w:tab w:leader="none" w:pos="6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49530</wp:posOffset>
            </wp:positionV>
            <wp:extent cx="725106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127" w:right="239" w:bottom="1440" w:gutter="0" w:footer="0" w:header="0"/>
        </w:sectPr>
      </w:pPr>
    </w:p>
    <w:bookmarkStart w:id="262" w:name="page263"/>
    <w:bookmarkEnd w:id="262"/>
    <w:p>
      <w:pPr>
        <w:ind w:left="680" w:hanging="624"/>
        <w:spacing w:after="0" w:line="275" w:lineRule="auto"/>
        <w:tabs>
          <w:tab w:leader="none" w:pos="6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(a) KKR, Berkshire, any KKR/Berkshire Direct Transferee, any KKR/Berkshire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7" w:lineRule="exact"/>
        <w:rPr>
          <w:rFonts w:ascii="Arial" w:cs="Arial" w:eastAsia="Arial" w:hAnsi="Arial"/>
          <w:sz w:val="16"/>
          <w:szCs w:val="16"/>
          <w:color w:val="auto"/>
        </w:rPr>
      </w:pPr>
    </w:p>
    <w:p>
      <w:pPr>
        <w:ind w:left="680" w:right="360" w:hanging="624"/>
        <w:spacing w:after="0" w:line="287" w:lineRule="auto"/>
        <w:tabs>
          <w:tab w:leader="none" w:pos="6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owner</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own</w:t>
      </w:r>
      <w:r>
        <w:rPr>
          <w:rFonts w:ascii="Arial" w:cs="Arial" w:eastAsia="Arial" w:hAnsi="Arial"/>
          <w:sz w:val="17"/>
          <w:szCs w:val="17"/>
          <w:color w:val="auto"/>
        </w:rPr>
        <w:t>” and “</w:t>
      </w:r>
      <w:r>
        <w:rPr>
          <w:rFonts w:ascii="Arial" w:cs="Arial" w:eastAsia="Arial" w:hAnsi="Arial"/>
          <w:sz w:val="17"/>
          <w:szCs w:val="17"/>
          <w:u w:val="single" w:color="auto"/>
          <w:color w:val="auto"/>
        </w:rPr>
        <w:t>owned</w:t>
      </w:r>
      <w:r>
        <w:rPr>
          <w:rFonts w:ascii="Arial" w:cs="Arial" w:eastAsia="Arial" w:hAnsi="Arial"/>
          <w:sz w:val="17"/>
          <w:szCs w:val="17"/>
          <w:color w:val="auto"/>
        </w:rPr>
        <w:t>,” when used with respect to any stock, means a person that individually or with or through any of its affiliates or associates:</w:t>
      </w:r>
    </w:p>
    <w:p>
      <w:pPr>
        <w:spacing w:after="0" w:line="158" w:lineRule="exact"/>
        <w:rPr>
          <w:rFonts w:ascii="Arial" w:cs="Arial" w:eastAsia="Arial" w:hAnsi="Arial"/>
          <w:sz w:val="17"/>
          <w:szCs w:val="17"/>
          <w:color w:val="auto"/>
        </w:rPr>
      </w:pPr>
    </w:p>
    <w:p>
      <w:pPr>
        <w:ind w:left="1300" w:hanging="619"/>
        <w:spacing w:after="0"/>
        <w:tabs>
          <w:tab w:leader="none" w:pos="13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beneficially owns such stock, directly or indirectly; or</w:t>
      </w:r>
    </w:p>
    <w:p>
      <w:pPr>
        <w:spacing w:after="0" w:line="247" w:lineRule="exact"/>
        <w:rPr>
          <w:rFonts w:ascii="Arial" w:cs="Arial" w:eastAsia="Arial" w:hAnsi="Arial"/>
          <w:sz w:val="17"/>
          <w:szCs w:val="17"/>
          <w:color w:val="auto"/>
        </w:rPr>
      </w:pPr>
    </w:p>
    <w:p>
      <w:pPr>
        <w:ind w:left="1300" w:hanging="619"/>
        <w:spacing w:after="0" w:line="278" w:lineRule="auto"/>
        <w:tabs>
          <w:tab w:leader="none" w:pos="13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deemed the owner of any stock because of such person’s right to vote such stock if the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arrangement or understanding to vote such stock arises solely from a revocable proxy or consent given in response to a proxy or consent solicitation made to ten (10) or more persons; or</w:t>
      </w:r>
    </w:p>
    <w:p>
      <w:pPr>
        <w:spacing w:after="0" w:line="172" w:lineRule="exact"/>
        <w:rPr>
          <w:rFonts w:ascii="Arial" w:cs="Arial" w:eastAsia="Arial" w:hAnsi="Arial"/>
          <w:sz w:val="16"/>
          <w:szCs w:val="16"/>
          <w:color w:val="auto"/>
        </w:rPr>
      </w:pPr>
    </w:p>
    <w:p>
      <w:pPr>
        <w:ind w:left="1300" w:right="120" w:hanging="619"/>
        <w:spacing w:after="0" w:line="296" w:lineRule="auto"/>
        <w:tabs>
          <w:tab w:leader="none" w:pos="13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49530</wp:posOffset>
            </wp:positionV>
            <wp:extent cx="725106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180"/>
          </w:cols>
          <w:pgMar w:left="1440" w:top="127" w:right="279" w:bottom="1440" w:gutter="0" w:footer="0" w:header="0"/>
        </w:sectPr>
      </w:pPr>
    </w:p>
    <w:bookmarkStart w:id="263" w:name="page264"/>
    <w:bookmarkEnd w:id="263"/>
    <w:p>
      <w:pPr>
        <w:ind w:left="1840" w:hanging="624"/>
        <w:spacing w:after="0"/>
        <w:tabs>
          <w:tab w:leader="none" w:pos="18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partnership, unincorporated association or other entity.</w:t>
      </w:r>
    </w:p>
    <w:p>
      <w:pPr>
        <w:spacing w:after="0" w:line="247" w:lineRule="exact"/>
        <w:rPr>
          <w:rFonts w:ascii="Arial" w:cs="Arial" w:eastAsia="Arial" w:hAnsi="Arial"/>
          <w:sz w:val="17"/>
          <w:szCs w:val="17"/>
          <w:color w:val="auto"/>
        </w:rPr>
      </w:pPr>
    </w:p>
    <w:p>
      <w:pPr>
        <w:ind w:left="1840" w:hanging="624"/>
        <w:spacing w:after="0"/>
        <w:tabs>
          <w:tab w:leader="none" w:pos="18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247" w:lineRule="exact"/>
        <w:rPr>
          <w:rFonts w:ascii="Arial" w:cs="Arial" w:eastAsia="Arial" w:hAnsi="Arial"/>
          <w:sz w:val="17"/>
          <w:szCs w:val="17"/>
          <w:color w:val="auto"/>
        </w:rPr>
      </w:pPr>
    </w:p>
    <w:p>
      <w:pPr>
        <w:ind w:left="1840" w:hanging="624"/>
        <w:spacing w:after="0"/>
        <w:tabs>
          <w:tab w:leader="none" w:pos="18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stock of any class or series entitled to vote generally in the election of directors.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54" w:lineRule="exact"/>
        <w:rPr>
          <w:sz w:val="20"/>
          <w:szCs w:val="20"/>
          <w:color w:val="auto"/>
        </w:rPr>
      </w:pPr>
    </w:p>
    <w:p>
      <w:pPr>
        <w:ind w:left="-40" w:firstLine="630"/>
        <w:spacing w:after="0" w:line="259" w:lineRule="auto"/>
        <w:tabs>
          <w:tab w:leader="none" w:pos="127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any provision or provisions of this Second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Second Amended and Restated Certificate of Incorporation (including, without limitation, each portion of any paragraph of this Second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Second Amended and Restated Certificate of Incorporation (including, without limitation, each such portion of any paragraph of this Second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213" w:lineRule="exact"/>
        <w:rPr>
          <w:rFonts w:ascii="Arial" w:cs="Arial" w:eastAsia="Arial" w:hAnsi="Arial"/>
          <w:sz w:val="17"/>
          <w:szCs w:val="17"/>
          <w:color w:val="auto"/>
        </w:rPr>
      </w:pPr>
    </w:p>
    <w:p>
      <w:pPr>
        <w:ind w:left="-40" w:right="20" w:firstLine="630"/>
        <w:spacing w:after="0" w:line="277" w:lineRule="auto"/>
        <w:tabs>
          <w:tab w:leader="none" w:pos="131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or other employee or stockholder of the Corporation to the Corporation or the Corporation’s stockholders, creditors or other constituents, (iii) any action asserting a claim against the Corporation or any director or officer of the Corporation arising pursuant to any provision of the DGCL or this Second Amended and Restated Certificate of Incorporation or the Bylaws (as either may be amended and/or restated from time to time) or as to which the DGCL confers jurisdiction on the Court of Chancery of the State of Delaware, or (iv) any action asserting a claim against the Corporation or any director or officer of the Corporation governed by the internal affairs doctrine; </w:t>
      </w:r>
      <w:r>
        <w:rPr>
          <w:rFonts w:ascii="Arial" w:cs="Arial" w:eastAsia="Arial" w:hAnsi="Arial"/>
          <w:sz w:val="16"/>
          <w:szCs w:val="16"/>
          <w:i w:val="1"/>
          <w:iCs w:val="1"/>
          <w:color w:val="auto"/>
        </w:rPr>
        <w:t>provided</w:t>
      </w:r>
      <w:r>
        <w:rPr>
          <w:rFonts w:ascii="Arial" w:cs="Arial" w:eastAsia="Arial" w:hAnsi="Arial"/>
          <w:sz w:val="16"/>
          <w:szCs w:val="16"/>
          <w:color w:val="auto"/>
        </w:rPr>
        <w:t>, that, if and only if the Court of Chancery of the State of Delaware dismisses any such action for lack of subject matter jurisdiction, such action may be brought in another state court sitting in the State of Delaware. To the fullest extent permitted by law, any person or entity purchasing or otherwise acquiring or holding any interest in shares of capital stock of the Corporation shall be deemed to have notice of and consented to the provisions of this Article XI(B).</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49530</wp:posOffset>
            </wp:positionV>
            <wp:extent cx="725106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60"/>
          </w:cols>
          <w:pgMar w:left="280" w:top="127" w:right="259" w:bottom="1440" w:gutter="0" w:footer="0" w:header="0"/>
        </w:sectPr>
      </w:pPr>
    </w:p>
    <w:bookmarkStart w:id="264" w:name="page265"/>
    <w:bookmarkEnd w:id="264"/>
    <w:p>
      <w:pPr>
        <w:ind w:firstLine="626"/>
        <w:spacing w:after="0" w:line="294"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National Vision Holdings, Inc. has caused this Second Amended and Restated Certificate of Incorporation to be executed by</w:t>
      </w:r>
      <w:r>
        <w:rPr>
          <w:rFonts w:ascii="Arial" w:cs="Arial" w:eastAsia="Arial" w:hAnsi="Arial"/>
          <w:sz w:val="17"/>
          <w:szCs w:val="17"/>
          <w:b w:val="1"/>
          <w:bCs w:val="1"/>
          <w:color w:val="auto"/>
        </w:rPr>
        <w:t xml:space="preserve"> </w:t>
      </w:r>
      <w:r>
        <w:rPr>
          <w:rFonts w:ascii="Arial" w:cs="Arial" w:eastAsia="Arial" w:hAnsi="Arial"/>
          <w:sz w:val="17"/>
          <w:szCs w:val="17"/>
          <w:color w:val="auto"/>
        </w:rPr>
        <w:t>its duly authorized officer on this __ day of ____________, 2017.</w:t>
      </w:r>
    </w:p>
    <w:p>
      <w:pPr>
        <w:spacing w:after="0" w:line="17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National Vision Holdings, Inc.</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15875</wp:posOffset>
            </wp:positionV>
            <wp:extent cx="3261360"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Mitchell Goodman</w:t>
      </w:r>
    </w:p>
    <w:p>
      <w:pPr>
        <w:spacing w:after="0" w:line="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7"/>
          <w:szCs w:val="17"/>
          <w:color w:val="auto"/>
        </w:rPr>
        <w:t>Title:</w:t>
        <w:tab/>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[Signature Page to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5106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251065" cy="33020"/>
                    </a:xfrm>
                    <a:prstGeom prst="rect">
                      <a:avLst/>
                    </a:prstGeom>
                    <a:noFill/>
                  </pic:spPr>
                </pic:pic>
              </a:graphicData>
            </a:graphic>
          </wp:anchor>
        </w:drawing>
        <w:t>Exhibit 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Offices</w:t>
      </w:r>
    </w:p>
    <w:p>
      <w:pPr>
        <w:spacing w:after="0" w:line="280" w:lineRule="exact"/>
        <w:rPr>
          <w:sz w:val="20"/>
          <w:szCs w:val="20"/>
          <w:color w:val="auto"/>
        </w:rPr>
      </w:pPr>
    </w:p>
    <w:p>
      <w:pPr>
        <w:ind w:right="40" w:firstLine="1252"/>
        <w:spacing w:after="0" w:line="266"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and registered agent of National Vision Holdings,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State of Delaware shall be as set forth in the Second Amended and Restated Certificate of Incorporation (as defined below). The Corporation may also have offices in such other places in the United States or elsewhere (and may change the Corporation’s registered agent) as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Directors</w:t>
      </w:r>
      <w:r>
        <w:rPr>
          <w:rFonts w:ascii="Arial" w:cs="Arial" w:eastAsia="Arial" w:hAnsi="Arial"/>
          <w:sz w:val="17"/>
          <w:szCs w:val="17"/>
          <w:color w:val="auto"/>
        </w:rPr>
        <w:t>”) may, from time to time, determine or as the business of the Corporation may require.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Meetings of Stockholders</w:t>
      </w:r>
    </w:p>
    <w:p>
      <w:pPr>
        <w:spacing w:after="0" w:line="280" w:lineRule="exact"/>
        <w:rPr>
          <w:sz w:val="20"/>
          <w:szCs w:val="20"/>
          <w:color w:val="auto"/>
        </w:rPr>
      </w:pPr>
    </w:p>
    <w:p>
      <w:pPr>
        <w:ind w:right="100" w:firstLine="1252"/>
        <w:spacing w:after="0" w:line="284"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Annual Meetings</w:t>
      </w:r>
      <w:r>
        <w:rPr>
          <w:rFonts w:ascii="Arial" w:cs="Arial" w:eastAsia="Arial" w:hAnsi="Arial"/>
          <w:sz w:val="16"/>
          <w:szCs w:val="16"/>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meetings of stockholders shall not be held at any place, but may instead be held solely by means of remote communication as described in Section 2.11 of these Bylaws in accordance with Section 211(a)(2)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The Board of Directors may postpone, reschedule or cancel any annual meeting of stockholders previously scheduled by the Board of Directors.</w:t>
      </w:r>
    </w:p>
    <w:p>
      <w:pPr>
        <w:spacing w:after="0" w:line="215" w:lineRule="exact"/>
        <w:rPr>
          <w:sz w:val="20"/>
          <w:szCs w:val="20"/>
          <w:color w:val="auto"/>
        </w:rPr>
      </w:pPr>
    </w:p>
    <w:p>
      <w:pPr>
        <w:ind w:right="60" w:firstLine="1252"/>
        <w:spacing w:after="0" w:line="25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Arial" w:cs="Arial" w:eastAsia="Arial" w:hAnsi="Arial"/>
          <w:sz w:val="17"/>
          <w:szCs w:val="17"/>
          <w:u w:val="single" w:color="auto"/>
          <w:color w:val="auto"/>
        </w:rPr>
        <w:t>Second Amended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Restated Certificate of Incorporation</w:t>
      </w:r>
      <w:r>
        <w:rPr>
          <w:rFonts w:ascii="Arial" w:cs="Arial" w:eastAsia="Arial" w:hAnsi="Arial"/>
          <w:sz w:val="17"/>
          <w:szCs w:val="17"/>
          <w:color w:val="auto"/>
        </w:rPr>
        <w:t xml:space="preserve">”) and may be held at such place, if any, either within or without the State of Delaware, and at such time and date as the Board of Directors or the Chairman of the Board of Directors shall determine and state in the notice of meeting. The Board of Directors may postpone, reschedule or cancel any special meeting of stockholders previously scheduled by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any special meeting of stockholders previously scheduled by the Board of Directors or the Chairman of the Board of Directors at the request of KKR (as defined in the Second Amended and Restated Certificate of Incorporation) or Berkshire (as defined in the Second Amended and Restated Certificate of Incorporation), the Board of Directors shall not postpone, reschedule or cancel such special meeting without the prior written consent of KKR or Berkshire,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250825</wp:posOffset>
            </wp:positionV>
            <wp:extent cx="725106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66" w:name="page267"/>
    <w:bookmarkEnd w:id="266"/>
    <w:p>
      <w:pPr>
        <w:ind w:left="1260"/>
        <w:spacing w:after="0"/>
        <w:tabs>
          <w:tab w:leader="none" w:pos="284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5"/>
          <w:szCs w:val="15"/>
          <w:u w:val="single" w:color="auto"/>
          <w:color w:val="auto"/>
        </w:rPr>
        <w:t>Notice of Stockholder Business and Nominations</w:t>
      </w:r>
      <w:r>
        <w:rPr>
          <w:rFonts w:ascii="Arial" w:cs="Arial" w:eastAsia="Arial" w:hAnsi="Arial"/>
          <w:sz w:val="15"/>
          <w:szCs w:val="15"/>
          <w:color w:val="auto"/>
        </w:rPr>
        <w:t>.</w:t>
      </w:r>
    </w:p>
    <w:p>
      <w:pPr>
        <w:spacing w:after="0" w:line="274" w:lineRule="exact"/>
        <w:rPr>
          <w:sz w:val="20"/>
          <w:szCs w:val="20"/>
          <w:color w:val="auto"/>
        </w:rPr>
      </w:pPr>
    </w:p>
    <w:p>
      <w:pPr>
        <w:ind w:left="1960" w:hanging="704"/>
        <w:spacing w:after="0"/>
        <w:tabs>
          <w:tab w:leader="none" w:pos="196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w:t>
      </w:r>
    </w:p>
    <w:p>
      <w:pPr>
        <w:spacing w:after="0" w:line="274" w:lineRule="exact"/>
        <w:rPr>
          <w:sz w:val="20"/>
          <w:szCs w:val="20"/>
          <w:color w:val="auto"/>
        </w:rPr>
      </w:pPr>
    </w:p>
    <w:p>
      <w:pPr>
        <w:ind w:right="20" w:firstLine="1256"/>
        <w:spacing w:after="0" w:line="261" w:lineRule="auto"/>
        <w:tabs>
          <w:tab w:leader="none" w:pos="197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made at an annual meeting of stockholders only (a) as provided in the Stockholders Agreement (as defined in the Second Amended and Restated Certificate of Incorporation) (with respect to nominations of persons for election to the Board of Directors only), (b) pursuant to the Corporation’s notice of meeting (or any supplement thereto) delivered pursuant to Section 2.04 of Article II of these Bylaws, (c) by or at the direction of the Board of Directors or any authorized committee thereof or (d) by any stockholder of the Corporation who is entitled to vote at the meeting, who, subject to paragraph (C)(4) of this Section 2.03, complied with the notice procedures set forth in paragraphs (A)(2) and (A)(3) of this Section 2.03 and who was a stockholder of record at the time such notice is delivered to the Secretary of the Corporation.</w:t>
      </w:r>
    </w:p>
    <w:p>
      <w:pPr>
        <w:spacing w:after="0" w:line="232" w:lineRule="exact"/>
        <w:rPr>
          <w:rFonts w:ascii="Arial" w:cs="Arial" w:eastAsia="Arial" w:hAnsi="Arial"/>
          <w:sz w:val="17"/>
          <w:szCs w:val="17"/>
          <w:color w:val="auto"/>
        </w:rPr>
      </w:pPr>
    </w:p>
    <w:p>
      <w:pPr>
        <w:ind w:firstLine="1256"/>
        <w:spacing w:after="0" w:line="293" w:lineRule="auto"/>
        <w:tabs>
          <w:tab w:leader="none" w:pos="197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For nominations or other business to be properly brought before an annual meeting by a stockholder pursuant to clause (d) of paragraph (A)(1) of this Section 2.03,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first anniversary of the preceding year’s annual meeting (which date shall, for purposes of the</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Corporation’s first annual meeting of stockholders after its shares of Common Stock are first publicly traded, be deemed to have occurred on );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the date of the annual meeting is advanced by more than thirty (30) days or delayed by more than seventy (70) days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anniversary date of the previous year’s meeting, or if no annual meeting was held in the preceding year, notice by the stockholder to be timely must be so delivered not earlier than one hundred and twenty (120) days prior to such annual meeting and not later than the close of business on the later of the ninetieth (90th) day prior to such annual meeting or the tenth (10th) day following the day on which public announcement of the date of such meeting is first made.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67" w:name="page268"/>
    <w:bookmarkEnd w:id="267"/>
    <w:p>
      <w:pPr>
        <w:ind w:firstLine="1256"/>
        <w:spacing w:after="0" w:line="291" w:lineRule="auto"/>
        <w:tabs>
          <w:tab w:leader="none" w:pos="1975"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to solicit proxies or votes from stockholders in support of such proposal or nomination, (v) a certification regarding whether such stockholder and beneficial owner, if any, have complied with all applicable federal, state and other legal requirements in connection with (x) the stockholder’s and/or beneficial owner’s acquisition of shares of capital stock or other securities of the Corporation and/or the stockholder’s and/or (y) the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5"/>
          <w:szCs w:val="15"/>
          <w:u w:val="single" w:color="auto"/>
          <w:color w:val="auto"/>
        </w:rPr>
        <w:t>proponent persons</w:t>
      </w:r>
      <w:r>
        <w:rPr>
          <w:rFonts w:ascii="Arial" w:cs="Arial" w:eastAsia="Arial" w:hAnsi="Arial"/>
          <w:sz w:val="15"/>
          <w:szCs w:val="15"/>
          <w:color w:val="auto"/>
        </w:rPr>
        <w:t xml:space="preserve">”);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68" w:name="page269"/>
    <w:bookmarkEnd w:id="268"/>
    <w:p>
      <w:pPr>
        <w:ind w:left="-20" w:firstLine="1256"/>
        <w:spacing w:after="0" w:line="275" w:lineRule="auto"/>
        <w:tabs>
          <w:tab w:leader="none" w:pos="1932"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as provided in the Stockholders Agreement, (2) by or at the direction of the Board of Directors or any committee thereof or (3) provided that the Board of Directors (or KKR or Berkshire pursuant to Section B of Article VIII of the Second Amended and Restated Certificate of Incorporation) has determined that directors shall be elected at such meeting, by any stockholder of the Corporation who is entitled to vote at the meeting, who (subject to paragraph (C)(4) of this Section 2.03) complies with the notice procedures set forth in this Section 2.03 and who is a stockholder of record at the time such notice is delivered to the Secretary of the Corporation. In the event a special meeting of stockholders is called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wp:posOffset>
            </wp:positionV>
            <wp:extent cx="725106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80"/>
          </w:cols>
          <w:pgMar w:left="260" w:top="388" w:right="259" w:bottom="1440" w:gutter="0" w:footer="0" w:header="0"/>
        </w:sectPr>
      </w:pPr>
    </w:p>
    <w:bookmarkStart w:id="269" w:name="page270"/>
    <w:bookmarkEnd w:id="269"/>
    <w:p>
      <w:pPr>
        <w:ind w:firstLine="1256"/>
        <w:spacing w:after="0" w:line="291" w:lineRule="auto"/>
        <w:tabs>
          <w:tab w:leader="none" w:pos="1952" w:val="left"/>
        </w:tabs>
        <w:numPr>
          <w:ilvl w:val="1"/>
          <w:numId w:val="19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(1) Except as provided in paragraph (C)(4) of this Section 2.03, only such persons who are nominated in accordance with the procedures set forth in this Section 2.03 or the Stockholders Agreement shall be eligible to serve as directors and only such business shall be conducted at an annual or special meeting of stockholders as shall have been brought before the meeting in accordance with the procedures set forth in this Section. Except as otherwise provided by law, the Second Amended and Restated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w:t>
      </w:r>
    </w:p>
    <w:p>
      <w:pPr>
        <w:spacing w:after="0" w:line="4" w:lineRule="exact"/>
        <w:rPr>
          <w:rFonts w:ascii="Arial" w:cs="Arial" w:eastAsia="Arial" w:hAnsi="Arial"/>
          <w:sz w:val="15"/>
          <w:szCs w:val="15"/>
          <w:color w:val="auto"/>
        </w:rPr>
      </w:pPr>
    </w:p>
    <w:p>
      <w:pPr>
        <w:ind w:right="60" w:firstLine="4"/>
        <w:spacing w:after="0" w:line="275" w:lineRule="auto"/>
        <w:tabs>
          <w:tab w:leader="none" w:pos="24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0" w:name="page271"/>
    <w:bookmarkEnd w:id="270"/>
    <w:p>
      <w:pPr>
        <w:ind w:right="300" w:firstLine="1256"/>
        <w:spacing w:after="0" w:line="312" w:lineRule="auto"/>
        <w:tabs>
          <w:tab w:leader="none" w:pos="1975" w:val="left"/>
        </w:tabs>
        <w:numPr>
          <w:ilvl w:val="0"/>
          <w:numId w:val="197"/>
        </w:numPr>
        <w:rPr>
          <w:rFonts w:ascii="Arial" w:cs="Arial" w:eastAsia="Arial" w:hAnsi="Arial"/>
          <w:sz w:val="15"/>
          <w:szCs w:val="15"/>
          <w:color w:val="auto"/>
        </w:rPr>
      </w:pPr>
      <w:r>
        <w:rPr>
          <w:rFonts w:ascii="Arial" w:cs="Arial" w:eastAsia="Arial" w:hAnsi="Arial"/>
          <w:sz w:val="15"/>
          <w:szCs w:val="15"/>
          <w:color w:val="auto"/>
        </w:rPr>
        <w:t>Whenever used in these Bylaws, “</w:t>
      </w:r>
      <w:r>
        <w:rPr>
          <w:rFonts w:ascii="Arial" w:cs="Arial" w:eastAsia="Arial" w:hAnsi="Arial"/>
          <w:sz w:val="15"/>
          <w:szCs w:val="15"/>
          <w:u w:val="single" w:color="auto"/>
          <w:color w:val="auto"/>
        </w:rPr>
        <w:t>public announcement</w:t>
      </w:r>
      <w:r>
        <w:rPr>
          <w:rFonts w:ascii="Arial" w:cs="Arial" w:eastAsia="Arial" w:hAnsi="Arial"/>
          <w:sz w:val="15"/>
          <w:szCs w:val="15"/>
          <w:color w:val="auto"/>
        </w:rPr>
        <w:t xml:space="preserve">” shall mean disclosure (a) in a press release released by the Corporation,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such press release is released by the Corporation following its customary procedures, is reported by the Dow Jones News Service, Associated Press or</w:t>
      </w:r>
      <w:r>
        <w:rPr>
          <w:rFonts w:ascii="Arial" w:cs="Arial" w:eastAsia="Arial" w:hAnsi="Arial"/>
          <w:sz w:val="15"/>
          <w:szCs w:val="15"/>
          <w:i w:val="1"/>
          <w:iCs w:val="1"/>
          <w:color w:val="auto"/>
        </w:rPr>
        <w:t xml:space="preserve"> </w:t>
      </w:r>
      <w:r>
        <w:rPr>
          <w:rFonts w:ascii="Arial" w:cs="Arial" w:eastAsia="Arial" w:hAnsi="Arial"/>
          <w:sz w:val="15"/>
          <w:szCs w:val="15"/>
          <w:color w:val="auto"/>
        </w:rPr>
        <w:t>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98" w:lineRule="exact"/>
        <w:rPr>
          <w:rFonts w:ascii="Arial" w:cs="Arial" w:eastAsia="Arial" w:hAnsi="Arial"/>
          <w:sz w:val="15"/>
          <w:szCs w:val="15"/>
          <w:color w:val="auto"/>
        </w:rPr>
      </w:pPr>
    </w:p>
    <w:p>
      <w:pPr>
        <w:ind w:firstLine="1256"/>
        <w:spacing w:after="0" w:line="280" w:lineRule="auto"/>
        <w:tabs>
          <w:tab w:leader="none" w:pos="197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hereof), and compliance with paragraphs (A)(1)(d) and (B) of this Section 2.03 of these Bylaws 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spacing w:after="0" w:line="218" w:lineRule="exact"/>
        <w:rPr>
          <w:rFonts w:ascii="Arial" w:cs="Arial" w:eastAsia="Arial" w:hAnsi="Arial"/>
          <w:sz w:val="16"/>
          <w:szCs w:val="16"/>
          <w:color w:val="auto"/>
        </w:rPr>
      </w:pPr>
    </w:p>
    <w:p>
      <w:pPr>
        <w:ind w:right="20" w:firstLine="1256"/>
        <w:spacing w:after="0" w:line="288" w:lineRule="auto"/>
        <w:tabs>
          <w:tab w:leader="none" w:pos="197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2.03, for as long as (i) the Stockholders Agreement remains in effect with respect to KKR and Berkshire and/or (ii) KKR and Berkshire beneficially own collectively, in the aggregate, at least 40% in voting power of the stock of the Corporation entitled to vote generally in the election of directors, KKR and Berkshire (to the extent then subject to the Stockholders Agreement) shall not be subject to the notice procedures set forth in paragraphs (A)(2), (A)(3) or (B) of this Section 2.03 with respect to any annual or special meeting of stockholders.</w:t>
      </w:r>
    </w:p>
    <w:p>
      <w:pPr>
        <w:spacing w:after="0" w:line="212" w:lineRule="exact"/>
        <w:rPr>
          <w:sz w:val="20"/>
          <w:szCs w:val="20"/>
          <w:color w:val="auto"/>
        </w:rPr>
      </w:pPr>
    </w:p>
    <w:p>
      <w:pPr>
        <w:ind w:firstLine="1252"/>
        <w:spacing w:after="0" w:line="25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 record entitled to vote thereat as of the record date for determining the stockholders entitled to notice of the meeting. Unless otherwise provided by law, the Second Amended and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1" w:name="page272"/>
    <w:bookmarkEnd w:id="271"/>
    <w:p>
      <w:pPr>
        <w:ind w:firstLine="1252"/>
        <w:spacing w:after="0" w:line="28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Quorum</w:t>
      </w:r>
      <w:r>
        <w:rPr>
          <w:rFonts w:ascii="Arial" w:cs="Arial" w:eastAsia="Arial" w:hAnsi="Arial"/>
          <w:sz w:val="16"/>
          <w:szCs w:val="16"/>
          <w:color w:val="auto"/>
        </w:rPr>
        <w:t>. Unless otherwise required by law, the Second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220" w:lineRule="exact"/>
        <w:rPr>
          <w:sz w:val="20"/>
          <w:szCs w:val="20"/>
          <w:color w:val="auto"/>
        </w:rPr>
      </w:pPr>
    </w:p>
    <w:p>
      <w:pPr>
        <w:ind w:right="20" w:firstLine="1252"/>
        <w:spacing w:after="0" w:line="275"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Voting</w:t>
      </w:r>
      <w:r>
        <w:rPr>
          <w:rFonts w:ascii="Arial" w:cs="Arial" w:eastAsia="Arial" w:hAnsi="Arial"/>
          <w:sz w:val="16"/>
          <w:szCs w:val="16"/>
          <w:color w:val="auto"/>
        </w:rPr>
        <w:t>. Except as otherwise provided by or pursuant to the provisions of the Second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Second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Second Amended and Restated Certificate of Incorporation or of these Bylaws, a different vote is required, in which case such express provision shall govern and control the decision of such question. Notwithstanding the foregoing sentence and subject to the Second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225" w:lineRule="exact"/>
        <w:rPr>
          <w:sz w:val="20"/>
          <w:szCs w:val="20"/>
          <w:color w:val="auto"/>
        </w:rPr>
      </w:pPr>
    </w:p>
    <w:p>
      <w:pPr>
        <w:jc w:val="both"/>
        <w:ind w:right="20" w:firstLine="1252"/>
        <w:spacing w:after="0" w:line="271"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Chairman of Meetings</w:t>
      </w:r>
      <w:r>
        <w:rPr>
          <w:rFonts w:ascii="Arial" w:cs="Arial" w:eastAsia="Arial" w:hAnsi="Arial"/>
          <w:sz w:val="17"/>
          <w:szCs w:val="17"/>
          <w:color w:val="auto"/>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spacing w:after="0" w:line="224" w:lineRule="exact"/>
        <w:rPr>
          <w:sz w:val="20"/>
          <w:szCs w:val="20"/>
          <w:color w:val="auto"/>
        </w:rPr>
      </w:pPr>
    </w:p>
    <w:p>
      <w:pPr>
        <w:ind w:right="100" w:firstLine="1252"/>
        <w:spacing w:after="0" w:line="271"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Secretary of Meetings</w:t>
      </w:r>
      <w:r>
        <w:rPr>
          <w:rFonts w:ascii="Arial" w:cs="Arial" w:eastAsia="Arial" w:hAnsi="Arial"/>
          <w:sz w:val="17"/>
          <w:szCs w:val="17"/>
          <w:color w:val="auto"/>
        </w:rPr>
        <w:t>. The Secretary of the Corporation shall act as secretary at all meetings of the stockholders. In the absence or disability of the Secretary, the Chairman of the Board of Directors, the Chief Executive Officer or the chairman of the meeting shall appoint a person to act as secretary at such meetings.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2" w:name="page273"/>
    <w:bookmarkEnd w:id="272"/>
    <w:p>
      <w:pPr>
        <w:ind w:right="40" w:firstLine="1252"/>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Consent of Stockholders in Lieu of Meeting</w:t>
      </w:r>
      <w:r>
        <w:rPr>
          <w:rFonts w:ascii="Arial" w:cs="Arial" w:eastAsia="Arial" w:hAnsi="Arial"/>
          <w:sz w:val="17"/>
          <w:szCs w:val="17"/>
          <w:color w:val="auto"/>
        </w:rPr>
        <w:t>. Any action required or permitted to be taken at any annual or special meeting of stockholders of the Corporation may be taken without a meeting, without prior notice and without a vote only in the manner provided in the Second Amended and Restated Certificate of Incorporation and in accordance with applicable law.</w:t>
      </w:r>
    </w:p>
    <w:p>
      <w:pPr>
        <w:spacing w:after="0" w:line="224" w:lineRule="exact"/>
        <w:rPr>
          <w:sz w:val="20"/>
          <w:szCs w:val="20"/>
          <w:color w:val="auto"/>
        </w:rPr>
      </w:pPr>
    </w:p>
    <w:p>
      <w:pPr>
        <w:ind w:right="20" w:firstLine="1252"/>
        <w:spacing w:after="0" w:line="25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Adjournment</w:t>
      </w:r>
      <w:r>
        <w:rPr>
          <w:rFonts w:ascii="Arial" w:cs="Arial" w:eastAsia="Arial" w:hAnsi="Arial"/>
          <w:sz w:val="17"/>
          <w:szCs w:val="17"/>
          <w:color w:val="auto"/>
        </w:rPr>
        <w:t>. At any meeting of stockholders of the Corporation, if less than a quorum be present, the chairman of the meeting or stockholders holding a majority in voting power of the shares of stock of the Corporation, present in person or by proxy and entitled to vote thereat,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239" w:lineRule="exact"/>
        <w:rPr>
          <w:sz w:val="20"/>
          <w:szCs w:val="20"/>
          <w:color w:val="auto"/>
        </w:rPr>
      </w:pPr>
    </w:p>
    <w:p>
      <w:pPr>
        <w:ind w:right="160" w:firstLine="1252"/>
        <w:spacing w:after="0" w:line="271"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Remote Communication</w:t>
      </w:r>
      <w:r>
        <w:rPr>
          <w:rFonts w:ascii="Arial" w:cs="Arial" w:eastAsia="Arial" w:hAnsi="Arial"/>
          <w:sz w:val="17"/>
          <w:szCs w:val="17"/>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224" w:lineRule="exact"/>
        <w:rPr>
          <w:sz w:val="20"/>
          <w:szCs w:val="20"/>
          <w:color w:val="auto"/>
        </w:rPr>
      </w:pPr>
    </w:p>
    <w:p>
      <w:pPr>
        <w:ind w:left="1960" w:hanging="704"/>
        <w:spacing w:after="0"/>
        <w:tabs>
          <w:tab w:leader="none" w:pos="19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participate in a meeting of stockholders; and</w:t>
      </w:r>
    </w:p>
    <w:p>
      <w:pPr>
        <w:spacing w:after="0" w:line="273" w:lineRule="exact"/>
        <w:rPr>
          <w:rFonts w:ascii="Arial" w:cs="Arial" w:eastAsia="Arial" w:hAnsi="Arial"/>
          <w:sz w:val="17"/>
          <w:szCs w:val="17"/>
          <w:color w:val="auto"/>
        </w:rPr>
      </w:pPr>
    </w:p>
    <w:p>
      <w:pPr>
        <w:ind w:right="200" w:firstLine="1256"/>
        <w:spacing w:after="0" w:line="287" w:lineRule="auto"/>
        <w:tabs>
          <w:tab w:leader="none" w:pos="200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17"/>
          <w:szCs w:val="17"/>
          <w:i w:val="1"/>
          <w:iCs w:val="1"/>
          <w:color w:val="auto"/>
        </w:rPr>
        <w:t>provided</w:t>
      </w:r>
      <w:r>
        <w:rPr>
          <w:rFonts w:ascii="Arial" w:cs="Arial" w:eastAsia="Arial" w:hAnsi="Arial"/>
          <w:sz w:val="17"/>
          <w:szCs w:val="17"/>
          <w:color w:val="auto"/>
        </w:rPr>
        <w:t>, that</w:t>
      </w:r>
    </w:p>
    <w:p>
      <w:pPr>
        <w:spacing w:after="0" w:line="210" w:lineRule="exact"/>
        <w:rPr>
          <w:sz w:val="20"/>
          <w:szCs w:val="20"/>
          <w:color w:val="auto"/>
        </w:rPr>
      </w:pPr>
    </w:p>
    <w:p>
      <w:pPr>
        <w:ind w:firstLine="1256"/>
        <w:spacing w:after="0" w:line="287" w:lineRule="auto"/>
        <w:tabs>
          <w:tab w:leader="none" w:pos="197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Corporation shall implement reasonable measures to verify that each person deemed present and permitted to vote at the meeting by means of remote communication is a stockholder or proxyholder;</w:t>
      </w:r>
    </w:p>
    <w:p>
      <w:pPr>
        <w:spacing w:after="0" w:line="210" w:lineRule="exact"/>
        <w:rPr>
          <w:rFonts w:ascii="Arial" w:cs="Arial" w:eastAsia="Arial" w:hAnsi="Arial"/>
          <w:sz w:val="17"/>
          <w:szCs w:val="17"/>
          <w:color w:val="auto"/>
        </w:rPr>
      </w:pPr>
    </w:p>
    <w:p>
      <w:pPr>
        <w:ind w:firstLine="1256"/>
        <w:spacing w:after="0" w:line="271" w:lineRule="auto"/>
        <w:tabs>
          <w:tab w:leader="none" w:pos="197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224" w:lineRule="exact"/>
        <w:rPr>
          <w:rFonts w:ascii="Arial" w:cs="Arial" w:eastAsia="Arial" w:hAnsi="Arial"/>
          <w:sz w:val="17"/>
          <w:szCs w:val="17"/>
          <w:color w:val="auto"/>
        </w:rPr>
      </w:pPr>
    </w:p>
    <w:p>
      <w:pPr>
        <w:ind w:right="120" w:firstLine="1256"/>
        <w:spacing w:after="0" w:line="287" w:lineRule="auto"/>
        <w:tabs>
          <w:tab w:leader="none" w:pos="197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if any stockholder or proxyholder votes or takes other action at the meeting by means of remote communication, a record of such vote or other action shall be maintained by the Corporation.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3" w:name="page274"/>
    <w:bookmarkEnd w:id="273"/>
    <w:p>
      <w:pPr>
        <w:ind w:right="40" w:firstLine="1252"/>
        <w:spacing w:after="0" w:line="27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Board of Directors</w:t>
      </w:r>
    </w:p>
    <w:p>
      <w:pPr>
        <w:spacing w:after="0" w:line="280" w:lineRule="exact"/>
        <w:rPr>
          <w:sz w:val="20"/>
          <w:szCs w:val="20"/>
          <w:color w:val="auto"/>
        </w:rPr>
      </w:pPr>
    </w:p>
    <w:p>
      <w:pPr>
        <w:ind w:right="20" w:firstLine="1252"/>
        <w:spacing w:after="0" w:line="266"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Powers</w:t>
      </w:r>
      <w:r>
        <w:rPr>
          <w:rFonts w:ascii="Arial" w:cs="Arial" w:eastAsia="Arial" w:hAnsi="Arial"/>
          <w:sz w:val="17"/>
          <w:szCs w:val="17"/>
          <w:color w:val="auto"/>
        </w:rPr>
        <w:t>. Except as otherwise provided in the Second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Second Amended and Restated Certificate of Incorporation directed or required to be exercised or done by the stockholders.</w:t>
      </w:r>
    </w:p>
    <w:p>
      <w:pPr>
        <w:spacing w:after="0" w:line="228" w:lineRule="exact"/>
        <w:rPr>
          <w:sz w:val="20"/>
          <w:szCs w:val="20"/>
          <w:color w:val="auto"/>
        </w:rPr>
      </w:pPr>
    </w:p>
    <w:p>
      <w:pPr>
        <w:ind w:firstLine="1252"/>
        <w:spacing w:after="0" w:line="27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Number and Term; Chairman</w:t>
      </w:r>
      <w:r>
        <w:rPr>
          <w:rFonts w:ascii="Arial" w:cs="Arial" w:eastAsia="Arial" w:hAnsi="Arial"/>
          <w:sz w:val="16"/>
          <w:szCs w:val="16"/>
          <w:color w:val="auto"/>
        </w:rPr>
        <w:t>. Subject to the Second Amended and Restated Certificate of Incorporation and the Stockholders Agreement, the number of directors shall be fixed exclusively by resolution of the Board of Directors. Directors shall be elected by the stockholders at their annual meeting, and the term of each director so elected shall be as set forth in the Second Amended and Restated Certificate of Incorporation. Directors need not be stockholders. The Board of Directors shall elect a Chairman of the Board of Directors, who shall have the powers and perform such duties as provided in these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 meeting or is not a director, a majority of the directors present at such meeting shall elect one of their members to preside.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4" w:name="page275"/>
    <w:bookmarkEnd w:id="274"/>
    <w:p>
      <w:pPr>
        <w:ind w:right="100" w:firstLine="1252"/>
        <w:spacing w:after="0" w:line="26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upon notice given in writing or by electronic transmission to the Board of Directors, the Chairman of the Board of Directors, the Chief Executive Officer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228" w:lineRule="exact"/>
        <w:rPr>
          <w:sz w:val="20"/>
          <w:szCs w:val="20"/>
          <w:color w:val="auto"/>
        </w:rPr>
      </w:pPr>
    </w:p>
    <w:p>
      <w:pPr>
        <w:ind w:right="360" w:firstLine="1252"/>
        <w:spacing w:after="0" w:line="287"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Removal</w:t>
      </w:r>
      <w:r>
        <w:rPr>
          <w:rFonts w:ascii="Arial" w:cs="Arial" w:eastAsia="Arial" w:hAnsi="Arial"/>
          <w:sz w:val="17"/>
          <w:szCs w:val="17"/>
          <w:color w:val="auto"/>
        </w:rPr>
        <w:t>. Directors of the Corporation may be removed in the manner provided in the Second Amended and Restated Certificate of Incorporation, the Stockholders Agreement and applicable law.</w:t>
      </w:r>
    </w:p>
    <w:p>
      <w:pPr>
        <w:spacing w:after="0" w:line="210" w:lineRule="exact"/>
        <w:rPr>
          <w:sz w:val="20"/>
          <w:szCs w:val="20"/>
          <w:color w:val="auto"/>
        </w:rPr>
      </w:pPr>
    </w:p>
    <w:p>
      <w:pPr>
        <w:ind w:right="160" w:firstLine="1252"/>
        <w:spacing w:after="0" w:line="307" w:lineRule="auto"/>
        <w:rPr>
          <w:sz w:val="20"/>
          <w:szCs w:val="20"/>
          <w:color w:val="auto"/>
        </w:rPr>
      </w:pPr>
      <w:r>
        <w:rPr>
          <w:rFonts w:ascii="Arial" w:cs="Arial" w:eastAsia="Arial" w:hAnsi="Arial"/>
          <w:sz w:val="15"/>
          <w:szCs w:val="15"/>
          <w:color w:val="auto"/>
        </w:rPr>
        <w:t xml:space="preserve">SECTION 3.05 </w:t>
      </w:r>
      <w:r>
        <w:rPr>
          <w:rFonts w:ascii="Arial" w:cs="Arial" w:eastAsia="Arial" w:hAnsi="Arial"/>
          <w:sz w:val="15"/>
          <w:szCs w:val="15"/>
          <w:u w:val="single" w:color="auto"/>
          <w:color w:val="auto"/>
        </w:rPr>
        <w:t>Vacancies and Newly Created Directorships</w:t>
      </w:r>
      <w:r>
        <w:rPr>
          <w:rFonts w:ascii="Arial" w:cs="Arial" w:eastAsia="Arial" w:hAnsi="Arial"/>
          <w:sz w:val="15"/>
          <w:szCs w:val="15"/>
          <w:color w:val="auto"/>
        </w:rPr>
        <w:t>. Except as otherwise provided by applicable law and subject to the Stockholders Agreement, vacancies occurring in any directorship (whether by death, resignation, retirement, disqualification, removal or other cause) and newly created directorships resulting from any increase in the number of directors shall be filled in accordance with the Second Amended and Restated Certificate of Incorporation.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200" w:lineRule="exact"/>
        <w:rPr>
          <w:sz w:val="20"/>
          <w:szCs w:val="20"/>
          <w:color w:val="auto"/>
        </w:rPr>
      </w:pPr>
    </w:p>
    <w:p>
      <w:pPr>
        <w:ind w:firstLine="1252"/>
        <w:spacing w:after="0" w:line="27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Meetings</w:t>
      </w:r>
      <w:r>
        <w:rPr>
          <w:rFonts w:ascii="Arial" w:cs="Arial" w:eastAsia="Arial" w:hAnsi="Arial"/>
          <w:sz w:val="16"/>
          <w:szCs w:val="16"/>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or as provided by the Second Amended and Restated Certificate of Incorporation, and shall be called by the Chief Executive Officer or the Secretary of the Corporation if directed by the Board of Directors and shall be at such places and times as they or he or she shall fix. Special meetings of the Board of Directors may be also called by KKR or Berkshire at any time when KKR and Berkshire beneficially own collectively, in the aggregate, at least 40% in voting power of the stock of the Corporation entitled to vote generally in the election of directors, and shall be at such places and times as KKR or Berkshire, as applicable, shall fix. Notice need not be given of regular meetings of the Board of Directors. At least twenty 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220" w:lineRule="exact"/>
        <w:rPr>
          <w:sz w:val="20"/>
          <w:szCs w:val="20"/>
          <w:color w:val="auto"/>
        </w:rPr>
      </w:pPr>
    </w:p>
    <w:p>
      <w:pPr>
        <w:ind w:right="20" w:firstLine="1252"/>
        <w:spacing w:after="0" w:line="263"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Quorum, Voting and Adjournment</w:t>
      </w:r>
      <w:r>
        <w:rPr>
          <w:rFonts w:ascii="Arial" w:cs="Arial" w:eastAsia="Arial" w:hAnsi="Arial"/>
          <w:sz w:val="17"/>
          <w:szCs w:val="17"/>
          <w:color w:val="auto"/>
        </w:rPr>
        <w:t>. A majority of the total number of directors shall constitute a quorum for the transaction of business. Except as otherwise provided by law, the Second Amended and Restated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5" w:name="page276"/>
    <w:bookmarkEnd w:id="275"/>
    <w:p>
      <w:pPr>
        <w:ind w:firstLine="1252"/>
        <w:spacing w:after="0" w:line="275"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Committees; Committee Rules</w:t>
      </w:r>
      <w:r>
        <w:rPr>
          <w:rFonts w:ascii="Arial" w:cs="Arial" w:eastAsia="Arial" w:hAnsi="Arial"/>
          <w:sz w:val="16"/>
          <w:szCs w:val="16"/>
          <w:color w:val="auto"/>
        </w:rPr>
        <w:t>. The Board of Directors may designate one or more committees, including but not limited to an Audit Committee and a Compensation Committee, each such committee to consist of one or more of the directors of the Corporation subject to the terms of the Stockholders Agreement.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23" w:lineRule="exact"/>
        <w:rPr>
          <w:sz w:val="20"/>
          <w:szCs w:val="20"/>
          <w:color w:val="auto"/>
        </w:rPr>
      </w:pPr>
    </w:p>
    <w:p>
      <w:pPr>
        <w:ind w:firstLine="1252"/>
        <w:spacing w:after="0" w:line="263"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Unless otherwise restricted by the Second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233" w:lineRule="exact"/>
        <w:rPr>
          <w:sz w:val="20"/>
          <w:szCs w:val="20"/>
          <w:color w:val="auto"/>
        </w:rPr>
      </w:pPr>
    </w:p>
    <w:p>
      <w:pPr>
        <w:ind w:right="60" w:firstLine="1252"/>
        <w:spacing w:after="0" w:line="266"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Remote Meeting</w:t>
      </w:r>
      <w:r>
        <w:rPr>
          <w:rFonts w:ascii="Arial" w:cs="Arial" w:eastAsia="Arial" w:hAnsi="Arial"/>
          <w:sz w:val="17"/>
          <w:szCs w:val="17"/>
          <w:color w:val="auto"/>
        </w:rPr>
        <w:t>. Unless otherwise restricted by the Second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276" w:name="page277"/>
    <w:bookmarkEnd w:id="276"/>
    <w:p>
      <w:pPr>
        <w:ind w:right="60" w:firstLine="1252"/>
        <w:spacing w:after="0" w:line="287"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The Board of Directors shall have the authority to fix the compensation, including fees and reimbursement of expenses, of directors for services to the Corporation in any capacity.</w:t>
      </w:r>
    </w:p>
    <w:p>
      <w:pPr>
        <w:spacing w:after="0" w:line="210" w:lineRule="exact"/>
        <w:rPr>
          <w:sz w:val="20"/>
          <w:szCs w:val="20"/>
          <w:color w:val="auto"/>
        </w:rPr>
      </w:pPr>
    </w:p>
    <w:p>
      <w:pPr>
        <w:ind w:right="80" w:firstLine="1252"/>
        <w:spacing w:after="0" w:line="26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Reliance on Books and Records.</w:t>
      </w:r>
      <w:r>
        <w:rPr>
          <w:rFonts w:ascii="Arial" w:cs="Arial" w:eastAsia="Arial" w:hAnsi="Arial"/>
          <w:sz w:val="17"/>
          <w:szCs w:val="17"/>
          <w:color w:val="auto"/>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Officers</w:t>
      </w:r>
    </w:p>
    <w:p>
      <w:pPr>
        <w:spacing w:after="0" w:line="280" w:lineRule="exact"/>
        <w:rPr>
          <w:sz w:val="20"/>
          <w:szCs w:val="20"/>
          <w:color w:val="auto"/>
        </w:rPr>
      </w:pPr>
    </w:p>
    <w:p>
      <w:pPr>
        <w:ind w:firstLine="1252"/>
        <w:spacing w:after="0" w:line="26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Number.</w:t>
      </w:r>
      <w:r>
        <w:rPr>
          <w:rFonts w:ascii="Arial" w:cs="Arial" w:eastAsia="Arial" w:hAnsi="Arial"/>
          <w:sz w:val="17"/>
          <w:szCs w:val="17"/>
          <w:color w:val="auto"/>
        </w:rPr>
        <w:t xml:space="preserve"> The officers of the Corporation shall include a Chief Executive Officer, a President, a principal financial officer, a principal accounting officer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232" w:lineRule="exact"/>
        <w:rPr>
          <w:sz w:val="20"/>
          <w:szCs w:val="20"/>
          <w:color w:val="auto"/>
        </w:rPr>
      </w:pPr>
    </w:p>
    <w:p>
      <w:pPr>
        <w:jc w:val="both"/>
        <w:ind w:right="20" w:firstLine="1252"/>
        <w:spacing w:after="0" w:line="29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Other Officers and Agents</w:t>
      </w:r>
      <w:r>
        <w:rPr>
          <w:rFonts w:ascii="Arial" w:cs="Arial" w:eastAsia="Arial" w:hAnsi="Arial"/>
          <w:sz w:val="16"/>
          <w:szCs w:val="16"/>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each of whom does not need to be a member of the Board of Directors.</w:t>
      </w:r>
    </w:p>
    <w:p>
      <w:pPr>
        <w:spacing w:after="0" w:line="206" w:lineRule="exact"/>
        <w:rPr>
          <w:sz w:val="20"/>
          <w:szCs w:val="20"/>
          <w:color w:val="auto"/>
        </w:rPr>
      </w:pPr>
    </w:p>
    <w:p>
      <w:pPr>
        <w:ind w:right="140" w:firstLine="1252"/>
        <w:spacing w:after="0" w:line="262"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Chief Executive Officer/President</w:t>
      </w:r>
      <w:r>
        <w:rPr>
          <w:rFonts w:ascii="Arial" w:cs="Arial" w:eastAsia="Arial" w:hAnsi="Arial"/>
          <w:sz w:val="17"/>
          <w:szCs w:val="17"/>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spacing w:after="0" w:line="232" w:lineRule="exact"/>
        <w:rPr>
          <w:sz w:val="20"/>
          <w:szCs w:val="20"/>
          <w:color w:val="auto"/>
        </w:rPr>
      </w:pPr>
    </w:p>
    <w:p>
      <w:pPr>
        <w:jc w:val="both"/>
        <w:ind w:right="260" w:firstLine="1252"/>
        <w:spacing w:after="0" w:line="271"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7" w:name="page278"/>
    <w:bookmarkEnd w:id="277"/>
    <w:p>
      <w:pPr>
        <w:ind w:right="60" w:firstLine="1252"/>
        <w:spacing w:after="0" w:line="261"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207" w:lineRule="exact"/>
        <w:rPr>
          <w:sz w:val="20"/>
          <w:szCs w:val="20"/>
          <w:color w:val="auto"/>
        </w:rPr>
      </w:pPr>
    </w:p>
    <w:p>
      <w:pPr>
        <w:ind w:right="40" w:firstLine="1252"/>
        <w:spacing w:after="0" w:line="287" w:lineRule="auto"/>
        <w:rPr>
          <w:sz w:val="20"/>
          <w:szCs w:val="20"/>
          <w:color w:val="auto"/>
        </w:rPr>
      </w:pPr>
      <w:r>
        <w:rPr>
          <w:rFonts w:ascii="Arial" w:cs="Arial" w:eastAsia="Arial" w:hAnsi="Arial"/>
          <w:sz w:val="17"/>
          <w:szCs w:val="17"/>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210" w:lineRule="exact"/>
        <w:rPr>
          <w:sz w:val="20"/>
          <w:szCs w:val="20"/>
          <w:color w:val="auto"/>
        </w:rPr>
      </w:pPr>
    </w:p>
    <w:p>
      <w:pPr>
        <w:ind w:firstLine="1252"/>
        <w:spacing w:after="0" w:line="263"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233" w:lineRule="exact"/>
        <w:rPr>
          <w:sz w:val="20"/>
          <w:szCs w:val="20"/>
          <w:color w:val="auto"/>
        </w:rPr>
      </w:pPr>
    </w:p>
    <w:p>
      <w:pPr>
        <w:ind w:right="20" w:firstLine="1252"/>
        <w:spacing w:after="0" w:line="288"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Assistant Treasurers and Assistant Secretaries</w:t>
      </w:r>
      <w:r>
        <w:rPr>
          <w:rFonts w:ascii="Arial" w:cs="Arial" w:eastAsia="Arial" w:hAnsi="Arial"/>
          <w:sz w:val="16"/>
          <w:szCs w:val="16"/>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212" w:lineRule="exact"/>
        <w:rPr>
          <w:sz w:val="20"/>
          <w:szCs w:val="20"/>
          <w:color w:val="auto"/>
        </w:rPr>
      </w:pPr>
    </w:p>
    <w:p>
      <w:pPr>
        <w:ind w:right="60" w:firstLine="1252"/>
        <w:spacing w:after="0" w:line="266"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Corporate Funds and Checks</w:t>
      </w:r>
      <w:r>
        <w:rPr>
          <w:rFonts w:ascii="Arial" w:cs="Arial" w:eastAsia="Arial" w:hAnsi="Arial"/>
          <w:sz w:val="17"/>
          <w:szCs w:val="17"/>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228" w:lineRule="exact"/>
        <w:rPr>
          <w:sz w:val="20"/>
          <w:szCs w:val="20"/>
          <w:color w:val="auto"/>
        </w:rPr>
      </w:pPr>
    </w:p>
    <w:p>
      <w:pPr>
        <w:ind w:right="100" w:firstLine="1252"/>
        <w:spacing w:after="0" w:line="266"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Contracts and Other Documents</w:t>
      </w:r>
      <w:r>
        <w:rPr>
          <w:rFonts w:ascii="Arial" w:cs="Arial" w:eastAsia="Arial" w:hAnsi="Arial"/>
          <w:sz w:val="17"/>
          <w:szCs w:val="17"/>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8" w:name="page279"/>
    <w:bookmarkEnd w:id="278"/>
    <w:p>
      <w:pPr>
        <w:ind w:right="140" w:firstLine="1252"/>
        <w:spacing w:after="0" w:line="26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Ownership of Stock of Another Corporation</w:t>
      </w:r>
      <w:r>
        <w:rPr>
          <w:rFonts w:ascii="Arial" w:cs="Arial" w:eastAsia="Arial" w:hAnsi="Arial"/>
          <w:sz w:val="17"/>
          <w:szCs w:val="17"/>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233" w:lineRule="exact"/>
        <w:rPr>
          <w:sz w:val="20"/>
          <w:szCs w:val="20"/>
          <w:color w:val="auto"/>
        </w:rPr>
      </w:pPr>
    </w:p>
    <w:p>
      <w:pPr>
        <w:ind w:firstLine="1252"/>
        <w:spacing w:after="0" w:line="287"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In the absence, disability or refusal of any officer to exercise and perform his or her duties, the Board of Directors may delegate to another officer such powers or duties.</w:t>
      </w:r>
    </w:p>
    <w:p>
      <w:pPr>
        <w:spacing w:after="0" w:line="210" w:lineRule="exact"/>
        <w:rPr>
          <w:sz w:val="20"/>
          <w:szCs w:val="20"/>
          <w:color w:val="auto"/>
        </w:rPr>
      </w:pPr>
    </w:p>
    <w:p>
      <w:pPr>
        <w:ind w:right="60" w:firstLine="1252"/>
        <w:spacing w:after="0" w:line="287"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Resignation and Removal</w:t>
      </w:r>
      <w:r>
        <w:rPr>
          <w:rFonts w:ascii="Arial" w:cs="Arial" w:eastAsia="Arial" w:hAnsi="Arial"/>
          <w:sz w:val="17"/>
          <w:szCs w:val="17"/>
          <w:color w:val="auto"/>
        </w:rPr>
        <w:t>. Any officer of the Corporation may be removed from office for or without cause at any time by the Board of Directors. Any officer may resign at any time in the same manner prescribed under Section 3.03 of these Bylaws.</w:t>
      </w:r>
    </w:p>
    <w:p>
      <w:pPr>
        <w:spacing w:after="0" w:line="210" w:lineRule="exact"/>
        <w:rPr>
          <w:sz w:val="20"/>
          <w:szCs w:val="20"/>
          <w:color w:val="auto"/>
        </w:rPr>
      </w:pPr>
    </w:p>
    <w:p>
      <w:pPr>
        <w:ind w:left="1260"/>
        <w:spacing w:after="0"/>
        <w:tabs>
          <w:tab w:leader="none" w:pos="2840" w:val="left"/>
        </w:tabs>
        <w:rPr>
          <w:sz w:val="20"/>
          <w:szCs w:val="20"/>
          <w:color w:val="auto"/>
        </w:rPr>
      </w:pPr>
      <w:r>
        <w:rPr>
          <w:rFonts w:ascii="Arial" w:cs="Arial" w:eastAsia="Arial" w:hAnsi="Arial"/>
          <w:sz w:val="17"/>
          <w:szCs w:val="17"/>
          <w:color w:val="auto"/>
        </w:rPr>
        <w:t>SECTION 4.13</w:t>
      </w:r>
      <w:r>
        <w:rPr>
          <w:sz w:val="20"/>
          <w:szCs w:val="20"/>
          <w:color w:val="auto"/>
        </w:rPr>
        <w:tab/>
      </w:r>
      <w:r>
        <w:rPr>
          <w:rFonts w:ascii="Arial" w:cs="Arial" w:eastAsia="Arial" w:hAnsi="Arial"/>
          <w:sz w:val="15"/>
          <w:szCs w:val="15"/>
          <w:u w:val="single" w:color="auto"/>
          <w:color w:val="auto"/>
        </w:rPr>
        <w:t>Vacancies</w:t>
      </w:r>
      <w:r>
        <w:rPr>
          <w:rFonts w:ascii="Arial" w:cs="Arial" w:eastAsia="Arial" w:hAnsi="Arial"/>
          <w:sz w:val="15"/>
          <w:szCs w:val="15"/>
          <w:color w:val="auto"/>
        </w:rPr>
        <w:t>. The Board of Directors shall have the power to fill vacancies occurring in any office.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w:t>
      </w:r>
    </w:p>
    <w:p>
      <w:pPr>
        <w:spacing w:after="0" w:line="280" w:lineRule="exact"/>
        <w:rPr>
          <w:sz w:val="20"/>
          <w:szCs w:val="20"/>
          <w:color w:val="auto"/>
        </w:rPr>
      </w:pPr>
    </w:p>
    <w:p>
      <w:pPr>
        <w:ind w:right="80" w:firstLine="1252"/>
        <w:spacing w:after="0" w:line="25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Shares With Certificates</w:t>
      </w:r>
      <w:r>
        <w:rPr>
          <w:rFonts w:ascii="Arial" w:cs="Arial" w:eastAsia="Arial" w:hAnsi="Arial"/>
          <w:sz w:val="17"/>
          <w:szCs w:val="17"/>
          <w:color w:val="auto"/>
        </w:rPr>
        <w:t xml:space="preserve">. The shares of stock of the Corporation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 the Chairman of the Board of Directors, the Vice Chairman of the Board of Directors, the Chief Executive Officer or a Vice President and (b) the Treasurer, an Assistant Treasurer, the Secretary or an Assistant Secretary, certifying the number and class of shares of stock of the Corporation owned by such holder.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239" w:lineRule="exact"/>
        <w:rPr>
          <w:sz w:val="20"/>
          <w:szCs w:val="20"/>
          <w:color w:val="auto"/>
        </w:rPr>
      </w:pPr>
    </w:p>
    <w:p>
      <w:pPr>
        <w:ind w:firstLine="1252"/>
        <w:spacing w:after="0" w:line="28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Shares Without Certificates</w:t>
      </w:r>
      <w:r>
        <w:rPr>
          <w:rFonts w:ascii="Arial" w:cs="Arial" w:eastAsia="Arial" w:hAnsi="Arial"/>
          <w:sz w:val="16"/>
          <w:szCs w:val="16"/>
          <w:color w:val="auto"/>
        </w:rPr>
        <w:t xml:space="preserve">.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use of such system by the Corporation is permitted in accordance with applicable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79" w:name="page280"/>
    <w:bookmarkEnd w:id="279"/>
    <w:p>
      <w:pPr>
        <w:ind w:right="20" w:firstLine="1252"/>
        <w:spacing w:after="0" w:line="25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Shares of stock of the Corporation shall be transferable upon its books by the holders thereof, in person or by their duly authorized attorneys or legal representatives, in the manner prescribed by law, the Second Amended and Restated Certificate of Incorporation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239" w:lineRule="exact"/>
        <w:rPr>
          <w:sz w:val="20"/>
          <w:szCs w:val="20"/>
          <w:color w:val="auto"/>
        </w:rPr>
      </w:pPr>
    </w:p>
    <w:p>
      <w:pPr>
        <w:ind w:right="20" w:firstLine="1252"/>
        <w:spacing w:after="0" w:line="261"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Lost, Stolen, Destroyed or Mutilated Certificates</w:t>
      </w:r>
      <w:r>
        <w:rPr>
          <w:rFonts w:ascii="Arial" w:cs="Arial" w:eastAsia="Arial" w:hAnsi="Arial"/>
          <w:sz w:val="17"/>
          <w:szCs w:val="17"/>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233" w:lineRule="exact"/>
        <w:rPr>
          <w:sz w:val="20"/>
          <w:szCs w:val="20"/>
          <w:color w:val="auto"/>
        </w:rPr>
      </w:pPr>
    </w:p>
    <w:p>
      <w:pPr>
        <w:ind w:left="1260"/>
        <w:spacing w:after="0"/>
        <w:tabs>
          <w:tab w:leader="none" w:pos="2840" w:val="left"/>
        </w:tabs>
        <w:rPr>
          <w:sz w:val="20"/>
          <w:szCs w:val="20"/>
          <w:color w:val="auto"/>
        </w:rPr>
      </w:pPr>
      <w:r>
        <w:rPr>
          <w:rFonts w:ascii="Arial" w:cs="Arial" w:eastAsia="Arial" w:hAnsi="Arial"/>
          <w:sz w:val="17"/>
          <w:szCs w:val="17"/>
          <w:color w:val="auto"/>
        </w:rPr>
        <w:t>SECTION 5.05</w:t>
      </w:r>
      <w:r>
        <w:rPr>
          <w:sz w:val="20"/>
          <w:szCs w:val="20"/>
          <w:color w:val="auto"/>
        </w:rPr>
        <w:tab/>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The officer who has charge of the stock ledger shall prepare and make, at least ten</w:t>
      </w:r>
    </w:p>
    <w:p>
      <w:pPr>
        <w:spacing w:after="0" w:line="25" w:lineRule="exact"/>
        <w:rPr>
          <w:sz w:val="20"/>
          <w:szCs w:val="20"/>
          <w:color w:val="auto"/>
        </w:rPr>
      </w:pPr>
    </w:p>
    <w:p>
      <w:pPr>
        <w:ind w:firstLine="4"/>
        <w:spacing w:after="0" w:line="279" w:lineRule="auto"/>
        <w:tabs>
          <w:tab w:leader="none" w:pos="333" w:val="left"/>
        </w:tabs>
        <w:numPr>
          <w:ilvl w:val="0"/>
          <w:numId w:val="200"/>
        </w:numPr>
        <w:rPr>
          <w:rFonts w:ascii="Arial" w:cs="Arial" w:eastAsia="Arial" w:hAnsi="Arial"/>
          <w:sz w:val="15"/>
          <w:szCs w:val="15"/>
          <w:color w:val="auto"/>
        </w:rPr>
      </w:pPr>
      <w:r>
        <w:rPr>
          <w:rFonts w:ascii="Arial" w:cs="Arial" w:eastAsia="Arial" w:hAnsi="Arial"/>
          <w:sz w:val="15"/>
          <w:szCs w:val="15"/>
          <w:color w:val="auto"/>
        </w:rPr>
        <w:t>days before every meeting of stockholders, a complete list of the stockholders entitled to vote at the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(a) on a reasonably accessible electronic network,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80" w:name="page281"/>
    <w:bookmarkEnd w:id="280"/>
    <w:p>
      <w:pPr>
        <w:ind w:left="1240"/>
        <w:spacing w:after="0"/>
        <w:tabs>
          <w:tab w:leader="none" w:pos="2820" w:val="left"/>
        </w:tabs>
        <w:rPr>
          <w:sz w:val="20"/>
          <w:szCs w:val="20"/>
          <w:color w:val="auto"/>
        </w:rPr>
      </w:pPr>
      <w:r>
        <w:rPr>
          <w:rFonts w:ascii="Arial" w:cs="Arial" w:eastAsia="Arial" w:hAnsi="Arial"/>
          <w:sz w:val="17"/>
          <w:szCs w:val="17"/>
          <w:color w:val="auto"/>
        </w:rPr>
        <w:t>SECTION 5.06</w:t>
      </w:r>
      <w:r>
        <w:rPr>
          <w:sz w:val="20"/>
          <w:szCs w:val="20"/>
          <w:color w:val="auto"/>
        </w:rPr>
        <w:tab/>
      </w:r>
      <w:r>
        <w:rPr>
          <w:rFonts w:ascii="Arial" w:cs="Arial" w:eastAsia="Arial" w:hAnsi="Arial"/>
          <w:sz w:val="16"/>
          <w:szCs w:val="16"/>
          <w:u w:val="single" w:color="auto"/>
          <w:color w:val="auto"/>
        </w:rPr>
        <w:t>Fixing Date for Determination of Stockholders of Record.</w:t>
      </w:r>
    </w:p>
    <w:p>
      <w:pPr>
        <w:spacing w:after="0" w:line="274" w:lineRule="exact"/>
        <w:rPr>
          <w:sz w:val="20"/>
          <w:szCs w:val="20"/>
          <w:color w:val="auto"/>
        </w:rPr>
      </w:pPr>
    </w:p>
    <w:p>
      <w:pPr>
        <w:ind w:left="-20" w:firstLine="1256"/>
        <w:spacing w:after="0" w:line="276" w:lineRule="auto"/>
        <w:tabs>
          <w:tab w:leader="none" w:pos="194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27" w:lineRule="exact"/>
        <w:rPr>
          <w:rFonts w:ascii="Arial" w:cs="Arial" w:eastAsia="Arial" w:hAnsi="Arial"/>
          <w:sz w:val="16"/>
          <w:szCs w:val="16"/>
          <w:color w:val="auto"/>
        </w:rPr>
      </w:pPr>
    </w:p>
    <w:p>
      <w:pPr>
        <w:ind w:left="-20" w:right="20" w:firstLine="1256"/>
        <w:spacing w:after="0" w:line="284" w:lineRule="auto"/>
        <w:tabs>
          <w:tab w:leader="none" w:pos="19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215" w:lineRule="exact"/>
        <w:rPr>
          <w:rFonts w:ascii="Arial" w:cs="Arial" w:eastAsia="Arial" w:hAnsi="Arial"/>
          <w:sz w:val="16"/>
          <w:szCs w:val="16"/>
          <w:color w:val="auto"/>
        </w:rPr>
      </w:pPr>
    </w:p>
    <w:p>
      <w:pPr>
        <w:ind w:left="-20" w:right="60" w:firstLine="1256"/>
        <w:spacing w:after="0" w:line="278" w:lineRule="auto"/>
        <w:tabs>
          <w:tab w:leader="none" w:pos="19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Unless otherwise restricted by the Second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49530</wp:posOffset>
            </wp:positionV>
            <wp:extent cx="7251065" cy="165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00"/>
          </w:cols>
          <w:pgMar w:left="260" w:top="388" w:right="239" w:bottom="1440" w:gutter="0" w:footer="0" w:header="0"/>
        </w:sectPr>
      </w:pPr>
    </w:p>
    <w:bookmarkStart w:id="281" w:name="page282"/>
    <w:bookmarkEnd w:id="281"/>
    <w:p>
      <w:pPr>
        <w:ind w:firstLine="1252"/>
        <w:spacing w:after="0" w:line="28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and Waiver of Notice</w:t>
      </w:r>
    </w:p>
    <w:p>
      <w:pPr>
        <w:spacing w:after="0" w:line="280" w:lineRule="exact"/>
        <w:rPr>
          <w:sz w:val="20"/>
          <w:szCs w:val="20"/>
          <w:color w:val="auto"/>
        </w:rPr>
      </w:pPr>
    </w:p>
    <w:p>
      <w:pPr>
        <w:ind w:right="60" w:firstLine="1252"/>
        <w:spacing w:after="0" w:line="323"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Notice</w:t>
      </w:r>
      <w:r>
        <w:rPr>
          <w:rFonts w:ascii="Arial" w:cs="Arial" w:eastAsia="Arial" w:hAnsi="Arial"/>
          <w:sz w:val="15"/>
          <w:szCs w:val="15"/>
          <w:color w:val="auto"/>
        </w:rPr>
        <w:t>. 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90" w:lineRule="exact"/>
        <w:rPr>
          <w:sz w:val="20"/>
          <w:szCs w:val="20"/>
          <w:color w:val="auto"/>
        </w:rPr>
      </w:pPr>
    </w:p>
    <w:p>
      <w:pPr>
        <w:ind w:right="40" w:firstLine="1252"/>
        <w:spacing w:after="0" w:line="26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Waiver of Notice</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80" w:lineRule="exact"/>
        <w:rPr>
          <w:sz w:val="20"/>
          <w:szCs w:val="20"/>
          <w:color w:val="auto"/>
        </w:rPr>
      </w:pPr>
    </w:p>
    <w:p>
      <w:pPr>
        <w:ind w:right="20" w:firstLine="1252"/>
        <w:spacing w:after="0" w:line="276"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provided in Section 7.03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82" w:name="page283"/>
    <w:bookmarkEnd w:id="282"/>
    <w:p>
      <w:pPr>
        <w:ind w:left="1260"/>
        <w:spacing w:after="0"/>
        <w:tabs>
          <w:tab w:leader="none" w:pos="2840" w:val="left"/>
        </w:tabs>
        <w:rPr>
          <w:sz w:val="20"/>
          <w:szCs w:val="20"/>
          <w:color w:val="auto"/>
        </w:rPr>
      </w:pPr>
      <w:r>
        <w:rPr>
          <w:rFonts w:ascii="Arial" w:cs="Arial" w:eastAsia="Arial" w:hAnsi="Arial"/>
          <w:sz w:val="17"/>
          <w:szCs w:val="17"/>
          <w:color w:val="auto"/>
        </w:rPr>
        <w:t>SECTION 7.02</w:t>
      </w:r>
      <w:r>
        <w:rPr>
          <w:sz w:val="20"/>
          <w:szCs w:val="20"/>
          <w:color w:val="auto"/>
        </w:rPr>
        <w:tab/>
      </w:r>
      <w:r>
        <w:rPr>
          <w:rFonts w:ascii="Arial" w:cs="Arial" w:eastAsia="Arial" w:hAnsi="Arial"/>
          <w:sz w:val="15"/>
          <w:szCs w:val="15"/>
          <w:u w:val="single" w:color="auto"/>
          <w:color w:val="auto"/>
        </w:rPr>
        <w:t>Right to Advancement of Expenses</w:t>
      </w:r>
      <w:r>
        <w:rPr>
          <w:rFonts w:ascii="Arial" w:cs="Arial" w:eastAsia="Arial" w:hAnsi="Arial"/>
          <w:sz w:val="15"/>
          <w:szCs w:val="15"/>
          <w:color w:val="auto"/>
        </w:rPr>
        <w:t>. In addition to the right to indemnification conferred in Section 7.01, an indemnitee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shall also have the right to be paid by the Corporation the expenses (including attorney’s fees) incurred in appearing at, participating in or defending any such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proceeding in advance of its final disposition or in connection with a proceeding brought to establish or enforce a right to indemnification or advancement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expenses under this Article VII (which shall be governed by Section 7.03 (hereinafter an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DGCL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requires or in the case of an advance made in a proceeding brought to establish or enforce a right to indemnification or advancement, an advancement of expenses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incurred by an indemnitee in his or her capacity as a director or officer (and not in any other capacity in which service was or is rendered by such indemnitee,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service to an employee benefit plan) shall be made solely upon delivery to the Corporation of an undertaking (hereinafter an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is no further right to appeal (hereinafter a “</w:t>
      </w:r>
      <w:r>
        <w:rPr>
          <w:rFonts w:ascii="Arial" w:cs="Arial" w:eastAsia="Arial" w:hAnsi="Arial"/>
          <w:sz w:val="16"/>
          <w:szCs w:val="16"/>
          <w:u w:val="single" w:color="auto"/>
          <w:color w:val="auto"/>
        </w:rPr>
        <w:t>final adjudication</w:t>
      </w:r>
      <w:r>
        <w:rPr>
          <w:rFonts w:ascii="Arial" w:cs="Arial" w:eastAsia="Arial" w:hAnsi="Arial"/>
          <w:sz w:val="16"/>
          <w:szCs w:val="16"/>
          <w:color w:val="auto"/>
        </w:rPr>
        <w:t>”) that such indemnitee is not entitled to be indemnified or entitled to advancement of expenses under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Sections 7.01 and 7.02 or otherwise.</w:t>
      </w:r>
    </w:p>
    <w:p>
      <w:pPr>
        <w:spacing w:after="0" w:line="262" w:lineRule="exact"/>
        <w:rPr>
          <w:sz w:val="20"/>
          <w:szCs w:val="20"/>
          <w:color w:val="auto"/>
        </w:rPr>
      </w:pPr>
    </w:p>
    <w:p>
      <w:pPr>
        <w:ind w:firstLine="1252"/>
        <w:spacing w:after="0" w:line="275"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If a claim under Section 7.01 or 7.02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283" w:name="page284"/>
    <w:bookmarkEnd w:id="283"/>
    <w:p>
      <w:pPr>
        <w:ind w:left="1260"/>
        <w:spacing w:after="0"/>
        <w:tabs>
          <w:tab w:leader="none" w:pos="2840" w:val="left"/>
        </w:tabs>
        <w:rPr>
          <w:sz w:val="20"/>
          <w:szCs w:val="20"/>
          <w:color w:val="auto"/>
        </w:rPr>
      </w:pPr>
      <w:r>
        <w:rPr>
          <w:rFonts w:ascii="Arial" w:cs="Arial" w:eastAsia="Arial" w:hAnsi="Arial"/>
          <w:sz w:val="17"/>
          <w:szCs w:val="17"/>
          <w:color w:val="auto"/>
        </w:rPr>
        <w:t>SECTION 7.04</w:t>
      </w:r>
      <w:r>
        <w:rPr>
          <w:sz w:val="20"/>
          <w:szCs w:val="20"/>
          <w:color w:val="auto"/>
        </w:rPr>
        <w:tab/>
      </w:r>
      <w:r>
        <w:rPr>
          <w:rFonts w:ascii="Arial" w:cs="Arial" w:eastAsia="Arial" w:hAnsi="Arial"/>
          <w:sz w:val="16"/>
          <w:szCs w:val="16"/>
          <w:u w:val="single" w:color="auto"/>
          <w:color w:val="auto"/>
        </w:rPr>
        <w:t>Indemnification Not Exclusive</w:t>
      </w:r>
      <w:r>
        <w:rPr>
          <w:rFonts w:ascii="Arial" w:cs="Arial" w:eastAsia="Arial" w:hAnsi="Arial"/>
          <w:sz w:val="16"/>
          <w:szCs w:val="16"/>
          <w:color w:val="auto"/>
        </w:rPr>
        <w:t>.</w:t>
      </w:r>
    </w:p>
    <w:p>
      <w:pPr>
        <w:spacing w:after="0" w:line="274" w:lineRule="exact"/>
        <w:rPr>
          <w:sz w:val="20"/>
          <w:szCs w:val="20"/>
          <w:color w:val="auto"/>
        </w:rPr>
      </w:pPr>
    </w:p>
    <w:p>
      <w:pPr>
        <w:ind w:right="20" w:firstLine="1256"/>
        <w:spacing w:after="0" w:line="262" w:lineRule="auto"/>
        <w:tabs>
          <w:tab w:leader="none" w:pos="196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31" w:lineRule="exact"/>
        <w:rPr>
          <w:rFonts w:ascii="Arial" w:cs="Arial" w:eastAsia="Arial" w:hAnsi="Arial"/>
          <w:sz w:val="17"/>
          <w:szCs w:val="17"/>
          <w:color w:val="auto"/>
        </w:rPr>
      </w:pPr>
    </w:p>
    <w:p>
      <w:pPr>
        <w:ind w:firstLine="1256"/>
        <w:spacing w:after="0" w:line="275" w:lineRule="auto"/>
        <w:tabs>
          <w:tab w:leader="none" w:pos="200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Second Amended and Restated Certificate of Incorporation or these Bylaws of the Corporation (or any other agreement between the Corporation and such persons, including the Stockholders Agreement,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284" w:name="page285"/>
    <w:bookmarkEnd w:id="284"/>
    <w:p>
      <w:pPr>
        <w:ind w:left="1260"/>
        <w:spacing w:after="0"/>
        <w:rPr>
          <w:sz w:val="20"/>
          <w:szCs w:val="20"/>
          <w:color w:val="auto"/>
        </w:rPr>
      </w:pPr>
      <w:r>
        <w:rPr>
          <w:rFonts w:ascii="Arial" w:cs="Arial" w:eastAsia="Arial" w:hAnsi="Arial"/>
          <w:sz w:val="17"/>
          <w:szCs w:val="17"/>
          <w:color w:val="auto"/>
        </w:rPr>
        <w:t>For purposes of this Section 7.04(B) of Article VII, the following terms shall have the following meanings:</w:t>
      </w:r>
    </w:p>
    <w:p>
      <w:pPr>
        <w:spacing w:after="0" w:line="222" w:lineRule="exact"/>
        <w:rPr>
          <w:sz w:val="20"/>
          <w:szCs w:val="20"/>
          <w:color w:val="auto"/>
        </w:rPr>
      </w:pPr>
    </w:p>
    <w:p>
      <w:pPr>
        <w:ind w:firstLine="1256"/>
        <w:spacing w:after="0" w:line="284" w:lineRule="auto"/>
        <w:tabs>
          <w:tab w:leader="none" w:pos="188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indemnitee-related entities</w:t>
      </w:r>
      <w:r>
        <w:rPr>
          <w:rFonts w:ascii="Arial" w:cs="Arial" w:eastAsia="Arial" w:hAnsi="Arial"/>
          <w:sz w:val="16"/>
          <w:szCs w:val="16"/>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62" w:lineRule="exact"/>
        <w:rPr>
          <w:rFonts w:ascii="Arial" w:cs="Arial" w:eastAsia="Arial" w:hAnsi="Arial"/>
          <w:sz w:val="16"/>
          <w:szCs w:val="16"/>
          <w:color w:val="auto"/>
        </w:rPr>
      </w:pPr>
    </w:p>
    <w:p>
      <w:pPr>
        <w:ind w:right="60" w:firstLine="1256"/>
        <w:spacing w:after="0" w:line="288" w:lineRule="auto"/>
        <w:tabs>
          <w:tab w:leader="none" w:pos="188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212" w:lineRule="exact"/>
        <w:rPr>
          <w:sz w:val="20"/>
          <w:szCs w:val="20"/>
          <w:color w:val="auto"/>
        </w:rPr>
      </w:pPr>
    </w:p>
    <w:p>
      <w:pPr>
        <w:ind w:right="20" w:firstLine="1252"/>
        <w:spacing w:after="0" w:line="260"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Obligations; Reliance</w:t>
      </w:r>
      <w:r>
        <w:rPr>
          <w:rFonts w:ascii="Arial" w:cs="Arial" w:eastAsia="Arial" w:hAnsi="Arial"/>
          <w:sz w:val="17"/>
          <w:szCs w:val="17"/>
          <w:color w:val="auto"/>
        </w:rPr>
        <w:t>. The rights granted pursuant to the provisions of this Article VII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entitled to rely on such provisions of this Article VII without giving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235" w:lineRule="exact"/>
        <w:rPr>
          <w:sz w:val="20"/>
          <w:szCs w:val="20"/>
          <w:color w:val="auto"/>
        </w:rPr>
      </w:pPr>
    </w:p>
    <w:p>
      <w:pPr>
        <w:ind w:right="120" w:firstLine="1252"/>
        <w:spacing w:after="0" w:line="271"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85" w:name="page286"/>
    <w:bookmarkEnd w:id="285"/>
    <w:p>
      <w:pPr>
        <w:jc w:val="both"/>
        <w:ind w:firstLine="1252"/>
        <w:spacing w:after="0" w:line="296"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Indemnification of Employees and Agents of the Corporation</w:t>
      </w:r>
      <w:r>
        <w:rPr>
          <w:rFonts w:ascii="Arial" w:cs="Arial" w:eastAsia="Arial" w:hAnsi="Arial"/>
          <w:sz w:val="16"/>
          <w:szCs w:val="16"/>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Miscellaneous</w:t>
      </w:r>
    </w:p>
    <w:p>
      <w:pPr>
        <w:spacing w:after="0" w:line="280" w:lineRule="exact"/>
        <w:rPr>
          <w:sz w:val="20"/>
          <w:szCs w:val="20"/>
          <w:color w:val="auto"/>
        </w:rPr>
      </w:pPr>
    </w:p>
    <w:p>
      <w:pPr>
        <w:ind w:right="80" w:firstLine="1252"/>
        <w:spacing w:after="0" w:line="271"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Electronic Transmission</w:t>
      </w:r>
      <w:r>
        <w:rPr>
          <w:rFonts w:ascii="Arial" w:cs="Arial" w:eastAsia="Arial" w:hAnsi="Arial"/>
          <w:sz w:val="17"/>
          <w:szCs w:val="17"/>
          <w:color w:val="auto"/>
        </w:rPr>
        <w:t>. For purposes of these Bylaws, “</w:t>
      </w:r>
      <w:r>
        <w:rPr>
          <w:rFonts w:ascii="Arial" w:cs="Arial" w:eastAsia="Arial" w:hAnsi="Arial"/>
          <w:sz w:val="17"/>
          <w:szCs w:val="17"/>
          <w:u w:val="single" w:color="auto"/>
          <w:color w:val="auto"/>
        </w:rPr>
        <w:t>electronic transmission</w:t>
      </w:r>
      <w:r>
        <w:rPr>
          <w:rFonts w:ascii="Arial" w:cs="Arial" w:eastAsia="Arial" w:hAnsi="Arial"/>
          <w:sz w:val="17"/>
          <w:szCs w:val="17"/>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24" w:lineRule="exact"/>
        <w:rPr>
          <w:sz w:val="20"/>
          <w:szCs w:val="20"/>
          <w:color w:val="auto"/>
        </w:rPr>
      </w:pPr>
    </w:p>
    <w:p>
      <w:pPr>
        <w:ind w:right="60" w:firstLine="1252"/>
        <w:spacing w:after="0" w:line="271"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Corporate Seal</w:t>
      </w:r>
      <w:r>
        <w:rPr>
          <w:rFonts w:ascii="Arial" w:cs="Arial" w:eastAsia="Arial" w:hAnsi="Arial"/>
          <w:sz w:val="17"/>
          <w:szCs w:val="17"/>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224" w:lineRule="exact"/>
        <w:rPr>
          <w:sz w:val="20"/>
          <w:szCs w:val="20"/>
          <w:color w:val="auto"/>
        </w:rPr>
      </w:pPr>
    </w:p>
    <w:p>
      <w:pPr>
        <w:ind w:right="360" w:firstLine="1252"/>
        <w:spacing w:after="0" w:line="287"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end on the Saturday closest to December 31 of each year, or such other day as the Board of Directors may designate.</w:t>
      </w:r>
    </w:p>
    <w:p>
      <w:pPr>
        <w:spacing w:after="0" w:line="210" w:lineRule="exact"/>
        <w:rPr>
          <w:sz w:val="20"/>
          <w:szCs w:val="20"/>
          <w:color w:val="auto"/>
        </w:rPr>
      </w:pPr>
    </w:p>
    <w:p>
      <w:pPr>
        <w:ind w:right="400" w:firstLine="1252"/>
        <w:spacing w:after="0" w:line="287"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Section Headings</w:t>
      </w:r>
      <w:r>
        <w:rPr>
          <w:rFonts w:ascii="Arial" w:cs="Arial" w:eastAsia="Arial" w:hAnsi="Arial"/>
          <w:sz w:val="17"/>
          <w:szCs w:val="17"/>
          <w:color w:val="auto"/>
        </w:rPr>
        <w:t>. Section headings in these Bylaws are for convenience of reference only and shall not be given any substantive effect in limiting or otherwise construing any provision herein.</w:t>
      </w:r>
    </w:p>
    <w:p>
      <w:pPr>
        <w:spacing w:after="0" w:line="210" w:lineRule="exact"/>
        <w:rPr>
          <w:sz w:val="20"/>
          <w:szCs w:val="20"/>
          <w:color w:val="auto"/>
        </w:rPr>
      </w:pPr>
    </w:p>
    <w:p>
      <w:pPr>
        <w:ind w:right="20" w:firstLine="1252"/>
        <w:spacing w:after="0" w:line="271"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Inconsistent Provisions</w:t>
      </w:r>
      <w:r>
        <w:rPr>
          <w:rFonts w:ascii="Arial" w:cs="Arial" w:eastAsia="Arial" w:hAnsi="Arial"/>
          <w:sz w:val="17"/>
          <w:szCs w:val="17"/>
          <w:color w:val="auto"/>
        </w:rPr>
        <w:t>. In the event that any provision of these Bylaws is or becomes inconsistent with any provision of the Second Amended and Restated Certificate of Incorporation, the DGCL or any other applicable law, such provision of these Bylaws shall not be given any effect to the extent of such inconsistency but shall otherwise be given full force and effect.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286" w:name="page287"/>
    <w:bookmarkEnd w:id="286"/>
    <w:p>
      <w:pPr>
        <w:jc w:val="center"/>
        <w:ind w:right="-39"/>
        <w:spacing w:after="0"/>
        <w:rPr>
          <w:sz w:val="20"/>
          <w:szCs w:val="20"/>
          <w:color w:val="auto"/>
        </w:rPr>
      </w:pPr>
      <w:r>
        <w:rPr>
          <w:rFonts w:ascii="Arial" w:cs="Arial" w:eastAsia="Arial" w:hAnsi="Arial"/>
          <w:sz w:val="17"/>
          <w:szCs w:val="17"/>
          <w:b w:val="1"/>
          <w:bCs w:val="1"/>
          <w:color w:val="auto"/>
        </w:rPr>
        <w:t>ARTICLE IX</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Amendments</w:t>
      </w:r>
    </w:p>
    <w:p>
      <w:pPr>
        <w:spacing w:after="0" w:line="280" w:lineRule="exact"/>
        <w:rPr>
          <w:sz w:val="20"/>
          <w:szCs w:val="20"/>
          <w:color w:val="auto"/>
        </w:rPr>
      </w:pPr>
    </w:p>
    <w:p>
      <w:pPr>
        <w:ind w:firstLine="1252"/>
        <w:spacing w:after="0" w:line="275"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w:t>
      </w:r>
      <w:r>
        <w:rPr>
          <w:rFonts w:ascii="Arial" w:cs="Arial" w:eastAsia="Arial" w:hAnsi="Arial"/>
          <w:sz w:val="16"/>
          <w:szCs w:val="16"/>
          <w:color w:val="auto"/>
        </w:rPr>
        <w:t>. The Board of Directors is authorized to make, repeal, alter, amend and rescind, in whole or in part, these Bylaws without the assent or vote of the stockholders in any manner not inconsistent with the laws of the State of Delaware or the Second Amended and Restated Certificate of Incorporation. For so long as KKR and Berkshire beneficially own collectively, in the aggregate, at least 40% in voting power of the stock of the Corporation entitled to vote generally in the election of directors, in addition to any vote of the holders of any class or series of capital stock of the Corporation required by the Second Amended and Restated Certificate of Incorporation (including any certificate of designation relating to any series of Preferred Stock (as defined in the Second Amended and Restated Certificate of Incorporation)), by these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or to adopt any provision inconsistent therewith. Notwithstanding any other provisions of these Bylaws or any provision of law that might otherwise permit a lesser vote of the stockholders, at any time when KKR and Berkshire beneficially own collectively, in the aggregate, less than 40% in voting power of the stock of the Corporation entitled to vote generally in the election of directors, in addition to any vote of the holders of any class or series of capital stock of the Corporation required by the Second Amended and Restated Certificate of Incorporation (including any certificate of designation relating to any series of Preferred Stock (as defined in the Second Amended and Restated Certificate of Incorporation)), these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(including, without limitation, this Section 9.01) or to adopt any provision inconsistent herewith.</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065" cy="16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287" w:name="page288"/>
    <w:bookmarkEnd w:id="287"/>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330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251065" cy="3302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666750</wp:posOffset>
            </wp:positionV>
            <wp:extent cx="7251065" cy="165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STOCKHOLDERS’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20" w:type="dxa"/>
            <w:vAlign w:val="bottom"/>
          </w:tcPr>
          <w:p>
            <w:pPr>
              <w:ind w:left="4780"/>
              <w:spacing w:after="0"/>
              <w:rPr>
                <w:sz w:val="20"/>
                <w:szCs w:val="20"/>
                <w:color w:val="auto"/>
              </w:rPr>
            </w:pPr>
            <w:r>
              <w:rPr>
                <w:rFonts w:ascii="Arial" w:cs="Arial" w:eastAsia="Arial" w:hAnsi="Arial"/>
                <w:sz w:val="17"/>
                <w:szCs w:val="17"/>
                <w:b w:val="1"/>
                <w:bCs w:val="1"/>
                <w:color w:val="auto"/>
              </w:rPr>
              <w:t>Dated as of</w:t>
            </w:r>
          </w:p>
        </w:tc>
        <w:tc>
          <w:tcPr>
            <w:tcW w:w="5500" w:type="dxa"/>
            <w:vAlign w:val="bottom"/>
          </w:tcPr>
          <w:p>
            <w:pPr>
              <w:jc w:val="right"/>
              <w:ind w:right="4673"/>
              <w:spacing w:after="0"/>
              <w:rPr>
                <w:sz w:val="20"/>
                <w:szCs w:val="20"/>
                <w:color w:val="auto"/>
              </w:rPr>
            </w:pPr>
            <w:r>
              <w:rPr>
                <w:rFonts w:ascii="Arial" w:cs="Arial" w:eastAsia="Arial" w:hAnsi="Arial"/>
                <w:sz w:val="17"/>
                <w:szCs w:val="17"/>
                <w:b w:val="1"/>
                <w:bCs w:val="1"/>
                <w:color w:val="auto"/>
              </w:rPr>
              <w:t>, 2017</w:t>
            </w:r>
          </w:p>
        </w:tc>
      </w:tr>
      <w:tr>
        <w:trPr>
          <w:trHeight w:val="306"/>
        </w:trPr>
        <w:tc>
          <w:tcPr>
            <w:tcW w:w="59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501"/>
        </w:trPr>
        <w:tc>
          <w:tcPr>
            <w:tcW w:w="59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88" w:name="page289"/>
    <w:bookmarkEnd w:id="2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200" w:type="dxa"/>
            <w:vAlign w:val="bottom"/>
          </w:tcPr>
          <w:p>
            <w:pPr>
              <w:ind w:left="3120"/>
              <w:spacing w:after="0"/>
              <w:rPr>
                <w:sz w:val="20"/>
                <w:szCs w:val="20"/>
                <w:color w:val="auto"/>
              </w:rPr>
            </w:pPr>
            <w:r>
              <w:rPr>
                <w:rFonts w:ascii="Arial" w:cs="Arial" w:eastAsia="Arial" w:hAnsi="Arial"/>
                <w:sz w:val="17"/>
                <w:szCs w:val="17"/>
                <w:b w:val="1"/>
                <w:bCs w:val="1"/>
                <w:color w:val="auto"/>
              </w:rPr>
              <w:t>TABLE OF CONTENTS</w:t>
            </w: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580" w:type="dxa"/>
            <w:vAlign w:val="bottom"/>
            <w:gridSpan w:val="2"/>
          </w:tcPr>
          <w:p>
            <w:pPr>
              <w:ind w:left="2220"/>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580" w:type="dxa"/>
            <w:vAlign w:val="bottom"/>
            <w:gridSpan w:val="2"/>
          </w:tcPr>
          <w:p>
            <w:pPr>
              <w:ind w:left="2220"/>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Article I Definitions</w:t>
            </w:r>
          </w:p>
        </w:tc>
        <w:tc>
          <w:tcPr>
            <w:tcW w:w="72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1.1.</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Definitions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1.2.</w:t>
            </w:r>
          </w:p>
        </w:tc>
        <w:tc>
          <w:tcPr>
            <w:tcW w:w="7200" w:type="dxa"/>
            <w:vAlign w:val="bottom"/>
          </w:tcPr>
          <w:p>
            <w:pPr>
              <w:ind w:left="60"/>
              <w:spacing w:after="0"/>
              <w:rPr>
                <w:sz w:val="20"/>
                <w:szCs w:val="20"/>
                <w:color w:val="auto"/>
              </w:rPr>
            </w:pPr>
            <w:r>
              <w:rPr>
                <w:rFonts w:ascii="Arial" w:cs="Arial" w:eastAsia="Arial" w:hAnsi="Arial"/>
                <w:sz w:val="17"/>
                <w:szCs w:val="17"/>
                <w:color w:val="auto"/>
              </w:rPr>
              <w:t>Construction</w:t>
            </w:r>
          </w:p>
        </w:tc>
        <w:tc>
          <w:tcPr>
            <w:tcW w:w="256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4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7"/>
                <w:szCs w:val="17"/>
                <w:color w:val="auto"/>
              </w:rPr>
              <w:t>Article II Corporate Governance</w:t>
            </w:r>
          </w:p>
        </w:tc>
        <w:tc>
          <w:tcPr>
            <w:tcW w:w="256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2.1.</w:t>
            </w:r>
          </w:p>
        </w:tc>
        <w:tc>
          <w:tcPr>
            <w:tcW w:w="7200" w:type="dxa"/>
            <w:vAlign w:val="bottom"/>
          </w:tcPr>
          <w:p>
            <w:pPr>
              <w:ind w:left="60"/>
              <w:spacing w:after="0"/>
              <w:rPr>
                <w:sz w:val="20"/>
                <w:szCs w:val="20"/>
                <w:color w:val="auto"/>
              </w:rPr>
            </w:pPr>
            <w:r>
              <w:rPr>
                <w:rFonts w:ascii="Arial" w:cs="Arial" w:eastAsia="Arial" w:hAnsi="Arial"/>
                <w:sz w:val="17"/>
                <w:szCs w:val="17"/>
                <w:color w:val="auto"/>
              </w:rPr>
              <w:t>Board of Directors</w:t>
            </w:r>
          </w:p>
        </w:tc>
        <w:tc>
          <w:tcPr>
            <w:tcW w:w="256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2.2.</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Committees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2.3.</w:t>
            </w:r>
          </w:p>
        </w:tc>
        <w:tc>
          <w:tcPr>
            <w:tcW w:w="7200" w:type="dxa"/>
            <w:vAlign w:val="bottom"/>
          </w:tcPr>
          <w:p>
            <w:pPr>
              <w:ind w:left="60"/>
              <w:spacing w:after="0"/>
              <w:rPr>
                <w:sz w:val="20"/>
                <w:szCs w:val="20"/>
                <w:color w:val="auto"/>
              </w:rPr>
            </w:pPr>
            <w:r>
              <w:rPr>
                <w:rFonts w:ascii="Arial" w:cs="Arial" w:eastAsia="Arial" w:hAnsi="Arial"/>
                <w:sz w:val="17"/>
                <w:szCs w:val="17"/>
                <w:color w:val="auto"/>
              </w:rPr>
              <w:t>Consent Rights</w:t>
            </w:r>
          </w:p>
        </w:tc>
        <w:tc>
          <w:tcPr>
            <w:tcW w:w="256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2.4.</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Controlled Company.</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2.5.</w:t>
            </w:r>
          </w:p>
        </w:tc>
        <w:tc>
          <w:tcPr>
            <w:tcW w:w="7200" w:type="dxa"/>
            <w:vAlign w:val="bottom"/>
          </w:tcPr>
          <w:p>
            <w:pPr>
              <w:ind w:left="60"/>
              <w:spacing w:after="0"/>
              <w:rPr>
                <w:sz w:val="20"/>
                <w:szCs w:val="20"/>
                <w:color w:val="auto"/>
              </w:rPr>
            </w:pPr>
            <w:r>
              <w:rPr>
                <w:rFonts w:ascii="Arial" w:cs="Arial" w:eastAsia="Arial" w:hAnsi="Arial"/>
                <w:sz w:val="17"/>
                <w:szCs w:val="17"/>
                <w:color w:val="auto"/>
              </w:rPr>
              <w:t>Permitted Disclosure</w:t>
            </w:r>
          </w:p>
        </w:tc>
        <w:tc>
          <w:tcPr>
            <w:tcW w:w="256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Article III Information</w:t>
            </w:r>
          </w:p>
        </w:tc>
        <w:tc>
          <w:tcPr>
            <w:tcW w:w="72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3.1.</w:t>
            </w:r>
          </w:p>
        </w:tc>
        <w:tc>
          <w:tcPr>
            <w:tcW w:w="7200" w:type="dxa"/>
            <w:vAlign w:val="bottom"/>
          </w:tcPr>
          <w:p>
            <w:pPr>
              <w:ind w:left="60"/>
              <w:spacing w:after="0"/>
              <w:rPr>
                <w:sz w:val="20"/>
                <w:szCs w:val="20"/>
                <w:color w:val="auto"/>
              </w:rPr>
            </w:pPr>
            <w:r>
              <w:rPr>
                <w:rFonts w:ascii="Arial" w:cs="Arial" w:eastAsia="Arial" w:hAnsi="Arial"/>
                <w:sz w:val="17"/>
                <w:szCs w:val="17"/>
                <w:color w:val="auto"/>
              </w:rPr>
              <w:t>Books and Records; Access; Certain Reports</w:t>
            </w:r>
          </w:p>
        </w:tc>
        <w:tc>
          <w:tcPr>
            <w:tcW w:w="256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840" w:type="dxa"/>
            <w:vAlign w:val="bottom"/>
            <w:gridSpan w:val="2"/>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7"/>
                <w:szCs w:val="17"/>
                <w:color w:val="auto"/>
              </w:rPr>
              <w:t>Article IV Miscellaneous</w:t>
            </w:r>
          </w:p>
        </w:tc>
        <w:tc>
          <w:tcPr>
            <w:tcW w:w="256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4.1.</w:t>
            </w:r>
          </w:p>
        </w:tc>
        <w:tc>
          <w:tcPr>
            <w:tcW w:w="7200" w:type="dxa"/>
            <w:vAlign w:val="bottom"/>
          </w:tcPr>
          <w:p>
            <w:pPr>
              <w:ind w:left="60"/>
              <w:spacing w:after="0"/>
              <w:rPr>
                <w:sz w:val="20"/>
                <w:szCs w:val="20"/>
                <w:color w:val="auto"/>
              </w:rPr>
            </w:pPr>
            <w:r>
              <w:rPr>
                <w:rFonts w:ascii="Arial" w:cs="Arial" w:eastAsia="Arial" w:hAnsi="Arial"/>
                <w:sz w:val="17"/>
                <w:szCs w:val="17"/>
                <w:color w:val="auto"/>
              </w:rPr>
              <w:t>Termination</w:t>
            </w:r>
          </w:p>
        </w:tc>
        <w:tc>
          <w:tcPr>
            <w:tcW w:w="256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4.2.</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Indemnification.</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4.3.</w:t>
            </w:r>
          </w:p>
        </w:tc>
        <w:tc>
          <w:tcPr>
            <w:tcW w:w="7200" w:type="dxa"/>
            <w:vAlign w:val="bottom"/>
          </w:tcPr>
          <w:p>
            <w:pPr>
              <w:ind w:left="60"/>
              <w:spacing w:after="0"/>
              <w:rPr>
                <w:sz w:val="20"/>
                <w:szCs w:val="20"/>
                <w:color w:val="auto"/>
              </w:rPr>
            </w:pPr>
            <w:r>
              <w:rPr>
                <w:rFonts w:ascii="Arial" w:cs="Arial" w:eastAsia="Arial" w:hAnsi="Arial"/>
                <w:sz w:val="17"/>
                <w:szCs w:val="17"/>
                <w:color w:val="auto"/>
              </w:rPr>
              <w:t>Amendments and Waivers</w:t>
            </w:r>
          </w:p>
        </w:tc>
        <w:tc>
          <w:tcPr>
            <w:tcW w:w="256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4.4.</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Successors, Assigns and Transferees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4.5.</w:t>
            </w:r>
          </w:p>
        </w:tc>
        <w:tc>
          <w:tcPr>
            <w:tcW w:w="7200" w:type="dxa"/>
            <w:vAlign w:val="bottom"/>
          </w:tcPr>
          <w:p>
            <w:pPr>
              <w:ind w:left="60"/>
              <w:spacing w:after="0"/>
              <w:rPr>
                <w:sz w:val="20"/>
                <w:szCs w:val="20"/>
                <w:color w:val="auto"/>
              </w:rPr>
            </w:pPr>
            <w:r>
              <w:rPr>
                <w:rFonts w:ascii="Arial" w:cs="Arial" w:eastAsia="Arial" w:hAnsi="Arial"/>
                <w:sz w:val="17"/>
                <w:szCs w:val="17"/>
                <w:color w:val="auto"/>
              </w:rPr>
              <w:t>Third Parties</w:t>
            </w:r>
          </w:p>
        </w:tc>
        <w:tc>
          <w:tcPr>
            <w:tcW w:w="256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4.6.</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Notices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4.7.</w:t>
            </w:r>
          </w:p>
        </w:tc>
        <w:tc>
          <w:tcPr>
            <w:tcW w:w="7200" w:type="dxa"/>
            <w:vAlign w:val="bottom"/>
          </w:tcPr>
          <w:p>
            <w:pPr>
              <w:ind w:left="60"/>
              <w:spacing w:after="0"/>
              <w:rPr>
                <w:sz w:val="20"/>
                <w:szCs w:val="20"/>
                <w:color w:val="auto"/>
              </w:rPr>
            </w:pPr>
            <w:r>
              <w:rPr>
                <w:rFonts w:ascii="Arial" w:cs="Arial" w:eastAsia="Arial" w:hAnsi="Arial"/>
                <w:sz w:val="17"/>
                <w:szCs w:val="17"/>
                <w:color w:val="auto"/>
              </w:rPr>
              <w:t>Further Assurances</w:t>
            </w:r>
          </w:p>
        </w:tc>
        <w:tc>
          <w:tcPr>
            <w:tcW w:w="256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SECTION 4.8.</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Entire Agreement</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rPr>
              <w:t>SECTION 4.9.</w:t>
            </w:r>
          </w:p>
        </w:tc>
        <w:tc>
          <w:tcPr>
            <w:tcW w:w="7200" w:type="dxa"/>
            <w:vAlign w:val="bottom"/>
          </w:tcPr>
          <w:p>
            <w:pPr>
              <w:ind w:left="60"/>
              <w:spacing w:after="0"/>
              <w:rPr>
                <w:sz w:val="20"/>
                <w:szCs w:val="20"/>
                <w:color w:val="auto"/>
              </w:rPr>
            </w:pPr>
            <w:r>
              <w:rPr>
                <w:rFonts w:ascii="Arial" w:cs="Arial" w:eastAsia="Arial" w:hAnsi="Arial"/>
                <w:sz w:val="17"/>
                <w:szCs w:val="17"/>
                <w:color w:val="auto"/>
              </w:rPr>
              <w:t>Restrictions on Other Agreements; Bylaws.</w:t>
            </w:r>
          </w:p>
        </w:tc>
        <w:tc>
          <w:tcPr>
            <w:tcW w:w="256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8"/>
              </w:rPr>
              <w:t>SECTION 4.10.</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Delays or Omissions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w w:val="98"/>
              </w:rPr>
              <w:t>SECTION 4.11.</w:t>
            </w:r>
          </w:p>
        </w:tc>
        <w:tc>
          <w:tcPr>
            <w:tcW w:w="7200" w:type="dxa"/>
            <w:vAlign w:val="bottom"/>
          </w:tcPr>
          <w:p>
            <w:pPr>
              <w:ind w:left="60"/>
              <w:spacing w:after="0"/>
              <w:rPr>
                <w:sz w:val="20"/>
                <w:szCs w:val="20"/>
                <w:color w:val="auto"/>
              </w:rPr>
            </w:pPr>
            <w:r>
              <w:rPr>
                <w:rFonts w:ascii="Arial" w:cs="Arial" w:eastAsia="Arial" w:hAnsi="Arial"/>
                <w:sz w:val="17"/>
                <w:szCs w:val="17"/>
                <w:color w:val="auto"/>
              </w:rPr>
              <w:t>Governing Law; Jurisdiction; Waiver of Jury Trial</w:t>
            </w:r>
          </w:p>
        </w:tc>
        <w:tc>
          <w:tcPr>
            <w:tcW w:w="256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8"/>
              </w:rPr>
              <w:t>SECTION 4.12.</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Severability</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w w:val="98"/>
              </w:rPr>
              <w:t>SECTION 4.13.</w:t>
            </w:r>
          </w:p>
        </w:tc>
        <w:tc>
          <w:tcPr>
            <w:tcW w:w="7200" w:type="dxa"/>
            <w:vAlign w:val="bottom"/>
          </w:tcPr>
          <w:p>
            <w:pPr>
              <w:ind w:left="60"/>
              <w:spacing w:after="0"/>
              <w:rPr>
                <w:sz w:val="20"/>
                <w:szCs w:val="20"/>
                <w:color w:val="auto"/>
              </w:rPr>
            </w:pPr>
            <w:r>
              <w:rPr>
                <w:rFonts w:ascii="Arial" w:cs="Arial" w:eastAsia="Arial" w:hAnsi="Arial"/>
                <w:sz w:val="17"/>
                <w:szCs w:val="17"/>
                <w:color w:val="auto"/>
              </w:rPr>
              <w:t>Enforcement</w:t>
            </w:r>
          </w:p>
        </w:tc>
        <w:tc>
          <w:tcPr>
            <w:tcW w:w="25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8"/>
              </w:rPr>
              <w:t>SECTION 4.14.</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Titles and Subtitles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w w:val="98"/>
              </w:rPr>
              <w:t>SECTION 4.15.</w:t>
            </w:r>
          </w:p>
        </w:tc>
        <w:tc>
          <w:tcPr>
            <w:tcW w:w="7200" w:type="dxa"/>
            <w:vAlign w:val="bottom"/>
          </w:tcPr>
          <w:p>
            <w:pPr>
              <w:ind w:left="60"/>
              <w:spacing w:after="0"/>
              <w:rPr>
                <w:sz w:val="20"/>
                <w:szCs w:val="20"/>
                <w:color w:val="auto"/>
              </w:rPr>
            </w:pPr>
            <w:r>
              <w:rPr>
                <w:rFonts w:ascii="Arial" w:cs="Arial" w:eastAsia="Arial" w:hAnsi="Arial"/>
                <w:sz w:val="17"/>
                <w:szCs w:val="17"/>
                <w:color w:val="auto"/>
              </w:rPr>
              <w:t>No Recourse</w:t>
            </w:r>
          </w:p>
        </w:tc>
        <w:tc>
          <w:tcPr>
            <w:tcW w:w="25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8"/>
              </w:rPr>
              <w:t>SECTION 4.16.</w:t>
            </w:r>
          </w:p>
        </w:tc>
        <w:tc>
          <w:tcPr>
            <w:tcW w:w="7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Counterparts; Facsimile Signatures</w:t>
            </w:r>
          </w:p>
        </w:tc>
        <w:tc>
          <w:tcPr>
            <w:tcW w:w="2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40" w:type="dxa"/>
            <w:vAlign w:val="bottom"/>
          </w:tcPr>
          <w:p>
            <w:pPr>
              <w:ind w:left="460"/>
              <w:spacing w:after="0"/>
              <w:rPr>
                <w:sz w:val="20"/>
                <w:szCs w:val="20"/>
                <w:color w:val="auto"/>
              </w:rPr>
            </w:pPr>
            <w:r>
              <w:rPr>
                <w:rFonts w:ascii="Arial" w:cs="Arial" w:eastAsia="Arial" w:hAnsi="Arial"/>
                <w:sz w:val="17"/>
                <w:szCs w:val="17"/>
                <w:color w:val="auto"/>
                <w:w w:val="98"/>
              </w:rPr>
              <w:t>SECTION 4.17.</w:t>
            </w:r>
          </w:p>
        </w:tc>
        <w:tc>
          <w:tcPr>
            <w:tcW w:w="7200" w:type="dxa"/>
            <w:vAlign w:val="bottom"/>
          </w:tcPr>
          <w:p>
            <w:pPr>
              <w:ind w:left="60"/>
              <w:spacing w:after="0"/>
              <w:rPr>
                <w:sz w:val="20"/>
                <w:szCs w:val="20"/>
                <w:color w:val="auto"/>
              </w:rPr>
            </w:pPr>
            <w:r>
              <w:rPr>
                <w:rFonts w:ascii="Arial" w:cs="Arial" w:eastAsia="Arial" w:hAnsi="Arial"/>
                <w:sz w:val="17"/>
                <w:szCs w:val="17"/>
                <w:color w:val="auto"/>
              </w:rPr>
              <w:t>Effectiveness</w:t>
            </w:r>
          </w:p>
        </w:tc>
        <w:tc>
          <w:tcPr>
            <w:tcW w:w="25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Exhibits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Exhibit A — Assignment and Assumption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7"/>
          <w:szCs w:val="17"/>
          <w:color w:val="auto"/>
        </w:rPr>
        <w:t>AMENDED AND RESTATED STOCKHOLDERS’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NATIONAL VISION HOLDINGS, INC.</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AMENDED AND RESTATED STOCKHOLDERS’ AGREEMENT (as the same may be amended from time to time in accordance with its terms,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 2017, by and among National Vision Holdings, Inc. (formerly known as Nautilus Parent,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each of the stockholders of the Company whose name appears on the signature pages hereto (each, a “</w:t>
      </w:r>
      <w:r>
        <w:rPr>
          <w:rFonts w:ascii="Arial" w:cs="Arial" w:eastAsia="Arial" w:hAnsi="Arial"/>
          <w:sz w:val="17"/>
          <w:szCs w:val="17"/>
          <w:u w:val="single" w:color="auto"/>
          <w:color w:val="auto"/>
        </w:rPr>
        <w:t>Stockholder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Stockholders</w:t>
      </w:r>
      <w:r>
        <w:rPr>
          <w:rFonts w:ascii="Arial" w:cs="Arial" w:eastAsia="Arial" w:hAnsi="Arial"/>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WHEREAS, on March 13, 2014, the Company and the Investors (as defined below) entered into that certain Stockholders Agreement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the Company is currently contemplating an underwritten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of shares of its Common Stock; and</w:t>
      </w:r>
    </w:p>
    <w:p>
      <w:pPr>
        <w:spacing w:after="0" w:line="222" w:lineRule="exact"/>
        <w:rPr>
          <w:sz w:val="20"/>
          <w:szCs w:val="20"/>
          <w:color w:val="auto"/>
        </w:rPr>
      </w:pPr>
    </w:p>
    <w:p>
      <w:pPr>
        <w:jc w:val="both"/>
        <w:ind w:firstLine="626"/>
        <w:spacing w:after="0" w:line="271" w:lineRule="auto"/>
        <w:rPr>
          <w:sz w:val="20"/>
          <w:szCs w:val="20"/>
          <w:color w:val="auto"/>
        </w:rPr>
      </w:pPr>
      <w:r>
        <w:rPr>
          <w:rFonts w:ascii="Arial" w:cs="Arial" w:eastAsia="Arial" w:hAnsi="Arial"/>
          <w:sz w:val="17"/>
          <w:szCs w:val="17"/>
          <w:color w:val="auto"/>
        </w:rPr>
        <w:t>WHEREAS, in connection with, and effective upon, the date of completion of the IPO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parties hereto desire to amend and restate the Original Agreement in its entirety and enter into this Agreement to govern certain of their rights, duties and obligations with respect to their ownership of Common Stock after consummation of the IPO.</w:t>
      </w:r>
    </w:p>
    <w:p>
      <w:pPr>
        <w:spacing w:after="0" w:line="172"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09" w:lineRule="exact"/>
        <w:rPr>
          <w:sz w:val="20"/>
          <w:szCs w:val="20"/>
          <w:color w:val="auto"/>
        </w:rPr>
      </w:pPr>
    </w:p>
    <w:p>
      <w:pPr>
        <w:ind w:left="1260"/>
        <w:spacing w:after="0"/>
        <w:tabs>
          <w:tab w:leader="none" w:pos="280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herein shall have the following meanings:</w:t>
      </w:r>
    </w:p>
    <w:p>
      <w:pPr>
        <w:spacing w:after="0" w:line="222" w:lineRule="exact"/>
        <w:rPr>
          <w:sz w:val="20"/>
          <w:szCs w:val="20"/>
          <w:color w:val="auto"/>
        </w:rPr>
      </w:pPr>
    </w:p>
    <w:p>
      <w:pPr>
        <w:jc w:val="both"/>
        <w:ind w:firstLine="1252"/>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shall mean, (i) with respect to any Person (other than an Investor), an “affiliate” as defined in Rule 405 of the regulations promulgated under the Securities Act, and (ii) with respect to an Investor, an “affiliate” as defined in Rule 405 of the regulations promulgated under the Securities Act and any investment fund, vehicle or holding company of which such Investor or an Affiliate of such Investor serves as the general partner, managing member or discretionary manager or advisor;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(x) except as used in </w:t>
      </w:r>
      <w:r>
        <w:rPr>
          <w:rFonts w:ascii="Arial" w:cs="Arial" w:eastAsia="Arial" w:hAnsi="Arial"/>
          <w:sz w:val="17"/>
          <w:szCs w:val="17"/>
          <w:u w:val="single" w:color="auto"/>
          <w:color w:val="auto"/>
        </w:rPr>
        <w:t>Section 4.2</w:t>
      </w:r>
      <w:r>
        <w:rPr>
          <w:rFonts w:ascii="Arial" w:cs="Arial" w:eastAsia="Arial" w:hAnsi="Arial"/>
          <w:sz w:val="17"/>
          <w:szCs w:val="17"/>
          <w:color w:val="auto"/>
        </w:rPr>
        <w:t>, an Affiliate of an Investor shall not include any Portfolio Company or other investment of any Person or such Investor or any investment fund, vehicle or holding company or any investment fund, vehicle or holding company or any limited partners of such Investor and (y) an Investor or any of its Affiliates shall not be considered an Affiliate of the other Investor.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0" w:name="page291"/>
    <w:bookmarkEnd w:id="290"/>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set forth in the Preamble.</w:t>
      </w:r>
    </w:p>
    <w:p>
      <w:pPr>
        <w:spacing w:after="0" w:line="222"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or “</w:t>
      </w:r>
      <w:r>
        <w:rPr>
          <w:rFonts w:ascii="Arial" w:cs="Arial" w:eastAsia="Arial" w:hAnsi="Arial"/>
          <w:sz w:val="17"/>
          <w:szCs w:val="17"/>
          <w:u w:val="single" w:color="auto"/>
          <w:color w:val="auto"/>
        </w:rPr>
        <w:t>beneficially own</w:t>
      </w:r>
      <w:r>
        <w:rPr>
          <w:rFonts w:ascii="Arial" w:cs="Arial" w:eastAsia="Arial" w:hAnsi="Arial"/>
          <w:sz w:val="17"/>
          <w:szCs w:val="17"/>
          <w:color w:val="auto"/>
        </w:rPr>
        <w:t xml:space="preserve">” shall have the meaning set forth in Rule 13d-3 under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Stockholder shall be deemed to beneficially own any securities of the Company held by any other Stockholder solely by virtue of the provisions of this Agreement (other than this definition which shall be deemed to be read for this purpose without the proviso hereto).</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Berkshire Designee</w:t>
      </w:r>
      <w:r>
        <w:rPr>
          <w:rFonts w:ascii="Arial" w:cs="Arial" w:eastAsia="Arial" w:hAnsi="Arial"/>
          <w:sz w:val="17"/>
          <w:szCs w:val="17"/>
          <w:color w:val="auto"/>
        </w:rPr>
        <w:t xml:space="preserve">” shall mean the Director designated by the Berkshire Investors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of this Agreement.</w:t>
      </w:r>
    </w:p>
    <w:p>
      <w:pPr>
        <w:spacing w:after="0" w:line="222"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Berkshire Investor</w:t>
      </w:r>
      <w:r>
        <w:rPr>
          <w:rFonts w:ascii="Arial" w:cs="Arial" w:eastAsia="Arial" w:hAnsi="Arial"/>
          <w:sz w:val="17"/>
          <w:szCs w:val="17"/>
          <w:color w:val="auto"/>
        </w:rPr>
        <w:t>” shall mean Berkshire Fund VI, Limited Partnership, Berkshire Investors LLC, and Berkshire Investors III LLC, and their Permitted Transferees.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directors of the Company.</w:t>
      </w:r>
    </w:p>
    <w:p>
      <w:pPr>
        <w:spacing w:after="0" w:line="222"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that is not a Saturday, a Sunday or other day on which banks are required or authorized by Law to be closed in the City of New York.</w:t>
      </w:r>
    </w:p>
    <w:p>
      <w:pPr>
        <w:spacing w:after="0" w:line="158" w:lineRule="exact"/>
        <w:rPr>
          <w:sz w:val="20"/>
          <w:szCs w:val="20"/>
          <w:color w:val="auto"/>
        </w:rPr>
      </w:pPr>
    </w:p>
    <w:p>
      <w:pPr>
        <w:jc w:val="both"/>
        <w:ind w:firstLine="1252"/>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shall mean the Second Amended and Restated Bylaws of the Company, as in effect on the date hereof and as the same may be amended, supplemented or otherwise modified from time to time in accordance with the terms thereof, the terms of the Charter and the terms of this Agreement.</w:t>
      </w:r>
    </w:p>
    <w:p>
      <w:pPr>
        <w:spacing w:after="0" w:line="135" w:lineRule="exact"/>
        <w:rPr>
          <w:sz w:val="20"/>
          <w:szCs w:val="20"/>
          <w:color w:val="auto"/>
        </w:rPr>
      </w:pPr>
    </w:p>
    <w:p>
      <w:pPr>
        <w:jc w:val="both"/>
        <w:ind w:firstLine="1252"/>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any transaction or series of related transactions (whether by merger, consolidation, recapitalization, liquidation or sale or transfer of Common Stock or assets (including equity securities of the Subsidiaries) or otherwise) as a result of which any Person or group, within the meaning of Section 13(d)(3) of the Exchange Act (other than (x) the Investors and their respective Affiliates, any group of which the foregoing are members and any other members of such a group and (y) an employee benefit plan (or trust forming a part thereof) maintained by the Company or its controlled Affiliates), obtains ownership, directly or indirectly, of (i) Common Stock that represent more than 50% of the total voting power of the outstanding capital stock of the Company or applicable successor entity or (ii) all or substantially all of the assets of the Company and its Subsidiaries on a consolidated basis. For purposes of this definition, the term “Affiliates” shall include Portfolio Companies.</w:t>
      </w:r>
    </w:p>
    <w:p>
      <w:pPr>
        <w:spacing w:after="0" w:line="181" w:lineRule="exact"/>
        <w:rPr>
          <w:sz w:val="20"/>
          <w:szCs w:val="20"/>
          <w:color w:val="auto"/>
        </w:rPr>
      </w:pPr>
    </w:p>
    <w:p>
      <w:pPr>
        <w:jc w:val="both"/>
        <w:ind w:firstLine="1252"/>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shall mean the Second Amended and Restated Certificate of Incorporation of the Company, as in effect on the date hereof and as the same may be amended, supplemented or otherwise modified from time to time in accordance with the terms thereof and the terms of this Agreement.</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shall have the meaning set forth in the Recitals.</w:t>
      </w:r>
    </w:p>
    <w:p>
      <w:pPr>
        <w:spacing w:after="0" w:line="222"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shall mean the common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1" w:name="page292"/>
    <w:bookmarkEnd w:id="291"/>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shall have the meaning set forth in the Preamble.</w:t>
      </w:r>
    </w:p>
    <w:p>
      <w:pPr>
        <w:spacing w:after="0" w:line="222" w:lineRule="exact"/>
        <w:rPr>
          <w:sz w:val="20"/>
          <w:szCs w:val="20"/>
          <w:color w:val="auto"/>
        </w:rPr>
      </w:pPr>
    </w:p>
    <w:p>
      <w:pPr>
        <w:jc w:val="both"/>
        <w:ind w:firstLine="1252"/>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with respect to the relationship between or among two or more Persons, shall mean the possession, directly or indirectly, of the power to direct or cause the direction of the affairs or management of a Person, whether through the ownership of voting securities, as trustee or executor, by contract or otherwise.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shall mean any member of the Board.</w:t>
      </w:r>
    </w:p>
    <w:p>
      <w:pPr>
        <w:spacing w:after="0" w:line="222" w:lineRule="exact"/>
        <w:rPr>
          <w:sz w:val="20"/>
          <w:szCs w:val="20"/>
          <w:color w:val="auto"/>
        </w:rPr>
      </w:pPr>
    </w:p>
    <w:p>
      <w:pPr>
        <w:jc w:val="both"/>
        <w:ind w:firstLine="1252"/>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Securities</w:t>
      </w:r>
      <w:r>
        <w:rPr>
          <w:rFonts w:ascii="Arial" w:cs="Arial" w:eastAsia="Arial" w:hAnsi="Arial"/>
          <w:sz w:val="16"/>
          <w:szCs w:val="16"/>
          <w:color w:val="auto"/>
        </w:rPr>
        <w:t>” shall mean any and all shares of (i) Common Stock, (ii) preferred stock of the Company, and (iii) any equity securities (including, without limitation, preferred stock) of the Company convertible into, or exchangeable or exercisable for, any of the foregoing shares, and options, warrants or other rights to acquire any of the foregoing shares or other securities. In the event any direct or indirect Subsidiary of the Company issues directly to any Stockholder any common stock of such Subsidiary or any equity securities of the type described in clauses (ii) and (iii), the term “Equity Securities” shall also include the common stock and equity securities of the type described in clauses (ii) and (iii) of such Subsidiary.</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from time to time, and the rules and regulations promulgated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pursuant thereto.</w:t>
      </w:r>
    </w:p>
    <w:p>
      <w:pPr>
        <w:spacing w:after="0" w:line="209" w:lineRule="exact"/>
        <w:rPr>
          <w:sz w:val="20"/>
          <w:szCs w:val="20"/>
          <w:color w:val="auto"/>
        </w:rPr>
      </w:pPr>
    </w:p>
    <w:p>
      <w:pPr>
        <w:jc w:val="both"/>
        <w:ind w:firstLine="1252"/>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shall mean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54" w:lineRule="exact"/>
        <w:rPr>
          <w:sz w:val="20"/>
          <w:szCs w:val="20"/>
          <w:color w:val="auto"/>
        </w:rPr>
      </w:pPr>
    </w:p>
    <w:p>
      <w:pPr>
        <w:jc w:val="both"/>
        <w:ind w:firstLine="1252"/>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Indemnification Agreement</w:t>
      </w:r>
      <w:r>
        <w:rPr>
          <w:rFonts w:ascii="Arial" w:cs="Arial" w:eastAsia="Arial" w:hAnsi="Arial"/>
          <w:sz w:val="16"/>
          <w:szCs w:val="16"/>
          <w:color w:val="auto"/>
        </w:rPr>
        <w:t>” shall mean the Indemnification Agreement, dated as of March 13, 2014, by and among the Sponsor Entities, the Company and Nautilus Acquisition Holdings, Inc. and National Vision, Inc., as the same may be amended from time to time in accordance with its terms.</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Investors</w:t>
      </w:r>
      <w:r>
        <w:rPr>
          <w:rFonts w:ascii="Arial" w:cs="Arial" w:eastAsia="Arial" w:hAnsi="Arial"/>
          <w:sz w:val="17"/>
          <w:szCs w:val="17"/>
          <w:color w:val="auto"/>
        </w:rPr>
        <w:t>” shall mean the Berkshire Investor and the KKR Investor.</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w:t>
      </w:r>
      <w:r>
        <w:rPr>
          <w:rFonts w:ascii="Arial" w:cs="Arial" w:eastAsia="Arial" w:hAnsi="Arial"/>
          <w:sz w:val="17"/>
          <w:szCs w:val="17"/>
          <w:color w:val="auto"/>
        </w:rPr>
        <w:t>” shall have the meaning set forth in the Recitals.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KKR Designee(s)</w:t>
      </w:r>
      <w:r>
        <w:rPr>
          <w:rFonts w:ascii="Arial" w:cs="Arial" w:eastAsia="Arial" w:hAnsi="Arial"/>
          <w:sz w:val="17"/>
          <w:szCs w:val="17"/>
          <w:color w:val="auto"/>
        </w:rPr>
        <w:t xml:space="preserve">” shall mean any Director designated by the KKR Investor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of this Agreement.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KKR Investor</w:t>
      </w:r>
      <w:r>
        <w:rPr>
          <w:rFonts w:ascii="Arial" w:cs="Arial" w:eastAsia="Arial" w:hAnsi="Arial"/>
          <w:sz w:val="17"/>
          <w:szCs w:val="17"/>
          <w:color w:val="auto"/>
        </w:rPr>
        <w:t>” shall mean KKR Vision Aggregator L.P. and its Permitted Transferees.</w:t>
      </w:r>
    </w:p>
    <w:p>
      <w:pPr>
        <w:spacing w:after="0" w:line="222"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shall mean any applicable constitutional provision, statute, act, code, law, regulation, rule, ordinance, order, decree, ruling, proclamation, resolution, judgment, decision, declaration, or interpretative or advisory opinion or letter of a Governmental Authority.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2" w:name="page293"/>
    <w:bookmarkEnd w:id="292"/>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Agreement</w:t>
      </w:r>
      <w:r>
        <w:rPr>
          <w:rFonts w:ascii="Arial" w:cs="Arial" w:eastAsia="Arial" w:hAnsi="Arial"/>
          <w:sz w:val="17"/>
          <w:szCs w:val="17"/>
          <w:color w:val="auto"/>
        </w:rPr>
        <w:t>” shall have the meaning set forth in the Recitals.</w:t>
      </w:r>
    </w:p>
    <w:p>
      <w:pPr>
        <w:spacing w:after="0" w:line="222" w:lineRule="exact"/>
        <w:rPr>
          <w:sz w:val="20"/>
          <w:szCs w:val="20"/>
          <w:color w:val="auto"/>
        </w:rPr>
      </w:pPr>
    </w:p>
    <w:p>
      <w:pPr>
        <w:jc w:val="both"/>
        <w:ind w:firstLine="1252"/>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shall mean, with respect to any Investor, any Transferee that is an Affiliate of such Investor;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however</w:t>
      </w:r>
      <w:r>
        <w:rPr>
          <w:rFonts w:ascii="Arial" w:cs="Arial" w:eastAsia="Arial" w:hAnsi="Arial"/>
          <w:sz w:val="16"/>
          <w:szCs w:val="16"/>
          <w:color w:val="auto"/>
          <w:highlight w:val="white"/>
        </w:rPr>
        <w:t>, that such</w:t>
      </w:r>
      <w:r>
        <w:rPr>
          <w:rFonts w:ascii="Arial" w:cs="Arial" w:eastAsia="Arial" w:hAnsi="Arial"/>
          <w:sz w:val="16"/>
          <w:szCs w:val="16"/>
          <w:color w:val="auto"/>
        </w:rPr>
        <w:t xml:space="preserve"> Transferee shall agree in a writing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color w:val="auto"/>
          <w:highlight w:val="white"/>
        </w:rPr>
        <w:t>hereto to be bound by and to comply with all applicable provisions of this Agreement.</w:t>
      </w:r>
    </w:p>
    <w:p>
      <w:pPr>
        <w:spacing w:after="0" w:line="135"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individual, corporation, partnership, trust, joint stock company, business trust, unincorporated association, joint venture or other entity of any nature whatsoever.</w:t>
      </w:r>
    </w:p>
    <w:p>
      <w:pPr>
        <w:spacing w:after="0" w:line="158"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Portfolio Company</w:t>
      </w:r>
      <w:r>
        <w:rPr>
          <w:rFonts w:ascii="Arial" w:cs="Arial" w:eastAsia="Arial" w:hAnsi="Arial"/>
          <w:sz w:val="17"/>
          <w:szCs w:val="17"/>
          <w:color w:val="auto"/>
          <w:highlight w:val="white"/>
        </w:rPr>
        <w:t>” shall mean, with respect to any Person, a “portfolio company” (as such term is customarily used among institutional</w:t>
      </w:r>
      <w:r>
        <w:rPr>
          <w:rFonts w:ascii="Arial" w:cs="Arial" w:eastAsia="Arial" w:hAnsi="Arial"/>
          <w:sz w:val="17"/>
          <w:szCs w:val="17"/>
          <w:color w:val="auto"/>
        </w:rPr>
        <w:t xml:space="preserve"> investors), or any entity controlled by any “portfolio company”, of such Person or one of its Affiliates.</w:t>
      </w:r>
    </w:p>
    <w:p>
      <w:pPr>
        <w:spacing w:after="0" w:line="158"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shall mean the Registration Rights Agreement, dated as of March 13, 2014, among the Company and each of the stockholders party thereto, as the same may be amended from time to time in accordance with its terms.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shall mean the Securities Act of 1933, as amended from time to time, and the rules and regulations promulgated pursuant thereto.</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 Entities</w:t>
      </w:r>
      <w:r>
        <w:rPr>
          <w:rFonts w:ascii="Arial" w:cs="Arial" w:eastAsia="Arial" w:hAnsi="Arial"/>
          <w:sz w:val="17"/>
          <w:szCs w:val="17"/>
          <w:color w:val="auto"/>
        </w:rPr>
        <w:t>” shall mean Kohlberg Kravis Roberts &amp; Co. L.P. and Berkshire Partners LLC.</w:t>
      </w:r>
    </w:p>
    <w:p>
      <w:pPr>
        <w:spacing w:after="0" w:line="222"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Exchange</w:t>
      </w:r>
      <w:r>
        <w:rPr>
          <w:rFonts w:ascii="Arial" w:cs="Arial" w:eastAsia="Arial" w:hAnsi="Arial"/>
          <w:sz w:val="17"/>
          <w:szCs w:val="17"/>
          <w:color w:val="auto"/>
        </w:rPr>
        <w:t>” shall mean The NASDAQ Global Select Market or such other securities exchange or interdealer quotation system on which shares of Common Stock are then listed or quoted.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w:t>
      </w:r>
      <w:r>
        <w:rPr>
          <w:rFonts w:ascii="Arial" w:cs="Arial" w:eastAsia="Arial" w:hAnsi="Arial"/>
          <w:sz w:val="17"/>
          <w:szCs w:val="17"/>
          <w:color w:val="auto"/>
        </w:rPr>
        <w:t>” shall have the meaning set forth in the Preamble.</w:t>
      </w:r>
    </w:p>
    <w:p>
      <w:pPr>
        <w:spacing w:after="0" w:line="222"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 entity, (i) any corporation of which a majority of the securities entitled to vote generally in the election of directors thereof, at the time as of which any determination is being made, are owned by such entity, either directly or indirectly, and (ii) any joint venture, general or limited partnership, limited liability company or other legal entity in which the entity is the record or beneficial owner, directly or indirectly, of a majority of the voting interests or the general partner.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Number of Directors</w:t>
      </w:r>
      <w:r>
        <w:rPr>
          <w:rFonts w:ascii="Arial" w:cs="Arial" w:eastAsia="Arial" w:hAnsi="Arial"/>
          <w:sz w:val="17"/>
          <w:szCs w:val="17"/>
          <w:color w:val="auto"/>
        </w:rPr>
        <w:t>” shall mean, at any time of determination, the total number of Directors comprising the Board.</w:t>
      </w:r>
    </w:p>
    <w:p>
      <w:pPr>
        <w:spacing w:after="0" w:line="222" w:lineRule="exact"/>
        <w:rPr>
          <w:sz w:val="20"/>
          <w:szCs w:val="20"/>
          <w:color w:val="auto"/>
        </w:rPr>
      </w:pPr>
    </w:p>
    <w:p>
      <w:pPr>
        <w:jc w:val="both"/>
        <w:ind w:firstLine="1252"/>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shall mean, directly or indirectly, to sell, transfer, assign, encumber, hypothecate or similarly dispose of, either voluntarily or involuntarily, or to enter into any contract, option or other arrangement or understanding with respect to the sale, transfer, assignment, encumbrance, hypothecation or similar disposition of, any shares of Equity Securities beneficially owned by a Person or any interest in any shares of Equity Securities beneficially owned by a Person. In the event that any Investor that is a corporation, partnership, limited liability company or other legal entity (other than an individual, trust or estate) ceases to be controlled by the Person controlling such Investor or a Permitted Transferee thereof, such event shall be deemed to constitute a “Transfer” subject to the restrictions on Transfer contained or referenced herein.</w:t>
      </w:r>
    </w:p>
    <w:p>
      <w:pPr>
        <w:spacing w:after="0" w:line="180"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shall mean any Person to whom any Stockholder or any Transferee thereof Transfers Equity Securities of the Company in accordance with the terms hereof.</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3" w:name="page294"/>
    <w:bookmarkEnd w:id="293"/>
    <w:p>
      <w:pPr>
        <w:jc w:val="both"/>
        <w:ind w:firstLine="1252"/>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shall mean, at any time of determination, shares of any class of Equity Securities of the Company that are then entitled to vote generally in the election of Directors.</w:t>
      </w:r>
    </w:p>
    <w:p>
      <w:pPr>
        <w:spacing w:after="0" w:line="158" w:lineRule="exact"/>
        <w:rPr>
          <w:sz w:val="20"/>
          <w:szCs w:val="20"/>
          <w:color w:val="auto"/>
        </w:rPr>
      </w:pPr>
    </w:p>
    <w:p>
      <w:pPr>
        <w:jc w:val="both"/>
        <w:ind w:firstLine="1252"/>
        <w:spacing w:after="0" w:line="280"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Construction</w:t>
      </w:r>
      <w:r>
        <w:rPr>
          <w:rFonts w:ascii="Arial" w:cs="Arial" w:eastAsia="Arial" w:hAnsi="Arial"/>
          <w:sz w:val="16"/>
          <w:szCs w:val="16"/>
          <w:color w:val="auto"/>
        </w:rPr>
        <w:t>. Whenever the context requires, the gender of all words used in this Agreement includes the masculine, feminine and neuter forms and the singular form of words shall include the plural and vice versa. All references to Articles and Sections refer to articles and sections of this Agreement. Whenever the words “include,” “includes” or “including” are used in this Agreement, they shall be deemed to be followed by the words “without limitation.” This Agreement shall be construed without regard to any presumption or rule requiring construction or interpretation against the party drafting or causing any instrument to be drafted. Any percentage set forth herein shall be deemed to be automatically adjusted without any action on the part of any party hereto to take into account any stock split, stock dividend or similar transaction occurring after the date of this Agreement so that the rights provided to the Stockholders shall continue to apply to the same extent such rights would have applied absent such stock split, stock dividend or similar transaction.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CORPORATE GOVERNANCE</w:t>
      </w:r>
    </w:p>
    <w:p>
      <w:pPr>
        <w:spacing w:after="0" w:line="209" w:lineRule="exact"/>
        <w:rPr>
          <w:sz w:val="20"/>
          <w:szCs w:val="20"/>
          <w:color w:val="auto"/>
        </w:rPr>
      </w:pPr>
    </w:p>
    <w:p>
      <w:pPr>
        <w:ind w:left="1260"/>
        <w:spacing w:after="0"/>
        <w:tabs>
          <w:tab w:leader="none" w:pos="280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2" w:lineRule="exact"/>
        <w:rPr>
          <w:sz w:val="20"/>
          <w:szCs w:val="20"/>
          <w:color w:val="auto"/>
        </w:rPr>
      </w:pPr>
    </w:p>
    <w:p>
      <w:pPr>
        <w:ind w:firstLine="630"/>
        <w:spacing w:after="0" w:line="287" w:lineRule="auto"/>
        <w:tabs>
          <w:tab w:leader="none" w:pos="1566" w:val="left"/>
        </w:tabs>
        <w:numPr>
          <w:ilvl w:val="1"/>
          <w:numId w:val="204"/>
        </w:numPr>
        <w:rPr>
          <w:rFonts w:ascii="Arial" w:cs="Arial" w:eastAsia="Arial" w:hAnsi="Arial"/>
          <w:sz w:val="17"/>
          <w:szCs w:val="17"/>
          <w:color w:val="auto"/>
        </w:rPr>
      </w:pPr>
      <w:r>
        <w:rPr>
          <w:rFonts w:ascii="Arial" w:cs="Arial" w:eastAsia="Arial" w:hAnsi="Arial"/>
          <w:sz w:val="17"/>
          <w:szCs w:val="17"/>
          <w:color w:val="auto"/>
        </w:rPr>
        <w:t>Following the Closing Date, the Berkshire Investor shall have the right, but not the obligation, to nominate to the Board, one (1) Director, so long as the Berkshire Investor and its Affiliates collectively beneficially own 5% or more of the outstanding shares of Common Stock.</w:t>
      </w:r>
    </w:p>
    <w:p>
      <w:pPr>
        <w:spacing w:after="0" w:line="158" w:lineRule="exact"/>
        <w:rPr>
          <w:rFonts w:ascii="Arial" w:cs="Arial" w:eastAsia="Arial" w:hAnsi="Arial"/>
          <w:sz w:val="17"/>
          <w:szCs w:val="17"/>
          <w:color w:val="auto"/>
        </w:rPr>
      </w:pPr>
    </w:p>
    <w:p>
      <w:pPr>
        <w:jc w:val="both"/>
        <w:ind w:firstLine="630"/>
        <w:spacing w:after="0" w:line="293" w:lineRule="auto"/>
        <w:tabs>
          <w:tab w:leader="none" w:pos="1597" w:val="left"/>
        </w:tabs>
        <w:numPr>
          <w:ilvl w:val="1"/>
          <w:numId w:val="204"/>
        </w:numPr>
        <w:rPr>
          <w:rFonts w:ascii="Arial" w:cs="Arial" w:eastAsia="Arial" w:hAnsi="Arial"/>
          <w:sz w:val="15"/>
          <w:szCs w:val="15"/>
          <w:color w:val="auto"/>
        </w:rPr>
      </w:pPr>
      <w:r>
        <w:rPr>
          <w:rFonts w:ascii="Arial" w:cs="Arial" w:eastAsia="Arial" w:hAnsi="Arial"/>
          <w:sz w:val="15"/>
          <w:szCs w:val="15"/>
          <w:color w:val="auto"/>
        </w:rPr>
        <w:t>Following the Closing Date, the KKR Investor shall have the right, but not the obligation, to nominate to the Board a number of designees equal to at least: (i) a majority of the Total Number of Directors, so long as the KKR Investor and its Affiliates collectively beneficially own 50% or more of the outstanding shares of Common Stock; (ii) 40% of the Total Number of Directors, in the event that the KKR Investor and its Affiliates collectively beneficially own 40% or more, but less than 50%, of the outstanding shares of Common Stock; (iii) 30% of the Total Number of Directors, in the event that the KKR Investor and its Affiliates collectively beneficially own 30% or more, but less than 40%, of the outstanding shares of Common Stock; (iv) 20% of the Total Number of Directors, in the event that the KKR Investor and its Affiliates collectively beneficially own 20% or more, but less than 30%, of the outstanding shares of Common Stock; and</w:t>
      </w:r>
    </w:p>
    <w:p>
      <w:pPr>
        <w:jc w:val="both"/>
        <w:ind w:firstLine="4"/>
        <w:spacing w:after="0" w:line="282" w:lineRule="auto"/>
        <w:tabs>
          <w:tab w:leader="none" w:pos="25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10% of the Total Number of Directors, in the event that the KKR Investor and its Affiliates collectively beneficially own 5% or more, but less than 20%, of the outstanding shares of Common Stock. For purposes of calculating the number of Directors that the KKR Investor is entitled to designate pursuant to the immediately preceding sentence, any fractional amounts shall automatically be rounded up to the nearest whole number (e.g., one and one quarter (1 and 1/4) Directors shall equate to two (2) Directors), and any such calculations shall be made after taking into account any increase in the Total Number of Directors.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4" w:name="page295"/>
    <w:bookmarkEnd w:id="294"/>
    <w:p>
      <w:pPr>
        <w:ind w:firstLine="630"/>
        <w:spacing w:after="0" w:line="287" w:lineRule="auto"/>
        <w:tabs>
          <w:tab w:leader="none" w:pos="173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Effective as of the Closing Date, the Berkshire Designee shall initially be D. Randolph Peeler and the KKR Designees shall initially be Nathaniel H. Taylor and Felix Gernburd.</w:t>
      </w:r>
    </w:p>
    <w:p>
      <w:pPr>
        <w:spacing w:after="0" w:line="158" w:lineRule="exact"/>
        <w:rPr>
          <w:rFonts w:ascii="Arial" w:cs="Arial" w:eastAsia="Arial" w:hAnsi="Arial"/>
          <w:sz w:val="17"/>
          <w:szCs w:val="17"/>
          <w:color w:val="auto"/>
        </w:rPr>
      </w:pPr>
    </w:p>
    <w:p>
      <w:pPr>
        <w:jc w:val="both"/>
        <w:ind w:firstLine="630"/>
        <w:spacing w:after="0" w:line="288" w:lineRule="auto"/>
        <w:tabs>
          <w:tab w:leader="none" w:pos="161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The Company agrees, to the fullest extent permitted by applicable Law (including with respect to fiduciary duties under Delaware law), to include the individuals designated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 the slate of nominees recommended by the Board for election at any meeting of stockholders called for the purpose of electing Directors and to use its best efforts to cause the election of each such designee to the Board, including nominating each such individual to be elected as a Director as provided herein, recommending such individual’s election and soliciting proxies or consents in favor thereof.</w:t>
      </w:r>
    </w:p>
    <w:p>
      <w:pPr>
        <w:spacing w:after="0" w:line="159" w:lineRule="exact"/>
        <w:rPr>
          <w:rFonts w:ascii="Arial" w:cs="Arial" w:eastAsia="Arial" w:hAnsi="Arial"/>
          <w:sz w:val="16"/>
          <w:szCs w:val="16"/>
          <w:color w:val="auto"/>
        </w:rPr>
      </w:pPr>
    </w:p>
    <w:p>
      <w:pPr>
        <w:jc w:val="both"/>
        <w:ind w:firstLine="630"/>
        <w:spacing w:after="0" w:line="280" w:lineRule="auto"/>
        <w:tabs>
          <w:tab w:leader="none" w:pos="165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In the event that the Berkshire Investor or the KKR Investor, as applicable, has nominated less than the total number of designees that the Berkshire Investor or the KKR Investor, as applicable, shall be entitled to nominate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as applicable, then the Berkshire Investor or the KKR Investor, as applicable, shall have the right, at any time, to nominate such additional designee(s) to which it is entitled, in which case, the Company and the Directors shall take all necessary corporate action, to the fullest extent permitted by applicable Law (including with respect to fiduciary duties under Delaware law), to (x) enable the Berkshire Investor or the KKR Investor, as applicable, to nominate and effect the election or appointment of such additional individuals, whether by increasing the size of the Board or otherwise, and (y) designate such additional individuals nominated by the Berkshire Investor or the KKR Investor, as applicable, to fill such newly created vacancies or to fill any other existing vacancies.</w:t>
      </w:r>
    </w:p>
    <w:p>
      <w:pPr>
        <w:spacing w:after="0" w:line="166" w:lineRule="exact"/>
        <w:rPr>
          <w:rFonts w:ascii="Arial" w:cs="Arial" w:eastAsia="Arial" w:hAnsi="Arial"/>
          <w:sz w:val="16"/>
          <w:szCs w:val="16"/>
          <w:color w:val="auto"/>
        </w:rPr>
      </w:pPr>
    </w:p>
    <w:p>
      <w:pPr>
        <w:jc w:val="both"/>
        <w:ind w:firstLine="630"/>
        <w:spacing w:after="0" w:line="262" w:lineRule="auto"/>
        <w:tabs>
          <w:tab w:leader="none" w:pos="162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In the event that a vacancy is created at any time by the death, disability, retirement, resignation or removal (with or without cause) of any Director designated by the Berkshire Investor or the KKR Investor, as applicable,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the remaining Directors and the Company shall, to the fullest extent permitted by applicable Law (including with respect to fiduciary duties under Delaware law), cause the vacancy created thereby to be filled by a new designee of the Berkshire Investor or the KKR Investor, as applicable, who designated such Director as soon as possible, and the Company hereby agrees to take, to the fullest extent permitted by applicable Law (including with respect to fiduciary duties under Delaware law), at any time and from time to time, all actions necessary to accomplish the same.</w:t>
      </w:r>
    </w:p>
    <w:p>
      <w:pPr>
        <w:spacing w:after="0" w:line="179" w:lineRule="exact"/>
        <w:rPr>
          <w:rFonts w:ascii="Arial" w:cs="Arial" w:eastAsia="Arial" w:hAnsi="Arial"/>
          <w:sz w:val="17"/>
          <w:szCs w:val="17"/>
          <w:color w:val="auto"/>
        </w:rPr>
      </w:pPr>
    </w:p>
    <w:p>
      <w:pPr>
        <w:jc w:val="both"/>
        <w:ind w:firstLine="630"/>
        <w:spacing w:after="0" w:line="266" w:lineRule="auto"/>
        <w:tabs>
          <w:tab w:leader="none" w:pos="1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In the event that the Berkshire Investor or the KKR Investor, as applicable, shall cease to have the right to designate a Director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designee of such Investor selected by such Investor shall resign immediately or such Investor shall take all action necessary to remove such designee and the Directors remaining in office shall be entitled to decrease the size of the Board to eliminate such vacancy and no consent under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shall be required in connection with such decrease.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5" w:name="page296"/>
    <w:bookmarkEnd w:id="295"/>
    <w:p>
      <w:pPr>
        <w:jc w:val="both"/>
        <w:ind w:firstLine="630"/>
        <w:spacing w:after="0" w:line="266" w:lineRule="auto"/>
        <w:tabs>
          <w:tab w:leader="none" w:pos="149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Berkshire Investor or the KKR Investor shall have the right to representation on the board of directors or other similar governing body (or any committee thereof in the case of the KKR Investor) of any Subsidiary of the Company in proportion to their representation on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Berkshire Investor shall have such right to representation only if and to the extent a KKR Designee is serving on any such board of directors or other similar governing body.</w:t>
      </w:r>
    </w:p>
    <w:p>
      <w:pPr>
        <w:spacing w:after="0" w:line="176" w:lineRule="exact"/>
        <w:rPr>
          <w:rFonts w:ascii="Arial" w:cs="Arial" w:eastAsia="Arial" w:hAnsi="Arial"/>
          <w:sz w:val="17"/>
          <w:szCs w:val="17"/>
          <w:color w:val="auto"/>
        </w:rPr>
      </w:pPr>
    </w:p>
    <w:p>
      <w:pPr>
        <w:jc w:val="both"/>
        <w:ind w:firstLine="630"/>
        <w:spacing w:after="0" w:line="266" w:lineRule="auto"/>
        <w:tabs>
          <w:tab w:leader="none" w:pos="163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shall reimburse the Berkshire Designee and the KKR Designee(s), as applicable, for their reasonable out-of-pocket expenses incurred by them in connection with performing his or her duties as a member of the Board (or any committee thereof), including the reasonable out-of-pocket expenses incurred by such person for attending meetings of the Board (or any committee thereof), or in connection with their service on the board or other similar governing body of any Subsidiary of the Company (or any committee thereof).</w:t>
      </w:r>
    </w:p>
    <w:p>
      <w:pPr>
        <w:spacing w:after="0" w:line="176" w:lineRule="exact"/>
        <w:rPr>
          <w:rFonts w:ascii="Arial" w:cs="Arial" w:eastAsia="Arial" w:hAnsi="Arial"/>
          <w:sz w:val="17"/>
          <w:szCs w:val="17"/>
          <w:color w:val="auto"/>
        </w:rPr>
      </w:pPr>
    </w:p>
    <w:p>
      <w:pPr>
        <w:jc w:val="both"/>
        <w:ind w:firstLine="630"/>
        <w:spacing w:after="0" w:line="295" w:lineRule="auto"/>
        <w:tabs>
          <w:tab w:leader="none" w:pos="1724"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Each of the Stockholders agrees to vote, or act by written consent with respect to, all Voting Securities beneficially owned by it, at each annual or special meeting of stockholders of the Company at which Directors are to be elected, or to take all actions by written consent in lieu of any such meeting as are necessary, to cause the Berkshire Designee and the KKR Designee(s) to be elected to the Board. Each of the Stockholders agrees to use its commercially reasonable efforts to cause the election of each such designee to the Board, including nominating such individuals to be elected as members of the Board. In the event that a vacancy is created at any time by the death, disability, retirement, resignation or removal (with or without cause) of any Director designated pursuant to </w:t>
      </w:r>
      <w:r>
        <w:rPr>
          <w:rFonts w:ascii="Arial" w:cs="Arial" w:eastAsia="Arial" w:hAnsi="Arial"/>
          <w:sz w:val="15"/>
          <w:szCs w:val="15"/>
          <w:u w:val="single" w:color="auto"/>
          <w:color w:val="auto"/>
        </w:rPr>
        <w:t>Section 2.1(a)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2.1(b)</w:t>
      </w:r>
      <w:r>
        <w:rPr>
          <w:rFonts w:ascii="Arial" w:cs="Arial" w:eastAsia="Arial" w:hAnsi="Arial"/>
          <w:sz w:val="15"/>
          <w:szCs w:val="15"/>
          <w:color w:val="auto"/>
        </w:rPr>
        <w:t xml:space="preserve">, as applicable, and the remaining Directors pursuant to </w:t>
      </w:r>
      <w:r>
        <w:rPr>
          <w:rFonts w:ascii="Arial" w:cs="Arial" w:eastAsia="Arial" w:hAnsi="Arial"/>
          <w:sz w:val="15"/>
          <w:szCs w:val="15"/>
          <w:u w:val="single" w:color="auto"/>
          <w:color w:val="auto"/>
        </w:rPr>
        <w:t>Section 2.1(f)</w:t>
      </w:r>
      <w:r>
        <w:rPr>
          <w:rFonts w:ascii="Arial" w:cs="Arial" w:eastAsia="Arial" w:hAnsi="Arial"/>
          <w:sz w:val="15"/>
          <w:szCs w:val="15"/>
          <w:color w:val="auto"/>
        </w:rPr>
        <w:t xml:space="preserve"> have caused the vacancy created thereby to be filled by a new designee of the Berkshire Investor or the KKR Investor, as applicable, then in such case each Stockholder hereby agrees to take, at any time and from time to time, all actions necessary to accomplish the same. Upon the written request of the Berkshire Investor or the KKR Investor, as applicable, each other Stockholder shall vote, or act by written consent with respect to, all Voting Securities beneficially owned by it and otherwise take or cause to be taken all actions necessary to remove any Director designated by such Stockholders and to elect any replacement Director designated as provided in this </w:t>
      </w:r>
      <w:r>
        <w:rPr>
          <w:rFonts w:ascii="Arial" w:cs="Arial" w:eastAsia="Arial" w:hAnsi="Arial"/>
          <w:sz w:val="15"/>
          <w:szCs w:val="15"/>
          <w:u w:val="single" w:color="auto"/>
          <w:color w:val="auto"/>
        </w:rPr>
        <w:t>Section 2.1</w:t>
      </w:r>
      <w:r>
        <w:rPr>
          <w:rFonts w:ascii="Arial" w:cs="Arial" w:eastAsia="Arial" w:hAnsi="Arial"/>
          <w:sz w:val="15"/>
          <w:szCs w:val="15"/>
          <w:color w:val="auto"/>
        </w:rPr>
        <w:t>. Unless the Berkshire Investor or the KKR Investor shall otherwise request in writing, no other Stockholder shall take any action to cause the removal of any Directors designated by such Stockholder. The provisions of this section 2.1(j) shall be terminable at the option of the Berkshire Investor upon the earlier to occur of (i) a Berkshire Designee no longer serving on the Board or (ii) the combined voting power of Common Stock held by the Investors representing less than 50% of the total voting power of the Common Stock outstanding and the Company no longer qualifies as a “controlled company” within the meaning of Stock Exchange rules.</w:t>
      </w:r>
    </w:p>
    <w:p>
      <w:pPr>
        <w:spacing w:after="0" w:line="160" w:lineRule="exact"/>
        <w:rPr>
          <w:rFonts w:ascii="Arial" w:cs="Arial" w:eastAsia="Arial" w:hAnsi="Arial"/>
          <w:sz w:val="15"/>
          <w:szCs w:val="15"/>
          <w:color w:val="auto"/>
        </w:rPr>
      </w:pPr>
    </w:p>
    <w:p>
      <w:pPr>
        <w:ind w:firstLine="630"/>
        <w:spacing w:after="0" w:line="287" w:lineRule="auto"/>
        <w:tabs>
          <w:tab w:leader="none" w:pos="150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rights of the Stockholders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are personal to the Stockholders and shall not be exercised by any Transferee other than a Permitted Transferee.</w:t>
      </w:r>
    </w:p>
    <w:p>
      <w:pPr>
        <w:spacing w:after="0" w:line="158" w:lineRule="exact"/>
        <w:rPr>
          <w:sz w:val="20"/>
          <w:szCs w:val="20"/>
          <w:color w:val="auto"/>
        </w:rPr>
      </w:pPr>
    </w:p>
    <w:p>
      <w:pPr>
        <w:ind w:left="1260"/>
        <w:spacing w:after="0"/>
        <w:tabs>
          <w:tab w:leader="none" w:pos="3320" w:val="left"/>
        </w:tabs>
        <w:rPr>
          <w:sz w:val="20"/>
          <w:szCs w:val="20"/>
          <w:color w:val="auto"/>
        </w:rPr>
      </w:pPr>
      <w:r>
        <w:rPr>
          <w:rFonts w:ascii="Arial" w:cs="Arial" w:eastAsia="Arial" w:hAnsi="Arial"/>
          <w:sz w:val="17"/>
          <w:szCs w:val="17"/>
          <w:color w:val="auto"/>
        </w:rPr>
        <w:t>SECTION 2.2.</w:t>
      </w:r>
      <w:r>
        <w:rPr>
          <w:sz w:val="20"/>
          <w:szCs w:val="20"/>
          <w:color w:val="auto"/>
        </w:rPr>
        <w:tab/>
      </w:r>
      <w:r>
        <w:rPr>
          <w:rFonts w:ascii="Arial" w:cs="Arial" w:eastAsia="Arial" w:hAnsi="Arial"/>
          <w:sz w:val="15"/>
          <w:szCs w:val="15"/>
          <w:u w:val="single" w:color="auto"/>
          <w:color w:val="auto"/>
        </w:rPr>
        <w:t>Committees</w:t>
      </w:r>
      <w:r>
        <w:rPr>
          <w:rFonts w:ascii="Arial" w:cs="Arial" w:eastAsia="Arial" w:hAnsi="Arial"/>
          <w:sz w:val="15"/>
          <w:szCs w:val="15"/>
          <w:color w:val="auto"/>
        </w:rPr>
        <w:t>.</w:t>
      </w:r>
    </w:p>
    <w:p>
      <w:pPr>
        <w:spacing w:after="0" w:line="222" w:lineRule="exact"/>
        <w:rPr>
          <w:sz w:val="20"/>
          <w:szCs w:val="20"/>
          <w:color w:val="auto"/>
        </w:rPr>
      </w:pPr>
    </w:p>
    <w:p>
      <w:pPr>
        <w:jc w:val="both"/>
        <w:ind w:firstLine="630"/>
        <w:spacing w:after="0" w:line="312" w:lineRule="auto"/>
        <w:tabs>
          <w:tab w:leader="none" w:pos="163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For so long as the Berkshire Investor has the right to designate a Director pursuant to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in the event the Board shall establish an executive committee (or any committee performing the functions usually reserved for an executive committee), the Berkshire Investor shall have the right, but not the obligation, to designate the Berkshire Designee as a member of such executive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right of such designee to serve on the executive committee shall be subject to applicable Law and the Company’s obligation to comply with any applicable independence requirements of the Stock Exchange.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6" w:name="page297"/>
    <w:bookmarkEnd w:id="296"/>
    <w:p>
      <w:pPr>
        <w:jc w:val="both"/>
        <w:ind w:firstLine="630"/>
        <w:spacing w:after="0" w:line="296" w:lineRule="auto"/>
        <w:tabs>
          <w:tab w:leader="none" w:pos="155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For so long as the KKR Investor has the right to designate at least one (1) Director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KKR Investor shall have the right, but not the obligation, to designate one member of each committee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of any Director to serve on a committee shall be subject to applicable Law and the Company’s obligation to comply with any applicable independence requirements of the Stock Exchange.</w:t>
      </w:r>
    </w:p>
    <w:p>
      <w:pPr>
        <w:spacing w:after="0" w:line="154" w:lineRule="exact"/>
        <w:rPr>
          <w:sz w:val="20"/>
          <w:szCs w:val="20"/>
          <w:color w:val="auto"/>
        </w:rPr>
      </w:pPr>
    </w:p>
    <w:p>
      <w:pPr>
        <w:ind w:left="1260"/>
        <w:spacing w:after="0"/>
        <w:tabs>
          <w:tab w:leader="none" w:pos="3320" w:val="left"/>
        </w:tabs>
        <w:rPr>
          <w:sz w:val="20"/>
          <w:szCs w:val="20"/>
          <w:color w:val="auto"/>
        </w:rPr>
      </w:pPr>
      <w:r>
        <w:rPr>
          <w:rFonts w:ascii="Arial" w:cs="Arial" w:eastAsia="Arial" w:hAnsi="Arial"/>
          <w:sz w:val="17"/>
          <w:szCs w:val="17"/>
          <w:color w:val="auto"/>
        </w:rPr>
        <w:t>SECTION 2.3.</w:t>
      </w:r>
      <w:r>
        <w:rPr>
          <w:sz w:val="20"/>
          <w:szCs w:val="20"/>
          <w:color w:val="auto"/>
        </w:rPr>
        <w:tab/>
      </w:r>
      <w:r>
        <w:rPr>
          <w:rFonts w:ascii="Arial" w:cs="Arial" w:eastAsia="Arial" w:hAnsi="Arial"/>
          <w:sz w:val="15"/>
          <w:szCs w:val="15"/>
          <w:u w:val="single" w:color="auto"/>
          <w:color w:val="auto"/>
        </w:rPr>
        <w:t>Consent Rights</w:t>
      </w:r>
      <w:r>
        <w:rPr>
          <w:rFonts w:ascii="Arial" w:cs="Arial" w:eastAsia="Arial" w:hAnsi="Arial"/>
          <w:sz w:val="15"/>
          <w:szCs w:val="15"/>
          <w:color w:val="auto"/>
          <w:highlight w:val="white"/>
        </w:rPr>
        <w:t>.</w:t>
      </w:r>
    </w:p>
    <w:p>
      <w:pPr>
        <w:spacing w:after="0" w:line="222" w:lineRule="exact"/>
        <w:rPr>
          <w:sz w:val="20"/>
          <w:szCs w:val="20"/>
          <w:color w:val="auto"/>
        </w:rPr>
      </w:pPr>
    </w:p>
    <w:p>
      <w:pPr>
        <w:jc w:val="both"/>
        <w:ind w:firstLine="630"/>
        <w:spacing w:after="0" w:line="271" w:lineRule="auto"/>
        <w:tabs>
          <w:tab w:leader="none" w:pos="156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For so long as the Berkshire Investor and its Affiliates collectively beneficially own at least 5% of the outstanding shares of Common Stock, the following actions by the Company or any of its Subsidiaries shall require the approval, in addition to the Board’s approval (or the approval of the required governing body of any Subsidiary of the Company), of the Berkshire Investor:</w:t>
      </w:r>
    </w:p>
    <w:p>
      <w:pPr>
        <w:spacing w:after="0" w:line="172" w:lineRule="exact"/>
        <w:rPr>
          <w:rFonts w:ascii="Arial" w:cs="Arial" w:eastAsia="Arial" w:hAnsi="Arial"/>
          <w:sz w:val="17"/>
          <w:szCs w:val="17"/>
          <w:color w:val="auto"/>
        </w:rPr>
      </w:pPr>
    </w:p>
    <w:p>
      <w:pPr>
        <w:ind w:left="640" w:firstLine="616"/>
        <w:spacing w:after="0" w:line="287" w:lineRule="auto"/>
        <w:tabs>
          <w:tab w:leader="none" w:pos="22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any redemption, acquisition or other purchase of any shares of Equity Securities (a “</w:t>
      </w:r>
      <w:r>
        <w:rPr>
          <w:rFonts w:ascii="Arial" w:cs="Arial" w:eastAsia="Arial" w:hAnsi="Arial"/>
          <w:sz w:val="17"/>
          <w:szCs w:val="17"/>
          <w:u w:val="single" w:color="auto"/>
          <w:color w:val="auto"/>
        </w:rPr>
        <w:t>Repurchase</w:t>
      </w:r>
      <w:r>
        <w:rPr>
          <w:rFonts w:ascii="Arial" w:cs="Arial" w:eastAsia="Arial" w:hAnsi="Arial"/>
          <w:sz w:val="17"/>
          <w:szCs w:val="17"/>
          <w:color w:val="auto"/>
        </w:rPr>
        <w:t>”) from the KKR Investor or any of its Affiliates other than on a pro rata basis; and</w:t>
      </w:r>
    </w:p>
    <w:p>
      <w:pPr>
        <w:spacing w:after="0" w:line="158" w:lineRule="exact"/>
        <w:rPr>
          <w:rFonts w:ascii="Arial" w:cs="Arial" w:eastAsia="Arial" w:hAnsi="Arial"/>
          <w:sz w:val="17"/>
          <w:szCs w:val="17"/>
          <w:color w:val="auto"/>
        </w:rPr>
      </w:pPr>
    </w:p>
    <w:p>
      <w:pPr>
        <w:ind w:left="2140" w:hanging="884"/>
        <w:spacing w:after="0"/>
        <w:tabs>
          <w:tab w:leader="none" w:pos="21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any other transaction with or involving the KKR Investor or any of its Affiliates, other than (A) a Transfer to a Permitted Transferee,</w:t>
      </w:r>
    </w:p>
    <w:p>
      <w:pPr>
        <w:spacing w:after="0" w:line="36" w:lineRule="exact"/>
        <w:rPr>
          <w:rFonts w:ascii="Arial" w:cs="Arial" w:eastAsia="Arial" w:hAnsi="Arial"/>
          <w:sz w:val="16"/>
          <w:szCs w:val="16"/>
          <w:color w:val="auto"/>
        </w:rPr>
      </w:pPr>
    </w:p>
    <w:p>
      <w:pPr>
        <w:jc w:val="both"/>
        <w:ind w:left="640"/>
        <w:spacing w:after="0" w:line="276" w:lineRule="auto"/>
        <w:rPr>
          <w:rFonts w:ascii="Arial" w:cs="Arial" w:eastAsia="Arial" w:hAnsi="Arial"/>
          <w:sz w:val="16"/>
          <w:szCs w:val="16"/>
          <w:color w:val="auto"/>
        </w:rPr>
      </w:pPr>
      <w:r>
        <w:rPr>
          <w:rFonts w:ascii="Arial" w:cs="Arial" w:eastAsia="Arial" w:hAnsi="Arial"/>
          <w:sz w:val="16"/>
          <w:szCs w:val="16"/>
          <w:color w:val="auto"/>
        </w:rPr>
        <w:t>(B) transactions pursuant to any agreement in effect on the Closing Date, including, without limitation, the Registration Rights Agreement and the Indemnification Agreement, and any amendment, termination or material waiver under such agreements, (C) customary indemnification agreements with Directors, (D) transactions with Capstone Consulting LLC and its Subsidiaries for services rendered to the Company or its Subsidiaries (other than issuances of Equity Securities or capital stock or other securities of any direct or indirect Subsidiary of the Company to Capstone Consulting LLC or its Subsidiaries not made in compliance with the terms of this Agreement), (E) transactions with KKR Capital Markets LLC for services rendered to the Company or its Subsidiaries (other than issuances of Equity Securities or capital stock or other securities of any direct or indirect Subsidiary of the Company to KKR Capital Markets LLC not made in compliance with the terms of this Agreement), and (F) any transaction or series of related transactions in the ordinary course of business and on arms-length third-party terms and not involving amounts in excess of $5 million per annum.</w:t>
      </w:r>
    </w:p>
    <w:p>
      <w:pPr>
        <w:spacing w:after="0" w:line="172" w:lineRule="exact"/>
        <w:rPr>
          <w:rFonts w:ascii="Arial" w:cs="Arial" w:eastAsia="Arial" w:hAnsi="Arial"/>
          <w:sz w:val="16"/>
          <w:szCs w:val="16"/>
          <w:color w:val="auto"/>
        </w:rPr>
      </w:pPr>
    </w:p>
    <w:p>
      <w:pPr>
        <w:jc w:val="both"/>
        <w:ind w:firstLine="630"/>
        <w:spacing w:after="0" w:line="271" w:lineRule="auto"/>
        <w:tabs>
          <w:tab w:leader="none" w:pos="1532" w:val="left"/>
        </w:tabs>
        <w:numPr>
          <w:ilvl w:val="0"/>
          <w:numId w:val="210"/>
        </w:numPr>
        <w:rPr>
          <w:rFonts w:ascii="Arial" w:cs="Arial" w:eastAsia="Arial" w:hAnsi="Arial"/>
          <w:sz w:val="17"/>
          <w:szCs w:val="17"/>
          <w:color w:val="auto"/>
        </w:rPr>
      </w:pPr>
      <w:r>
        <w:rPr>
          <w:rFonts w:ascii="Arial" w:cs="Arial" w:eastAsia="Arial" w:hAnsi="Arial"/>
          <w:sz w:val="17"/>
          <w:szCs w:val="17"/>
          <w:color w:val="auto"/>
        </w:rPr>
        <w:t>For so long as the KKR Investor and its Affiliates collectively beneficially own at least 25% of the outstanding shares of Common Stock, the following actions by the Company or any of its Subsidiaries shall require the approval, in addition to any approval by the stockholders of the Company or the Board’s approval (or the approval of the required governing body of any Subsidiary of the Company), of the KKR Investor:</w:t>
      </w:r>
    </w:p>
    <w:p>
      <w:pPr>
        <w:spacing w:after="0" w:line="172" w:lineRule="exact"/>
        <w:rPr>
          <w:rFonts w:ascii="Arial" w:cs="Arial" w:eastAsia="Arial" w:hAnsi="Arial"/>
          <w:sz w:val="17"/>
          <w:szCs w:val="17"/>
          <w:color w:val="auto"/>
        </w:rPr>
      </w:pPr>
    </w:p>
    <w:p>
      <w:pPr>
        <w:ind w:left="2160" w:hanging="904"/>
        <w:spacing w:after="0"/>
        <w:tabs>
          <w:tab w:leader="none" w:pos="216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entering into or effecting a Change in Control;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7" w:name="page298"/>
    <w:bookmarkEnd w:id="297"/>
    <w:p>
      <w:pPr>
        <w:ind w:left="-560" w:firstLine="616"/>
        <w:spacing w:after="0" w:line="287" w:lineRule="auto"/>
        <w:tabs>
          <w:tab w:leader="none" w:pos="116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entering into any agreement providing for the acquisition or divestiture of assets or equity security of any Person, in each case providing for aggregate consideration in excess of $25 million;</w:t>
      </w:r>
    </w:p>
    <w:p>
      <w:pPr>
        <w:spacing w:after="0" w:line="158" w:lineRule="exact"/>
        <w:rPr>
          <w:rFonts w:ascii="Arial" w:cs="Arial" w:eastAsia="Arial" w:hAnsi="Arial"/>
          <w:sz w:val="17"/>
          <w:szCs w:val="17"/>
          <w:color w:val="auto"/>
        </w:rPr>
      </w:pPr>
    </w:p>
    <w:p>
      <w:pPr>
        <w:ind w:left="-560" w:firstLine="616"/>
        <w:spacing w:after="0" w:line="287" w:lineRule="auto"/>
        <w:tabs>
          <w:tab w:leader="none" w:pos="117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entering into any joint venture or similar business alliance having a fair market value as of the date of formation thereof (as reasonably determined by the Board) in excess of $25 million;</w:t>
      </w:r>
    </w:p>
    <w:p>
      <w:pPr>
        <w:spacing w:after="0" w:line="158" w:lineRule="exact"/>
        <w:rPr>
          <w:rFonts w:ascii="Arial" w:cs="Arial" w:eastAsia="Arial" w:hAnsi="Arial"/>
          <w:sz w:val="17"/>
          <w:szCs w:val="17"/>
          <w:color w:val="auto"/>
        </w:rPr>
      </w:pPr>
    </w:p>
    <w:p>
      <w:pPr>
        <w:ind w:left="-560" w:firstLine="616"/>
        <w:spacing w:after="0" w:line="287" w:lineRule="auto"/>
        <w:tabs>
          <w:tab w:leader="none" w:pos="90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initiating a voluntary liquidation, dissolution, receivership, bankruptcy or other insolvency proceeding involving the Company or any Subsidiary of the Company that is a “significant subsidiary” as defined in Rule 1-02 of Regulation S-X under the Exchange Act;</w:t>
      </w:r>
    </w:p>
    <w:p>
      <w:pPr>
        <w:spacing w:after="0" w:line="158" w:lineRule="exact"/>
        <w:rPr>
          <w:rFonts w:ascii="Arial" w:cs="Arial" w:eastAsia="Arial" w:hAnsi="Arial"/>
          <w:sz w:val="17"/>
          <w:szCs w:val="17"/>
          <w:color w:val="auto"/>
        </w:rPr>
      </w:pPr>
    </w:p>
    <w:p>
      <w:pPr>
        <w:ind w:left="900" w:hanging="844"/>
        <w:spacing w:after="0"/>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material change in the nature of the business of the Company and its Subsidiaries, taken as a whole;</w:t>
      </w:r>
    </w:p>
    <w:p>
      <w:pPr>
        <w:spacing w:after="0" w:line="221" w:lineRule="exact"/>
        <w:rPr>
          <w:rFonts w:ascii="Arial" w:cs="Arial" w:eastAsia="Arial" w:hAnsi="Arial"/>
          <w:sz w:val="17"/>
          <w:szCs w:val="17"/>
          <w:color w:val="auto"/>
        </w:rPr>
      </w:pPr>
    </w:p>
    <w:p>
      <w:pPr>
        <w:jc w:val="both"/>
        <w:ind w:left="-560" w:firstLine="616"/>
        <w:spacing w:after="0" w:line="266" w:lineRule="auto"/>
        <w:tabs>
          <w:tab w:leader="none" w:pos="112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 Repurchase other than (x) open market Repurchases made pursuant to a share repurchase plan approved by the Board or (y) Repurchases in accordance with any existing compensation plan of the Company or any Subsidiary of the Company or a Repurchase from an employee in connection with such employee’s termination of employment with the Company or any Subsidiary of the Company or otherwise in accordance with such employee’s management stockholder’s agreement with the Company;</w:t>
      </w:r>
    </w:p>
    <w:p>
      <w:pPr>
        <w:spacing w:after="0" w:line="176" w:lineRule="exact"/>
        <w:rPr>
          <w:rFonts w:ascii="Arial" w:cs="Arial" w:eastAsia="Arial" w:hAnsi="Arial"/>
          <w:sz w:val="17"/>
          <w:szCs w:val="17"/>
          <w:color w:val="auto"/>
        </w:rPr>
      </w:pPr>
    </w:p>
    <w:p>
      <w:pPr>
        <w:jc w:val="both"/>
        <w:ind w:left="-560" w:firstLine="616"/>
        <w:spacing w:after="0" w:line="271" w:lineRule="auto"/>
        <w:tabs>
          <w:tab w:leader="none" w:pos="85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incurrence of indebtedness for borrowed money (including through the issuance of debt securities or the guarantee of indebtedness of another Person) in an aggregate principal amount in excess of $50 million in any transaction or series of related transactions, other than borrowings under the Company’s revolving credit facility (or amendments, extensions, or replacements thereof);</w:t>
      </w:r>
    </w:p>
    <w:p>
      <w:pPr>
        <w:spacing w:after="0" w:line="172" w:lineRule="exact"/>
        <w:rPr>
          <w:rFonts w:ascii="Arial" w:cs="Arial" w:eastAsia="Arial" w:hAnsi="Arial"/>
          <w:sz w:val="17"/>
          <w:szCs w:val="17"/>
          <w:color w:val="auto"/>
        </w:rPr>
      </w:pPr>
    </w:p>
    <w:p>
      <w:pPr>
        <w:ind w:left="800" w:hanging="744"/>
        <w:spacing w:after="0"/>
        <w:tabs>
          <w:tab w:leader="none" w:pos="8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terminating the employment of the Chief Executive Officer of the Company or hiring a new Chief Executive Officer of the Company;</w:t>
      </w:r>
    </w:p>
    <w:p>
      <w:pPr>
        <w:spacing w:after="0" w:line="233" w:lineRule="exact"/>
        <w:rPr>
          <w:rFonts w:ascii="Arial" w:cs="Arial" w:eastAsia="Arial" w:hAnsi="Arial"/>
          <w:sz w:val="16"/>
          <w:szCs w:val="16"/>
          <w:color w:val="auto"/>
        </w:rPr>
      </w:pPr>
    </w:p>
    <w:p>
      <w:pPr>
        <w:ind w:left="-560" w:firstLine="616"/>
        <w:spacing w:after="0" w:line="287" w:lineRule="auto"/>
        <w:tabs>
          <w:tab w:leader="none" w:pos="102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w:t>
      </w:r>
      <w:r>
        <w:rPr>
          <w:rFonts w:ascii="Arial" w:cs="Arial" w:eastAsia="Arial" w:hAnsi="Arial"/>
          <w:sz w:val="17"/>
          <w:szCs w:val="17"/>
          <w:color w:val="auto"/>
        </w:rPr>
        <w:t>, any increase or decrease in the size or composition of the Board, committees of the Board, and boards and committees of Subsidiaries of the Company; and</w:t>
      </w:r>
    </w:p>
    <w:p>
      <w:pPr>
        <w:spacing w:after="0" w:line="158" w:lineRule="exact"/>
        <w:rPr>
          <w:rFonts w:ascii="Arial" w:cs="Arial" w:eastAsia="Arial" w:hAnsi="Arial"/>
          <w:sz w:val="17"/>
          <w:szCs w:val="17"/>
          <w:color w:val="auto"/>
        </w:rPr>
      </w:pPr>
    </w:p>
    <w:p>
      <w:pPr>
        <w:jc w:val="both"/>
        <w:ind w:left="-560" w:firstLine="616"/>
        <w:spacing w:after="0" w:line="262" w:lineRule="auto"/>
        <w:tabs>
          <w:tab w:leader="none" w:pos="107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any transaction with or involving any Affiliate of the Company (other than the KKR Investor and its Affiliates), other than (A) a Transfer to a Permitted Transferee, (B) transactions pursuant to any agreement in effect on the Closing Date, including, without limitation, the Registration Rights Agreement and the Indemnification Agreement, and any amendment, termination or material waiver under such agreements, (C) customary indemnification agreements with Directors, (D) transactions permitted by </w:t>
      </w:r>
      <w:r>
        <w:rPr>
          <w:rFonts w:ascii="Arial" w:cs="Arial" w:eastAsia="Arial" w:hAnsi="Arial"/>
          <w:sz w:val="17"/>
          <w:szCs w:val="17"/>
          <w:u w:val="single" w:color="auto"/>
          <w:color w:val="auto"/>
        </w:rPr>
        <w:t>Section 2.3(b)(vi)(y)</w:t>
      </w:r>
      <w:r>
        <w:rPr>
          <w:rFonts w:ascii="Arial" w:cs="Arial" w:eastAsia="Arial" w:hAnsi="Arial"/>
          <w:sz w:val="17"/>
          <w:szCs w:val="17"/>
          <w:color w:val="auto"/>
        </w:rPr>
        <w:t xml:space="preserve"> above and other customary compensation arrangements with employees of the Company; and (E) any transaction or series of related transactions in the ordinary course of business and on arms-length third-party terms and not involving amounts in excess of $5 million per annum.</w:t>
      </w: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49530</wp:posOffset>
            </wp:positionV>
            <wp:extent cx="7251065" cy="165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20"/>
          </w:cols>
          <w:pgMar w:left="1440" w:top="362" w:right="239" w:bottom="1440" w:gutter="0" w:footer="0" w:header="0"/>
        </w:sectPr>
      </w:pPr>
    </w:p>
    <w:bookmarkStart w:id="298" w:name="page299"/>
    <w:bookmarkEnd w:id="298"/>
    <w:p>
      <w:pPr>
        <w:ind w:left="1260"/>
        <w:spacing w:after="0"/>
        <w:tabs>
          <w:tab w:leader="none" w:pos="3320" w:val="left"/>
        </w:tabs>
        <w:rPr>
          <w:sz w:val="20"/>
          <w:szCs w:val="20"/>
          <w:color w:val="auto"/>
        </w:rPr>
      </w:pPr>
      <w:r>
        <w:rPr>
          <w:rFonts w:ascii="Arial" w:cs="Arial" w:eastAsia="Arial" w:hAnsi="Arial"/>
          <w:sz w:val="17"/>
          <w:szCs w:val="17"/>
          <w:color w:val="auto"/>
        </w:rPr>
        <w:t>SECTION 2.4.</w:t>
      </w:r>
      <w:r>
        <w:rPr>
          <w:sz w:val="20"/>
          <w:szCs w:val="20"/>
          <w:color w:val="auto"/>
        </w:rPr>
        <w:tab/>
      </w:r>
      <w:r>
        <w:rPr>
          <w:rFonts w:ascii="Arial" w:cs="Arial" w:eastAsia="Arial" w:hAnsi="Arial"/>
          <w:sz w:val="15"/>
          <w:szCs w:val="15"/>
          <w:u w:val="single" w:color="auto"/>
          <w:color w:val="auto"/>
        </w:rPr>
        <w:t>Controlled Company</w:t>
      </w:r>
      <w:r>
        <w:rPr>
          <w:rFonts w:ascii="Arial" w:cs="Arial" w:eastAsia="Arial" w:hAnsi="Arial"/>
          <w:sz w:val="15"/>
          <w:szCs w:val="15"/>
          <w:color w:val="auto"/>
        </w:rPr>
        <w:t>.</w:t>
      </w:r>
    </w:p>
    <w:p>
      <w:pPr>
        <w:spacing w:after="0" w:line="222" w:lineRule="exact"/>
        <w:rPr>
          <w:sz w:val="20"/>
          <w:szCs w:val="20"/>
          <w:color w:val="auto"/>
        </w:rPr>
      </w:pPr>
    </w:p>
    <w:p>
      <w:pPr>
        <w:jc w:val="both"/>
        <w:ind w:firstLine="630"/>
        <w:spacing w:after="0" w:line="266" w:lineRule="auto"/>
        <w:tabs>
          <w:tab w:leader="none" w:pos="17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Investors acknowledge and agree that, (i) by virtue of this Article II, they are acting as a “group” within the meaning of the Stock Exchange rules as of the date hereof, and (ii) by virtue of the combined voting power of Common Stock held by the Investors representing more than 50% of the total voting power of the Common Stock outstanding as of the Closing Date, the Company qualifies as a “controlled company” within the meaning of Stock Exchange rules as of the Closing Date.</w:t>
      </w:r>
    </w:p>
    <w:p>
      <w:pPr>
        <w:spacing w:after="0" w:line="176" w:lineRule="exact"/>
        <w:rPr>
          <w:rFonts w:ascii="Arial" w:cs="Arial" w:eastAsia="Arial" w:hAnsi="Arial"/>
          <w:sz w:val="17"/>
          <w:szCs w:val="17"/>
          <w:color w:val="auto"/>
        </w:rPr>
      </w:pPr>
    </w:p>
    <w:p>
      <w:pPr>
        <w:jc w:val="both"/>
        <w:ind w:firstLine="630"/>
        <w:spacing w:after="0" w:line="263" w:lineRule="auto"/>
        <w:tabs>
          <w:tab w:leader="none" w:pos="14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So long as the Company qualifies as a “controlled company” for purposes of Stock Exchange rules, the Company will elect to be a “controlled company” for purposes of Stock Exchange rules, and will disclose in its annual meeting proxy statement that it is a “controlled company” and the basis for that determination. If the Company ceases to qualify as a “controlled company” for purposes of Stock Exchange rules, the Investors and the Company will take whatever action may be reasonably necessary in relation to such party, if any, to cause the Company to comply with Stock Exchange rules as then in effect within the timeframe for compliance available under such rules.</w:t>
      </w:r>
    </w:p>
    <w:p>
      <w:pPr>
        <w:spacing w:after="0" w:line="180"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Permitted Disclosure</w:t>
      </w:r>
      <w:r>
        <w:rPr>
          <w:rFonts w:ascii="Arial" w:cs="Arial" w:eastAsia="Arial" w:hAnsi="Arial"/>
          <w:sz w:val="17"/>
          <w:szCs w:val="17"/>
          <w:color w:val="auto"/>
        </w:rPr>
        <w:t>. The Berkshire Designee is permitted to disclose to the Berkshire Investor information about the Company and its Affiliates that he or she receives as a result of being a Director, subject to his or her fiduciary duties under Delaware law. Each KKR Designee is permitted to disclose to the KKR Investor information about the Company and its Affiliates that he or she receives as a result of being a Director, subject to his or her fiduciary duties under Delaware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INFORMATION</w:t>
      </w:r>
    </w:p>
    <w:p>
      <w:pPr>
        <w:spacing w:after="0" w:line="209" w:lineRule="exact"/>
        <w:rPr>
          <w:sz w:val="20"/>
          <w:szCs w:val="20"/>
          <w:color w:val="auto"/>
        </w:rPr>
      </w:pPr>
    </w:p>
    <w:p>
      <w:pPr>
        <w:ind w:left="1260"/>
        <w:spacing w:after="0"/>
        <w:tabs>
          <w:tab w:leader="none" w:pos="3320" w:val="left"/>
        </w:tabs>
        <w:rPr>
          <w:sz w:val="20"/>
          <w:szCs w:val="20"/>
          <w:color w:val="auto"/>
        </w:rPr>
      </w:pPr>
      <w:r>
        <w:rPr>
          <w:rFonts w:ascii="Arial" w:cs="Arial" w:eastAsia="Arial" w:hAnsi="Arial"/>
          <w:sz w:val="17"/>
          <w:szCs w:val="17"/>
          <w:color w:val="auto"/>
        </w:rPr>
        <w:t>SECTION 3.1.</w:t>
      </w:r>
      <w:r>
        <w:rPr>
          <w:sz w:val="20"/>
          <w:szCs w:val="20"/>
          <w:color w:val="auto"/>
        </w:rPr>
        <w:tab/>
      </w:r>
      <w:r>
        <w:rPr>
          <w:rFonts w:ascii="Arial" w:cs="Arial" w:eastAsia="Arial" w:hAnsi="Arial"/>
          <w:sz w:val="15"/>
          <w:szCs w:val="15"/>
          <w:u w:val="single" w:color="auto"/>
          <w:color w:val="auto"/>
        </w:rPr>
        <w:t>Books and Records; Access; Certain Reports</w:t>
      </w:r>
      <w:r>
        <w:rPr>
          <w:rFonts w:ascii="Arial" w:cs="Arial" w:eastAsia="Arial" w:hAnsi="Arial"/>
          <w:sz w:val="15"/>
          <w:szCs w:val="15"/>
          <w:color w:val="auto"/>
          <w:highlight w:val="white"/>
        </w:rPr>
        <w:t>.</w:t>
      </w:r>
    </w:p>
    <w:p>
      <w:pPr>
        <w:spacing w:after="0" w:line="222" w:lineRule="exact"/>
        <w:rPr>
          <w:sz w:val="20"/>
          <w:szCs w:val="20"/>
          <w:color w:val="auto"/>
        </w:rPr>
      </w:pPr>
    </w:p>
    <w:p>
      <w:pPr>
        <w:jc w:val="both"/>
        <w:ind w:firstLine="630"/>
        <w:spacing w:after="0" w:line="278" w:lineRule="auto"/>
        <w:tabs>
          <w:tab w:leader="none" w:pos="164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For so long as the Berkshire Investor or the KKR Investor, as applicable, has the right to designate at least one (1) Director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Company shall, and shall cause its Subsidiaries to, permit the Berkshire Investor or the KKR Investor, as applicable, and its designated representatives,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however</w:t>
      </w:r>
      <w:r>
        <w:rPr>
          <w:rFonts w:ascii="Arial" w:cs="Arial" w:eastAsia="Arial" w:hAnsi="Arial"/>
          <w:sz w:val="16"/>
          <w:szCs w:val="16"/>
          <w:color w:val="auto"/>
          <w:highlight w:val="white"/>
        </w:rPr>
        <w:t>, that the</w:t>
      </w:r>
      <w:r>
        <w:rPr>
          <w:rFonts w:ascii="Arial" w:cs="Arial" w:eastAsia="Arial" w:hAnsi="Arial"/>
          <w:sz w:val="16"/>
          <w:szCs w:val="16"/>
          <w:color w:val="auto"/>
        </w:rPr>
        <w:t xml:space="preserve"> Company shall not be required to disclose any privileged information of the Company so long as the Company has used its best efforts to provide such information to the Berkshire Investor or the KKR Investor, as applicable, without the loss of any such privilege and notified the Berkshire Investor or the KKR Investor, as applicable, that such information has not been provided.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9" w:name="page300"/>
    <w:bookmarkEnd w:id="299"/>
    <w:p>
      <w:pPr>
        <w:ind w:left="1580" w:hanging="950"/>
        <w:spacing w:after="0"/>
        <w:tabs>
          <w:tab w:leader="none" w:pos="158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 xml:space="preserve">So long as the Berkshire Investor or the KKR Investor, as applicable, has the right to designate at least one (1) Director pursuant to </w:t>
      </w:r>
      <w:r>
        <w:rPr>
          <w:rFonts w:ascii="Arial" w:cs="Arial" w:eastAsia="Arial" w:hAnsi="Arial"/>
          <w:sz w:val="15"/>
          <w:szCs w:val="15"/>
          <w:u w:val="single" w:color="auto"/>
          <w:color w:val="auto"/>
        </w:rPr>
        <w:t>Section</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u w:val="single" w:color="auto"/>
          <w:color w:val="auto"/>
        </w:rPr>
        <w:t>2.1</w:t>
      </w:r>
      <w:r>
        <w:rPr>
          <w:rFonts w:ascii="Arial" w:cs="Arial" w:eastAsia="Arial" w:hAnsi="Arial"/>
          <w:sz w:val="17"/>
          <w:szCs w:val="17"/>
          <w:color w:val="auto"/>
        </w:rPr>
        <w:t>, the Company shall deliver or cause to be delivered to the Berkshire Investor or the KKR Investor, as applicable, at their request:</w:t>
      </w:r>
    </w:p>
    <w:p>
      <w:pPr>
        <w:spacing w:after="0" w:line="209" w:lineRule="exact"/>
        <w:rPr>
          <w:rFonts w:ascii="Arial" w:cs="Arial" w:eastAsia="Arial" w:hAnsi="Arial"/>
          <w:sz w:val="15"/>
          <w:szCs w:val="15"/>
          <w:color w:val="auto"/>
        </w:rPr>
      </w:pPr>
    </w:p>
    <w:p>
      <w:pPr>
        <w:ind w:left="640" w:firstLine="616"/>
        <w:spacing w:after="0" w:line="287" w:lineRule="auto"/>
        <w:tabs>
          <w:tab w:leader="none" w:pos="237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to the extent otherwise prepared by the Company, operating and capital expenditure budgets and periodic information packages relating to the operations and cash flows of the Company and its Subsidiaries; and</w:t>
      </w:r>
    </w:p>
    <w:p>
      <w:pPr>
        <w:spacing w:after="0" w:line="158" w:lineRule="exact"/>
        <w:rPr>
          <w:rFonts w:ascii="Arial" w:cs="Arial" w:eastAsia="Arial" w:hAnsi="Arial"/>
          <w:sz w:val="17"/>
          <w:szCs w:val="17"/>
          <w:color w:val="auto"/>
        </w:rPr>
      </w:pPr>
    </w:p>
    <w:p>
      <w:pPr>
        <w:ind w:left="2120" w:hanging="864"/>
        <w:spacing w:after="0"/>
        <w:tabs>
          <w:tab w:leader="none" w:pos="21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such other reports and information as may be reasonably requested by the Berkshire Investor or the KKR Investor, as applicable;</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disclose any privileged information of the Company so long as the Company has used its best efforts to enter into an arrangement pursuant to which it may provide such information to the Berkshire Investor or the KKR Investor, as applicable, without the loss of any such privilege.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09" w:lineRule="exact"/>
        <w:rPr>
          <w:sz w:val="20"/>
          <w:szCs w:val="20"/>
          <w:color w:val="auto"/>
        </w:rPr>
      </w:pPr>
    </w:p>
    <w:p>
      <w:pPr>
        <w:jc w:val="both"/>
        <w:ind w:firstLine="1252"/>
        <w:spacing w:after="0" w:line="26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Termination</w:t>
      </w:r>
      <w:r>
        <w:rPr>
          <w:rFonts w:ascii="Arial" w:cs="Arial" w:eastAsia="Arial" w:hAnsi="Arial"/>
          <w:sz w:val="17"/>
          <w:szCs w:val="17"/>
          <w:color w:val="auto"/>
          <w:highlight w:val="white"/>
        </w:rPr>
        <w:t>. Subject to the early termination of any provision as a result of an amendment to this Agreement agreed</w:t>
      </w:r>
      <w:r>
        <w:rPr>
          <w:rFonts w:ascii="Arial" w:cs="Arial" w:eastAsia="Arial" w:hAnsi="Arial"/>
          <w:sz w:val="17"/>
          <w:szCs w:val="17"/>
          <w:color w:val="auto"/>
        </w:rPr>
        <w:t xml:space="preserve"> to by the Board and the Stockholders as provided under </w:t>
      </w:r>
      <w:r>
        <w:rPr>
          <w:rFonts w:ascii="Arial" w:cs="Arial" w:eastAsia="Arial" w:hAnsi="Arial"/>
          <w:sz w:val="17"/>
          <w:szCs w:val="17"/>
          <w:u w:val="single" w:color="auto"/>
          <w:color w:val="auto"/>
        </w:rPr>
        <w:t>Section 4.3</w:t>
      </w:r>
      <w:r>
        <w:rPr>
          <w:rFonts w:ascii="Arial" w:cs="Arial" w:eastAsia="Arial" w:hAnsi="Arial"/>
          <w:sz w:val="17"/>
          <w:szCs w:val="17"/>
          <w:color w:val="auto"/>
        </w:rPr>
        <w:t>, (i) the provisions of Article II shall, with respect to each Stockholder, terminate as provided in the applicable Section of Article II, (ii) the provisions of Article III shall, with respect to each Stockholder, terminate as provided in the applicable Section of Article III, and (iii) this Article IV shall not terminate. Nothing herein shall relieve any party from any liability for the breach of any of the agreements set forth in this Agreement.</w:t>
      </w:r>
    </w:p>
    <w:p>
      <w:pPr>
        <w:spacing w:after="0" w:line="180" w:lineRule="exact"/>
        <w:rPr>
          <w:sz w:val="20"/>
          <w:szCs w:val="20"/>
          <w:color w:val="auto"/>
        </w:rPr>
      </w:pPr>
    </w:p>
    <w:p>
      <w:pPr>
        <w:ind w:left="1260"/>
        <w:spacing w:after="0"/>
        <w:tabs>
          <w:tab w:leader="none" w:pos="332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2" w:lineRule="exact"/>
        <w:rPr>
          <w:sz w:val="20"/>
          <w:szCs w:val="20"/>
          <w:color w:val="auto"/>
        </w:rPr>
      </w:pPr>
    </w:p>
    <w:p>
      <w:pPr>
        <w:jc w:val="both"/>
        <w:ind w:firstLine="630"/>
        <w:spacing w:after="0" w:line="292" w:lineRule="auto"/>
        <w:tabs>
          <w:tab w:leader="none" w:pos="168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The Company agrees to indemnify and hold harmless each Stockholder, their respective directors, officers, partners, members, managers, Affiliates and controlling persons (each, an “</w:t>
      </w:r>
      <w:r>
        <w:rPr>
          <w:rFonts w:ascii="Arial" w:cs="Arial" w:eastAsia="Arial" w:hAnsi="Arial"/>
          <w:sz w:val="15"/>
          <w:szCs w:val="15"/>
          <w:u w:val="single" w:color="auto"/>
          <w:color w:val="auto"/>
        </w:rPr>
        <w:t>Stockholder Indemnitee</w:t>
      </w:r>
      <w:r>
        <w:rPr>
          <w:rFonts w:ascii="Arial" w:cs="Arial" w:eastAsia="Arial" w:hAnsi="Arial"/>
          <w:sz w:val="15"/>
          <w:szCs w:val="15"/>
          <w:color w:val="auto"/>
        </w:rPr>
        <w:t>”) from and against any and all liability, including, without limitation, all obligations, costs, fines, claims, actions, injuries, demands, suits, judgments, proceedings, investigations, arbitrations (including stockholder claims, actions, injuries, demands, suits, judgments, proceedings, investigations or arbitrations) and reasonable expenses, including reasonable accountant’s and reasonable attorney’s fees and expenses (together the “</w:t>
      </w:r>
      <w:r>
        <w:rPr>
          <w:rFonts w:ascii="Arial" w:cs="Arial" w:eastAsia="Arial" w:hAnsi="Arial"/>
          <w:sz w:val="15"/>
          <w:szCs w:val="15"/>
          <w:u w:val="single" w:color="auto"/>
          <w:color w:val="auto"/>
        </w:rPr>
        <w:t>Losses</w:t>
      </w:r>
      <w:r>
        <w:rPr>
          <w:rFonts w:ascii="Arial" w:cs="Arial" w:eastAsia="Arial" w:hAnsi="Arial"/>
          <w:sz w:val="15"/>
          <w:szCs w:val="15"/>
          <w:color w:val="auto"/>
        </w:rPr>
        <w:t xml:space="preserve">”), incurred by such Stockholder Indemnitee before or after the date of this Agreement to the extent arising out of, resulting from, or relating to (i) such Stockholder Indemnitee’s purchase and/or ownership of any Equity Securities or (ii) any litigation to which any Stockholder Indemnitee is made a party in its capacity as a stockholder or owner of securities (or as a director, officer, partner, member, manager, Affiliate or controlling person of any Stockholder)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indemnification rights in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shall not be available to the extent that (a) any such Losses are incurred as a result of such Stockholder Indemnitee’s willful misconduct or gross negligence; (b) any such Losses are incurred as a result of non-compliance by such Stockholder Indemnitee with any laws or regulations applicable to any of them; or (c) subject to the rights of contribution provided for below, to the extent indemnification for any Losses would violate any applicable Law or public policy. For purposes of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none of the circumstances described in the limitations contained in the proviso in the immediately preceding sentence shall be deemed to apply absent a final non-appealable judgment of a court of competent jurisdiction to such effect, in which case to the extent any such limitation is so determined to apply to any Stockholder Indemnitee as to any previously advanced indemnity payments made by the Company under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then such payments shall be promptly repaid by such Stockholder Indemnitee to the Company. The rights of any Stockholder Indemnitee to indemnification hereunder will be in addition to any other rights any such party may have under any other agreement or instrument to which such Stockholder Indemnitee is or becomes a party or is or otherwise becomes a beneficiary or under law or regulation. In the event of any payment of indemnification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to the extent that any Stockholder Indemnitee is indemnified for Losses, the Company will be subrogated to the extent of such payment to all of the related rights of recovery of the Stockholder Indemnitee to which such payment is made against all other Persons. Such Stockholder Indemnitee shall execute all papers reasonably required to evidence such rights. The Company will be entitled at its election to participate in the defense of any third party claim upon which indemnification is due pursuant to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or to assume the defense thereof, with counsel reasonably satisfactory to such Stockholder Indemnitee unless, in the reasonable judgment of the Stockholder Indemnitee, a conflict of interest between the Company and such Stockholder Indemnitee may exist, in which case such Stockholder Indemnitee shall have the right to assume its own defense and the Company shall be liable for all reasonable expenses therefor. Except as set forth above, should the Company assume such defense all further defense costs of the Stockholder Indemnitee in respect of such third party claim shall be for the sole account of such party and not subject to indemnification hereunder. The Company will not without the prior written consent of the Stockholder Indemnitee (which consent shall not be unreasonably withheld) effect any settlement of any threatened or pending third party claim in which such Stockholder Indemnitee is or could have been a party and be entitled to indemnification hereunder unless such settlement solely involves the payment of money and includes an unconditional release of such Stockholder Indemnitee from all liability and claims that are the subject matter of such claim. If the indemnification provided for above is unavailable in respect of any Losses, then the Company, in lieu of indemnifying an Stockholder Indemnitee, shall, if and to the extent permitted by Law, contribute to the amount paid or payable by such Stockholder Indemnitee in such proportion as is appropriate to reflect the relative fault of the Company and such Stockholder Indemnitee in connection with the actions which resulted in such Losses, as well as any other equitable considerations.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300" w:name="page301"/>
    <w:bookmarkEnd w:id="300"/>
    <w:p>
      <w:pPr>
        <w:jc w:val="both"/>
        <w:ind w:firstLine="630"/>
        <w:spacing w:after="0" w:line="261" w:lineRule="auto"/>
        <w:tabs>
          <w:tab w:leader="none" w:pos="151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Company agrees to pay or reimburse (i) the Stockholders for (A) all reasonable costs and expenses (including reasonable attorneys’ fees, charges, disbursement and expenses) incurred in connection with any amendment, supplement, modification or waiver of or to any of the terms or provisions of this Agreement or any related agreements and (B) in connection with any stamp, transfer, documentary or other similar taxes, assessments or charges levied by any governmental or revenue authority in respect of this Agreement or any related agreements; and (ii) each Stockholder for all costs and expenses of such Stockholder (including reasonable attorneys’ fees, charges, disbursement and expenses) incurred in connection with (1) the consent to any departure by the Company or any of its Subsidiaries from the terms of any provision of this Agreement or any related agreements and (2) the enforcement or exercise by such Stockholder of any right granted to it or provided for hereunder.</w:t>
      </w:r>
    </w:p>
    <w:p>
      <w:pPr>
        <w:spacing w:after="0" w:line="181" w:lineRule="exact"/>
        <w:rPr>
          <w:sz w:val="20"/>
          <w:szCs w:val="20"/>
          <w:color w:val="auto"/>
        </w:rPr>
      </w:pPr>
    </w:p>
    <w:p>
      <w:pPr>
        <w:jc w:val="both"/>
        <w:ind w:firstLine="1252"/>
        <w:spacing w:after="0" w:line="28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no modification, amendment, restatement, amendment and restatement, or waiver of any provision of this Agreement shall be effective without the approval of the Board and each of the Berkshire Investor and the KKR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Stockholder may waive (in writing) the benefit of any provision of this Agreement with respect to itself for any purpose. The failure of any party to enforce any of the provisions of this Agreement shall in no way be construed as a waiver of such provisions and shall not affect the right of such party thereafter to enforce each and every provision of this Agreement in accordance with its terms. Any written amendment, restatement, amendment and restatement, or waiver to this Agreement that receives the vote or consent of the Stockholders provided herein need not be signed by all Stockholders, but shall be effective in accordance with its terms and shall be binding upon all Stockholders and any Transferees.</w:t>
      </w:r>
    </w:p>
    <w:p>
      <w:pPr>
        <w:spacing w:after="0" w:line="166" w:lineRule="exact"/>
        <w:rPr>
          <w:sz w:val="20"/>
          <w:szCs w:val="20"/>
          <w:color w:val="auto"/>
        </w:rPr>
      </w:pPr>
    </w:p>
    <w:p>
      <w:pPr>
        <w:jc w:val="both"/>
        <w:ind w:firstLine="1252"/>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Successors, Assigns and Transferees</w:t>
      </w:r>
      <w:r>
        <w:rPr>
          <w:rFonts w:ascii="Arial" w:cs="Arial" w:eastAsia="Arial" w:hAnsi="Arial"/>
          <w:sz w:val="16"/>
          <w:szCs w:val="16"/>
          <w:color w:val="auto"/>
        </w:rPr>
        <w:t xml:space="preserve">. This Agreement shall bind and inure to the benefit of and be enforceable by the parties hereto and their respective successors and permitted assigns. This Agreement may not be assigned without the express prior written consent of the other parties hereto, and any attempted assignment, without such consents, will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Berkshire Investor and the KKR Investor shall be entitled to assign, in whole or in part, any of its rights hereunder to any of its Permitted Transferees without such prior written consent.</w:t>
      </w:r>
    </w:p>
    <w:p>
      <w:pPr>
        <w:spacing w:after="0" w:line="160"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Third Parties</w:t>
      </w:r>
      <w:r>
        <w:rPr>
          <w:rFonts w:ascii="Arial" w:cs="Arial" w:eastAsia="Arial" w:hAnsi="Arial"/>
          <w:sz w:val="17"/>
          <w:szCs w:val="17"/>
          <w:color w:val="auto"/>
        </w:rPr>
        <w:t>. Except as may otherwise be expressly provided in this Agreement, this Agreement does not create any rights, claims or benefits inuring to any person that is not a party hereto nor create or establish any third party beneficiary hereto.</w:t>
      </w:r>
    </w:p>
    <w:p>
      <w:pPr>
        <w:spacing w:after="0" w:line="158" w:lineRule="exact"/>
        <w:rPr>
          <w:sz w:val="20"/>
          <w:szCs w:val="20"/>
          <w:color w:val="auto"/>
        </w:rPr>
      </w:pPr>
    </w:p>
    <w:p>
      <w:pPr>
        <w:jc w:val="both"/>
        <w:ind w:firstLine="1252"/>
        <w:spacing w:after="0" w:line="262"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required or permitted under this Agreement shall be in writing and shall be deemed effectively given: (a) when delivered personally by hand to the party to be notified (with written confirmation of receipt), (b) when sent by facsimile or e-mail (with written confirmation of transmission), (c) when received or rejected by the addressee if sent by registered or certified mail, postage prepaid, return receipt requested, or (d) one Business Day following the day sent by reputable overnight courier (with written confirmation of receipt), in each case at the following addresses and facsimile numbers (or to such other address or facsimile number as a party may have specified by notice given to the other party pursuant to this provision):</w:t>
      </w:r>
    </w:p>
    <w:p>
      <w:pPr>
        <w:spacing w:after="0" w:line="180" w:lineRule="exact"/>
        <w:rPr>
          <w:sz w:val="20"/>
          <w:szCs w:val="20"/>
          <w:color w:val="auto"/>
        </w:rPr>
      </w:pPr>
    </w:p>
    <w:p>
      <w:pPr>
        <w:ind w:left="1880" w:hanging="624"/>
        <w:spacing w:after="0"/>
        <w:tabs>
          <w:tab w:leader="none" w:pos="18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to the Company, to:</w:t>
      </w:r>
    </w:p>
    <w:p>
      <w:pPr>
        <w:spacing w:after="0" w:line="221"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National Vision Holdings, Inc.</w:t>
      </w:r>
    </w:p>
    <w:p>
      <w:pPr>
        <w:spacing w:after="0" w:line="25" w:lineRule="exact"/>
        <w:rPr>
          <w:rFonts w:ascii="Arial" w:cs="Arial" w:eastAsia="Arial" w:hAnsi="Arial"/>
          <w:sz w:val="17"/>
          <w:szCs w:val="17"/>
          <w:color w:val="auto"/>
        </w:rPr>
      </w:pPr>
    </w:p>
    <w:p>
      <w:pPr>
        <w:ind w:left="1880" w:right="7820"/>
        <w:spacing w:after="0" w:line="256" w:lineRule="auto"/>
        <w:rPr>
          <w:rFonts w:ascii="Arial" w:cs="Arial" w:eastAsia="Arial" w:hAnsi="Arial"/>
          <w:sz w:val="17"/>
          <w:szCs w:val="17"/>
          <w:color w:val="auto"/>
        </w:rPr>
      </w:pPr>
      <w:r>
        <w:rPr>
          <w:rFonts w:ascii="Arial" w:cs="Arial" w:eastAsia="Arial" w:hAnsi="Arial"/>
          <w:sz w:val="17"/>
          <w:szCs w:val="17"/>
          <w:color w:val="auto"/>
        </w:rPr>
        <w:t>2435 Commerce Avenue Bldg. 2200</w:t>
      </w:r>
    </w:p>
    <w:p>
      <w:pPr>
        <w:ind w:left="1880" w:right="7520"/>
        <w:spacing w:after="0" w:line="288" w:lineRule="auto"/>
        <w:rPr>
          <w:rFonts w:ascii="Arial" w:cs="Arial" w:eastAsia="Arial" w:hAnsi="Arial"/>
          <w:sz w:val="17"/>
          <w:szCs w:val="17"/>
          <w:color w:val="auto"/>
        </w:rPr>
      </w:pPr>
      <w:r>
        <w:rPr>
          <w:rFonts w:ascii="Arial" w:cs="Arial" w:eastAsia="Arial" w:hAnsi="Arial"/>
          <w:sz w:val="16"/>
          <w:szCs w:val="16"/>
          <w:color w:val="auto"/>
        </w:rPr>
        <w:t>Duluth, Georgia 30096-4980 Attention: General Counsel Facsimile: (770) 822-2029</w:t>
      </w:r>
    </w:p>
    <w:p>
      <w:pPr>
        <w:spacing w:after="0" w:line="159"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with a copy (which shall not constitute notice) to:</w:t>
      </w:r>
    </w:p>
    <w:p>
      <w:pPr>
        <w:spacing w:after="0" w:line="221" w:lineRule="exact"/>
        <w:rPr>
          <w:rFonts w:ascii="Arial" w:cs="Arial" w:eastAsia="Arial" w:hAnsi="Arial"/>
          <w:sz w:val="17"/>
          <w:szCs w:val="17"/>
          <w:color w:val="auto"/>
        </w:rPr>
      </w:pPr>
    </w:p>
    <w:p>
      <w:pPr>
        <w:ind w:left="1880" w:right="7220"/>
        <w:spacing w:after="0" w:line="263" w:lineRule="auto"/>
        <w:rPr>
          <w:rFonts w:ascii="Arial" w:cs="Arial" w:eastAsia="Arial" w:hAnsi="Arial"/>
          <w:sz w:val="17"/>
          <w:szCs w:val="17"/>
          <w:color w:val="auto"/>
        </w:rPr>
      </w:pPr>
      <w:r>
        <w:rPr>
          <w:rFonts w:ascii="Arial" w:cs="Arial" w:eastAsia="Arial" w:hAnsi="Arial"/>
          <w:sz w:val="17"/>
          <w:szCs w:val="17"/>
          <w:color w:val="auto"/>
        </w:rPr>
        <w:t>Simpson Thacher &amp; Bartlett LLP 425 Lexington Avenue</w:t>
      </w:r>
    </w:p>
    <w:p>
      <w:pPr>
        <w:ind w:left="1880"/>
        <w:spacing w:after="0"/>
        <w:rPr>
          <w:rFonts w:ascii="Arial" w:cs="Arial" w:eastAsia="Arial" w:hAnsi="Arial"/>
          <w:sz w:val="17"/>
          <w:szCs w:val="17"/>
          <w:color w:val="auto"/>
        </w:rPr>
      </w:pPr>
      <w:r>
        <w:rPr>
          <w:rFonts w:ascii="Arial" w:cs="Arial" w:eastAsia="Arial" w:hAnsi="Arial"/>
          <w:sz w:val="17"/>
          <w:szCs w:val="17"/>
          <w:color w:val="auto"/>
        </w:rPr>
        <w:t>New York, NY 10017</w:t>
      </w:r>
    </w:p>
    <w:p>
      <w:pPr>
        <w:spacing w:after="0" w:line="13"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Attention: Joseph H. Kaufman, Esq.</w:t>
      </w:r>
    </w:p>
    <w:p>
      <w:pPr>
        <w:spacing w:after="0" w:line="13"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Fax: (212) 455-2502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301" w:name="page302"/>
    <w:bookmarkEnd w:id="301"/>
    <w:p>
      <w:pPr>
        <w:ind w:left="1880" w:hanging="624"/>
        <w:spacing w:after="0"/>
        <w:tabs>
          <w:tab w:leader="none" w:pos="18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to the Berkshire Investor, to:</w:t>
      </w:r>
    </w:p>
    <w:p>
      <w:pPr>
        <w:spacing w:after="0" w:line="221"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c/o Berkshire Partners LLC</w:t>
      </w:r>
    </w:p>
    <w:p>
      <w:pPr>
        <w:spacing w:after="0" w:line="25" w:lineRule="exact"/>
        <w:rPr>
          <w:rFonts w:ascii="Arial" w:cs="Arial" w:eastAsia="Arial" w:hAnsi="Arial"/>
          <w:sz w:val="17"/>
          <w:szCs w:val="17"/>
          <w:color w:val="auto"/>
        </w:rPr>
      </w:pPr>
    </w:p>
    <w:p>
      <w:pPr>
        <w:ind w:left="1880" w:right="7240"/>
        <w:spacing w:after="0" w:line="256" w:lineRule="auto"/>
        <w:rPr>
          <w:rFonts w:ascii="Arial" w:cs="Arial" w:eastAsia="Arial" w:hAnsi="Arial"/>
          <w:sz w:val="17"/>
          <w:szCs w:val="17"/>
          <w:color w:val="auto"/>
        </w:rPr>
      </w:pPr>
      <w:r>
        <w:rPr>
          <w:rFonts w:ascii="Arial" w:cs="Arial" w:eastAsia="Arial" w:hAnsi="Arial"/>
          <w:sz w:val="17"/>
          <w:szCs w:val="17"/>
          <w:color w:val="auto"/>
        </w:rPr>
        <w:t>200 Clarendon Street, 35th Floor Boston, MA 02116</w:t>
      </w:r>
    </w:p>
    <w:p>
      <w:pPr>
        <w:ind w:left="1880"/>
        <w:spacing w:after="0"/>
        <w:rPr>
          <w:rFonts w:ascii="Arial" w:cs="Arial" w:eastAsia="Arial" w:hAnsi="Arial"/>
          <w:sz w:val="17"/>
          <w:szCs w:val="17"/>
          <w:color w:val="auto"/>
        </w:rPr>
      </w:pPr>
      <w:r>
        <w:rPr>
          <w:rFonts w:ascii="Arial" w:cs="Arial" w:eastAsia="Arial" w:hAnsi="Arial"/>
          <w:sz w:val="17"/>
          <w:szCs w:val="17"/>
          <w:color w:val="auto"/>
        </w:rPr>
        <w:t>Attention: Sharlyn C. Heslam, General Counsel</w:t>
      </w:r>
    </w:p>
    <w:p>
      <w:pPr>
        <w:spacing w:after="0" w:line="13"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Facsimile: (617) 316-6262</w:t>
      </w:r>
    </w:p>
    <w:p>
      <w:pPr>
        <w:spacing w:after="0" w:line="209"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with a copy (which shall not constitute notice) to:</w:t>
      </w:r>
    </w:p>
    <w:p>
      <w:pPr>
        <w:spacing w:after="0" w:line="221"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Ropes &amp; Gray LLP</w:t>
      </w:r>
    </w:p>
    <w:p>
      <w:pPr>
        <w:spacing w:after="0" w:line="25" w:lineRule="exact"/>
        <w:rPr>
          <w:rFonts w:ascii="Arial" w:cs="Arial" w:eastAsia="Arial" w:hAnsi="Arial"/>
          <w:sz w:val="17"/>
          <w:szCs w:val="17"/>
          <w:color w:val="auto"/>
        </w:rPr>
      </w:pPr>
    </w:p>
    <w:p>
      <w:pPr>
        <w:ind w:left="1880" w:right="6880"/>
        <w:spacing w:after="0" w:line="256" w:lineRule="auto"/>
        <w:rPr>
          <w:rFonts w:ascii="Arial" w:cs="Arial" w:eastAsia="Arial" w:hAnsi="Arial"/>
          <w:sz w:val="17"/>
          <w:szCs w:val="17"/>
          <w:color w:val="auto"/>
        </w:rPr>
      </w:pPr>
      <w:r>
        <w:rPr>
          <w:rFonts w:ascii="Arial" w:cs="Arial" w:eastAsia="Arial" w:hAnsi="Arial"/>
          <w:sz w:val="17"/>
          <w:szCs w:val="17"/>
          <w:color w:val="auto"/>
        </w:rPr>
        <w:t>Prudential Tower, 800 Boylston Street Boston, MA 02199-3600</w:t>
      </w:r>
    </w:p>
    <w:p>
      <w:pPr>
        <w:ind w:left="1880"/>
        <w:spacing w:after="0"/>
        <w:rPr>
          <w:rFonts w:ascii="Arial" w:cs="Arial" w:eastAsia="Arial" w:hAnsi="Arial"/>
          <w:sz w:val="17"/>
          <w:szCs w:val="17"/>
          <w:color w:val="auto"/>
        </w:rPr>
      </w:pPr>
      <w:r>
        <w:rPr>
          <w:rFonts w:ascii="Arial" w:cs="Arial" w:eastAsia="Arial" w:hAnsi="Arial"/>
          <w:sz w:val="17"/>
          <w:szCs w:val="17"/>
          <w:color w:val="auto"/>
        </w:rPr>
        <w:t>Attn: Craig E. Marcus</w:t>
      </w:r>
    </w:p>
    <w:p>
      <w:pPr>
        <w:spacing w:after="0" w:line="13" w:lineRule="exact"/>
        <w:rPr>
          <w:rFonts w:ascii="Arial" w:cs="Arial" w:eastAsia="Arial" w:hAnsi="Arial"/>
          <w:sz w:val="17"/>
          <w:szCs w:val="17"/>
          <w:color w:val="auto"/>
        </w:rPr>
      </w:pPr>
    </w:p>
    <w:p>
      <w:pPr>
        <w:ind w:left="1880"/>
        <w:spacing w:after="0"/>
        <w:rPr>
          <w:rFonts w:ascii="Arial" w:cs="Arial" w:eastAsia="Arial" w:hAnsi="Arial"/>
          <w:sz w:val="17"/>
          <w:szCs w:val="17"/>
          <w:color w:val="auto"/>
        </w:rPr>
      </w:pPr>
      <w:r>
        <w:rPr>
          <w:rFonts w:ascii="Arial" w:cs="Arial" w:eastAsia="Arial" w:hAnsi="Arial"/>
          <w:sz w:val="17"/>
          <w:szCs w:val="17"/>
          <w:color w:val="auto"/>
        </w:rPr>
        <w:t>Facsimile: (617) 235-0514</w:t>
      </w:r>
    </w:p>
    <w:p>
      <w:pPr>
        <w:spacing w:after="0" w:line="209" w:lineRule="exact"/>
        <w:rPr>
          <w:rFonts w:ascii="Arial" w:cs="Arial" w:eastAsia="Arial" w:hAnsi="Arial"/>
          <w:sz w:val="17"/>
          <w:szCs w:val="17"/>
          <w:color w:val="auto"/>
        </w:rPr>
      </w:pPr>
    </w:p>
    <w:p>
      <w:pPr>
        <w:ind w:left="1880" w:hanging="624"/>
        <w:spacing w:after="0"/>
        <w:tabs>
          <w:tab w:leader="none" w:pos="18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to the KKR Investor, to:</w:t>
      </w:r>
    </w:p>
    <w:p>
      <w:pPr>
        <w:spacing w:after="0" w:line="222"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KKR Vision Aggregator L.P.</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c/o Kohlberg Kravis Roberts &amp; Co. L.P.</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9 West 57th Street</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New York, New York 10019</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Attention: Nate Taylor</w:t>
      </w:r>
    </w:p>
    <w:p>
      <w:pPr>
        <w:spacing w:after="0" w:line="1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Facsimile: (212) 750-0003</w:t>
      </w:r>
    </w:p>
    <w:p>
      <w:pPr>
        <w:spacing w:after="0" w:line="209"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Further Assurances</w:t>
      </w:r>
      <w:r>
        <w:rPr>
          <w:rFonts w:ascii="Arial" w:cs="Arial" w:eastAsia="Arial" w:hAnsi="Arial"/>
          <w:sz w:val="17"/>
          <w:szCs w:val="17"/>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76" w:lineRule="exact"/>
        <w:rPr>
          <w:sz w:val="20"/>
          <w:szCs w:val="20"/>
          <w:color w:val="auto"/>
        </w:rPr>
      </w:pPr>
    </w:p>
    <w:p>
      <w:pPr>
        <w:jc w:val="both"/>
        <w:ind w:firstLine="1252"/>
        <w:spacing w:after="0" w:line="26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176" w:lineRule="exact"/>
        <w:rPr>
          <w:sz w:val="20"/>
          <w:szCs w:val="20"/>
          <w:color w:val="auto"/>
        </w:rPr>
      </w:pPr>
    </w:p>
    <w:p>
      <w:pPr>
        <w:ind w:left="1260"/>
        <w:spacing w:after="0"/>
        <w:tabs>
          <w:tab w:leader="none" w:pos="332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u w:val="single" w:color="auto"/>
          <w:color w:val="auto"/>
        </w:rPr>
        <w:t>Restrictions on Other Agreements; Bylaws</w:t>
      </w:r>
      <w:r>
        <w:rPr>
          <w:rFonts w:ascii="Arial" w:cs="Arial" w:eastAsia="Arial" w:hAnsi="Arial"/>
          <w:sz w:val="15"/>
          <w:szCs w:val="15"/>
          <w:color w:val="auto"/>
        </w:rPr>
        <w:t>.</w:t>
      </w:r>
    </w:p>
    <w:p>
      <w:pPr>
        <w:spacing w:after="0" w:line="222" w:lineRule="exact"/>
        <w:rPr>
          <w:sz w:val="20"/>
          <w:szCs w:val="20"/>
          <w:color w:val="auto"/>
        </w:rPr>
      </w:pPr>
    </w:p>
    <w:p>
      <w:pPr>
        <w:jc w:val="both"/>
        <w:ind w:firstLine="630"/>
        <w:spacing w:after="0" w:line="271" w:lineRule="auto"/>
        <w:tabs>
          <w:tab w:leader="none" w:pos="176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Following the date hereof, no Stockholder or any of its Permitted Transferees shall enter into or agree to be bound by any stockholder agreements or arrangements of any kind with any Person with respect to any Equity Securities except pursuant to the agreements specifically contemplated herein and the Registration Rights Agreement.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805" w:right="239" w:bottom="1440" w:gutter="0" w:footer="0" w:header="0"/>
        </w:sectPr>
      </w:pPr>
    </w:p>
    <w:bookmarkStart w:id="302" w:name="page303"/>
    <w:bookmarkEnd w:id="302"/>
    <w:p>
      <w:pPr>
        <w:jc w:val="both"/>
        <w:ind w:firstLine="630"/>
        <w:spacing w:after="0" w:line="271" w:lineRule="auto"/>
        <w:tabs>
          <w:tab w:leader="none" w:pos="171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provisions of this Agreement shall be controlling if any such provisions or the operation thereof conflict with the provisions of the Company’s Bylaws. Each of the parties covenants and agrees to vote their Equity Securities and to take any other action reasonably requested by the Company or any Stockholder to amend the Company’s Bylaws so as to avoid any conflict with the provisions hereof.</w:t>
      </w:r>
    </w:p>
    <w:p>
      <w:pPr>
        <w:spacing w:after="0" w:line="172" w:lineRule="exact"/>
        <w:rPr>
          <w:sz w:val="20"/>
          <w:szCs w:val="20"/>
          <w:color w:val="auto"/>
        </w:rPr>
      </w:pPr>
    </w:p>
    <w:p>
      <w:pPr>
        <w:jc w:val="both"/>
        <w:ind w:firstLine="1252"/>
        <w:spacing w:after="0" w:line="261"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It is agreed that no delay or omission to exercise any right, power or remedy accruing to any party, upon any breach, default or noncompliance by another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81" w:lineRule="exact"/>
        <w:rPr>
          <w:sz w:val="20"/>
          <w:szCs w:val="20"/>
          <w:color w:val="auto"/>
        </w:rPr>
      </w:pPr>
    </w:p>
    <w:p>
      <w:pPr>
        <w:ind w:left="1260"/>
        <w:spacing w:after="0"/>
        <w:tabs>
          <w:tab w:leader="none" w:pos="3220" w:val="left"/>
        </w:tabs>
        <w:rPr>
          <w:sz w:val="20"/>
          <w:szCs w:val="20"/>
          <w:color w:val="auto"/>
        </w:rPr>
      </w:pPr>
      <w:r>
        <w:rPr>
          <w:rFonts w:ascii="Arial" w:cs="Arial" w:eastAsia="Arial" w:hAnsi="Arial"/>
          <w:sz w:val="17"/>
          <w:szCs w:val="17"/>
          <w:color w:val="auto"/>
        </w:rPr>
        <w:t>SECTION 4.11.</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2" w:lineRule="exact"/>
        <w:rPr>
          <w:sz w:val="20"/>
          <w:szCs w:val="20"/>
          <w:color w:val="auto"/>
        </w:rPr>
      </w:pPr>
    </w:p>
    <w:p>
      <w:pPr>
        <w:ind w:firstLine="630"/>
        <w:spacing w:after="0" w:line="287" w:lineRule="auto"/>
        <w:tabs>
          <w:tab w:leader="none" w:pos="176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Delaware, applicable to contracts executed in and to be performed entirely within that State, without giving effect to principles or rules of conflict of laws.</w:t>
      </w:r>
    </w:p>
    <w:p>
      <w:pPr>
        <w:spacing w:after="0" w:line="158" w:lineRule="exact"/>
        <w:rPr>
          <w:rFonts w:ascii="Arial" w:cs="Arial" w:eastAsia="Arial" w:hAnsi="Arial"/>
          <w:sz w:val="17"/>
          <w:szCs w:val="17"/>
          <w:color w:val="auto"/>
        </w:rPr>
      </w:pPr>
    </w:p>
    <w:p>
      <w:pPr>
        <w:jc w:val="both"/>
        <w:ind w:firstLine="630"/>
        <w:spacing w:after="0" w:line="281" w:lineRule="auto"/>
        <w:tabs>
          <w:tab w:leader="none" w:pos="175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In any judicial proceeding involving any dispute, controversy or claim arising out of or relating to this Agreement, each of the parties unconditionally accepts the jurisdiction and venue of the Delaware Court of Chancery or, if the Delaware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630"/>
        <w:spacing w:after="0" w:line="320" w:lineRule="auto"/>
        <w:tabs>
          <w:tab w:leader="none" w:pos="156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EACH OF THE PARTIES HEREBY WAIVES TO THE FULLEST EXTENT PERMITTED BY APPLICABLE LAW TRIAL BY JURY IN ANY JUDICIAL PROCEEDING INVOLVING ANY DISPUTE, CONTROVERSY OR CLAIM ARISING OUT OF OR RELATING TO THIS AGREEMENT.</w:t>
      </w:r>
    </w:p>
    <w:p>
      <w:pPr>
        <w:spacing w:after="0" w:line="135" w:lineRule="exact"/>
        <w:rPr>
          <w:sz w:val="20"/>
          <w:szCs w:val="20"/>
          <w:color w:val="auto"/>
        </w:rPr>
      </w:pPr>
    </w:p>
    <w:p>
      <w:pPr>
        <w:jc w:val="both"/>
        <w:ind w:firstLine="1252"/>
        <w:spacing w:after="0" w:line="288"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Severability</w:t>
      </w:r>
      <w:r>
        <w:rPr>
          <w:rFonts w:ascii="Arial" w:cs="Arial" w:eastAsia="Arial" w:hAnsi="Arial"/>
          <w:sz w:val="16"/>
          <w:szCs w:val="16"/>
          <w:color w:val="auto"/>
          <w:highlight w:val="white"/>
        </w:rPr>
        <w:t>. Whenever possible, each provision of this Agreement shall be interpreted in such manner as to be</w:t>
      </w:r>
      <w:r>
        <w:rPr>
          <w:rFonts w:ascii="Arial" w:cs="Arial" w:eastAsia="Arial" w:hAnsi="Arial"/>
          <w:sz w:val="16"/>
          <w:szCs w:val="16"/>
          <w:color w:val="auto"/>
        </w:rPr>
        <w:t xml:space="preserve"> effective and valid under applicable Law, but if any provision of this Agreement is held to be invalid, illegal or unenforceable in any respect under any applicable Law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303" w:name="page304"/>
    <w:bookmarkEnd w:id="303"/>
    <w:p>
      <w:pPr>
        <w:jc w:val="both"/>
        <w:ind w:firstLine="1252"/>
        <w:spacing w:after="0" w:line="266"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Enforcement</w:t>
      </w:r>
      <w:r>
        <w:rPr>
          <w:rFonts w:ascii="Arial" w:cs="Arial" w:eastAsia="Arial" w:hAnsi="Arial"/>
          <w:sz w:val="17"/>
          <w:szCs w:val="17"/>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176"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The titles of the sections and subsections of this Agreement are for convenience of reference only and are not to be considered in construing this Agreement.</w:t>
      </w:r>
    </w:p>
    <w:p>
      <w:pPr>
        <w:spacing w:after="0" w:line="158" w:lineRule="exact"/>
        <w:rPr>
          <w:sz w:val="20"/>
          <w:szCs w:val="20"/>
          <w:color w:val="auto"/>
        </w:rPr>
      </w:pPr>
    </w:p>
    <w:p>
      <w:pPr>
        <w:jc w:val="both"/>
        <w:ind w:firstLine="1252"/>
        <w:spacing w:after="0" w:line="263"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 or relate to this Agreement, or the negotiation, execution or performance of this Agreement, may be made only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180" w:lineRule="exact"/>
        <w:rPr>
          <w:sz w:val="20"/>
          <w:szCs w:val="20"/>
          <w:color w:val="auto"/>
        </w:rPr>
      </w:pPr>
    </w:p>
    <w:p>
      <w:pPr>
        <w:jc w:val="both"/>
        <w:ind w:firstLine="1252"/>
        <w:spacing w:after="0" w:line="287"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Counterparts; Facsimile Signatures</w:t>
      </w:r>
      <w:r>
        <w:rPr>
          <w:rFonts w:ascii="Arial" w:cs="Arial" w:eastAsia="Arial" w:hAnsi="Arial"/>
          <w:sz w:val="17"/>
          <w:szCs w:val="17"/>
          <w:color w:val="auto"/>
        </w:rPr>
        <w:t>. This Agreement may be executed in any number of counterparts, each of which shall be an original, but all of which together shall constitute one instrument. This Agreement may be executed by facsimile signature(s).</w:t>
      </w:r>
    </w:p>
    <w:p>
      <w:pPr>
        <w:spacing w:after="0" w:line="158" w:lineRule="exact"/>
        <w:rPr>
          <w:sz w:val="20"/>
          <w:szCs w:val="20"/>
          <w:color w:val="auto"/>
        </w:rPr>
      </w:pPr>
    </w:p>
    <w:p>
      <w:pPr>
        <w:ind w:left="1260"/>
        <w:spacing w:after="0"/>
        <w:tabs>
          <w:tab w:leader="none" w:pos="3220" w:val="left"/>
        </w:tabs>
        <w:rPr>
          <w:sz w:val="20"/>
          <w:szCs w:val="20"/>
          <w:color w:val="auto"/>
        </w:rPr>
      </w:pPr>
      <w:r>
        <w:rPr>
          <w:rFonts w:ascii="Arial" w:cs="Arial" w:eastAsia="Arial" w:hAnsi="Arial"/>
          <w:sz w:val="17"/>
          <w:szCs w:val="17"/>
          <w:color w:val="auto"/>
        </w:rPr>
        <w:t>SECTION 4.17.</w:t>
      </w:r>
      <w:r>
        <w:rPr>
          <w:sz w:val="20"/>
          <w:szCs w:val="20"/>
          <w:color w:val="auto"/>
        </w:rPr>
        <w:tab/>
      </w:r>
      <w:r>
        <w:rPr>
          <w:rFonts w:ascii="Arial" w:cs="Arial" w:eastAsia="Arial" w:hAnsi="Arial"/>
          <w:sz w:val="15"/>
          <w:szCs w:val="15"/>
          <w:u w:val="single" w:color="auto"/>
          <w:color w:val="auto"/>
        </w:rPr>
        <w:t>Effectiveness</w:t>
      </w:r>
      <w:r>
        <w:rPr>
          <w:rFonts w:ascii="Arial" w:cs="Arial" w:eastAsia="Arial" w:hAnsi="Arial"/>
          <w:sz w:val="15"/>
          <w:szCs w:val="15"/>
          <w:color w:val="auto"/>
        </w:rPr>
        <w:t>. This Agreement shall become effective upon the Closing Date.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1065" cy="165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304" w:name="page305"/>
    <w:bookmarkEnd w:id="304"/>
    <w:p>
      <w:pPr>
        <w:ind w:firstLine="626"/>
        <w:spacing w:after="0" w:line="287" w:lineRule="auto"/>
        <w:rPr>
          <w:sz w:val="20"/>
          <w:szCs w:val="20"/>
          <w:color w:val="auto"/>
        </w:rPr>
      </w:pPr>
      <w:r>
        <w:rPr>
          <w:rFonts w:ascii="Arial" w:cs="Arial" w:eastAsia="Arial" w:hAnsi="Arial"/>
          <w:sz w:val="17"/>
          <w:szCs w:val="17"/>
          <w:color w:val="auto"/>
        </w:rPr>
        <w:t>IN WITNESS WHEREOF, the parties hereto have executed this Amended and Restated Stockholders’ Agreement as of the date set forth in the first paragraph hereof.</w:t>
      </w:r>
    </w:p>
    <w:p>
      <w:pPr>
        <w:spacing w:after="0" w:line="15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NATIONAL VISION HOLDINGS, INC.</w:t>
      </w:r>
    </w:p>
    <w:p>
      <w:pPr>
        <w:spacing w:after="0" w:line="22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24765</wp:posOffset>
            </wp:positionV>
            <wp:extent cx="3625850"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3625850" cy="16510"/>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National Vision Holdings, Inc. Amended and Restated Stockholders’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251065" cy="16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305" w:name="page306"/>
    <w:bookmarkEnd w:id="305"/>
    <w:p>
      <w:pPr>
        <w:ind w:left="3960"/>
        <w:spacing w:after="0"/>
        <w:rPr>
          <w:sz w:val="20"/>
          <w:szCs w:val="20"/>
          <w:color w:val="auto"/>
        </w:rPr>
      </w:pPr>
      <w:r>
        <w:rPr>
          <w:rFonts w:ascii="Arial" w:cs="Arial" w:eastAsia="Arial" w:hAnsi="Arial"/>
          <w:sz w:val="17"/>
          <w:szCs w:val="17"/>
          <w:b w:val="1"/>
          <w:bCs w:val="1"/>
          <w:color w:val="auto"/>
        </w:rPr>
        <w:t>KKR VISION AGGREGATOR L.P.</w:t>
      </w:r>
    </w:p>
    <w:p>
      <w:pPr>
        <w:spacing w:after="0" w:line="228" w:lineRule="exact"/>
        <w:rPr>
          <w:sz w:val="20"/>
          <w:szCs w:val="20"/>
          <w:color w:val="auto"/>
        </w:rPr>
      </w:pPr>
    </w:p>
    <w:p>
      <w:pPr>
        <w:ind w:left="3960"/>
        <w:spacing w:after="0"/>
        <w:tabs>
          <w:tab w:leader="none" w:pos="4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KKR VISION AGGREGATOR GP LLC, its General Partner</w:t>
      </w:r>
    </w:p>
    <w:p>
      <w:pPr>
        <w:spacing w:after="0" w:line="23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24765</wp:posOffset>
            </wp:positionV>
            <wp:extent cx="3625850" cy="165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3625850" cy="16510"/>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National Vision Holdings, Inc. Amended and Restated Stockholders’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287655</wp:posOffset>
            </wp:positionV>
            <wp:extent cx="7251065"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06" w:name="page307"/>
    <w:bookmarkEnd w:id="306"/>
    <w:p>
      <w:pPr>
        <w:ind w:left="4520"/>
        <w:spacing w:after="0"/>
        <w:rPr>
          <w:sz w:val="20"/>
          <w:szCs w:val="20"/>
          <w:color w:val="auto"/>
        </w:rPr>
      </w:pPr>
      <w:r>
        <w:rPr>
          <w:rFonts w:ascii="Arial" w:cs="Arial" w:eastAsia="Arial" w:hAnsi="Arial"/>
          <w:sz w:val="17"/>
          <w:szCs w:val="17"/>
          <w:b w:val="1"/>
          <w:bCs w:val="1"/>
          <w:color w:val="auto"/>
        </w:rPr>
        <w:t>BERKSHIRE FUND VI, LIMITED PARTNERSHIP</w:t>
      </w:r>
    </w:p>
    <w:p>
      <w:pPr>
        <w:spacing w:after="0" w:line="3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Sixth Berkshire Associates LLC, its general partner</w:t>
      </w: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24765</wp:posOffset>
            </wp:positionV>
            <wp:extent cx="3261360"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BERKSHIRE INVESTORS LLC</w:t>
      </w:r>
    </w:p>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24765</wp:posOffset>
            </wp:positionV>
            <wp:extent cx="3261360"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w:t>
      </w: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BERKSHIRE INVESTORS III LLC</w:t>
      </w:r>
    </w:p>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24765</wp:posOffset>
            </wp:positionV>
            <wp:extent cx="3261360" cy="165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National Vision Holdings, Inc. Amended and Restated Stockholders’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138430</wp:posOffset>
            </wp:positionV>
            <wp:extent cx="7251065"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07" w:name="page308"/>
    <w:bookmarkEnd w:id="307"/>
    <w:p>
      <w:pPr>
        <w:jc w:val="right"/>
        <w:spacing w:after="0"/>
        <w:rPr>
          <w:sz w:val="20"/>
          <w:szCs w:val="20"/>
          <w:color w:val="auto"/>
        </w:rPr>
      </w:pPr>
      <w:r>
        <w:rPr>
          <w:rFonts w:ascii="Arial" w:cs="Arial" w:eastAsia="Arial" w:hAnsi="Arial"/>
          <w:sz w:val="17"/>
          <w:szCs w:val="17"/>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and Assumption Agreement</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Pursuant to the Amended and Restated Stockholders’ Agreement, dated as of _________, 2017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among</w:t>
      </w:r>
    </w:p>
    <w:p>
      <w:pPr>
        <w:spacing w:after="0" w:line="3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National Vision Holdings,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each of the stockholders of the Company whose name appears on the signature pages listed therein (each, a “</w:t>
      </w:r>
      <w:r>
        <w:rPr>
          <w:rFonts w:ascii="Arial" w:cs="Arial" w:eastAsia="Arial" w:hAnsi="Arial"/>
          <w:sz w:val="15"/>
          <w:szCs w:val="15"/>
          <w:u w:val="single" w:color="auto"/>
          <w:color w:val="auto"/>
        </w:rPr>
        <w:t>Stockholder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Stockholders</w:t>
      </w:r>
      <w:r>
        <w:rPr>
          <w:rFonts w:ascii="Arial" w:cs="Arial" w:eastAsia="Arial" w:hAnsi="Arial"/>
          <w:sz w:val="15"/>
          <w:szCs w:val="15"/>
          <w:color w:val="auto"/>
        </w:rPr>
        <w:t>”), _________, (the “</w:t>
      </w:r>
      <w:r>
        <w:rPr>
          <w:rFonts w:ascii="Arial" w:cs="Arial" w:eastAsia="Arial" w:hAnsi="Arial"/>
          <w:sz w:val="15"/>
          <w:szCs w:val="15"/>
          <w:u w:val="single" w:color="auto"/>
          <w:color w:val="auto"/>
        </w:rPr>
        <w:t>Transferor</w:t>
      </w:r>
      <w:r>
        <w:rPr>
          <w:rFonts w:ascii="Arial" w:cs="Arial" w:eastAsia="Arial" w:hAnsi="Arial"/>
          <w:sz w:val="15"/>
          <w:szCs w:val="15"/>
          <w:color w:val="auto"/>
        </w:rPr>
        <w:t>”) hereby assigns to the undersigned the rights that may be</w:t>
      </w:r>
    </w:p>
    <w:p>
      <w:pPr>
        <w:jc w:val="both"/>
        <w:spacing w:after="0" w:line="264" w:lineRule="auto"/>
        <w:rPr>
          <w:sz w:val="20"/>
          <w:szCs w:val="20"/>
          <w:color w:val="auto"/>
        </w:rPr>
      </w:pPr>
      <w:r>
        <w:rPr>
          <w:rFonts w:ascii="Arial" w:cs="Arial" w:eastAsia="Arial" w:hAnsi="Arial"/>
          <w:sz w:val="17"/>
          <w:szCs w:val="17"/>
          <w:color w:val="auto"/>
        </w:rPr>
        <w:t>assigned thereunder, and the undersigned hereby agrees that, having acquired Equity Securities as permitted by the terms of the Stockholders’ Agreement, the undersigned shall assume the obligations of the Transferor under the Stockholders’ Agreement. Capitalized terms used but not defined herein shall have the meanings assigned to them in the Stockholders’ Agreement.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Listed below is information regarding the Equity Securities: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Number of Shares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Common Stock</w:t>
      </w:r>
    </w:p>
    <w:p>
      <w:pPr>
        <w:spacing w:after="0" w:line="20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____________________</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251065" cy="165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08" w:name="page309"/>
    <w:bookmarkEnd w:id="308"/>
    <w:p>
      <w:pPr>
        <w:ind w:left="1260"/>
        <w:spacing w:after="0"/>
        <w:rPr>
          <w:sz w:val="20"/>
          <w:szCs w:val="20"/>
          <w:color w:val="auto"/>
        </w:rPr>
      </w:pPr>
      <w:r>
        <w:rPr>
          <w:rFonts w:ascii="Arial" w:cs="Arial" w:eastAsia="Arial" w:hAnsi="Arial"/>
          <w:sz w:val="15"/>
          <w:szCs w:val="15"/>
          <w:color w:val="auto"/>
        </w:rPr>
        <w:t>IN WITNESS WHEREOF, the undersigned has executed this Assumption Agreement as of __________ ___, ________.</w:t>
      </w:r>
    </w:p>
    <w:p>
      <w:pPr>
        <w:spacing w:after="0" w:line="24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289560</wp:posOffset>
            </wp:positionV>
            <wp:extent cx="4006215" cy="165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4006215" cy="165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289560</wp:posOffset>
            </wp:positionV>
            <wp:extent cx="4006215"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4006215" cy="1651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Acknowledged by: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 HOLDINGS,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24765</wp:posOffset>
            </wp:positionV>
            <wp:extent cx="3261360" cy="165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51065" cy="16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0219"/>
          </w:cols>
          <w:pgMar w:left="240" w:top="362" w:right="1440"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330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251065" cy="33020"/>
                    </a:xfrm>
                    <a:prstGeom prst="rect">
                      <a:avLst/>
                    </a:prstGeom>
                    <a:noFill/>
                  </pic:spPr>
                </pic:pic>
              </a:graphicData>
            </a:graphic>
          </wp:anchor>
        </w:drawing>
        <w:t>Exhibit 23.2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consent to the use in this Amendment No. 1 to Registration Statement No. 333-220719 on Form S-1 of our report dated July 10, 2017 (August 28, 2017 as to the effects of the error correction described in Note 1) relating to the consolidated financial statements and financial statement schedule of National Vision Holdings, Inc. and subsidiaries (which report expresses an unqualified opinion and includes an explanatory paragraph relating to the March 13, 2014 acquisition of National Vision, Inc. by Nautilus Merger Sub, Inc., an indirect wholly-owned subsidiary of National Vision Holdings, Inc.) appearing in the prospectus, which is part of this Registration Statement.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heading “Experts” in such prospectus.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October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223520</wp:posOffset>
            </wp:positionV>
            <wp:extent cx="7251065" cy="165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sectPr>
      <w:pgSz w:w="11900" w:h="16838" w:orient="portrait"/>
      <w:cols w:equalWidth="0" w:num="1">
        <w:col w:w="11420"/>
      </w:cols>
      <w:pgMar w:left="240" w:top="2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1"/>
    </w:lvl>
  </w:abstractNum>
  <w:abstractNum w:abstractNumId="1">
    <w:nsid w:val="415E286C"/>
    <w:multiLevelType w:val="hybridMultilevel"/>
    <w:lvl w:ilvl="0">
      <w:lvlJc w:val="left"/>
      <w:lvlText w:val="(%1)"/>
      <w:numFmt w:val="decimal"/>
      <w:start w:val="1"/>
    </w:lvl>
  </w:abstractNum>
  <w:abstractNum w:abstractNumId="2">
    <w:nsid w:val="7C58FD05"/>
    <w:multiLevelType w:val="hybridMultilevel"/>
    <w:lvl w:ilvl="0">
      <w:lvlJc w:val="left"/>
      <w:lvlText w:val="&amp;"/>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emdash "/>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1)"/>
      <w:numFmt w:val="decimal"/>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1)"/>
      <w:numFmt w:val="decimal"/>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
      <w:numFmt w:val="bullet"/>
      <w:start w:val="1"/>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1)"/>
      <w:numFmt w:val="decimal"/>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1)"/>
      <w:numFmt w:val="lowerRoman"/>
      <w:start w:val="2"/>
    </w:lvl>
  </w:abstractNum>
  <w:abstractNum w:abstractNumId="26">
    <w:nsid w:val="53B0A9E"/>
    <w:multiLevelType w:val="hybridMultilevel"/>
    <w:lvl w:ilvl="0">
      <w:lvlJc w:val="left"/>
      <w:lvlText w:val="(%1)"/>
      <w:numFmt w:val="decimal"/>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1)"/>
      <w:numFmt w:val="lowerLetter"/>
      <w:start w:val="1"/>
    </w:lvl>
  </w:abstractNum>
  <w:abstractNum w:abstractNumId="29">
    <w:nsid w:val="56438D15"/>
    <w:multiLevelType w:val="hybridMultilevel"/>
    <w:lvl w:ilvl="0">
      <w:lvlJc w:val="left"/>
      <w:lvlText w:val="(%1)"/>
      <w:numFmt w:val="lowerLetter"/>
      <w:start w:val="5"/>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1)"/>
      <w:numFmt w:val="decimal"/>
      <w:start w:val="1"/>
    </w:lvl>
  </w:abstractNum>
  <w:abstractNum w:abstractNumId="48">
    <w:nsid w:val="BFFAE18"/>
    <w:multiLevelType w:val="hybridMultilevel"/>
    <w:lvl w:ilvl="0">
      <w:lvlJc w:val="left"/>
      <w:lvlText w:val="(%1)"/>
      <w:numFmt w:val="decimal"/>
      <w:start w:val="4"/>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1."/>
      <w:numFmt w:val="decimal"/>
      <w:start w:val="1"/>
    </w:lvl>
  </w:abstractNum>
  <w:abstractNum w:abstractNumId="51">
    <w:nsid w:val="49D0FEAC"/>
    <w:multiLevelType w:val="hybridMultilevel"/>
    <w:lvl w:ilvl="0">
      <w:lvlJc w:val="left"/>
      <w:lvlText w:val="(%1)"/>
      <w:numFmt w:val="upperLetter"/>
      <w:start w:val="2"/>
    </w:lvl>
  </w:abstractNum>
  <w:abstractNum w:abstractNumId="52">
    <w:nsid w:val="4BEE5A5B"/>
    <w:multiLevelType w:val="hybridMultilevel"/>
    <w:lvl w:ilvl="0">
      <w:lvlJc w:val="left"/>
      <w:lvlText w:val="%1."/>
      <w:numFmt w:val="decimal"/>
      <w:start w:val="2"/>
    </w:lvl>
  </w:abstractNum>
  <w:abstractNum w:abstractNumId="53">
    <w:nsid w:val="5551B9F3"/>
    <w:multiLevelType w:val="hybridMultilevel"/>
    <w:lvl w:ilvl="0">
      <w:lvlJc w:val="left"/>
      <w:lvlText w:val="(%1)"/>
      <w:numFmt w:val="upperLetter"/>
      <w:start w:val="3"/>
    </w:lvl>
  </w:abstractNum>
  <w:abstractNum w:abstractNumId="54">
    <w:nsid w:val="24F6AB8E"/>
    <w:multiLevelType w:val="hybridMultilevel"/>
    <w:lvl w:ilvl="0">
      <w:lvlJc w:val="left"/>
      <w:lvlText w:val="(%1)"/>
      <w:numFmt w:val="upperLetter"/>
      <w:start w:val="5"/>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1)"/>
      <w:numFmt w:val="upperLetter"/>
      <w:start w:val="7"/>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1)"/>
      <w:numFmt w:val="decimal"/>
      <w:start w:val="1"/>
    </w:lvl>
  </w:abstractNum>
  <w:abstractNum w:abstractNumId="62">
    <w:nsid w:val="2A6DE806"/>
    <w:multiLevelType w:val="hybridMultilevel"/>
    <w:lvl w:ilvl="0">
      <w:lvlJc w:val="left"/>
      <w:lvlText w:val="(%1)"/>
      <w:numFmt w:val="decimal"/>
      <w:start w:val="1"/>
    </w:lvl>
  </w:abstractNum>
  <w:abstractNum w:abstractNumId="63">
    <w:nsid w:val="1816F8C4"/>
    <w:multiLevelType w:val="hybridMultilevel"/>
    <w:lvl w:ilvl="0">
      <w:lvlJc w:val="left"/>
      <w:lvlText w:val="(%1)"/>
      <w:numFmt w:val="decimal"/>
      <w:start w:val="1"/>
    </w:lvl>
  </w:abstractNum>
  <w:abstractNum w:abstractNumId="64">
    <w:nsid w:val="37DF2233"/>
    <w:multiLevelType w:val="hybridMultilevel"/>
    <w:lvl w:ilvl="0">
      <w:lvlJc w:val="left"/>
      <w:lvlText w:val="(%1)"/>
      <w:numFmt w:val="lowerLetter"/>
      <w:start w:val="1"/>
    </w:lvl>
  </w:abstractNum>
  <w:abstractNum w:abstractNumId="65">
    <w:nsid w:val="7AB49DAF"/>
    <w:multiLevelType w:val="hybridMultilevel"/>
    <w:lvl w:ilvl="0">
      <w:lvlJc w:val="left"/>
      <w:lvlText w:val="(%1)"/>
      <w:numFmt w:val="lowerLetter"/>
      <w:start w:val="4"/>
    </w:lvl>
  </w:abstractNum>
  <w:abstractNum w:abstractNumId="66">
    <w:nsid w:val="759F82CD"/>
    <w:multiLevelType w:val="hybridMultilevel"/>
    <w:lvl w:ilvl="0">
      <w:lvlJc w:val="left"/>
      <w:lvlText w:val="(%1)"/>
      <w:numFmt w:val="decimal"/>
      <w:start w:val="1"/>
    </w:lvl>
  </w:abstractNum>
  <w:abstractNum w:abstractNumId="67">
    <w:nsid w:val="61E74EA3"/>
    <w:multiLevelType w:val="hybridMultilevel"/>
    <w:lvl w:ilvl="0">
      <w:lvlJc w:val="left"/>
      <w:lvlText w:val="(%1)"/>
      <w:numFmt w:val="decimal"/>
      <w:start w:val="1"/>
    </w:lvl>
  </w:abstractNum>
  <w:abstractNum w:abstractNumId="68">
    <w:nsid w:val="597B4D84"/>
    <w:multiLevelType w:val="hybridMultilevel"/>
    <w:lvl w:ilvl="0">
      <w:lvlJc w:val="left"/>
      <w:lvlText w:val="(%1)"/>
      <w:numFmt w:val="lowerLetter"/>
      <w:start w:val="1"/>
    </w:lvl>
  </w:abstractNum>
  <w:abstractNum w:abstractNumId="69">
    <w:nsid w:val="F819E7F"/>
    <w:multiLevelType w:val="hybridMultilevel"/>
    <w:lvl w:ilvl="0">
      <w:lvlJc w:val="left"/>
      <w:lvlText w:val="(%1)"/>
      <w:numFmt w:val="decimal"/>
      <w:start w:val="1"/>
    </w:lvl>
  </w:abstractNum>
  <w:abstractNum w:abstractNumId="70">
    <w:nsid w:val="57C7D42D"/>
    <w:multiLevelType w:val="hybridMultilevel"/>
    <w:lvl w:ilvl="0">
      <w:lvlJc w:val="left"/>
      <w:lvlText w:val="•"/>
      <w:numFmt w:val="bullet"/>
      <w:start w:val="1"/>
    </w:lvl>
  </w:abstractNum>
  <w:abstractNum w:abstractNumId="71">
    <w:nsid w:val="312167AD"/>
    <w:multiLevelType w:val="hybridMultilevel"/>
    <w:lvl w:ilvl="0">
      <w:lvlJc w:val="left"/>
      <w:lvlText w:val="(%1)"/>
      <w:numFmt w:val="decimal"/>
      <w:start w:val="1"/>
    </w:lvl>
  </w:abstractNum>
  <w:abstractNum w:abstractNumId="72">
    <w:nsid w:val="631B64D4"/>
    <w:multiLevelType w:val="hybridMultilevel"/>
    <w:lvl w:ilvl="0">
      <w:lvlJc w:val="left"/>
      <w:lvlText w:val="•"/>
      <w:numFmt w:val="bullet"/>
      <w:start w:val="1"/>
    </w:lvl>
  </w:abstractNum>
  <w:abstractNum w:abstractNumId="73">
    <w:nsid w:val="78B5E776"/>
    <w:multiLevelType w:val="hybridMultilevel"/>
    <w:lvl w:ilvl="0">
      <w:lvlJc w:val="left"/>
      <w:lvlText w:val="•"/>
      <w:numFmt w:val="bullet"/>
      <w:start w:val="1"/>
    </w:lvl>
  </w:abstractNum>
  <w:abstractNum w:abstractNumId="74">
    <w:nsid w:val="75486E47"/>
    <w:multiLevelType w:val="hybridMultilevel"/>
    <w:lvl w:ilvl="0">
      <w:lvlJc w:val="left"/>
      <w:lvlText w:val="•"/>
      <w:numFmt w:val="bullet"/>
      <w:start w:val="1"/>
    </w:lvl>
  </w:abstractNum>
  <w:abstractNum w:abstractNumId="75">
    <w:nsid w:val="6E534CDE"/>
    <w:multiLevelType w:val="hybridMultilevel"/>
    <w:lvl w:ilvl="0">
      <w:lvlJc w:val="left"/>
      <w:lvlText w:val="•"/>
      <w:numFmt w:val="bullet"/>
      <w:start w:val="1"/>
    </w:lvl>
  </w:abstractNum>
  <w:abstractNum w:abstractNumId="76">
    <w:nsid w:val="1A0DDE32"/>
    <w:multiLevelType w:val="hybridMultilevel"/>
    <w:lvl w:ilvl="0">
      <w:lvlJc w:val="left"/>
      <w:lvlText w:val="•"/>
      <w:numFmt w:val="bullet"/>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abstractNum>
  <w:abstractNum w:abstractNumId="79">
    <w:nsid w:val="260D8C4A"/>
    <w:multiLevelType w:val="hybridMultilevel"/>
    <w:lvl w:ilvl="0">
      <w:lvlJc w:val="left"/>
      <w:lvlText w:val="•"/>
      <w:numFmt w:val="bullet"/>
      <w:start w:val="1"/>
    </w:lvl>
  </w:abstractNum>
  <w:abstractNum w:abstractNumId="80">
    <w:nsid w:val="73D4D3C4"/>
    <w:multiLevelType w:val="hybridMultilevel"/>
    <w:lvl w:ilvl="0">
      <w:lvlJc w:val="left"/>
      <w:lvlText w:val="•"/>
      <w:numFmt w:val="bullet"/>
      <w:start w:val="1"/>
    </w:lvl>
  </w:abstractNum>
  <w:abstractNum w:abstractNumId="81">
    <w:nsid w:val="746F2E30"/>
    <w:multiLevelType w:val="hybridMultilevel"/>
    <w:lvl w:ilvl="0">
      <w:lvlJc w:val="left"/>
      <w:lvlText w:val="•"/>
      <w:numFmt w:val="bullet"/>
      <w:start w:val="1"/>
    </w:lvl>
  </w:abstractNum>
  <w:abstractNum w:abstractNumId="82">
    <w:nsid w:val="6FDE8AF6"/>
    <w:multiLevelType w:val="hybridMultilevel"/>
    <w:lvl w:ilvl="0">
      <w:lvlJc w:val="left"/>
      <w:lvlText w:val="(%1)"/>
      <w:numFmt w:val="lowerRoman"/>
      <w:start w:val="5"/>
    </w:lvl>
  </w:abstractNum>
  <w:abstractNum w:abstractNumId="83">
    <w:nsid w:val="3FC32E20"/>
    <w:multiLevelType w:val="hybridMultilevel"/>
    <w:lvl w:ilvl="0">
      <w:lvlJc w:val="left"/>
      <w:lvlText w:val="*"/>
      <w:numFmt w:val="bullet"/>
      <w:start w:val="1"/>
    </w:lvl>
  </w:abstractNum>
  <w:abstractNum w:abstractNumId="84">
    <w:nsid w:val="49C0E823"/>
    <w:multiLevelType w:val="hybridMultilevel"/>
    <w:lvl w:ilvl="0">
      <w:lvlJc w:val="left"/>
      <w:lvlText w:val="(%1)"/>
      <w:numFmt w:val="decimal"/>
      <w:start w:val="3"/>
    </w:lvl>
  </w:abstractNum>
  <w:abstractNum w:abstractNumId="85">
    <w:nsid w:val="14D53685"/>
    <w:multiLevelType w:val="hybridMultilevel"/>
    <w:lvl w:ilvl="0">
      <w:lvlJc w:val="left"/>
      <w:lvlText w:val="•"/>
      <w:numFmt w:val="bullet"/>
      <w:start w:val="1"/>
    </w:lvl>
  </w:abstractNum>
  <w:abstractNum w:abstractNumId="86">
    <w:nsid w:val="230F856C"/>
    <w:multiLevelType w:val="hybridMultilevel"/>
    <w:lvl w:ilvl="0">
      <w:lvlJc w:val="left"/>
      <w:lvlText w:val="•"/>
      <w:numFmt w:val="bullet"/>
      <w:start w:val="1"/>
    </w:lvl>
  </w:abstractNum>
  <w:abstractNum w:abstractNumId="87">
    <w:nsid w:val="6EAA85FB"/>
    <w:multiLevelType w:val="hybridMultilevel"/>
    <w:lvl w:ilvl="0">
      <w:lvlJc w:val="left"/>
      <w:lvlText w:val="*"/>
      <w:numFmt w:val="bullet"/>
      <w:start w:val="1"/>
    </w:lvl>
  </w:abstractNum>
  <w:abstractNum w:abstractNumId="88">
    <w:nsid w:val="3F06ECB2"/>
    <w:multiLevelType w:val="hybridMultilevel"/>
    <w:lvl w:ilvl="0">
      <w:lvlJc w:val="left"/>
      <w:lvlText w:val="•"/>
      <w:numFmt w:val="bullet"/>
      <w:start w:val="1"/>
    </w:lvl>
  </w:abstractNum>
  <w:abstractNum w:abstractNumId="89">
    <w:nsid w:val="3B594807"/>
    <w:multiLevelType w:val="hybridMultilevel"/>
    <w:lvl w:ilvl="0">
      <w:lvlJc w:val="left"/>
      <w:lvlText w:val="*"/>
      <w:numFmt w:val="bullet"/>
      <w:start w:val="1"/>
    </w:lvl>
  </w:abstractNum>
  <w:abstractNum w:abstractNumId="90">
    <w:nsid w:val="6CAA2304"/>
    <w:multiLevelType w:val="hybridMultilevel"/>
    <w:lvl w:ilvl="0">
      <w:lvlJc w:val="left"/>
      <w:lvlText w:val="(%1)"/>
      <w:numFmt w:val="decimal"/>
      <w:start w:val="1"/>
    </w:lvl>
  </w:abstractNum>
  <w:abstractNum w:abstractNumId="91">
    <w:nsid w:val="3F7C2FF4"/>
    <w:multiLevelType w:val="hybridMultilevel"/>
    <w:lvl w:ilvl="0">
      <w:lvlJc w:val="left"/>
      <w:lvlText w:val="(%1)"/>
      <w:numFmt w:val="lowerLetter"/>
      <w:start w:val="1"/>
    </w:lvl>
  </w:abstractNum>
  <w:abstractNum w:abstractNumId="92">
    <w:nsid w:val="25413BEC"/>
    <w:multiLevelType w:val="hybridMultilevel"/>
    <w:lvl w:ilvl="0">
      <w:lvlJc w:val="left"/>
      <w:lvlText w:val="(%1)"/>
      <w:numFmt w:val="decimal"/>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1)"/>
      <w:numFmt w:val="decimal"/>
      <w:start w:val="1"/>
    </w:lvl>
  </w:abstractNum>
  <w:abstractNum w:abstractNumId="95">
    <w:nsid w:val="5D205E20"/>
    <w:multiLevelType w:val="hybridMultilevel"/>
    <w:lvl w:ilvl="0">
      <w:lvlJc w:val="left"/>
      <w:lvlText w:val="(%1)"/>
      <w:numFmt w:val="decimal"/>
      <w:start w:val="1"/>
    </w:lvl>
  </w:abstractNum>
  <w:abstractNum w:abstractNumId="96">
    <w:nsid w:val="11CCA8BA"/>
    <w:multiLevelType w:val="hybridMultilevel"/>
    <w:lvl w:ilvl="0">
      <w:lvlJc w:val="left"/>
      <w:lvlText w:val="•"/>
      <w:numFmt w:val="bullet"/>
      <w:start w:val="1"/>
    </w:lvl>
  </w:abstractNum>
  <w:abstractNum w:abstractNumId="97">
    <w:nsid w:val="4D32AB86"/>
    <w:multiLevelType w:val="hybridMultilevel"/>
    <w:lvl w:ilvl="0">
      <w:lvlJc w:val="left"/>
      <w:lvlText w:val="•"/>
      <w:numFmt w:val="bullet"/>
      <w:start w:val="1"/>
    </w:lvl>
  </w:abstractNum>
  <w:abstractNum w:abstractNumId="98">
    <w:nsid w:val="3F07ACC3"/>
    <w:multiLevelType w:val="hybridMultilevel"/>
    <w:lvl w:ilvl="0">
      <w:lvlJc w:val="left"/>
      <w:lvlText w:val="•"/>
      <w:numFmt w:val="bullet"/>
      <w:start w:val="1"/>
    </w:lvl>
  </w:abstractNum>
  <w:abstractNum w:abstractNumId="99">
    <w:nsid w:val="6B47F63E"/>
    <w:multiLevelType w:val="hybridMultilevel"/>
    <w:lvl w:ilvl="0">
      <w:lvlJc w:val="left"/>
      <w:lvlText w:val="•"/>
      <w:numFmt w:val="bullet"/>
      <w:start w:val="1"/>
    </w:lvl>
  </w:abstractNum>
  <w:abstractNum w:abstractNumId="100">
    <w:nsid w:val="5CB44A05"/>
    <w:multiLevelType w:val="hybridMultilevel"/>
    <w:lvl w:ilvl="0">
      <w:lvlJc w:val="left"/>
      <w:lvlText w:val="•"/>
      <w:numFmt w:val="bullet"/>
      <w:start w:val="1"/>
    </w:lvl>
  </w:abstractNum>
  <w:abstractNum w:abstractNumId="101">
    <w:nsid w:val="16CF80F1"/>
    <w:multiLevelType w:val="hybridMultilevel"/>
    <w:lvl w:ilvl="0">
      <w:lvlJc w:val="left"/>
      <w:lvlText w:val="•"/>
      <w:numFmt w:val="bullet"/>
      <w:start w:val="1"/>
    </w:lvl>
  </w:abstractNum>
  <w:abstractNum w:abstractNumId="102">
    <w:nsid w:val="1C695DEC"/>
    <w:multiLevelType w:val="hybridMultilevel"/>
    <w:lvl w:ilvl="0">
      <w:lvlJc w:val="left"/>
      <w:lvlText w:val="(%1)"/>
      <w:numFmt w:val="decimal"/>
      <w:start w:val="1"/>
    </w:lvl>
  </w:abstractNum>
  <w:abstractNum w:abstractNumId="103">
    <w:nsid w:val="3FCFAED9"/>
    <w:multiLevelType w:val="hybridMultilevel"/>
    <w:lvl w:ilvl="0">
      <w:lvlJc w:val="left"/>
      <w:lvlText w:val="$"/>
      <w:numFmt w:val="bullet"/>
      <w:start w:val="1"/>
    </w:lvl>
  </w:abstractNum>
  <w:abstractNum w:abstractNumId="104">
    <w:nsid w:val="F856867"/>
    <w:multiLevelType w:val="hybridMultilevel"/>
    <w:lvl w:ilvl="0">
      <w:lvlJc w:val="left"/>
      <w:lvlText w:val="•"/>
      <w:numFmt w:val="bullet"/>
      <w:start w:val="1"/>
    </w:lvl>
  </w:abstractNum>
  <w:abstractNum w:abstractNumId="105">
    <w:nsid w:val="11B1CC33"/>
    <w:multiLevelType w:val="hybridMultilevel"/>
    <w:lvl w:ilvl="0">
      <w:lvlJc w:val="left"/>
      <w:lvlText w:val="•"/>
      <w:numFmt w:val="bullet"/>
      <w:start w:val="1"/>
    </w:lvl>
  </w:abstractNum>
  <w:abstractNum w:abstractNumId="106">
    <w:nsid w:val="2E22FBB7"/>
    <w:multiLevelType w:val="hybridMultilevel"/>
    <w:lvl w:ilvl="0">
      <w:lvlJc w:val="left"/>
      <w:lvlText w:val="•"/>
      <w:numFmt w:val="bullet"/>
      <w:start w:val="1"/>
    </w:lvl>
  </w:abstractNum>
  <w:abstractNum w:abstractNumId="107">
    <w:nsid w:val="29934699"/>
    <w:multiLevelType w:val="hybridMultilevel"/>
    <w:lvl w:ilvl="0">
      <w:lvlJc w:val="left"/>
      <w:lvlText w:val="•"/>
      <w:numFmt w:val="bullet"/>
      <w:start w:val="1"/>
    </w:lvl>
  </w:abstractNum>
  <w:abstractNum w:abstractNumId="108">
    <w:nsid w:val="77485850"/>
    <w:multiLevelType w:val="hybridMultilevel"/>
    <w:lvl w:ilvl="0">
      <w:lvlJc w:val="left"/>
      <w:lvlText w:val="*"/>
      <w:numFmt w:val="bullet"/>
      <w:start w:val="1"/>
    </w:lvl>
  </w:abstractNum>
  <w:abstractNum w:abstractNumId="109">
    <w:nsid w:val="744939A3"/>
    <w:multiLevelType w:val="hybridMultilevel"/>
    <w:lvl w:ilvl="0">
      <w:lvlJc w:val="left"/>
      <w:lvlText w:val="(%1)"/>
      <w:numFmt w:val="decimal"/>
      <w:start w:val="4"/>
    </w:lvl>
  </w:abstractNum>
  <w:abstractNum w:abstractNumId="110">
    <w:nsid w:val="4FA0D2E3"/>
    <w:multiLevelType w:val="hybridMultilevel"/>
    <w:lvl w:ilvl="0">
      <w:lvlJc w:val="left"/>
      <w:lvlText w:val="$"/>
      <w:numFmt w:val="bullet"/>
      <w:start w:val="1"/>
    </w:lvl>
  </w:abstractNum>
  <w:abstractNum w:abstractNumId="111">
    <w:nsid w:val="6B1D2C14"/>
    <w:multiLevelType w:val="hybridMultilevel"/>
    <w:lvl w:ilvl="0">
      <w:lvlJc w:val="left"/>
      <w:lvlText w:val="(%1)"/>
      <w:numFmt w:val="lowerRoman"/>
      <w:start w:val="3"/>
    </w:lvl>
  </w:abstractNum>
  <w:abstractNum w:abstractNumId="112">
    <w:nsid w:val="68B867D3"/>
    <w:multiLevelType w:val="hybridMultilevel"/>
    <w:lvl w:ilvl="0">
      <w:lvlJc w:val="left"/>
      <w:lvlText w:val="•"/>
      <w:numFmt w:val="bullet"/>
      <w:start w:val="1"/>
    </w:lvl>
  </w:abstractNum>
  <w:abstractNum w:abstractNumId="113">
    <w:nsid w:val="3F7F5DD9"/>
    <w:multiLevelType w:val="hybridMultilevel"/>
    <w:lvl w:ilvl="0">
      <w:lvlJc w:val="left"/>
      <w:lvlText w:val="•"/>
      <w:numFmt w:val="bullet"/>
      <w:start w:val="1"/>
    </w:lvl>
  </w:abstractNum>
  <w:abstractNum w:abstractNumId="114">
    <w:nsid w:val="2AE05A34"/>
    <w:multiLevelType w:val="hybridMultilevel"/>
    <w:lvl w:ilvl="0">
      <w:lvlJc w:val="left"/>
      <w:lvlText w:val="•"/>
      <w:numFmt w:val="bullet"/>
      <w:start w:val="1"/>
    </w:lvl>
  </w:abstractNum>
  <w:abstractNum w:abstractNumId="115">
    <w:nsid w:val="32794FF7"/>
    <w:multiLevelType w:val="hybridMultilevel"/>
    <w:lvl w:ilvl="0">
      <w:lvlJc w:val="left"/>
      <w:lvlText w:val="•"/>
      <w:numFmt w:val="bullet"/>
      <w:start w:val="1"/>
    </w:lvl>
  </w:abstractNum>
  <w:abstractNum w:abstractNumId="116">
    <w:nsid w:val="5454945E"/>
    <w:multiLevelType w:val="hybridMultilevel"/>
    <w:lvl w:ilvl="0">
      <w:lvlJc w:val="left"/>
      <w:lvlText w:val="•"/>
      <w:numFmt w:val="bullet"/>
      <w:start w:val="1"/>
    </w:lvl>
  </w:abstractNum>
  <w:abstractNum w:abstractNumId="117">
    <w:nsid w:val="4DEFDFA0"/>
    <w:multiLevelType w:val="hybridMultilevel"/>
    <w:lvl w:ilvl="0">
      <w:lvlJc w:val="left"/>
      <w:lvlText w:val="•"/>
      <w:numFmt w:val="bullet"/>
      <w:start w:val="1"/>
    </w:lvl>
  </w:abstractNum>
  <w:abstractNum w:abstractNumId="118">
    <w:nsid w:val="2123D5F2"/>
    <w:multiLevelType w:val="hybridMultilevel"/>
    <w:lvl w:ilvl="0">
      <w:lvlJc w:val="left"/>
      <w:lvlText w:val="•"/>
      <w:numFmt w:val="bullet"/>
      <w:start w:val="1"/>
    </w:lvl>
  </w:abstractNum>
  <w:abstractNum w:abstractNumId="119">
    <w:nsid w:val="135B8110"/>
    <w:multiLevelType w:val="hybridMultilevel"/>
    <w:lvl w:ilvl="0">
      <w:lvlJc w:val="left"/>
      <w:lvlText w:val="•"/>
      <w:numFmt w:val="bullet"/>
      <w:start w:val="1"/>
    </w:lvl>
  </w:abstractNum>
  <w:abstractNum w:abstractNumId="120">
    <w:nsid w:val="94927A8"/>
    <w:multiLevelType w:val="hybridMultilevel"/>
    <w:lvl w:ilvl="0">
      <w:lvlJc w:val="left"/>
      <w:lvlText w:val="•"/>
      <w:numFmt w:val="bullet"/>
      <w:start w:val="1"/>
    </w:lvl>
  </w:abstractNum>
  <w:abstractNum w:abstractNumId="121">
    <w:nsid w:val="DCDF8F6"/>
    <w:multiLevelType w:val="hybridMultilevel"/>
    <w:lvl w:ilvl="0">
      <w:lvlJc w:val="left"/>
      <w:lvlText w:val="•"/>
      <w:numFmt w:val="bullet"/>
      <w:start w:val="1"/>
    </w:lvl>
  </w:abstractNum>
  <w:abstractNum w:abstractNumId="122">
    <w:nsid w:val="52D7B105"/>
    <w:multiLevelType w:val="hybridMultilevel"/>
    <w:lvl w:ilvl="0">
      <w:lvlJc w:val="left"/>
      <w:lvlText w:val="•"/>
      <w:numFmt w:val="bullet"/>
      <w:start w:val="1"/>
    </w:lvl>
  </w:abstractNum>
  <w:abstractNum w:abstractNumId="123">
    <w:nsid w:val="2E8A6394"/>
    <w:multiLevelType w:val="hybridMultilevel"/>
    <w:lvl w:ilvl="0">
      <w:lvlJc w:val="left"/>
      <w:lvlText w:val="•"/>
      <w:numFmt w:val="bullet"/>
      <w:start w:val="1"/>
    </w:lvl>
  </w:abstractNum>
  <w:abstractNum w:abstractNumId="124">
    <w:nsid w:val="24E60401"/>
    <w:multiLevelType w:val="hybridMultilevel"/>
    <w:lvl w:ilvl="0">
      <w:lvlJc w:val="left"/>
      <w:lvlText w:val="•"/>
      <w:numFmt w:val="bullet"/>
      <w:start w:val="1"/>
    </w:lvl>
  </w:abstractNum>
  <w:abstractNum w:abstractNumId="125">
    <w:nsid w:val="2A6AD9BE"/>
    <w:multiLevelType w:val="hybridMultilevel"/>
    <w:lvl w:ilvl="0">
      <w:lvlJc w:val="left"/>
      <w:lvlText w:val="•"/>
      <w:numFmt w:val="bullet"/>
      <w:start w:val="1"/>
    </w:lvl>
  </w:abstractNum>
  <w:abstractNum w:abstractNumId="126">
    <w:nsid w:val="BAAC1B4"/>
    <w:multiLevelType w:val="hybridMultilevel"/>
    <w:lvl w:ilvl="0">
      <w:lvlJc w:val="left"/>
      <w:lvlText w:val="•"/>
      <w:numFmt w:val="bullet"/>
      <w:start w:val="1"/>
    </w:lvl>
  </w:abstractNum>
  <w:abstractNum w:abstractNumId="127">
    <w:nsid w:val="36B2ACBC"/>
    <w:multiLevelType w:val="hybridMultilevel"/>
    <w:lvl w:ilvl="0">
      <w:lvlJc w:val="left"/>
      <w:lvlText w:val="•"/>
      <w:numFmt w:val="bullet"/>
      <w:start w:val="1"/>
    </w:lvl>
  </w:abstractNum>
  <w:abstractNum w:abstractNumId="128">
    <w:nsid w:val="779D8544"/>
    <w:multiLevelType w:val="hybridMultilevel"/>
    <w:lvl w:ilvl="0">
      <w:lvlJc w:val="left"/>
      <w:lvlText w:val="(%1)"/>
      <w:numFmt w:val="lowerLetter"/>
      <w:start w:val="1"/>
    </w:lvl>
  </w:abstractNum>
  <w:abstractNum w:abstractNumId="129">
    <w:nsid w:val="4AB26E78"/>
    <w:multiLevelType w:val="hybridMultilevel"/>
    <w:lvl w:ilvl="0">
      <w:lvlJc w:val="left"/>
      <w:lvlText w:val="(%1)"/>
      <w:numFmt w:val="lowerLetter"/>
      <w:start w:val="1"/>
    </w:lvl>
  </w:abstractNum>
  <w:abstractNum w:abstractNumId="130">
    <w:nsid w:val="21FAA2FA"/>
    <w:multiLevelType w:val="hybridMultilevel"/>
    <w:lvl w:ilvl="0">
      <w:lvlJc w:val="left"/>
      <w:lvlText w:val="(%1)"/>
      <w:numFmt w:val="lowerLetter"/>
      <w:start w:val="1"/>
    </w:lvl>
  </w:abstractNum>
  <w:abstractNum w:abstractNumId="131">
    <w:nsid w:val="5451CF49"/>
    <w:multiLevelType w:val="hybridMultilevel"/>
    <w:lvl w:ilvl="0">
      <w:lvlJc w:val="left"/>
      <w:lvlText w:val="(%1)"/>
      <w:numFmt w:val="lowerLetter"/>
      <w:start w:val="1"/>
    </w:lvl>
  </w:abstractNum>
  <w:abstractNum w:abstractNumId="132">
    <w:nsid w:val="6181EF69"/>
    <w:multiLevelType w:val="hybridMultilevel"/>
    <w:lvl w:ilvl="0">
      <w:lvlJc w:val="left"/>
      <w:lvlText w:val="%1."/>
      <w:numFmt w:val="decimal"/>
      <w:start w:val="1"/>
    </w:lvl>
  </w:abstractNum>
  <w:abstractNum w:abstractNumId="133">
    <w:nsid w:val="3E6400E6"/>
    <w:multiLevelType w:val="hybridMultilevel"/>
    <w:lvl w:ilvl="0">
      <w:lvlJc w:val="left"/>
      <w:lvlText w:val="(%1)"/>
      <w:numFmt w:val="lowerLetter"/>
      <w:start w:val="1"/>
    </w:lvl>
  </w:abstractNum>
  <w:abstractNum w:abstractNumId="134">
    <w:nsid w:val="14217E23"/>
    <w:multiLevelType w:val="hybridMultilevel"/>
    <w:lvl w:ilvl="0">
      <w:lvlJc w:val="left"/>
      <w:lvlText w:val="%1."/>
      <w:numFmt w:val="decimal"/>
      <w:start w:val="1"/>
    </w:lvl>
  </w:abstractNum>
  <w:abstractNum w:abstractNumId="135">
    <w:nsid w:val="710757D0"/>
    <w:multiLevelType w:val="hybridMultilevel"/>
    <w:lvl w:ilvl="0">
      <w:lvlJc w:val="left"/>
      <w:lvlText w:val="(%1)"/>
      <w:numFmt w:val="decimal"/>
      <w:start w:val="1"/>
    </w:lvl>
  </w:abstractNum>
  <w:abstractNum w:abstractNumId="136">
    <w:nsid w:val="5015CD1A"/>
    <w:multiLevelType w:val="hybridMultilevel"/>
    <w:lvl w:ilvl="0">
      <w:lvlJc w:val="left"/>
      <w:lvlText w:val="(%1)"/>
      <w:numFmt w:val="decimal"/>
      <w:start w:val="2"/>
    </w:lvl>
  </w:abstractNum>
  <w:abstractNum w:abstractNumId="137">
    <w:nsid w:val="424479DA"/>
    <w:multiLevelType w:val="hybridMultilevel"/>
    <w:lvl w:ilvl="0">
      <w:lvlJc w:val="left"/>
      <w:lvlText w:val="•"/>
      <w:numFmt w:val="bullet"/>
      <w:start w:val="1"/>
    </w:lvl>
  </w:abstractNum>
  <w:abstractNum w:abstractNumId="138">
    <w:nsid w:val="1A9A9E69"/>
    <w:multiLevelType w:val="hybridMultilevel"/>
    <w:lvl w:ilvl="0">
      <w:lvlJc w:val="left"/>
      <w:lvlText w:val="%1."/>
      <w:numFmt w:val="decimal"/>
      <w:start w:val="11"/>
    </w:lvl>
  </w:abstractNum>
  <w:abstractNum w:abstractNumId="139">
    <w:nsid w:val="475E256A"/>
    <w:multiLevelType w:val="hybridMultilevel"/>
    <w:lvl w:ilvl="0">
      <w:lvlJc w:val="left"/>
      <w:lvlText w:val="%1."/>
      <w:numFmt w:val="decimal"/>
      <w:start w:val="12"/>
    </w:lvl>
  </w:abstractNum>
  <w:abstractNum w:abstractNumId="140">
    <w:nsid w:val="368DB37E"/>
    <w:multiLevelType w:val="hybridMultilevel"/>
    <w:lvl w:ilvl="0">
      <w:lvlJc w:val="left"/>
      <w:lvlText w:val="%1."/>
      <w:numFmt w:val="decimal"/>
      <w:start w:val="15"/>
    </w:lvl>
    <w:lvl w:ilvl="1">
      <w:lvlJc w:val="left"/>
      <w:lvlText w:val="•"/>
      <w:numFmt w:val="bullet"/>
      <w:start w:val="1"/>
    </w:lvl>
  </w:abstractNum>
  <w:abstractNum w:abstractNumId="141">
    <w:nsid w:val="6A3B714C"/>
    <w:multiLevelType w:val="hybridMultilevel"/>
    <w:lvl w:ilvl="0">
      <w:lvlJc w:val="left"/>
      <w:lvlText w:val="•"/>
      <w:numFmt w:val="bullet"/>
      <w:start w:val="1"/>
    </w:lvl>
  </w:abstractNum>
  <w:abstractNum w:abstractNumId="142">
    <w:nsid w:val="327B517E"/>
    <w:multiLevelType w:val="hybridMultilevel"/>
    <w:lvl w:ilvl="0">
      <w:lvlJc w:val="left"/>
      <w:lvlText w:val="%1."/>
      <w:numFmt w:val="decimal"/>
      <w:start w:val="1"/>
    </w:lvl>
  </w:abstractNum>
  <w:abstractNum w:abstractNumId="143">
    <w:nsid w:val="1F461B51"/>
    <w:multiLevelType w:val="hybridMultilevel"/>
    <w:lvl w:ilvl="0">
      <w:lvlJc w:val="left"/>
      <w:lvlText w:val="%1."/>
      <w:numFmt w:val="decimal"/>
      <w:start w:val="2"/>
    </w:lvl>
  </w:abstractNum>
  <w:abstractNum w:abstractNumId="144">
    <w:nsid w:val="29BACF25"/>
    <w:multiLevelType w:val="hybridMultilevel"/>
    <w:lvl w:ilvl="0">
      <w:lvlJc w:val="left"/>
      <w:lvlText w:val="(%1)"/>
      <w:numFmt w:val="decimal"/>
      <w:start w:val="1"/>
    </w:lvl>
  </w:abstractNum>
  <w:abstractNum w:abstractNumId="145">
    <w:nsid w:val="5D5BABB3"/>
    <w:multiLevelType w:val="hybridMultilevel"/>
    <w:lvl w:ilvl="0">
      <w:lvlJc w:val="left"/>
      <w:lvlText w:val="%1."/>
      <w:numFmt w:val="decimal"/>
      <w:start w:val="2"/>
    </w:lvl>
  </w:abstractNum>
  <w:abstractNum w:abstractNumId="146">
    <w:nsid w:val="51BF6B48"/>
    <w:multiLevelType w:val="hybridMultilevel"/>
    <w:lvl w:ilvl="0">
      <w:lvlJc w:val="left"/>
      <w:lvlText w:val="(%1)"/>
      <w:numFmt w:val="decimal"/>
      <w:start w:val="2"/>
    </w:lvl>
  </w:abstractNum>
  <w:abstractNum w:abstractNumId="147">
    <w:nsid w:val="7E0F6384"/>
    <w:multiLevelType w:val="hybridMultilevel"/>
    <w:lvl w:ilvl="0">
      <w:lvlJc w:val="left"/>
      <w:lvlText w:val="%1."/>
      <w:numFmt w:val="decimal"/>
      <w:start w:val="3"/>
    </w:lvl>
  </w:abstractNum>
  <w:abstractNum w:abstractNumId="148">
    <w:nsid w:val="2B4B8B53"/>
    <w:multiLevelType w:val="hybridMultilevel"/>
    <w:lvl w:ilvl="0">
      <w:lvlJc w:val="left"/>
      <w:lvlText w:val="%1."/>
      <w:numFmt w:val="decimal"/>
      <w:start w:val="3"/>
    </w:lvl>
  </w:abstractNum>
  <w:abstractNum w:abstractNumId="149">
    <w:nsid w:val="72E3413A"/>
    <w:multiLevelType w:val="hybridMultilevel"/>
    <w:lvl w:ilvl="0">
      <w:lvlJc w:val="left"/>
      <w:lvlText w:val="•"/>
      <w:numFmt w:val="bullet"/>
      <w:start w:val="1"/>
    </w:lvl>
  </w:abstractNum>
  <w:abstractNum w:abstractNumId="150">
    <w:nsid w:val="116AE494"/>
    <w:multiLevelType w:val="hybridMultilevel"/>
    <w:lvl w:ilvl="0">
      <w:lvlJc w:val="left"/>
      <w:lvlText w:val="%1."/>
      <w:numFmt w:val="decimal"/>
      <w:start w:val="3"/>
    </w:lvl>
  </w:abstractNum>
  <w:abstractNum w:abstractNumId="151">
    <w:nsid w:val="3494B2FB"/>
    <w:multiLevelType w:val="hybridMultilevel"/>
    <w:lvl w:ilvl="0">
      <w:lvlJc w:val="left"/>
      <w:lvlText w:val="%1."/>
      <w:numFmt w:val="decimal"/>
      <w:start w:val="4"/>
    </w:lvl>
  </w:abstractNum>
  <w:abstractNum w:abstractNumId="152">
    <w:nsid w:val="B13A31"/>
    <w:multiLevelType w:val="hybridMultilevel"/>
    <w:lvl w:ilvl="0">
      <w:lvlJc w:val="left"/>
      <w:lvlText w:val="%1."/>
      <w:numFmt w:val="decimal"/>
      <w:start w:val="4"/>
    </w:lvl>
  </w:abstractNum>
  <w:abstractNum w:abstractNumId="153">
    <w:nsid w:val="64429599"/>
    <w:multiLevelType w:val="hybridMultilevel"/>
    <w:lvl w:ilvl="0">
      <w:lvlJc w:val="left"/>
      <w:lvlText w:val="%1."/>
      <w:numFmt w:val="decimal"/>
      <w:start w:val="5"/>
    </w:lvl>
  </w:abstractNum>
  <w:abstractNum w:abstractNumId="154">
    <w:nsid w:val="631F1690"/>
    <w:multiLevelType w:val="hybridMultilevel"/>
    <w:lvl w:ilvl="0">
      <w:lvlJc w:val="left"/>
      <w:lvlText w:val="%1."/>
      <w:numFmt w:val="decimal"/>
      <w:start w:val="6"/>
    </w:lvl>
  </w:abstractNum>
  <w:abstractNum w:abstractNumId="155">
    <w:nsid w:val="25973E32"/>
    <w:multiLevelType w:val="hybridMultilevel"/>
    <w:lvl w:ilvl="0">
      <w:lvlJc w:val="left"/>
      <w:lvlText w:val="%1."/>
      <w:numFmt w:val="decimal"/>
      <w:start w:val="6"/>
    </w:lvl>
  </w:abstractNum>
  <w:abstractNum w:abstractNumId="156">
    <w:nsid w:val="EAD6F57"/>
    <w:multiLevelType w:val="hybridMultilevel"/>
    <w:lvl w:ilvl="0">
      <w:lvlJc w:val="left"/>
      <w:lvlText w:val="%1."/>
      <w:numFmt w:val="decimal"/>
      <w:start w:val="7"/>
    </w:lvl>
  </w:abstractNum>
  <w:abstractNum w:abstractNumId="157">
    <w:nsid w:val="6EC9D844"/>
    <w:multiLevelType w:val="hybridMultilevel"/>
    <w:lvl w:ilvl="0">
      <w:lvlJc w:val="left"/>
      <w:lvlText w:val="%1."/>
      <w:numFmt w:val="decimal"/>
      <w:start w:val="8"/>
    </w:lvl>
  </w:abstractNum>
  <w:abstractNum w:abstractNumId="158">
    <w:nsid w:val="5C49EAEE"/>
    <w:multiLevelType w:val="hybridMultilevel"/>
    <w:lvl w:ilvl="0">
      <w:lvlJc w:val="left"/>
      <w:lvlText w:val="%1."/>
      <w:numFmt w:val="decimal"/>
      <w:start w:val="9"/>
    </w:lvl>
  </w:abstractNum>
  <w:abstractNum w:abstractNumId="159">
    <w:nsid w:val="64AF49B"/>
    <w:multiLevelType w:val="hybridMultilevel"/>
    <w:lvl w:ilvl="0">
      <w:lvlJc w:val="left"/>
      <w:lvlText w:val="•"/>
      <w:numFmt w:val="bullet"/>
      <w:start w:val="1"/>
    </w:lvl>
  </w:abstractNum>
  <w:abstractNum w:abstractNumId="160">
    <w:nsid w:val="397C46BC"/>
    <w:multiLevelType w:val="hybridMultilevel"/>
    <w:lvl w:ilvl="0">
      <w:lvlJc w:val="left"/>
      <w:lvlText w:val="%1."/>
      <w:numFmt w:val="decimal"/>
      <w:start w:val="9"/>
    </w:lvl>
  </w:abstractNum>
  <w:abstractNum w:abstractNumId="161">
    <w:nsid w:val="7E448DE9"/>
    <w:multiLevelType w:val="hybridMultilevel"/>
    <w:lvl w:ilvl="0">
      <w:lvlJc w:val="left"/>
      <w:lvlText w:val="%1."/>
      <w:numFmt w:val="decimal"/>
      <w:start w:val="9"/>
    </w:lvl>
  </w:abstractNum>
  <w:abstractNum w:abstractNumId="162">
    <w:nsid w:val="5A9CC3E5"/>
    <w:multiLevelType w:val="hybridMultilevel"/>
    <w:lvl w:ilvl="0">
      <w:lvlJc w:val="left"/>
      <w:lvlText w:val="*"/>
      <w:numFmt w:val="bullet"/>
      <w:start w:val="1"/>
    </w:lvl>
  </w:abstractNum>
  <w:abstractNum w:abstractNumId="163">
    <w:nsid w:val="1AFE3625"/>
    <w:multiLevelType w:val="hybridMultilevel"/>
    <w:lvl w:ilvl="0">
      <w:lvlJc w:val="left"/>
      <w:lvlText w:val="(%1)"/>
      <w:numFmt w:val="lowerLetter"/>
      <w:start w:val="1"/>
    </w:lvl>
  </w:abstractNum>
  <w:abstractNum w:abstractNumId="164">
    <w:nsid w:val="3CA88ECF"/>
    <w:multiLevelType w:val="hybridMultilevel"/>
    <w:lvl w:ilvl="0">
      <w:lvlJc w:val="left"/>
      <w:lvlText w:val="(%1)"/>
      <w:numFmt w:val="lowerLetter"/>
      <w:start w:val="2"/>
    </w:lvl>
  </w:abstractNum>
  <w:abstractNum w:abstractNumId="165">
    <w:nsid w:val="6EBE4208"/>
    <w:multiLevelType w:val="hybridMultilevel"/>
    <w:lvl w:ilvl="0">
      <w:lvlJc w:val="left"/>
      <w:lvlText w:val="(%1)"/>
      <w:numFmt w:val="lowerLetter"/>
      <w:start w:val="1"/>
    </w:lvl>
  </w:abstractNum>
  <w:abstractNum w:abstractNumId="166">
    <w:nsid w:val="C058DF5"/>
    <w:multiLevelType w:val="hybridMultilevel"/>
    <w:lvl w:ilvl="0">
      <w:lvlJc w:val="left"/>
      <w:lvlText w:val="(%1)"/>
      <w:numFmt w:val="decimal"/>
      <w:start w:val="1"/>
    </w:lvl>
  </w:abstractNum>
  <w:abstractNum w:abstractNumId="167">
    <w:nsid w:val="CBE5BE9"/>
    <w:multiLevelType w:val="hybridMultilevel"/>
    <w:lvl w:ilvl="0">
      <w:lvlJc w:val="left"/>
      <w:lvlText w:val="(%1)"/>
      <w:numFmt w:val="decimal"/>
      <w:start w:val="3"/>
    </w:lvl>
    <w:lvl w:ilvl="1">
      <w:lvlJc w:val="left"/>
      <w:lvlText w:val="(%2)"/>
      <w:numFmt w:val="upperLetter"/>
      <w:start w:val="1"/>
    </w:lvl>
  </w:abstractNum>
  <w:abstractNum w:abstractNumId="168">
    <w:nsid w:val="3102BBE2"/>
    <w:multiLevelType w:val="hybridMultilevel"/>
    <w:lvl w:ilvl="0">
      <w:lvlJc w:val="left"/>
      <w:lvlText w:val="*"/>
      <w:numFmt w:val="bullet"/>
      <w:start w:val="1"/>
    </w:lvl>
  </w:abstractNum>
  <w:abstractNum w:abstractNumId="169">
    <w:nsid w:val="26A02C5E"/>
    <w:multiLevelType w:val="hybridMultilevel"/>
    <w:lvl w:ilvl="0">
      <w:lvlJc w:val="left"/>
      <w:lvlText w:val="**"/>
      <w:numFmt w:val="bullet"/>
      <w:start w:val="1"/>
    </w:lvl>
  </w:abstractNum>
  <w:abstractNum w:abstractNumId="170">
    <w:nsid w:val="541C8153"/>
    <w:multiLevelType w:val="hybridMultilevel"/>
    <w:lvl w:ilvl="0">
      <w:lvlJc w:val="left"/>
      <w:lvlText w:val="***"/>
      <w:numFmt w:val="bullet"/>
      <w:start w:val="1"/>
    </w:lvl>
  </w:abstractNum>
  <w:abstractNum w:abstractNumId="171">
    <w:nsid w:val="67906F60"/>
    <w:multiLevelType w:val="hybridMultilevel"/>
    <w:lvl w:ilvl="0">
      <w:lvlJc w:val="left"/>
      <w:lvlText w:val="†"/>
      <w:numFmt w:val="bullet"/>
      <w:start w:val="1"/>
    </w:lvl>
  </w:abstractNum>
  <w:abstractNum w:abstractNumId="172">
    <w:nsid w:val="10DB9DAA"/>
    <w:multiLevelType w:val="hybridMultilevel"/>
    <w:lvl w:ilvl="0">
      <w:lvlJc w:val="left"/>
      <w:lvlText w:val="‡"/>
      <w:numFmt w:val="bullet"/>
      <w:start w:val="1"/>
    </w:lvl>
  </w:abstractNum>
  <w:abstractNum w:abstractNumId="173">
    <w:nsid w:val="697D2D2"/>
    <w:multiLevelType w:val="hybridMultilevel"/>
    <w:lvl w:ilvl="0">
      <w:lvlJc w:val="left"/>
      <w:lvlText w:val="%1."/>
      <w:numFmt w:val="upperLetter"/>
      <w:start w:val="9"/>
    </w:lvl>
    <w:lvl w:ilvl="1">
      <w:lvlJc w:val="left"/>
      <w:lvlText w:val="%2."/>
      <w:numFmt w:val="upperLetter"/>
      <w:start w:val="1"/>
    </w:lvl>
  </w:abstractNum>
  <w:abstractNum w:abstractNumId="174">
    <w:nsid w:val="6D68AB2"/>
    <w:multiLevelType w:val="hybridMultilevel"/>
    <w:lvl w:ilvl="0">
      <w:lvlJc w:val="left"/>
      <w:lvlText w:val="%1."/>
      <w:numFmt w:val="upperLetter"/>
      <w:start w:val="5"/>
    </w:lvl>
  </w:abstractNum>
  <w:abstractNum w:abstractNumId="175">
    <w:nsid w:val="3A966CD0"/>
    <w:multiLevelType w:val="hybridMultilevel"/>
    <w:lvl w:ilvl="0">
      <w:lvlJc w:val="left"/>
      <w:lvlText w:val="%1."/>
      <w:numFmt w:val="upperLetter"/>
      <w:start w:val="1"/>
    </w:lvl>
  </w:abstractNum>
  <w:abstractNum w:abstractNumId="176">
    <w:nsid w:val="63F37E85"/>
    <w:multiLevelType w:val="hybridMultilevel"/>
    <w:lvl w:ilvl="0">
      <w:lvlJc w:val="left"/>
      <w:lvlText w:val="%1."/>
      <w:numFmt w:val="upperLetter"/>
      <w:start w:val="1"/>
    </w:lvl>
  </w:abstractNum>
  <w:abstractNum w:abstractNumId="177">
    <w:nsid w:val="5895F5FA"/>
    <w:multiLevelType w:val="hybridMultilevel"/>
    <w:lvl w:ilvl="0">
      <w:lvlJc w:val="left"/>
      <w:lvlText w:val="%1."/>
      <w:numFmt w:val="upperLetter"/>
      <w:start w:val="3"/>
    </w:lvl>
  </w:abstractNum>
  <w:abstractNum w:abstractNumId="178">
    <w:nsid w:val="38A5D054"/>
    <w:multiLevelType w:val="hybridMultilevel"/>
    <w:lvl w:ilvl="0">
      <w:lvlJc w:val="left"/>
      <w:lvlText w:val="%1."/>
      <w:numFmt w:val="upperLetter"/>
      <w:start w:val="1"/>
    </w:lvl>
  </w:abstractNum>
  <w:abstractNum w:abstractNumId="179">
    <w:nsid w:val="F3F09D8"/>
    <w:multiLevelType w:val="hybridMultilevel"/>
    <w:lvl w:ilvl="0">
      <w:lvlJc w:val="left"/>
      <w:lvlText w:val="%1."/>
      <w:numFmt w:val="upperLetter"/>
      <w:start w:val="1"/>
    </w:lvl>
  </w:abstractNum>
  <w:abstractNum w:abstractNumId="180">
    <w:nsid w:val="4B793735"/>
    <w:multiLevelType w:val="hybridMultilevel"/>
    <w:lvl w:ilvl="0">
      <w:lvlJc w:val="left"/>
      <w:lvlText w:val="%1."/>
      <w:numFmt w:val="upperLetter"/>
      <w:start w:val="2"/>
    </w:lvl>
  </w:abstractNum>
  <w:abstractNum w:abstractNumId="181">
    <w:nsid w:val="4A10B4E8"/>
    <w:multiLevelType w:val="hybridMultilevel"/>
    <w:lvl w:ilvl="0">
      <w:lvlJc w:val="left"/>
      <w:lvlText w:val="%1."/>
      <w:numFmt w:val="upperLetter"/>
      <w:start w:val="1"/>
    </w:lvl>
  </w:abstractNum>
  <w:abstractNum w:abstractNumId="182">
    <w:nsid w:val="43D3BCD4"/>
    <w:multiLevelType w:val="hybridMultilevel"/>
    <w:lvl w:ilvl="0">
      <w:lvlJc w:val="left"/>
      <w:lvlText w:val="%1."/>
      <w:numFmt w:val="upperLetter"/>
      <w:start w:val="3"/>
    </w:lvl>
  </w:abstractNum>
  <w:abstractNum w:abstractNumId="183">
    <w:nsid w:val="4C2A7166"/>
    <w:multiLevelType w:val="hybridMultilevel"/>
    <w:lvl w:ilvl="0">
      <w:lvlJc w:val="left"/>
      <w:lvlText w:val="%1."/>
      <w:numFmt w:val="upperLetter"/>
      <w:start w:val="1"/>
    </w:lvl>
    <w:lvl w:ilvl="1">
      <w:lvlJc w:val="left"/>
      <w:lvlText w:val="%2."/>
      <w:numFmt w:val="decimal"/>
      <w:start w:val="1"/>
    </w:lvl>
  </w:abstractNum>
  <w:abstractNum w:abstractNumId="184">
    <w:nsid w:val="2E534A82"/>
    <w:multiLevelType w:val="hybridMultilevel"/>
    <w:lvl w:ilvl="0">
      <w:lvlJc w:val="left"/>
      <w:lvlText w:val="%1."/>
      <w:numFmt w:val="decimal"/>
      <w:start w:val="3"/>
    </w:lvl>
    <w:lvl w:ilvl="1">
      <w:lvlJc w:val="left"/>
      <w:lvlText w:val="(%2)"/>
      <w:numFmt w:val="lowerRoman"/>
      <w:start w:val="1"/>
    </w:lvl>
  </w:abstractNum>
  <w:abstractNum w:abstractNumId="185">
    <w:nsid w:val="26F2D364"/>
    <w:multiLevelType w:val="hybridMultilevel"/>
    <w:lvl w:ilvl="0">
      <w:lvlJc w:val="left"/>
      <w:lvlText w:val="%1"/>
      <w:numFmt w:val="decimal"/>
      <w:start w:val="1"/>
    </w:lvl>
    <w:lvl w:ilvl="1">
      <w:lvlJc w:val="left"/>
      <w:lvlText w:val="(%2)"/>
      <w:numFmt w:val="lowerRoman"/>
      <w:start w:val="3"/>
    </w:lvl>
  </w:abstractNum>
  <w:abstractNum w:abstractNumId="186">
    <w:nsid w:val="71C1AF98"/>
    <w:multiLevelType w:val="hybridMultilevel"/>
    <w:lvl w:ilvl="0">
      <w:lvlJc w:val="left"/>
      <w:lvlText w:val="%1."/>
      <w:numFmt w:val="decimal"/>
      <w:start w:val="6"/>
    </w:lvl>
    <w:lvl w:ilvl="1">
      <w:lvlJc w:val="left"/>
      <w:lvlText w:val="%2"/>
      <w:numFmt w:val="lowerRoman"/>
      <w:start w:val="1"/>
    </w:lvl>
  </w:abstractNum>
  <w:abstractNum w:abstractNumId="187">
    <w:nsid w:val="3D00B9D9"/>
    <w:multiLevelType w:val="hybridMultilevel"/>
    <w:lvl w:ilvl="0">
      <w:lvlJc w:val="left"/>
      <w:lvlText w:val="%1."/>
      <w:numFmt w:val="decimal"/>
      <w:start w:val="7"/>
    </w:lvl>
    <w:lvl w:ilvl="1">
      <w:lvlJc w:val="left"/>
      <w:lvlText w:val="(%2)"/>
      <w:numFmt w:val="lowerRoman"/>
      <w:start w:val="1"/>
    </w:lvl>
  </w:abstractNum>
  <w:abstractNum w:abstractNumId="188">
    <w:nsid w:val="15BCABA8"/>
    <w:multiLevelType w:val="hybridMultilevel"/>
    <w:lvl w:ilvl="0">
      <w:lvlJc w:val="left"/>
      <w:lvlText w:val="%1."/>
      <w:numFmt w:val="decimal"/>
      <w:start w:val="9"/>
    </w:lvl>
  </w:abstractNum>
  <w:abstractNum w:abstractNumId="189">
    <w:nsid w:val="4E0B9A87"/>
    <w:multiLevelType w:val="hybridMultilevel"/>
    <w:lvl w:ilvl="0">
      <w:lvlJc w:val="left"/>
      <w:lvlText w:val="%1."/>
      <w:numFmt w:val="upperLetter"/>
      <w:start w:val="1"/>
    </w:lvl>
  </w:abstractNum>
  <w:abstractNum w:abstractNumId="190">
    <w:nsid w:val="434BAE75"/>
    <w:multiLevelType w:val="hybridMultilevel"/>
    <w:lvl w:ilvl="0">
      <w:lvlJc w:val="left"/>
      <w:lvlText w:val="(%1)"/>
      <w:numFmt w:val="upperLetter"/>
      <w:start w:val="1"/>
    </w:lvl>
  </w:abstractNum>
  <w:abstractNum w:abstractNumId="191">
    <w:nsid w:val="4F38F265"/>
    <w:multiLevelType w:val="hybridMultilevel"/>
    <w:lvl w:ilvl="0">
      <w:lvlJc w:val="left"/>
      <w:lvlText w:val="(%1)"/>
      <w:numFmt w:val="decimal"/>
      <w:start w:val="1"/>
    </w:lvl>
  </w:abstractNum>
  <w:abstractNum w:abstractNumId="192">
    <w:nsid w:val="4C502870"/>
    <w:multiLevelType w:val="hybridMultilevel"/>
    <w:lvl w:ilvl="0">
      <w:lvlJc w:val="left"/>
      <w:lvlText w:val="(%1)"/>
      <w:numFmt w:val="decimal"/>
      <w:start w:val="3"/>
    </w:lvl>
  </w:abstractNum>
  <w:abstractNum w:abstractNumId="193">
    <w:nsid w:val="1DE8725A"/>
    <w:multiLevelType w:val="hybridMultilevel"/>
    <w:lvl w:ilvl="0">
      <w:lvlJc w:val="left"/>
      <w:lvlText w:val="(%1)"/>
      <w:numFmt w:val="upperLetter"/>
      <w:start w:val="2"/>
    </w:lvl>
  </w:abstractNum>
  <w:abstractNum w:abstractNumId="194">
    <w:nsid w:val="6A37288A"/>
    <w:multiLevelType w:val="hybridMultilevel"/>
    <w:lvl w:ilvl="0">
      <w:lvlJc w:val="left"/>
      <w:lvlText w:val="%1"/>
      <w:numFmt w:val="lowerLetter"/>
      <w:start w:val="1"/>
    </w:lvl>
    <w:lvl w:ilvl="1">
      <w:lvlJc w:val="left"/>
      <w:lvlText w:val="(%2)"/>
      <w:numFmt w:val="upperLetter"/>
      <w:start w:val="3"/>
    </w:lvl>
  </w:abstractNum>
  <w:abstractNum w:abstractNumId="195">
    <w:nsid w:val="8F8B73F"/>
    <w:multiLevelType w:val="hybridMultilevel"/>
    <w:lvl w:ilvl="0">
      <w:lvlJc w:val="left"/>
      <w:lvlText w:val="(%1)"/>
      <w:numFmt w:val="lowerLetter"/>
      <w:start w:val="2"/>
    </w:lvl>
    <w:lvl w:ilvl="1">
      <w:lvlJc w:val="left"/>
      <w:lvlText w:val="%2"/>
      <w:numFmt w:val="upperLetter"/>
      <w:start w:val="1"/>
    </w:lvl>
  </w:abstractNum>
  <w:abstractNum w:abstractNumId="196">
    <w:nsid w:val="CA6B462"/>
    <w:multiLevelType w:val="hybridMultilevel"/>
    <w:lvl w:ilvl="0">
      <w:lvlJc w:val="left"/>
      <w:lvlText w:val="(%1)"/>
      <w:numFmt w:val="decimal"/>
      <w:start w:val="2"/>
    </w:lvl>
  </w:abstractNum>
  <w:abstractNum w:abstractNumId="197">
    <w:nsid w:val="763CB680"/>
    <w:multiLevelType w:val="hybridMultilevel"/>
    <w:lvl w:ilvl="0">
      <w:lvlJc w:val="left"/>
      <w:lvlText w:val="(%1)"/>
      <w:numFmt w:val="upperLetter"/>
      <w:start w:val="1"/>
    </w:lvl>
  </w:abstractNum>
  <w:abstractNum w:abstractNumId="198">
    <w:nsid w:val="15B71329"/>
    <w:multiLevelType w:val="hybridMultilevel"/>
    <w:lvl w:ilvl="0">
      <w:lvlJc w:val="left"/>
      <w:lvlText w:val="(%1)"/>
      <w:numFmt w:val="decimal"/>
      <w:start w:val="1"/>
    </w:lvl>
  </w:abstractNum>
  <w:abstractNum w:abstractNumId="199">
    <w:nsid w:val="3DA97044"/>
    <w:multiLevelType w:val="hybridMultilevel"/>
    <w:lvl w:ilvl="0">
      <w:lvlJc w:val="left"/>
      <w:lvlText w:val="(%1)"/>
      <w:numFmt w:val="decimal"/>
      <w:start w:val="10"/>
    </w:lvl>
  </w:abstractNum>
  <w:abstractNum w:abstractNumId="200">
    <w:nsid w:val="1CDCE2DE"/>
    <w:multiLevelType w:val="hybridMultilevel"/>
    <w:lvl w:ilvl="0">
      <w:lvlJc w:val="left"/>
      <w:lvlText w:val="(%1)"/>
      <w:numFmt w:val="upperLetter"/>
      <w:start w:val="1"/>
    </w:lvl>
  </w:abstractNum>
  <w:abstractNum w:abstractNumId="201">
    <w:nsid w:val="69D3947C"/>
    <w:multiLevelType w:val="hybridMultilevel"/>
    <w:lvl w:ilvl="0">
      <w:lvlJc w:val="left"/>
      <w:lvlText w:val="(%1)"/>
      <w:numFmt w:val="upperLetter"/>
      <w:start w:val="1"/>
    </w:lvl>
  </w:abstractNum>
  <w:abstractNum w:abstractNumId="202">
    <w:nsid w:val="2539DFA5"/>
    <w:multiLevelType w:val="hybridMultilevel"/>
    <w:lvl w:ilvl="0">
      <w:lvlJc w:val="left"/>
      <w:lvlText w:val="(%1)"/>
      <w:numFmt w:val="decimal"/>
      <w:start w:val="1"/>
    </w:lvl>
  </w:abstractNum>
  <w:abstractNum w:abstractNumId="203">
    <w:nsid w:val="2DB88089"/>
    <w:multiLevelType w:val="hybridMultilevel"/>
    <w:lvl w:ilvl="0">
      <w:lvlJc w:val="left"/>
      <w:lvlText w:val="%1"/>
      <w:numFmt w:val="lowerLetter"/>
      <w:start w:val="1"/>
    </w:lvl>
    <w:lvl w:ilvl="1">
      <w:lvlJc w:val="left"/>
      <w:lvlText w:val="(%2)"/>
      <w:numFmt w:val="lowerLetter"/>
      <w:start w:val="1"/>
    </w:lvl>
  </w:abstractNum>
  <w:abstractNum w:abstractNumId="204">
    <w:nsid w:val="706B674E"/>
    <w:multiLevelType w:val="hybridMultilevel"/>
    <w:lvl w:ilvl="0">
      <w:lvlJc w:val="left"/>
      <w:lvlText w:val="(%1)"/>
      <w:numFmt w:val="lowerLetter"/>
      <w:start w:val="22"/>
    </w:lvl>
    <w:lvl w:ilvl="1">
      <w:lvlJc w:val="left"/>
      <w:lvlText w:val="%2"/>
      <w:numFmt w:val="lowerLetter"/>
      <w:start w:val="1"/>
    </w:lvl>
  </w:abstractNum>
  <w:abstractNum w:abstractNumId="205">
    <w:nsid w:val="2C106A57"/>
    <w:multiLevelType w:val="hybridMultilevel"/>
    <w:lvl w:ilvl="0">
      <w:lvlJc w:val="left"/>
      <w:lvlText w:val="(%1)"/>
      <w:numFmt w:val="lowerLetter"/>
      <w:start w:val="3"/>
    </w:lvl>
  </w:abstractNum>
  <w:abstractNum w:abstractNumId="206">
    <w:nsid w:val="684EED59"/>
    <w:multiLevelType w:val="hybridMultilevel"/>
    <w:lvl w:ilvl="0">
      <w:lvlJc w:val="left"/>
      <w:lvlText w:val="(%1)"/>
      <w:numFmt w:val="lowerLetter"/>
      <w:start w:val="8"/>
    </w:lvl>
  </w:abstractNum>
  <w:abstractNum w:abstractNumId="207">
    <w:nsid w:val="545EE5D3"/>
    <w:multiLevelType w:val="hybridMultilevel"/>
    <w:lvl w:ilvl="0">
      <w:lvlJc w:val="left"/>
      <w:lvlText w:val="(%1)"/>
      <w:numFmt w:val="lowerLetter"/>
      <w:start w:val="1"/>
    </w:lvl>
  </w:abstractNum>
  <w:abstractNum w:abstractNumId="208">
    <w:nsid w:val="4A66051"/>
    <w:multiLevelType w:val="hybridMultilevel"/>
    <w:lvl w:ilvl="0">
      <w:lvlJc w:val="left"/>
      <w:lvlText w:val="(%1)"/>
      <w:numFmt w:val="lowerLetter"/>
      <w:start w:val="2"/>
    </w:lvl>
  </w:abstractNum>
  <w:abstractNum w:abstractNumId="209">
    <w:nsid w:val="20F4BDAD"/>
    <w:multiLevelType w:val="hybridMultilevel"/>
    <w:lvl w:ilvl="0">
      <w:lvlJc w:val="left"/>
      <w:lvlText w:val="(%1)"/>
      <w:numFmt w:val="lowerLetter"/>
      <w:start w:val="1"/>
    </w:lvl>
    <w:lvl w:ilvl="1">
      <w:lvlJc w:val="left"/>
      <w:lvlText w:val="(%2)"/>
      <w:numFmt w:val="lowerRoman"/>
      <w:start w:val="1"/>
    </w:lvl>
  </w:abstractNum>
  <w:abstractNum w:abstractNumId="210">
    <w:nsid w:val="639DEFAC"/>
    <w:multiLevelType w:val="hybridMultilevel"/>
    <w:lvl w:ilvl="0">
      <w:lvlJc w:val="left"/>
      <w:lvlText w:val="(%1)"/>
      <w:numFmt w:val="lowerRoman"/>
      <w:start w:val="2"/>
    </w:lvl>
  </w:abstractNum>
  <w:abstractNum w:abstractNumId="211">
    <w:nsid w:val="501F9786"/>
    <w:multiLevelType w:val="hybridMultilevel"/>
    <w:lvl w:ilvl="0">
      <w:lvlJc w:val="left"/>
      <w:lvlText w:val="(%1)"/>
      <w:numFmt w:val="lowerLetter"/>
      <w:start w:val="1"/>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lowerLetter"/>
      <w:start w:val="2"/>
    </w:lvl>
    <w:lvl w:ilvl="1">
      <w:lvlJc w:val="left"/>
      <w:lvlText w:val="(%2)"/>
      <w:numFmt w:val="lowerRoman"/>
      <w:start w:val="1"/>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lowerLetter"/>
      <w:start w:val="2"/>
    </w:lvl>
  </w:abstractNum>
  <w:abstractNum w:abstractNumId="216">
    <w:nsid w:val="4E647FE4"/>
    <w:multiLevelType w:val="hybridMultilevel"/>
    <w:lvl w:ilvl="0">
      <w:lvlJc w:val="left"/>
      <w:lvlText w:val="(%1)"/>
      <w:numFmt w:val="lowerRoman"/>
      <w:start w:val="1"/>
    </w:lvl>
  </w:abstractNum>
  <w:abstractNum w:abstractNumId="217">
    <w:nsid w:val="E0BB885"/>
    <w:multiLevelType w:val="hybridMultilevel"/>
    <w:lvl w:ilvl="0">
      <w:lvlJc w:val="left"/>
      <w:lvlText w:val="(%1)"/>
      <w:numFmt w:val="lowerRoman"/>
      <w:start w:val="2"/>
    </w:lvl>
  </w:abstractNum>
  <w:abstractNum w:abstractNumId="218">
    <w:nsid w:val="565976F1"/>
    <w:multiLevelType w:val="hybridMultilevel"/>
    <w:lvl w:ilvl="0">
      <w:lvlJc w:val="left"/>
      <w:lvlText w:val="(%1)"/>
      <w:numFmt w:val="lowerLetter"/>
      <w:start w:val="1"/>
    </w:lvl>
  </w:abstractNum>
  <w:abstractNum w:abstractNumId="219">
    <w:nsid w:val="64212B8C"/>
    <w:multiLevelType w:val="hybridMultilevel"/>
    <w:lvl w:ilvl="0">
      <w:lvlJc w:val="left"/>
      <w:lvlText w:val="(%1)"/>
      <w:numFmt w:val="lowerLetter"/>
      <w:start w:val="2"/>
    </w:lvl>
  </w:abstractNum>
  <w:abstractNum w:abstractNumId="220">
    <w:nsid w:val="5C17530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8"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311" Type="http://schemas.openxmlformats.org/officeDocument/2006/relationships/hyperlink" Target="http://www.sec.gov/Archives/edgar/data/1710155/000156761917002082/s001582x7_ex4-2.htm" TargetMode="External"/><Relationship Id="rId312" Type="http://schemas.openxmlformats.org/officeDocument/2006/relationships/hyperlink" Target="http://www.sec.gov/Archives/edgar/data/1710155/000156761917002082/s001582x7_ex10-3.htm" TargetMode="External"/><Relationship Id="rId313" Type="http://schemas.openxmlformats.org/officeDocument/2006/relationships/hyperlink" Target="http://www.sec.gov/Archives/edgar/data/1710155/000156761917002082/s001582x7_ex10-4.htm" TargetMode="External"/><Relationship Id="rId314" Type="http://schemas.openxmlformats.org/officeDocument/2006/relationships/hyperlink" Target="http://www.sec.gov/Archives/edgar/data/1710155/000156761917002082/s001582x7_ex10-5.htm" TargetMode="External"/><Relationship Id="rId315" Type="http://schemas.openxmlformats.org/officeDocument/2006/relationships/hyperlink" Target="http://www.sec.gov/Archives/edgar/data/1710155/000156761917002082/s001582x7_ex10-6.htm" TargetMode="External"/><Relationship Id="rId316" Type="http://schemas.openxmlformats.org/officeDocument/2006/relationships/hyperlink" Target="http://www.sec.gov/Archives/edgar/data/1710155/000156761917002082/s001582x7_ex10-7.htm" TargetMode="External"/><Relationship Id="rId317" Type="http://schemas.openxmlformats.org/officeDocument/2006/relationships/hyperlink" Target="http://www.sec.gov/Archives/edgar/data/1710155/000156761917002082/s001582x7_ex10-8.htm" TargetMode="External"/><Relationship Id="rId319" Type="http://schemas.openxmlformats.org/officeDocument/2006/relationships/hyperlink" Target="http://www.sec.gov/Archives/edgar/data/1710155/000156761917002082/s001582x7_ex10-9.htm" TargetMode="External"/><Relationship Id="rId320" Type="http://schemas.openxmlformats.org/officeDocument/2006/relationships/hyperlink" Target="http://www.sec.gov/Archives/edgar/data/1710155/000156761917002082/s001582x7_ex10-10.htm" TargetMode="External"/><Relationship Id="rId321" Type="http://schemas.openxmlformats.org/officeDocument/2006/relationships/hyperlink" Target="http://www.sec.gov/Archives/edgar/data/1710155/000156761917002082/s001582x7_ex10-11.htm" TargetMode="External"/><Relationship Id="rId322" Type="http://schemas.openxmlformats.org/officeDocument/2006/relationships/hyperlink" Target="http://www.sec.gov/Archives/edgar/data/1710155/000156761917002082/s001582x7_ex10-12.htm" TargetMode="External"/><Relationship Id="rId323" Type="http://schemas.openxmlformats.org/officeDocument/2006/relationships/hyperlink" Target="http://www.sec.gov/Archives/edgar/data/1710155/000156761917002082/s001582x7_ex10-13.htm" TargetMode="External"/><Relationship Id="rId324" Type="http://schemas.openxmlformats.org/officeDocument/2006/relationships/hyperlink" Target="http://www.sec.gov/Archives/edgar/data/1710155/000156761917002082/s001582x7_ex10-16.htm" TargetMode="External"/><Relationship Id="rId325" Type="http://schemas.openxmlformats.org/officeDocument/2006/relationships/hyperlink" Target="http://www.sec.gov/Archives/edgar/data/1710155/000156761917002082/s001582x7_ex10-17.htm" TargetMode="External"/><Relationship Id="rId326" Type="http://schemas.openxmlformats.org/officeDocument/2006/relationships/hyperlink" Target="http://www.sec.gov/Archives/edgar/data/1710155/000156761917002082/s001582x7_ex10-18.htm" TargetMode="External"/><Relationship Id="rId327" Type="http://schemas.openxmlformats.org/officeDocument/2006/relationships/hyperlink" Target="http://www.sec.gov/Archives/edgar/data/1710155/000156761917002082/s001582x7_ex10-19.htm" TargetMode="External"/><Relationship Id="rId328" Type="http://schemas.openxmlformats.org/officeDocument/2006/relationships/hyperlink" Target="http://www.sec.gov/Archives/edgar/data/1710155/000156761917002082/s001582x7_ex10-20.htm" TargetMode="External"/><Relationship Id="rId329" Type="http://schemas.openxmlformats.org/officeDocument/2006/relationships/hyperlink" Target="http://www.sec.gov/Archives/edgar/data/1710155/000156761917002082/s001582x7_ex10-21.htm" TargetMode="External"/><Relationship Id="rId330" Type="http://schemas.openxmlformats.org/officeDocument/2006/relationships/hyperlink" Target="http://www.sec.gov/Archives/edgar/data/1710155/000156761917002082/s001582x7_ex10-22.htm" TargetMode="External"/><Relationship Id="rId331" Type="http://schemas.openxmlformats.org/officeDocument/2006/relationships/hyperlink" Target="http://www.sec.gov/Archives/edgar/data/1710155/000156761917002082/s001582x7_ex10-23.htm" TargetMode="External"/><Relationship Id="rId332" Type="http://schemas.openxmlformats.org/officeDocument/2006/relationships/hyperlink" Target="http://www.sec.gov/Archives/edgar/data/1710155/000156761917002082/s001582x7_ex10-24.htm" TargetMode="External"/><Relationship Id="rId333" Type="http://schemas.openxmlformats.org/officeDocument/2006/relationships/hyperlink" Target="http://www.sec.gov/Archives/edgar/data/1710155/000156761917002082/s001582x7_ex10-25.htm" TargetMode="External"/><Relationship Id="rId334" Type="http://schemas.openxmlformats.org/officeDocument/2006/relationships/hyperlink" Target="http://www.sec.gov/Archives/edgar/data/1710155/000156761917002082/s001582x7_ex10-26.htm" TargetMode="External"/><Relationship Id="rId335" Type="http://schemas.openxmlformats.org/officeDocument/2006/relationships/hyperlink" Target="http://www.sec.gov/Archives/edgar/data/1710155/000156761917002082/s001582x7_ex10-27.htm" TargetMode="External"/><Relationship Id="rId336" Type="http://schemas.openxmlformats.org/officeDocument/2006/relationships/hyperlink" Target="http://www.sec.gov/Archives/edgar/data/1710155/000156761917002082/s001582x7_ex10-28.htm" TargetMode="External"/><Relationship Id="rId337" Type="http://schemas.openxmlformats.org/officeDocument/2006/relationships/hyperlink" Target="http://www.sec.gov/Archives/edgar/data/1710155/000156761917002082/s001582x7_ex10-29.htm" TargetMode="External"/><Relationship Id="rId338" Type="http://schemas.openxmlformats.org/officeDocument/2006/relationships/hyperlink" Target="http://www.sec.gov/Archives/edgar/data/1710155/000156761917002082/s001582x7_ex10-30.htm" TargetMode="External"/><Relationship Id="rId339" Type="http://schemas.openxmlformats.org/officeDocument/2006/relationships/hyperlink" Target="http://www.sec.gov/Archives/edgar/data/1710155/000156761917002082/s001582x7_ex10-31.htm" TargetMode="External"/><Relationship Id="rId340" Type="http://schemas.openxmlformats.org/officeDocument/2006/relationships/hyperlink" Target="http://www.sec.gov/Archives/edgar/data/1710155/000156761917002082/s001582x7_ex10-32.htm" TargetMode="External"/><Relationship Id="rId341" Type="http://schemas.openxmlformats.org/officeDocument/2006/relationships/hyperlink" Target="http://www.sec.gov/Archives/edgar/data/1710155/000156761917002082/s001582x7_ex10-33.htm" TargetMode="External"/><Relationship Id="rId342" Type="http://schemas.openxmlformats.org/officeDocument/2006/relationships/hyperlink" Target="http://www.sec.gov/Archives/edgar/data/1710155/000156761917002082/s001582x7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2019-12-08T09:25:30Z</dcterms:created>
  <dcterms:modified xsi:type="dcterms:W3CDTF">2019-12-08T09:25:30Z</dcterms:modified>
</cp:coreProperties>
</file>