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Acharya Ravi</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Technology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03/16/2022</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03/16/2022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896</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1,934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03/16/2022</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270</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Arial" w:cs="Arial" w:eastAsia="Arial" w:hAnsi="Arial"/>
                <w:sz w:val="17"/>
                <w:szCs w:val="17"/>
                <w:color w:val="0000FF"/>
              </w:rPr>
              <w:t>1,664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896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03/16/2022</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896</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8,409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5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16, 2022, 896 restricted stock units vested and 270 shares of the Company's common stock were withheld to satisfy tax withholding obligations. The closing price on March 16, 2022 of the Company's common stock on NASDAQ was $42.88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16, 2020, the reporting person was granted 2,689 restricted stock units, vesting in three equal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03/18/2022</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491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2022-03-18T15:39:26Z</dcterms:created>
  <dcterms:modified xsi:type="dcterms:W3CDTF">2022-03-18T15:39:26Z</dcterms:modified>
</cp:coreProperties>
</file>