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7</w:t>
      </w:r>
    </w:p>
    <w:p>
      <w:pPr>
        <w:sectPr>
          <w:pgSz w:w="11900" w:h="16838" w:orient="portrait"/>
          <w:cols w:equalWidth="0" w:num="1">
            <w:col w:w="9739"/>
          </w:cols>
          <w:pgMar w:left="720" w:top="714" w:right="1440" w:bottom="1440" w:gutter="0" w:footer="0" w:header="0"/>
        </w:sectPr>
      </w:pPr>
    </w:p>
    <w:p>
      <w:pPr>
        <w:spacing w:after="0" w:line="255"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8"/>
          <w:szCs w:val="18"/>
          <w:color w:val="auto"/>
        </w:rPr>
        <w:t>UNITED STATES</w:t>
      </w:r>
    </w:p>
    <w:p>
      <w:pPr>
        <w:spacing w:after="0" w:line="44" w:lineRule="exact"/>
        <w:rPr>
          <w:sz w:val="24"/>
          <w:szCs w:val="24"/>
          <w:color w:val="auto"/>
        </w:rPr>
      </w:pPr>
    </w:p>
    <w:p>
      <w:pPr>
        <w:jc w:val="center"/>
        <w:ind w:right="7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Washington, D.C. 20549</w:t>
      </w:r>
    </w:p>
    <w:p>
      <w:pPr>
        <w:spacing w:after="0" w:line="22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55" w:lineRule="exact"/>
        <w:rPr>
          <w:sz w:val="24"/>
          <w:szCs w:val="24"/>
          <w:color w:val="auto"/>
        </w:rPr>
      </w:pPr>
    </w:p>
    <w:p>
      <w:pPr>
        <w:jc w:val="center"/>
        <w:ind w:right="6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44"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(Amendment No. 2)*</w:t>
      </w:r>
    </w:p>
    <w:p>
      <w:pPr>
        <w:spacing w:after="0" w:line="223" w:lineRule="exact"/>
        <w:rPr>
          <w:sz w:val="24"/>
          <w:szCs w:val="24"/>
          <w:color w:val="auto"/>
        </w:rPr>
      </w:pPr>
    </w:p>
    <w:p>
      <w:pPr>
        <w:jc w:val="center"/>
        <w:ind w:right="759"/>
        <w:spacing w:after="0"/>
        <w:rPr>
          <w:sz w:val="20"/>
          <w:szCs w:val="20"/>
          <w:color w:val="auto"/>
        </w:rPr>
      </w:pPr>
      <w:r>
        <w:rPr>
          <w:rFonts w:ascii="Courier New" w:cs="Courier New" w:eastAsia="Courier New" w:hAnsi="Courier New"/>
          <w:sz w:val="18"/>
          <w:szCs w:val="18"/>
          <w:color w:val="auto"/>
        </w:rPr>
        <w:t>National Vision Holdings, Inc.</w:t>
      </w:r>
    </w:p>
    <w:p>
      <w:pPr>
        <w:spacing w:after="0" w:line="44"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(Name of Issuer)</w:t>
      </w:r>
    </w:p>
    <w:p>
      <w:pPr>
        <w:spacing w:after="0" w:line="223" w:lineRule="exact"/>
        <w:rPr>
          <w:sz w:val="24"/>
          <w:szCs w:val="24"/>
          <w:color w:val="auto"/>
        </w:rPr>
      </w:pPr>
    </w:p>
    <w:p>
      <w:pPr>
        <w:jc w:val="center"/>
        <w:ind w:right="699"/>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4" w:lineRule="exact"/>
        <w:rPr>
          <w:sz w:val="24"/>
          <w:szCs w:val="24"/>
          <w:color w:val="auto"/>
        </w:rPr>
      </w:pPr>
    </w:p>
    <w:p>
      <w:pPr>
        <w:jc w:val="center"/>
        <w:ind w:right="759"/>
        <w:spacing w:after="0"/>
        <w:rPr>
          <w:sz w:val="20"/>
          <w:szCs w:val="20"/>
          <w:color w:val="auto"/>
        </w:rPr>
      </w:pPr>
      <w:r>
        <w:rPr>
          <w:rFonts w:ascii="Courier New" w:cs="Courier New" w:eastAsia="Courier New" w:hAnsi="Courier New"/>
          <w:sz w:val="18"/>
          <w:szCs w:val="18"/>
          <w:color w:val="auto"/>
        </w:rPr>
        <w:t>(Title of Class of Securities)</w:t>
      </w:r>
    </w:p>
    <w:p>
      <w:pPr>
        <w:spacing w:after="0" w:line="223"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63845R107</w:t>
      </w:r>
    </w:p>
    <w:p>
      <w:pPr>
        <w:spacing w:after="0" w:line="44"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8"/>
          <w:szCs w:val="18"/>
          <w:color w:val="auto"/>
        </w:rPr>
        <w:t>(CUSIP Number)</w:t>
      </w:r>
    </w:p>
    <w:p>
      <w:pPr>
        <w:spacing w:after="0" w:line="223"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December 31, 2023</w:t>
      </w:r>
    </w:p>
    <w:p>
      <w:pPr>
        <w:spacing w:after="0" w:line="44" w:lineRule="exact"/>
        <w:rPr>
          <w:sz w:val="24"/>
          <w:szCs w:val="24"/>
          <w:color w:val="auto"/>
        </w:rPr>
      </w:pPr>
    </w:p>
    <w:p>
      <w:pPr>
        <w:jc w:val="center"/>
        <w:ind w:right="6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23" w:lineRule="exact"/>
        <w:rPr>
          <w:sz w:val="24"/>
          <w:szCs w:val="24"/>
          <w:color w:val="auto"/>
        </w:rPr>
      </w:pPr>
    </w:p>
    <w:p>
      <w:pPr>
        <w:ind w:left="100" w:right="999"/>
        <w:spacing w:after="0" w:line="371"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5" w:lineRule="exact"/>
        <w:rPr>
          <w:sz w:val="24"/>
          <w:szCs w:val="24"/>
          <w:color w:val="auto"/>
        </w:rPr>
      </w:pPr>
    </w:p>
    <w:p>
      <w:pPr>
        <w:jc w:val="both"/>
        <w:ind w:left="100" w:right="7879" w:firstLine="8"/>
        <w:spacing w:after="0" w:line="258" w:lineRule="exact"/>
        <w:tabs>
          <w:tab w:leader="none" w:pos="5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56" w:lineRule="exact"/>
        <w:rPr>
          <w:sz w:val="24"/>
          <w:szCs w:val="24"/>
          <w:color w:val="auto"/>
        </w:rPr>
      </w:pPr>
    </w:p>
    <w:p>
      <w:pPr>
        <w:ind w:left="100" w:right="1199"/>
        <w:spacing w:after="0" w:line="29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left="100" w:right="879"/>
        <w:spacing w:after="0" w:line="29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149860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714" w:right="1440" w:bottom="1440" w:gutter="0" w:footer="0" w:header="0"/>
          <w:type w:val="continuous"/>
        </w:sectPr>
      </w:pPr>
    </w:p>
    <w:bookmarkStart w:id="1" w:name="page2"/>
    <w:bookmarkEnd w:id="1"/>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7</w:t>
      </w:r>
    </w:p>
    <w:p>
      <w:pPr>
        <w:spacing w:after="0" w:line="255" w:lineRule="exact"/>
        <w:rPr>
          <w:sz w:val="20"/>
          <w:szCs w:val="20"/>
          <w:color w:val="auto"/>
        </w:rPr>
      </w:pPr>
    </w:p>
    <w:p>
      <w:pPr>
        <w:ind w:left="660" w:right="6139" w:hanging="552"/>
        <w:spacing w:after="0" w:line="572" w:lineRule="auto"/>
        <w:tabs>
          <w:tab w:leader="none" w:pos="63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LLC</w:t>
      </w: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(a)</w:t>
      </w:r>
    </w:p>
    <w:p>
      <w:pPr>
        <w:spacing w:after="0" w:line="44" w:lineRule="exact"/>
        <w:rPr>
          <w:sz w:val="20"/>
          <w:szCs w:val="20"/>
          <w:color w:val="auto"/>
        </w:rPr>
      </w:pPr>
    </w:p>
    <w:p>
      <w:pPr>
        <w:ind w:left="1080" w:hanging="422"/>
        <w:spacing w:after="0"/>
        <w:tabs>
          <w:tab w:leader="none" w:pos="10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23"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5" w:lineRule="exact"/>
        <w:rPr>
          <w:rFonts w:ascii="Courier New" w:cs="Courier New" w:eastAsia="Courier New" w:hAnsi="Courier New"/>
          <w:sz w:val="18"/>
          <w:szCs w:val="18"/>
          <w:color w:val="auto"/>
        </w:rPr>
      </w:pPr>
    </w:p>
    <w:p>
      <w:pPr>
        <w:ind w:left="660" w:right="5319" w:hanging="552"/>
        <w:spacing w:after="0" w:line="540" w:lineRule="auto"/>
        <w:tabs>
          <w:tab w:leader="none" w:pos="6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5" w:lineRule="exact"/>
        <w:rPr>
          <w:sz w:val="20"/>
          <w:szCs w:val="20"/>
          <w:color w:val="auto"/>
        </w:rPr>
      </w:pPr>
    </w:p>
    <w:p>
      <w:pPr>
        <w:ind w:left="1200" w:right="6759" w:hanging="542"/>
        <w:spacing w:after="0" w:line="572" w:lineRule="auto"/>
        <w:tabs>
          <w:tab w:leader="none" w:pos="1177"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559" w:hanging="542"/>
        <w:spacing w:after="0" w:line="540"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239" w:hanging="542"/>
        <w:spacing w:after="0" w:line="540"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6019" w:hanging="542"/>
        <w:spacing w:after="0" w:line="540" w:lineRule="auto"/>
        <w:tabs>
          <w:tab w:leader="none" w:pos="117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00" w:right="2779" w:hanging="492"/>
        <w:spacing w:after="0" w:line="540" w:lineRule="auto"/>
        <w:tabs>
          <w:tab w:leader="none" w:pos="6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4,329,234</w:t>
      </w:r>
    </w:p>
    <w:p>
      <w:pPr>
        <w:ind w:left="640" w:hanging="5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71" w:lineRule="exact"/>
        <w:rPr>
          <w:sz w:val="20"/>
          <w:szCs w:val="20"/>
          <w:color w:val="auto"/>
        </w:rPr>
      </w:pPr>
    </w:p>
    <w:p>
      <w:pPr>
        <w:ind w:left="660" w:right="3939" w:hanging="552"/>
        <w:spacing w:after="0" w:line="540" w:lineRule="auto"/>
        <w:tabs>
          <w:tab w:leader="none" w:pos="6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5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241300</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849" w:right="1440" w:bottom="1440" w:gutter="0" w:footer="0" w:header="0"/>
        </w:sectPr>
      </w:pPr>
    </w:p>
    <w:bookmarkStart w:id="2" w:name="page3"/>
    <w:bookmarkEnd w:id="2"/>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7</w:t>
      </w:r>
    </w:p>
    <w:p>
      <w:pPr>
        <w:sectPr>
          <w:pgSz w:w="11900" w:h="16838" w:orient="portrait"/>
          <w:cols w:equalWidth="0" w:num="1">
            <w:col w:w="9739"/>
          </w:cols>
          <w:pgMar w:left="720" w:top="1092" w:right="1440" w:bottom="1440" w:gutter="0" w:footer="0" w:header="0"/>
        </w:sectPr>
      </w:pP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w:t>
      </w:r>
    </w:p>
    <w:p>
      <w:pPr>
        <w:spacing w:after="0" w:line="255" w:lineRule="exact"/>
        <w:rPr>
          <w:sz w:val="20"/>
          <w:szCs w:val="20"/>
          <w:color w:val="auto"/>
        </w:rPr>
      </w:pPr>
    </w:p>
    <w:p>
      <w:pPr>
        <w:ind w:left="740" w:hanging="632"/>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4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National Vision Holdings, Inc.</w:t>
      </w:r>
    </w:p>
    <w:p>
      <w:pPr>
        <w:spacing w:after="0" w:line="223" w:lineRule="exact"/>
        <w:rPr>
          <w:sz w:val="20"/>
          <w:szCs w:val="20"/>
          <w:color w:val="auto"/>
        </w:rPr>
      </w:pPr>
    </w:p>
    <w:p>
      <w:pPr>
        <w:ind w:left="740" w:hanging="632"/>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2435 Commerce Ave</w:t>
      </w:r>
    </w:p>
    <w:p>
      <w:pPr>
        <w:spacing w:after="0" w:line="4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Building 2200</w:t>
      </w:r>
    </w:p>
    <w:p>
      <w:pPr>
        <w:spacing w:after="0" w:line="12"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Duluth, GA 30096-4980</w:t>
      </w: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2.</w:t>
      </w:r>
    </w:p>
    <w:p>
      <w:pPr>
        <w:spacing w:after="0" w:line="255" w:lineRule="exact"/>
        <w:rPr>
          <w:sz w:val="20"/>
          <w:szCs w:val="20"/>
          <w:color w:val="auto"/>
        </w:rPr>
      </w:pPr>
    </w:p>
    <w:p>
      <w:pPr>
        <w:ind w:left="700" w:right="6079" w:hanging="592"/>
        <w:spacing w:after="0" w:line="572" w:lineRule="auto"/>
        <w:tabs>
          <w:tab w:leader="none" w:pos="73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 Filing ClearBridge Investments, LLC</w:t>
      </w:r>
    </w:p>
    <w:p>
      <w:pPr>
        <w:ind w:left="740" w:hanging="632"/>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99"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620 8</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Ave.</w:t>
      </w:r>
    </w:p>
    <w:p>
      <w:pPr>
        <w:ind w:left="760"/>
        <w:spacing w:after="0"/>
        <w:rPr>
          <w:sz w:val="20"/>
          <w:szCs w:val="20"/>
          <w:color w:val="auto"/>
        </w:rPr>
      </w:pPr>
      <w:r>
        <w:rPr>
          <w:rFonts w:ascii="Courier New" w:cs="Courier New" w:eastAsia="Courier New" w:hAnsi="Courier New"/>
          <w:sz w:val="18"/>
          <w:szCs w:val="18"/>
          <w:color w:val="auto"/>
        </w:rPr>
        <w:t>New York, NY 10018</w:t>
      </w:r>
    </w:p>
    <w:p>
      <w:pPr>
        <w:spacing w:after="0" w:line="223" w:lineRule="exact"/>
        <w:rPr>
          <w:sz w:val="20"/>
          <w:szCs w:val="20"/>
          <w:color w:val="auto"/>
        </w:rPr>
      </w:pPr>
    </w:p>
    <w:p>
      <w:pPr>
        <w:ind w:left="700" w:right="7839" w:hanging="592"/>
        <w:spacing w:after="0" w:line="572" w:lineRule="auto"/>
        <w:tabs>
          <w:tab w:leader="none" w:pos="7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Delaware</w:t>
      </w:r>
    </w:p>
    <w:p>
      <w:pPr>
        <w:ind w:left="740" w:hanging="632"/>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55" w:lineRule="exact"/>
        <w:rPr>
          <w:sz w:val="20"/>
          <w:szCs w:val="20"/>
          <w:color w:val="auto"/>
        </w:rPr>
      </w:pPr>
    </w:p>
    <w:p>
      <w:pPr>
        <w:ind w:left="700" w:right="7739" w:hanging="592"/>
        <w:spacing w:after="0" w:line="710" w:lineRule="auto"/>
        <w:tabs>
          <w:tab w:leader="none" w:pos="7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-60960</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092" w:right="1440" w:bottom="1440" w:gutter="0" w:footer="0" w:header="0"/>
          <w:type w:val="continuous"/>
        </w:sectPr>
      </w:pPr>
    </w:p>
    <w:bookmarkStart w:id="3" w:name="page4"/>
    <w:bookmarkEnd w:id="3"/>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7</w:t>
      </w:r>
    </w:p>
    <w:p>
      <w:pPr>
        <w:spacing w:after="0" w:line="216" w:lineRule="exact"/>
        <w:rPr>
          <w:sz w:val="20"/>
          <w:szCs w:val="20"/>
          <w:color w:val="auto"/>
        </w:rPr>
      </w:pPr>
    </w:p>
    <w:p>
      <w:pPr>
        <w:ind w:left="900" w:right="759" w:hanging="799"/>
        <w:spacing w:after="0" w:line="252"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320" w:hanging="412"/>
        <w:spacing w:after="0"/>
        <w:tabs>
          <w:tab w:leader="none" w:pos="13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8o).</w:t>
      </w:r>
    </w:p>
    <w:p>
      <w:pPr>
        <w:spacing w:after="0" w:line="234" w:lineRule="exact"/>
        <w:rPr>
          <w:rFonts w:ascii="Courier New" w:cs="Courier New" w:eastAsia="Courier New" w:hAnsi="Courier New"/>
          <w:sz w:val="17"/>
          <w:szCs w:val="17"/>
          <w:color w:val="auto"/>
        </w:rPr>
      </w:pPr>
    </w:p>
    <w:p>
      <w:pPr>
        <w:ind w:left="1320" w:hanging="412"/>
        <w:spacing w:after="0"/>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55" w:lineRule="exact"/>
        <w:rPr>
          <w:rFonts w:ascii="Courier New" w:cs="Courier New" w:eastAsia="Courier New" w:hAnsi="Courier New"/>
          <w:sz w:val="18"/>
          <w:szCs w:val="18"/>
          <w:color w:val="auto"/>
        </w:rPr>
      </w:pPr>
    </w:p>
    <w:p>
      <w:pPr>
        <w:ind w:left="1800" w:right="499" w:hanging="892"/>
        <w:spacing w:after="0" w:line="371" w:lineRule="auto"/>
        <w:tabs>
          <w:tab w:leader="none" w:pos="13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1800" w:right="399" w:hanging="892"/>
        <w:spacing w:after="0" w:line="260" w:lineRule="exact"/>
        <w:tabs>
          <w:tab w:leader="none" w:pos="13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16"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89" w:lineRule="exact"/>
        <w:rPr>
          <w:rFonts w:ascii="Courier New" w:cs="Courier New" w:eastAsia="Courier New" w:hAnsi="Courier New"/>
          <w:sz w:val="18"/>
          <w:szCs w:val="18"/>
          <w:color w:val="auto"/>
        </w:rPr>
      </w:pPr>
    </w:p>
    <w:p>
      <w:pPr>
        <w:ind w:left="1320" w:hanging="412"/>
        <w:spacing w:after="0"/>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7" w:lineRule="exact"/>
        <w:rPr>
          <w:sz w:val="20"/>
          <w:szCs w:val="20"/>
          <w:color w:val="auto"/>
        </w:rPr>
      </w:pPr>
    </w:p>
    <w:p>
      <w:pPr>
        <w:ind w:left="18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35" w:lineRule="exact"/>
        <w:rPr>
          <w:sz w:val="20"/>
          <w:szCs w:val="20"/>
          <w:color w:val="auto"/>
        </w:rPr>
      </w:pPr>
    </w:p>
    <w:p>
      <w:pPr>
        <w:ind w:left="1800" w:right="1459" w:hanging="892"/>
        <w:spacing w:after="0" w:line="260" w:lineRule="exact"/>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55" w:lineRule="exact"/>
        <w:rPr>
          <w:rFonts w:ascii="Courier New" w:cs="Courier New" w:eastAsia="Courier New" w:hAnsi="Courier New"/>
          <w:sz w:val="18"/>
          <w:szCs w:val="18"/>
          <w:color w:val="auto"/>
        </w:rPr>
      </w:pPr>
    </w:p>
    <w:p>
      <w:pPr>
        <w:ind w:left="1800" w:right="1139" w:hanging="892"/>
        <w:spacing w:after="0" w:line="371" w:lineRule="auto"/>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800" w:right="759" w:hanging="892"/>
        <w:spacing w:after="0" w:line="245" w:lineRule="exact"/>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17"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250" w:lineRule="exact"/>
        <w:rPr>
          <w:sz w:val="20"/>
          <w:szCs w:val="20"/>
          <w:color w:val="auto"/>
        </w:rPr>
      </w:pPr>
    </w:p>
    <w:p>
      <w:pPr>
        <w:ind w:left="900" w:right="579"/>
        <w:spacing w:after="0" w:line="280"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5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4. Ownership</w:t>
      </w:r>
    </w:p>
    <w:p>
      <w:pPr>
        <w:spacing w:after="0" w:line="216" w:lineRule="exact"/>
        <w:rPr>
          <w:sz w:val="20"/>
          <w:szCs w:val="20"/>
          <w:color w:val="auto"/>
        </w:rPr>
      </w:pPr>
    </w:p>
    <w:p>
      <w:pPr>
        <w:ind w:left="100" w:right="219"/>
        <w:spacing w:after="0" w:line="21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ClearBridge Investments, LLC ("CIL"), an indirect wholly owned subsidiary of Franklin Resources, Inc. ("FRI"). When an investment management contract (including a sub</w:t>
      </w:r>
      <w:r>
        <w:rPr>
          <w:rFonts w:ascii="MS PGothic" w:cs="MS PGothic" w:eastAsia="MS PGothic" w:hAnsi="MS PGothic"/>
          <w:sz w:val="18"/>
          <w:szCs w:val="18"/>
          <w:color w:val="auto"/>
        </w:rPr>
        <w:t>‑</w:t>
      </w:r>
      <w:r>
        <w:rPr>
          <w:rFonts w:ascii="Courier New" w:cs="Courier New" w:eastAsia="Courier New" w:hAnsi="Courier New"/>
          <w:sz w:val="18"/>
          <w:szCs w:val="18"/>
          <w:color w:val="auto"/>
        </w:rPr>
        <w:t>advisory agreement) delegates to CIL investment discretion or voting power over the securities held in the investment advisory accounts that are subject to that agreement, FRI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3 under the Act, CIL may be deemed to be the beneficial owner of the securities reported in this Schedule 13G.</w:t>
      </w:r>
    </w:p>
    <w:p>
      <w:pPr>
        <w:spacing w:after="0" w:line="161" w:lineRule="exact"/>
        <w:rPr>
          <w:sz w:val="20"/>
          <w:szCs w:val="20"/>
          <w:color w:val="auto"/>
        </w:rPr>
      </w:pPr>
    </w:p>
    <w:p>
      <w:pPr>
        <w:ind w:left="100" w:right="359"/>
        <w:spacing w:after="0" w:line="218"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PGothic" w:cs="MS PGothic" w:eastAsia="MS PGothic" w:hAnsi="MS P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CIL are exercised independently from FRI (CIL’s parent holding company) and from all other investment management subsidiaries of FRI (FRI, its affiliates and investment management subsidiaries other than CIL are, collectively, “FRI affiliates”). Furthermore, internal policies and procedures of CIL and FRI affiliates establish informational barriers that prevent the flow between CIL and the FRI affiliates of information that relates to the voting and investment powers over the securities owned by their respective investment management clients. Consequently, CIL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27305</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092" w:right="1440" w:bottom="831" w:gutter="0" w:footer="0" w:header="0"/>
        </w:sectPr>
      </w:pPr>
    </w:p>
    <w:bookmarkStart w:id="4" w:name="page5"/>
    <w:bookmarkEnd w:id="4"/>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7</w:t>
      </w:r>
    </w:p>
    <w:p>
      <w:pPr>
        <w:spacing w:after="0" w:line="255" w:lineRule="exact"/>
        <w:rPr>
          <w:sz w:val="20"/>
          <w:szCs w:val="20"/>
          <w:color w:val="auto"/>
        </w:rPr>
      </w:pPr>
    </w:p>
    <w:p>
      <w:pPr>
        <w:ind w:left="100" w:right="159"/>
        <w:spacing w:after="0" w:line="271"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However, because CIL exercises voting and investment powers on behalf of its investment management clients independently of FRI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w:t>
      </w:r>
    </w:p>
    <w:p>
      <w:pPr>
        <w:spacing w:after="0" w:line="3" w:lineRule="exact"/>
        <w:rPr>
          <w:sz w:val="20"/>
          <w:szCs w:val="20"/>
          <w:color w:val="auto"/>
        </w:rPr>
      </w:pPr>
    </w:p>
    <w:p>
      <w:pPr>
        <w:ind w:left="100"/>
        <w:spacing w:after="0" w:line="209" w:lineRule="exact"/>
        <w:rPr>
          <w:sz w:val="20"/>
          <w:szCs w:val="20"/>
          <w:color w:val="auto"/>
        </w:rPr>
      </w:pPr>
      <w:r>
        <w:rPr>
          <w:rFonts w:ascii="Courier New" w:cs="Courier New" w:eastAsia="Courier New" w:hAnsi="Courier New"/>
          <w:sz w:val="18"/>
          <w:szCs w:val="18"/>
          <w:color w:val="auto"/>
        </w:rPr>
        <w:t>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such securities.</w:t>
      </w:r>
    </w:p>
    <w:p>
      <w:pPr>
        <w:spacing w:after="0" w:line="235" w:lineRule="exact"/>
        <w:rPr>
          <w:sz w:val="20"/>
          <w:szCs w:val="20"/>
          <w:color w:val="auto"/>
        </w:rPr>
      </w:pPr>
    </w:p>
    <w:p>
      <w:pPr>
        <w:ind w:left="100" w:right="499"/>
        <w:spacing w:after="0" w:line="231" w:lineRule="exact"/>
        <w:rPr>
          <w:sz w:val="20"/>
          <w:szCs w:val="20"/>
          <w:color w:val="auto"/>
        </w:rPr>
      </w:pPr>
      <w:r>
        <w:rPr>
          <w:rFonts w:ascii="Courier New" w:cs="Courier New" w:eastAsia="Courier New" w:hAnsi="Courier New"/>
          <w:sz w:val="18"/>
          <w:szCs w:val="18"/>
          <w:color w:val="auto"/>
        </w:rPr>
        <w:t>Furthermore, CIL believes that it is not a "group" with FRI affiliates, the Principal Shareholders, or their respective affiliates within the meaning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5 under the Act and that none of them is otherwise required to attribute to any other the beneficial ownership of the securities held by such person or by any persons or entities for whom or for which CIL or the FRI affiliates provide investment management services.</w:t>
      </w:r>
    </w:p>
    <w:p>
      <w:pPr>
        <w:spacing w:after="0" w:line="157" w:lineRule="exact"/>
        <w:rPr>
          <w:sz w:val="20"/>
          <w:szCs w:val="20"/>
          <w:color w:val="auto"/>
        </w:rPr>
      </w:pPr>
    </w:p>
    <w:p>
      <w:pPr>
        <w:ind w:left="1100" w:right="5839" w:hanging="792"/>
        <w:spacing w:after="0" w:line="540" w:lineRule="auto"/>
        <w:tabs>
          <w:tab w:leader="none" w:pos="11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4,329,234</w:t>
      </w:r>
    </w:p>
    <w:p>
      <w:pPr>
        <w:ind w:left="1160" w:hanging="852"/>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5.5%</w:t>
      </w:r>
    </w:p>
    <w:p>
      <w:pPr>
        <w:spacing w:after="0" w:line="255" w:lineRule="exact"/>
        <w:rPr>
          <w:sz w:val="20"/>
          <w:szCs w:val="20"/>
          <w:color w:val="auto"/>
        </w:rPr>
      </w:pPr>
    </w:p>
    <w:p>
      <w:pPr>
        <w:ind w:left="1160" w:hanging="852"/>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55" w:lineRule="exact"/>
        <w:rPr>
          <w:sz w:val="20"/>
          <w:szCs w:val="20"/>
          <w:color w:val="auto"/>
        </w:rPr>
      </w:pPr>
    </w:p>
    <w:p>
      <w:pPr>
        <w:ind w:left="1500" w:hanging="737"/>
        <w:spacing w:after="0"/>
        <w:tabs>
          <w:tab w:leader="none" w:pos="15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3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ClearBridge Investments, LLC:</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4,328,380</w:t>
            </w:r>
          </w:p>
        </w:tc>
      </w:tr>
    </w:tbl>
    <w:p>
      <w:pPr>
        <w:spacing w:after="0" w:line="155" w:lineRule="exact"/>
        <w:rPr>
          <w:sz w:val="20"/>
          <w:szCs w:val="20"/>
          <w:color w:val="auto"/>
        </w:rPr>
      </w:pPr>
    </w:p>
    <w:p>
      <w:pPr>
        <w:ind w:left="1400" w:right="3799" w:hanging="737"/>
        <w:spacing w:after="0" w:line="540" w:lineRule="auto"/>
        <w:tabs>
          <w:tab w:leader="none" w:pos="149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520" w:hanging="957"/>
        <w:spacing w:after="0"/>
        <w:tabs>
          <w:tab w:leader="none" w:pos="1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3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ClearBridge Investments, LLC:</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4,329,234</w:t>
            </w:r>
          </w:p>
        </w:tc>
      </w:tr>
    </w:tbl>
    <w:p>
      <w:pPr>
        <w:spacing w:after="0" w:line="155" w:lineRule="exact"/>
        <w:rPr>
          <w:sz w:val="20"/>
          <w:szCs w:val="20"/>
          <w:color w:val="auto"/>
        </w:rPr>
      </w:pPr>
    </w:p>
    <w:p>
      <w:pPr>
        <w:ind w:left="1400" w:right="2439" w:hanging="737"/>
        <w:spacing w:after="0" w:line="540" w:lineRule="auto"/>
        <w:tabs>
          <w:tab w:leader="none" w:pos="149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55" w:lineRule="exact"/>
        <w:rPr>
          <w:sz w:val="20"/>
          <w:szCs w:val="20"/>
          <w:color w:val="auto"/>
        </w:rPr>
      </w:pPr>
    </w:p>
    <w:p>
      <w:pPr>
        <w:ind w:left="900" w:right="619"/>
        <w:spacing w:after="0" w:line="31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9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55" w:lineRule="exact"/>
        <w:rPr>
          <w:sz w:val="20"/>
          <w:szCs w:val="20"/>
          <w:color w:val="auto"/>
        </w:rPr>
      </w:pPr>
    </w:p>
    <w:p>
      <w:pPr>
        <w:ind w:left="900" w:right="499"/>
        <w:spacing w:after="0" w:line="315" w:lineRule="auto"/>
        <w:rPr>
          <w:sz w:val="20"/>
          <w:szCs w:val="20"/>
          <w:color w:val="auto"/>
        </w:rPr>
      </w:pPr>
      <w:r>
        <w:rPr>
          <w:rFonts w:ascii="Courier New" w:cs="Courier New" w:eastAsia="Courier New" w:hAnsi="Courier New"/>
          <w:sz w:val="17"/>
          <w:szCs w:val="17"/>
          <w:color w:val="auto"/>
        </w:rPr>
        <w:t>The clients of ClearBridge Investments, LLC,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1271905</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849" w:right="1440" w:bottom="1440" w:gutter="0" w:footer="0" w:header="0"/>
        </w:sectPr>
      </w:pPr>
    </w:p>
    <w:bookmarkStart w:id="5" w:name="page6"/>
    <w:bookmarkEnd w:id="5"/>
    <w:p>
      <w:pPr>
        <w:spacing w:after="0"/>
        <w:tabs>
          <w:tab w:leader="none" w:pos="1140" w:val="left"/>
          <w:tab w:leader="none" w:pos="5040" w:val="left"/>
          <w:tab w:leader="none" w:pos="830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7</w:t>
      </w:r>
    </w:p>
    <w:p>
      <w:pPr>
        <w:sectPr>
          <w:pgSz w:w="11900" w:h="16838" w:orient="portrait"/>
          <w:cols w:equalWidth="0" w:num="1">
            <w:col w:w="10139"/>
          </w:cols>
          <w:pgMar w:left="320" w:top="835" w:right="1440" w:bottom="1440" w:gutter="0" w:footer="0" w:header="0"/>
        </w:sectPr>
      </w:pPr>
    </w:p>
    <w:p>
      <w:pPr>
        <w:spacing w:after="0" w:line="255" w:lineRule="exact"/>
        <w:rPr>
          <w:sz w:val="20"/>
          <w:szCs w:val="20"/>
          <w:color w:val="auto"/>
        </w:rPr>
      </w:pPr>
    </w:p>
    <w:p>
      <w:pPr>
        <w:ind w:left="1300" w:right="1419" w:hanging="799"/>
        <w:spacing w:after="0" w:line="371"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4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835" w:right="1440" w:bottom="1440" w:gutter="0" w:footer="0" w:header="0"/>
          <w:type w:val="continuous"/>
        </w:sectPr>
      </w:pPr>
    </w:p>
    <w:bookmarkStart w:id="6" w:name="page7"/>
    <w:bookmarkEnd w:id="6"/>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7</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55" w:lineRule="exact"/>
        <w:rPr>
          <w:sz w:val="20"/>
          <w:szCs w:val="20"/>
          <w:color w:val="auto"/>
        </w:rPr>
      </w:pPr>
    </w:p>
    <w:p>
      <w:pPr>
        <w:ind w:left="100" w:right="359"/>
        <w:spacing w:after="0" w:line="277"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or effect, other than activities solely in connection with a nomination under § 240.14a-11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100" w:right="459"/>
        <w:spacing w:after="0" w:line="371"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5"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February 2, 2024</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58"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/s/BRIAN R. MURPHY</w:t>
      </w:r>
    </w:p>
    <w:p>
      <w:pPr>
        <w:spacing w:after="0" w:line="27"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Brian R. Murphy</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Chief Compliance Officer of ClearBridge Investments, LLC</w:t>
      </w:r>
    </w:p>
    <w:sectPr>
      <w:pgSz w:w="11900" w:h="16838" w:orient="portrait"/>
      <w:cols w:equalWidth="0" w:num="1">
        <w:col w:w="9739"/>
      </w:cols>
      <w:pgMar w:left="720" w:top="10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lvl w:ilvl="1">
      <w:lvlJc w:val="left"/>
      <w:lvlText w:val="(%2)"/>
      <w:numFmt w:val="lowerLetter"/>
      <w:start w:val="2"/>
    </w:lvl>
  </w:abstractNum>
  <w:abstractNum w:abstractNumId="3">
    <w:nsid w:val="1190CDE7"/>
    <w:multiLevelType w:val="hybridMultilevel"/>
    <w:lvl w:ilvl="0">
      <w:lvlJc w:val="left"/>
      <w:lvlText w:val="%1."/>
      <w:numFmt w:val="decimal"/>
      <w:start w:val="3"/>
    </w:lvl>
    <w:lvl w:ilvl="1">
      <w:lvlJc w:val="left"/>
      <w:lvlText w:val="%2"/>
      <w:numFmt w:val="lowerLetter"/>
      <w:start w:val="1"/>
    </w:lvl>
  </w:abstractNum>
  <w:abstractNum w:abstractNumId="4">
    <w:nsid w:val="66EF438D"/>
    <w:multiLevelType w:val="hybridMultilevel"/>
    <w:lvl w:ilvl="0">
      <w:lvlJc w:val="left"/>
      <w:lvlText w:val="%1"/>
      <w:numFmt w:val="decimal"/>
      <w:start w:val="1"/>
    </w:lvl>
    <w:lvl w:ilvl="1">
      <w:lvlJc w:val="left"/>
      <w:lvlText w:val="%2."/>
      <w:numFmt w:val="decimal"/>
      <w:start w:val="5"/>
    </w:lvl>
  </w:abstractNum>
  <w:abstractNum w:abstractNumId="5">
    <w:nsid w:val="140E0F76"/>
    <w:multiLevelType w:val="hybridMultilevel"/>
    <w:lvl w:ilvl="0">
      <w:lvlJc w:val="left"/>
      <w:lvlText w:val="%1."/>
      <w:numFmt w:val="decimal"/>
      <w:start w:val="9"/>
    </w:lvl>
    <w:lvl w:ilvl="1">
      <w:lvlJc w:val="left"/>
      <w:lvlText w:val="%2"/>
      <w:numFmt w:val="decimal"/>
      <w:start w:val="1"/>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3"/>
    </w:lvl>
  </w:abstractNum>
  <w:abstractNum w:abstractNumId="11">
    <w:nsid w:val="41A7C4C9"/>
    <w:multiLevelType w:val="hybridMultilevel"/>
    <w:lvl w:ilvl="0">
      <w:lvlJc w:val="left"/>
      <w:lvlText w:val="(%1)"/>
      <w:numFmt w:val="lowerLetter"/>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7"/>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2024-02-09T14:49:09Z</dcterms:created>
  <dcterms:modified xsi:type="dcterms:W3CDTF">2024-02-09T14:49:09Z</dcterms:modified>
</cp:coreProperties>
</file>