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4608446733641.xml.htm"/>
      <w:bookmarkStart w:id="1" w:name="kswfform4_16460844673364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FAHS L READE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NATIONAL VISION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2435 COMMERCE AVENUE, BLDG. 2200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DULUTH</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30096-4980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National Vision Holdings, Inc.</w:t>
              </w:r>
            </w:hyperlink>
            <w:r>
              <w:rPr/>
              <w:t xml:space="preserve"> [ </w:t>
            </w:r>
            <w:r>
              <w:rPr>
                <w:rFonts w:ascii="Times;serif" w:hAnsi="Times;serif"/>
                <w:color w:val="0000FF"/>
                <w:sz w:val="24"/>
                <w:highlight w:val="white"/>
              </w:rPr>
              <w:t>EYE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Executive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02/24/2022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49,512</w:t>
            </w:r>
            <w:r>
              <w:rPr>
                <w:rFonts w:ascii="Times;serif" w:hAnsi="Times;serif"/>
                <w:color w:val="008000"/>
                <w:position w:val="7"/>
                <w:sz w:val="16"/>
                <w:sz w:val="20"/>
                <w:highlight w:val="white"/>
              </w:rPr>
              <w:t>(1)</w:t>
            </w:r>
            <w:r>
              <w:rPr/>
              <w:t xml:space="preserve"> </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(2)</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482,020</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22,318</w:t>
            </w:r>
            <w:r>
              <w:rPr>
                <w:rFonts w:ascii="Times;serif" w:hAnsi="Times;serif"/>
                <w:color w:val="008000"/>
                <w:position w:val="7"/>
                <w:sz w:val="16"/>
                <w:sz w:val="20"/>
                <w:highlight w:val="white"/>
              </w:rPr>
              <w:t>(3)</w:t>
            </w:r>
            <w:r>
              <w:rPr/>
              <w:t xml:space="preserve"> </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36.64</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459,702</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5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363,430</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Held by Trust</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shares earned by the reporting person pursuant to certain performance restricted stock units (the "PSUs"), which were granted to the reporting person on March 1, 2019. The PSUs were earned based on the attainment of certain performance metrics, which performance metrics were certified by the Compensation Committee of the Board of Directors of the Company on February 24,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performance restricted stock unit represents a right to receive one share of the Company's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On February 24, 2022, 49,512 PSUs vested and 22,318 shares of the Company's common stock were withheld to satisfy tax withholding obligations. The closing price on February 24, 2022 of the Company's common stock on NASDAQ was $36.64 per share.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Jared Brandman, as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02/28/2022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81253" TargetMode="External"/><Relationship Id="rId4" Type="http://schemas.openxmlformats.org/officeDocument/2006/relationships/hyperlink" Target="http://www.sec.gov/cgi-bin/browse-edgar?action=getcompany&amp;CIK=000171015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664</Words>
  <CharactersWithSpaces>4190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