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June 14, 2018</w:t>
      </w:r>
    </w:p>
    <w:p>
      <w:pPr>
        <w:spacing w:after="0" w:line="4" w:lineRule="exact"/>
        <w:rPr>
          <w:sz w:val="24"/>
          <w:szCs w:val="24"/>
          <w:color w:val="auto"/>
        </w:rPr>
      </w:pPr>
    </w:p>
    <w:p>
      <w:pPr>
        <w:ind w:left="996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STATE0S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VISION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846" w:right="259" w:bottom="1440" w:gutter="0" w:footer="0" w:header="0"/>
        </w:sectPr>
      </w:pPr>
    </w:p>
    <w:p>
      <w:pPr>
        <w:spacing w:after="0" w:line="367" w:lineRule="exact"/>
        <w:rPr>
          <w:sz w:val="24"/>
          <w:szCs w:val="24"/>
          <w:color w:val="auto"/>
        </w:rPr>
      </w:pPr>
    </w:p>
    <w:p>
      <w:pPr>
        <w:ind w:left="19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46-4841717</w:t>
      </w:r>
    </w:p>
    <w:p>
      <w:pPr>
        <w:spacing w:after="0" w:line="90" w:lineRule="exact"/>
        <w:rPr>
          <w:sz w:val="24"/>
          <w:szCs w:val="24"/>
          <w:color w:val="auto"/>
        </w:rPr>
      </w:pPr>
    </w:p>
    <w:p>
      <w:pPr>
        <w:sectPr>
          <w:pgSz w:w="11900" w:h="16838" w:orient="portrait"/>
          <w:cols w:equalWidth="0" w:num="2">
            <w:col w:w="8060" w:space="720"/>
            <w:col w:w="2620"/>
          </w:cols>
          <w:pgMar w:left="240" w:top="846" w:right="259" w:bottom="1440" w:gutter="0" w:footer="0" w:header="0"/>
          <w:type w:val="continuous"/>
        </w:sectPr>
      </w:pPr>
    </w:p>
    <w:p>
      <w:pPr>
        <w:jc w:val="center"/>
        <w:ind w:right="2640"/>
        <w:spacing w:after="0"/>
        <w:rPr>
          <w:sz w:val="20"/>
          <w:szCs w:val="20"/>
          <w:color w:val="auto"/>
        </w:rPr>
      </w:pPr>
      <w:r>
        <w:rPr>
          <w:rFonts w:ascii="Arial" w:cs="Arial" w:eastAsia="Arial" w:hAnsi="Arial"/>
          <w:sz w:val="16"/>
          <w:szCs w:val="16"/>
          <w:color w:val="auto"/>
        </w:rPr>
        <w:t>(State or other jurisdiction of incorporation or</w:t>
      </w:r>
    </w:p>
    <w:p>
      <w:pPr>
        <w:spacing w:after="0" w:line="46" w:lineRule="exact"/>
        <w:rPr>
          <w:sz w:val="24"/>
          <w:szCs w:val="24"/>
          <w:color w:val="auto"/>
        </w:rPr>
      </w:pPr>
    </w:p>
    <w:p>
      <w:pPr>
        <w:jc w:val="center"/>
        <w:ind w:right="264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70" w:lineRule="exact"/>
        <w:rPr>
          <w:sz w:val="24"/>
          <w:szCs w:val="24"/>
          <w:color w:val="auto"/>
        </w:rPr>
      </w:pPr>
    </w:p>
    <w:p>
      <w:pPr>
        <w:sectPr>
          <w:pgSz w:w="11900" w:h="16838" w:orient="portrait"/>
          <w:cols w:equalWidth="0" w:num="2">
            <w:col w:w="7180" w:space="720"/>
            <w:col w:w="3500"/>
          </w:cols>
          <w:pgMar w:left="240" w:top="846" w:right="259" w:bottom="1440" w:gutter="0" w:footer="0" w:header="0"/>
          <w:type w:val="continuous"/>
        </w:sectPr>
      </w:pPr>
    </w:p>
    <w:p>
      <w:pPr>
        <w:jc w:val="center"/>
        <w:ind w:right="-159"/>
        <w:spacing w:after="0"/>
        <w:rPr>
          <w:sz w:val="20"/>
          <w:szCs w:val="20"/>
          <w:color w:val="auto"/>
        </w:rPr>
      </w:pPr>
      <w:r>
        <w:rPr>
          <w:rFonts w:ascii="Arial" w:cs="Arial" w:eastAsia="Arial" w:hAnsi="Arial"/>
          <w:sz w:val="18"/>
          <w:szCs w:val="18"/>
          <w:b w:val="1"/>
          <w:bCs w:val="1"/>
          <w:color w:val="auto"/>
        </w:rPr>
        <w:t>2435 Commerce Avenue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Duluth, Georgia 30096-4980</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Telephone: (770) 822-3600</w:t>
      </w:r>
    </w:p>
    <w:p>
      <w:pPr>
        <w:sectPr>
          <w:pgSz w:w="11900" w:h="16838" w:orient="portrait"/>
          <w:cols w:equalWidth="0" w:num="1">
            <w:col w:w="11400"/>
          </w:cols>
          <w:pgMar w:left="240" w:top="846" w:right="259" w:bottom="1440" w:gutter="0" w:footer="0" w:header="0"/>
          <w:type w:val="continuous"/>
        </w:sectPr>
      </w:pP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2018 Associate Stock Purchase Plan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Mitchell Goodman,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2435 Commerce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Bldg. 2200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Duluth, Georgia 30096-4980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(770) 822-4208</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With copies 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Joseph H. Kaufman,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Simpson Thacher &amp; Bartlett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425 Lexington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(212) 455-2000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Telecopy: (212) 455-2502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62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51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70"/>
        </w:trPr>
        <w:tc>
          <w:tcPr>
            <w:tcW w:w="62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51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r>
        <w:trPr>
          <w:trHeight w:val="283"/>
        </w:trPr>
        <w:tc>
          <w:tcPr>
            <w:tcW w:w="626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510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bl>
    <w:p>
      <w:pPr>
        <w:spacing w:after="0" w:line="20" w:lineRule="exact"/>
        <w:rPr>
          <w:sz w:val="24"/>
          <w:szCs w:val="24"/>
          <w:color w:val="auto"/>
        </w:rPr>
      </w:pPr>
    </w:p>
    <w:p>
      <w:pPr>
        <w:ind w:left="40"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400"/>
          </w:cols>
          <w:pgMar w:left="240" w:top="846"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9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209"/>
        </w:trPr>
        <w:tc>
          <w:tcPr>
            <w:tcW w:w="29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Proposed maximum</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Proposed maximum</w:t>
            </w:r>
          </w:p>
        </w:tc>
        <w:tc>
          <w:tcPr>
            <w:tcW w:w="1860" w:type="dxa"/>
            <w:vAlign w:val="bottom"/>
          </w:tcPr>
          <w:p>
            <w:pPr>
              <w:spacing w:after="0"/>
              <w:rPr>
                <w:sz w:val="18"/>
                <w:szCs w:val="18"/>
                <w:color w:val="auto"/>
              </w:rPr>
            </w:pPr>
          </w:p>
        </w:tc>
      </w:tr>
      <w:tr>
        <w:trPr>
          <w:trHeight w:val="216"/>
        </w:trPr>
        <w:tc>
          <w:tcPr>
            <w:tcW w:w="29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Amount to be</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offering price per</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aggregate offering</w:t>
            </w:r>
          </w:p>
        </w:tc>
        <w:tc>
          <w:tcPr>
            <w:tcW w:w="1860" w:type="dxa"/>
            <w:vAlign w:val="bottom"/>
          </w:tcPr>
          <w:p>
            <w:pPr>
              <w:jc w:val="center"/>
              <w:spacing w:after="0"/>
              <w:rPr>
                <w:sz w:val="20"/>
                <w:szCs w:val="20"/>
                <w:color w:val="auto"/>
              </w:rPr>
            </w:pPr>
            <w:r>
              <w:rPr>
                <w:rFonts w:ascii="Arial" w:cs="Arial" w:eastAsia="Arial" w:hAnsi="Arial"/>
                <w:sz w:val="18"/>
                <w:szCs w:val="18"/>
                <w:color w:val="auto"/>
                <w:w w:val="97"/>
              </w:rPr>
              <w:t>Amount of</w:t>
            </w:r>
          </w:p>
        </w:tc>
      </w:tr>
      <w:tr>
        <w:trPr>
          <w:trHeight w:val="230"/>
        </w:trPr>
        <w:tc>
          <w:tcPr>
            <w:tcW w:w="29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Title of securities to be registered</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registered(1)</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share(2)</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price(2)</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registration fee</w:t>
            </w:r>
          </w:p>
        </w:tc>
      </w:tr>
      <w:tr>
        <w:trPr>
          <w:trHeight w:val="34"/>
        </w:trPr>
        <w:tc>
          <w:tcPr>
            <w:tcW w:w="29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9"/>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$0.01 per</w:t>
            </w:r>
          </w:p>
        </w:tc>
        <w:tc>
          <w:tcPr>
            <w:tcW w:w="186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850,000</w:t>
            </w:r>
          </w:p>
        </w:tc>
        <w:tc>
          <w:tcPr>
            <w:tcW w:w="1880" w:type="dxa"/>
            <w:vAlign w:val="bottom"/>
            <w:tcBorders>
              <w:right w:val="single" w:sz="8" w:color="auto"/>
            </w:tcBorders>
          </w:tcPr>
          <w:p>
            <w:pPr>
              <w:jc w:val="right"/>
              <w:ind w:right="610"/>
              <w:spacing w:after="0"/>
              <w:rPr>
                <w:sz w:val="20"/>
                <w:szCs w:val="20"/>
                <w:color w:val="auto"/>
              </w:rPr>
            </w:pPr>
            <w:r>
              <w:rPr>
                <w:rFonts w:ascii="Arial" w:cs="Arial" w:eastAsia="Arial" w:hAnsi="Arial"/>
                <w:sz w:val="18"/>
                <w:szCs w:val="18"/>
                <w:color w:val="auto"/>
              </w:rPr>
              <w:t>$38.11</w:t>
            </w:r>
          </w:p>
        </w:tc>
        <w:tc>
          <w:tcPr>
            <w:tcW w:w="188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$32,393,500.00</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$4,033</w:t>
            </w:r>
          </w:p>
        </w:tc>
      </w:tr>
      <w:tr>
        <w:trPr>
          <w:trHeight w:val="34"/>
        </w:trPr>
        <w:tc>
          <w:tcPr>
            <w:tcW w:w="296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ind w:left="660" w:right="200" w:hanging="510"/>
        <w:spacing w:after="0" w:line="255"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securities to be registered include shares of common stock, par value $0.01 per share, of National Vision Holdings, Inc. (“Common Stock”), approved for issuance under the National Vision Holdings, Inc. 2018 Associate Stock Purchase Plan (the “Purchase Plan”). Pursuant to Rule 416(a) under the Securities Act of 1933, as amended (the “Securities Act”), this Registration Statement on Form S-8 (the “Registration Statement”) also covers an indeterminate number of additional shares of Common Stock, which may be offered and issued under the Purchase Plan to prevent dilution resulting from adjustments as a result of stock dividends, stock splits, reverse stock splits, recapitalizations, reclassifications, mergers, split-ups, reorganizations, consolidations and other capital adjustments.</w:t>
      </w:r>
    </w:p>
    <w:p>
      <w:pPr>
        <w:spacing w:after="0" w:line="378" w:lineRule="exact"/>
        <w:rPr>
          <w:rFonts w:ascii="Arial" w:cs="Arial" w:eastAsia="Arial" w:hAnsi="Arial"/>
          <w:sz w:val="18"/>
          <w:szCs w:val="18"/>
          <w:color w:val="auto"/>
        </w:rPr>
      </w:pPr>
    </w:p>
    <w:p>
      <w:pPr>
        <w:jc w:val="both"/>
        <w:ind w:left="660" w:right="160" w:hanging="510"/>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The fee is based on a price of $38.11 per share of Common Stock, which is based on the average of the high and low sales price per share of the Registrant’s Common Stock as reported on the NASDAQ Stock Market LLC on June 8, 2018.</w:t>
      </w:r>
    </w:p>
    <w:p>
      <w:pPr>
        <w:sectPr>
          <w:pgSz w:w="11900" w:h="16838" w:orient="portrait"/>
          <w:cols w:equalWidth="0" w:num="1">
            <w:col w:w="10440"/>
          </w:cols>
          <w:pgMar w:left="740" w:top="580" w:right="7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information specified in Items 1 and 2 of Part I of Form S-8 is omitted from this Registration Statement in accordance with the provisions of Rule 428 under the Securities Act and the introductory note to Part I of Form S-8. The documents containing the information specified in this Part I will be delivered to the participants in the Purchase Plan as required by Rule 428(b)(1) under the Securities Act. Such documents are not required to be, and are not, filed with the Securities and Exchange Commission (the “Commission”) either as part of this Registration Statement or as a prospectus or prospectus supplement pursuant to Rule 424 under the Securities Act.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The following documents filed with the Commission by National Vision Holdings, Inc. (the “Company” or the “Registrant”) pursuant to the Securities Act and the Securities Exchange Act of 1934, as amended (the “Exchange Act”), are hereby incorporated by reference in this Registration Statement:</w:t>
      </w:r>
    </w:p>
    <w:p>
      <w:pPr>
        <w:spacing w:after="0" w:line="343" w:lineRule="exact"/>
        <w:rPr>
          <w:sz w:val="20"/>
          <w:szCs w:val="20"/>
          <w:color w:val="auto"/>
        </w:rPr>
      </w:pPr>
    </w:p>
    <w:p>
      <w:pPr>
        <w:ind w:left="1980" w:right="840" w:hanging="507"/>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30, 2017, filed with the Commission on March 8, 2018;</w:t>
      </w:r>
    </w:p>
    <w:p>
      <w:pPr>
        <w:spacing w:after="0" w:line="332" w:lineRule="exact"/>
        <w:rPr>
          <w:rFonts w:ascii="Arial" w:cs="Arial" w:eastAsia="Arial" w:hAnsi="Arial"/>
          <w:sz w:val="18"/>
          <w:szCs w:val="18"/>
          <w:color w:val="auto"/>
        </w:rPr>
      </w:pPr>
    </w:p>
    <w:p>
      <w:pPr>
        <w:ind w:left="1980" w:right="960" w:hanging="507"/>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2018, filed with the Commission on May 15, 2018;</w:t>
      </w:r>
    </w:p>
    <w:p>
      <w:pPr>
        <w:spacing w:after="0" w:line="332" w:lineRule="exact"/>
        <w:rPr>
          <w:rFonts w:ascii="Arial" w:cs="Arial" w:eastAsia="Arial" w:hAnsi="Arial"/>
          <w:sz w:val="18"/>
          <w:szCs w:val="18"/>
          <w:color w:val="auto"/>
        </w:rPr>
      </w:pPr>
    </w:p>
    <w:p>
      <w:pPr>
        <w:ind w:left="1980" w:right="660" w:hanging="507"/>
        <w:spacing w:after="0" w:line="277"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Reports on Form 8-K, filed with the Commission on January 23, 2018, March 19, 2018 and June 7, 2018; and</w:t>
      </w:r>
    </w:p>
    <w:p>
      <w:pPr>
        <w:spacing w:after="0" w:line="332" w:lineRule="exact"/>
        <w:rPr>
          <w:rFonts w:ascii="Arial" w:cs="Arial" w:eastAsia="Arial" w:hAnsi="Arial"/>
          <w:sz w:val="18"/>
          <w:szCs w:val="18"/>
          <w:color w:val="auto"/>
        </w:rPr>
      </w:pPr>
    </w:p>
    <w:p>
      <w:pPr>
        <w:ind w:left="1980" w:right="640" w:hanging="507"/>
        <w:spacing w:after="0" w:line="264" w:lineRule="auto"/>
        <w:tabs>
          <w:tab w:leader="none" w:pos="1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registration statement on Form 8-A (Registration No. 001-38257), filed with the Commission on October 24, 2017 pursuant to Section 12(b) of the Exchange Act, relating to the Company’s Common Stock, including all other amendments and reports filed for the purpose of updating such description.</w:t>
      </w:r>
    </w:p>
    <w:p>
      <w:pPr>
        <w:spacing w:after="0" w:line="20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documents that the Company subsequently files pursuant to Sections 13(a), 13(c), 14 and 15(d) of the Exchange Act after the date of this Registration Statement (except for any portions of the Company’s Current Reports on Form 8-K furnished pursuant to Item 2.02 or Item 7.01 thereof and any corresponding exhibits thereto not filed with the Commission)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5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jc w:val="both"/>
        <w:ind w:right="80" w:firstLine="648"/>
        <w:spacing w:after="0" w:line="276" w:lineRule="auto"/>
        <w:rPr>
          <w:sz w:val="20"/>
          <w:szCs w:val="20"/>
          <w:color w:val="auto"/>
        </w:rPr>
      </w:pPr>
      <w:r>
        <w:rPr>
          <w:rFonts w:ascii="Arial" w:cs="Arial" w:eastAsia="Arial" w:hAnsi="Arial"/>
          <w:sz w:val="17"/>
          <w:szCs w:val="17"/>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Registrant’s amended and restated certificate of incorporation provides for this limitation of liability.</w:t>
      </w:r>
    </w:p>
    <w:p>
      <w:pPr>
        <w:spacing w:after="0" w:line="17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Section 145 of the DGCL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72"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7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Registrant’s amended and restated bylaws provide that the Registrant must indemnify, and advance expenses to, the Registrant’s directors and officers to the full extent authorized by the DGCL. The Registrant has also entered into indemnification agreements with the Registrant’s directors, which agreements will require the Registrant to indemnify these individuals to the fullest extent permitted by Delaware law against liabilities that may arise by reason of their service to the Registrant, and to advance expenses incurred as a result of any proceeding against them as to which they could be indemnified.</w:t>
      </w:r>
    </w:p>
    <w:p>
      <w:pPr>
        <w:spacing w:after="0" w:line="15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indemnification rights set forth above shall not be exclusive of any other right which an indemnified person may have or hereafter acquire under any statute, provision of the Registrant’s amended and restated certificate of incorporation, the Registrant’s amended and restated bylaws, agreement, vote of stockholders or disinterested directors or otherwise. Notwithstanding the foregoing, the Registrant shall not be obligated to indemnify a director or officer in respect of a proceeding (or part thereof) instituted by such director or officer, unless such proceeding (or part thereof) has been authorized by the board of directors pursuant to the applicable procedure outlined in the amended and restated bylaws.</w:t>
      </w:r>
    </w:p>
    <w:p>
      <w:pPr>
        <w:spacing w:after="0" w:line="17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Registrant maintains standard policies of insurance that provide coverage (1) to the Registrant’s directors and officers against loss arising from claims made by reason of breach of duty or other wrongful act and (2) to the Registrant with respect to indemnification payments that it may make to such directors and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80"/>
          </w:cols>
          <w:pgMar w:left="240" w:top="58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383"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92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9280" w:type="dxa"/>
            <w:vAlign w:val="bottom"/>
          </w:tcPr>
          <w:p>
            <w:pPr>
              <w:ind w:left="200"/>
              <w:spacing w:after="0"/>
              <w:rPr>
                <w:sz w:val="20"/>
                <w:szCs w:val="20"/>
                <w:color w:val="auto"/>
              </w:rPr>
            </w:pPr>
            <w:r>
              <w:rPr>
                <w:rFonts w:ascii="Arial" w:cs="Arial" w:eastAsia="Arial" w:hAnsi="Arial"/>
                <w:sz w:val="18"/>
                <w:szCs w:val="18"/>
                <w:b w:val="1"/>
                <w:bCs w:val="1"/>
                <w:color w:val="auto"/>
              </w:rPr>
              <w:t>Description of Document</w:t>
            </w:r>
          </w:p>
        </w:tc>
      </w:tr>
      <w:tr>
        <w:trPr>
          <w:trHeight w:val="34"/>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80" w:type="dxa"/>
            <w:vAlign w:val="bottom"/>
            <w:tcBorders>
              <w:bottom w:val="single" w:sz="8" w:color="auto"/>
            </w:tcBorders>
          </w:tcPr>
          <w:p>
            <w:pPr>
              <w:spacing w:after="0"/>
              <w:rPr>
                <w:sz w:val="2"/>
                <w:szCs w:val="2"/>
                <w:color w:val="auto"/>
              </w:rPr>
            </w:pPr>
          </w:p>
        </w:tc>
      </w:tr>
      <w:tr>
        <w:trPr>
          <w:trHeight w:val="203"/>
        </w:trPr>
        <w:tc>
          <w:tcPr>
            <w:tcW w:w="340" w:type="dxa"/>
            <w:vAlign w:val="bottom"/>
            <w:gridSpan w:val="3"/>
          </w:tcPr>
          <w:p>
            <w:pPr>
              <w:ind w:left="20"/>
              <w:spacing w:after="0" w:line="202" w:lineRule="exact"/>
              <w:rPr>
                <w:rFonts w:ascii="Arial" w:cs="Arial" w:eastAsia="Arial" w:hAnsi="Arial"/>
                <w:sz w:val="18"/>
                <w:szCs w:val="18"/>
                <w:color w:val="0000FF"/>
              </w:rPr>
            </w:pPr>
            <w:hyperlink r:id="rId13">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tcPr>
          <w:p>
            <w:pPr>
              <w:ind w:left="200"/>
              <w:spacing w:after="0" w:line="202" w:lineRule="exact"/>
              <w:rPr>
                <w:sz w:val="20"/>
                <w:szCs w:val="20"/>
                <w:color w:val="auto"/>
              </w:rPr>
            </w:pPr>
            <w:r>
              <w:rPr>
                <w:rFonts w:ascii="Arial" w:cs="Arial" w:eastAsia="Arial" w:hAnsi="Arial"/>
                <w:sz w:val="18"/>
                <w:szCs w:val="18"/>
                <w:color w:val="auto"/>
                <w:w w:val="98"/>
              </w:rPr>
              <w:t>Second Amended and Restated Certificate of Incorporation of National Vision Holdings, Inc. (incorporated herein by</w:t>
            </w:r>
          </w:p>
        </w:tc>
      </w:tr>
      <w:tr>
        <w:trPr>
          <w:trHeight w:val="237"/>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reference to Exhibit 3.1 to the Company’s Current Report on Form 8-K filed on October 31, 2017).</w:t>
            </w:r>
          </w:p>
        </w:tc>
      </w:tr>
      <w:tr>
        <w:trPr>
          <w:trHeight w:val="230"/>
        </w:trPr>
        <w:tc>
          <w:tcPr>
            <w:tcW w:w="340" w:type="dxa"/>
            <w:vAlign w:val="bottom"/>
            <w:gridSpan w:val="3"/>
          </w:tcPr>
          <w:p>
            <w:pPr>
              <w:ind w:left="20"/>
              <w:spacing w:after="0"/>
              <w:rPr>
                <w:rFonts w:ascii="Arial" w:cs="Arial" w:eastAsia="Arial" w:hAnsi="Arial"/>
                <w:sz w:val="18"/>
                <w:szCs w:val="18"/>
                <w:color w:val="0000FF"/>
              </w:rPr>
            </w:pPr>
            <w:hyperlink r:id="rId14">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w w:val="92"/>
              </w:rPr>
              <w:t>Second Amended and Restated Bylaws of National Vision Holdings, Inc. (incorporated herein by reference to Exhibit 3.2 to</w:t>
            </w:r>
          </w:p>
        </w:tc>
      </w:tr>
      <w:tr>
        <w:trPr>
          <w:trHeight w:val="237"/>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the Company’s Current Report on Form 8-K filed on October 31, 2017).</w:t>
            </w:r>
          </w:p>
        </w:tc>
      </w:tr>
      <w:tr>
        <w:trPr>
          <w:trHeight w:val="230"/>
        </w:trPr>
        <w:tc>
          <w:tcPr>
            <w:tcW w:w="340" w:type="dxa"/>
            <w:vAlign w:val="bottom"/>
            <w:gridSpan w:val="3"/>
          </w:tcPr>
          <w:p>
            <w:pPr>
              <w:ind w:left="20"/>
              <w:spacing w:after="0"/>
              <w:rPr>
                <w:rFonts w:ascii="Arial" w:cs="Arial" w:eastAsia="Arial" w:hAnsi="Arial"/>
                <w:sz w:val="18"/>
                <w:szCs w:val="18"/>
                <w:color w:val="0000FF"/>
              </w:rPr>
            </w:pPr>
            <w:hyperlink r:id="rId15">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w w:val="97"/>
              </w:rPr>
              <w:t>Form of Common Stock Certificate (incorporated herein by reference to Exhibit 4.1 filed with Amendment No. 2 to the</w:t>
            </w:r>
          </w:p>
        </w:tc>
      </w:tr>
      <w:tr>
        <w:trPr>
          <w:trHeight w:val="237"/>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Registrant’s Registration Statement on Form S-1 (File No. 333-220719) filed on October 16, 2017).</w:t>
            </w:r>
          </w:p>
        </w:tc>
      </w:tr>
      <w:tr>
        <w:trPr>
          <w:trHeight w:val="230"/>
        </w:trPr>
        <w:tc>
          <w:tcPr>
            <w:tcW w:w="340" w:type="dxa"/>
            <w:vAlign w:val="bottom"/>
            <w:gridSpan w:val="3"/>
          </w:tcPr>
          <w:p>
            <w:pPr>
              <w:ind w:left="20"/>
              <w:spacing w:after="0"/>
              <w:rPr>
                <w:rFonts w:ascii="Arial" w:cs="Arial" w:eastAsia="Arial" w:hAnsi="Arial"/>
                <w:sz w:val="18"/>
                <w:szCs w:val="18"/>
                <w:color w:val="0000FF"/>
              </w:rPr>
            </w:pPr>
            <w:hyperlink r:id="rId16">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w w:val="95"/>
              </w:rPr>
              <w:t>National Vision Holdings, Inc. 2018 Associate Stock Purchase Plan (incorporated herein by reference to Exhibit A of the</w:t>
            </w:r>
          </w:p>
        </w:tc>
      </w:tr>
      <w:tr>
        <w:trPr>
          <w:trHeight w:val="237"/>
        </w:trPr>
        <w:tc>
          <w:tcPr>
            <w:tcW w:w="2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Company’s Definitive Proxy Statement on Schedule 14A filed on April 25, 2018).</w:t>
            </w:r>
          </w:p>
        </w:tc>
      </w:tr>
      <w:tr>
        <w:trPr>
          <w:trHeight w:val="230"/>
        </w:trPr>
        <w:tc>
          <w:tcPr>
            <w:tcW w:w="20" w:type="dxa"/>
            <w:vAlign w:val="bottom"/>
          </w:tcPr>
          <w:p>
            <w:pPr>
              <w:spacing w:after="0"/>
              <w:rPr>
                <w:sz w:val="19"/>
                <w:szCs w:val="19"/>
                <w:color w:val="auto"/>
              </w:rPr>
            </w:pPr>
          </w:p>
        </w:tc>
        <w:tc>
          <w:tcPr>
            <w:tcW w:w="3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3"/>
              </w:rPr>
              <w:t>5.</w:t>
            </w:r>
            <w:r>
              <w:rPr>
                <w:rFonts w:ascii="Arial" w:cs="Arial" w:eastAsia="Arial" w:hAnsi="Arial"/>
                <w:sz w:val="18"/>
                <w:szCs w:val="18"/>
                <w:u w:val="single" w:color="auto"/>
                <w:color w:val="0000FF"/>
                <w:w w:val="93"/>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Opinion of Simpson Thacher &amp; Bartlett LLP.</w:t>
            </w:r>
          </w:p>
        </w:tc>
      </w:tr>
      <w:tr>
        <w:trPr>
          <w:trHeight w:val="250"/>
        </w:trPr>
        <w:tc>
          <w:tcPr>
            <w:tcW w:w="20" w:type="dxa"/>
            <w:vAlign w:val="bottom"/>
          </w:tcPr>
          <w:p>
            <w:pPr>
              <w:spacing w:after="0"/>
              <w:rPr>
                <w:sz w:val="21"/>
                <w:szCs w:val="21"/>
                <w:color w:val="auto"/>
              </w:rPr>
            </w:pPr>
          </w:p>
        </w:tc>
        <w:tc>
          <w:tcPr>
            <w:tcW w:w="4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23.</w:t>
            </w:r>
            <w:r>
              <w:rPr>
                <w:rFonts w:ascii="Arial" w:cs="Arial" w:eastAsia="Arial" w:hAnsi="Arial"/>
                <w:sz w:val="18"/>
                <w:szCs w:val="18"/>
                <w:u w:val="single" w:color="auto"/>
                <w:color w:val="0000FF"/>
                <w:w w:val="95"/>
              </w:rPr>
              <w:t>1*</w:t>
            </w:r>
          </w:p>
        </w:tc>
        <w:tc>
          <w:tcPr>
            <w:tcW w:w="420" w:type="dxa"/>
            <w:vAlign w:val="bottom"/>
          </w:tcPr>
          <w:p>
            <w:pPr>
              <w:spacing w:after="0"/>
              <w:rPr>
                <w:sz w:val="21"/>
                <w:szCs w:val="21"/>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Consent of Deloitte &amp; Touche LLP.</w:t>
            </w:r>
          </w:p>
        </w:tc>
      </w:tr>
      <w:tr>
        <w:trPr>
          <w:trHeight w:val="250"/>
        </w:trPr>
        <w:tc>
          <w:tcPr>
            <w:tcW w:w="20" w:type="dxa"/>
            <w:vAlign w:val="bottom"/>
          </w:tcPr>
          <w:p>
            <w:pPr>
              <w:spacing w:after="0"/>
              <w:rPr>
                <w:sz w:val="21"/>
                <w:szCs w:val="21"/>
                <w:color w:val="auto"/>
              </w:rPr>
            </w:pPr>
          </w:p>
        </w:tc>
        <w:tc>
          <w:tcPr>
            <w:tcW w:w="4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5"/>
              </w:rPr>
              <w:t>23.</w:t>
            </w:r>
            <w:r>
              <w:rPr>
                <w:rFonts w:ascii="Arial" w:cs="Arial" w:eastAsia="Arial" w:hAnsi="Arial"/>
                <w:sz w:val="18"/>
                <w:szCs w:val="18"/>
                <w:u w:val="single" w:color="auto"/>
                <w:color w:val="0000FF"/>
                <w:w w:val="95"/>
              </w:rPr>
              <w:t>2*</w:t>
            </w:r>
          </w:p>
        </w:tc>
        <w:tc>
          <w:tcPr>
            <w:tcW w:w="420" w:type="dxa"/>
            <w:vAlign w:val="bottom"/>
          </w:tcPr>
          <w:p>
            <w:pPr>
              <w:spacing w:after="0"/>
              <w:rPr>
                <w:sz w:val="21"/>
                <w:szCs w:val="21"/>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Consent of Simpson Thacher &amp; Bartlett LLP (included as part of Exhibit 5.1).</w:t>
            </w:r>
          </w:p>
        </w:tc>
      </w:tr>
      <w:tr>
        <w:trPr>
          <w:trHeight w:val="250"/>
        </w:trPr>
        <w:tc>
          <w:tcPr>
            <w:tcW w:w="20" w:type="dxa"/>
            <w:vAlign w:val="bottom"/>
          </w:tcPr>
          <w:p>
            <w:pPr>
              <w:spacing w:after="0"/>
              <w:rPr>
                <w:sz w:val="21"/>
                <w:szCs w:val="21"/>
                <w:color w:val="auto"/>
              </w:rPr>
            </w:pPr>
          </w:p>
        </w:tc>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hyperlink>
          </w:p>
        </w:tc>
        <w:tc>
          <w:tcPr>
            <w:tcW w:w="420" w:type="dxa"/>
            <w:vAlign w:val="bottom"/>
          </w:tcPr>
          <w:p>
            <w:pPr>
              <w:spacing w:after="0"/>
              <w:rPr>
                <w:sz w:val="21"/>
                <w:szCs w:val="21"/>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Power of Attorney (included in the signature pages to this Registration Statement).</w:t>
            </w: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Filed herewith.</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75" w:lineRule="exact"/>
        <w:rPr>
          <w:sz w:val="20"/>
          <w:szCs w:val="20"/>
          <w:color w:val="auto"/>
        </w:rPr>
      </w:pPr>
    </w:p>
    <w:p>
      <w:pPr>
        <w:ind w:left="1180" w:hanging="517"/>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98" w:lineRule="exact"/>
        <w:rPr>
          <w:rFonts w:ascii="Arial" w:cs="Arial" w:eastAsia="Arial" w:hAnsi="Arial"/>
          <w:sz w:val="18"/>
          <w:szCs w:val="18"/>
          <w:color w:val="auto"/>
        </w:rPr>
      </w:pPr>
    </w:p>
    <w:p>
      <w:pPr>
        <w:ind w:left="1980" w:right="640" w:hanging="493"/>
        <w:spacing w:after="0" w:line="277" w:lineRule="auto"/>
        <w:tabs>
          <w:tab w:leader="none" w:pos="1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43" w:lineRule="exact"/>
        <w:rPr>
          <w:rFonts w:ascii="Arial" w:cs="Arial" w:eastAsia="Arial" w:hAnsi="Arial"/>
          <w:sz w:val="18"/>
          <w:szCs w:val="18"/>
          <w:color w:val="auto"/>
        </w:rPr>
      </w:pPr>
    </w:p>
    <w:p>
      <w:pPr>
        <w:ind w:left="2800" w:hanging="503"/>
        <w:spacing w:after="0"/>
        <w:tabs>
          <w:tab w:leader="none" w:pos="28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98" w:lineRule="exact"/>
        <w:rPr>
          <w:rFonts w:ascii="Arial" w:cs="Arial" w:eastAsia="Arial" w:hAnsi="Arial"/>
          <w:sz w:val="18"/>
          <w:szCs w:val="18"/>
          <w:color w:val="auto"/>
        </w:rPr>
      </w:pPr>
    </w:p>
    <w:p>
      <w:pPr>
        <w:ind w:left="2800" w:right="140" w:hanging="503"/>
        <w:spacing w:after="0" w:line="270" w:lineRule="auto"/>
        <w:tabs>
          <w:tab w:leader="none" w:pos="280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54" w:lineRule="exact"/>
        <w:rPr>
          <w:rFonts w:ascii="Arial" w:cs="Arial" w:eastAsia="Arial" w:hAnsi="Arial"/>
          <w:sz w:val="17"/>
          <w:szCs w:val="17"/>
          <w:color w:val="auto"/>
        </w:rPr>
      </w:pPr>
    </w:p>
    <w:p>
      <w:pPr>
        <w:ind w:left="2800" w:right="340" w:hanging="496"/>
        <w:spacing w:after="0" w:line="308" w:lineRule="auto"/>
        <w:tabs>
          <w:tab w:leader="none" w:pos="280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20" w:lineRule="exact"/>
        <w:rPr>
          <w:sz w:val="20"/>
          <w:szCs w:val="20"/>
          <w:color w:val="auto"/>
        </w:rPr>
      </w:pPr>
    </w:p>
    <w:p>
      <w:pPr>
        <w:ind w:left="1480" w:right="108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above do not apply if the information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376" w:lineRule="exact"/>
        <w:rPr>
          <w:sz w:val="20"/>
          <w:szCs w:val="20"/>
          <w:color w:val="auto"/>
        </w:rPr>
      </w:pPr>
    </w:p>
    <w:p>
      <w:pPr>
        <w:ind w:left="2080" w:right="960" w:hanging="607"/>
        <w:spacing w:after="0" w:line="312" w:lineRule="auto"/>
        <w:tabs>
          <w:tab w:leader="none" w:pos="2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ectPr>
          <w:pgSz w:w="11900" w:h="16838" w:orient="portrait"/>
          <w:cols w:equalWidth="0" w:num="1">
            <w:col w:w="10780"/>
          </w:cols>
          <w:pgMar w:left="240" w:top="796" w:right="879" w:bottom="1440" w:gutter="0" w:footer="0" w:header="0"/>
        </w:sectPr>
      </w:pPr>
    </w:p>
    <w:bookmarkStart w:id="5" w:name="page6"/>
    <w:bookmarkEnd w:id="5"/>
    <w:p>
      <w:pPr>
        <w:ind w:left="1417" w:right="1000" w:hanging="607"/>
        <w:spacing w:after="0" w:line="277" w:lineRule="auto"/>
        <w:tabs>
          <w:tab w:leader="none" w:pos="1417"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3" w:lineRule="exact"/>
        <w:rPr>
          <w:rFonts w:ascii="Arial" w:cs="Arial" w:eastAsia="Arial" w:hAnsi="Arial"/>
          <w:sz w:val="18"/>
          <w:szCs w:val="18"/>
          <w:color w:val="auto"/>
        </w:rPr>
      </w:pPr>
    </w:p>
    <w:p>
      <w:pPr>
        <w:jc w:val="both"/>
        <w:ind w:left="517" w:hanging="517"/>
        <w:spacing w:after="0" w:line="276" w:lineRule="auto"/>
        <w:tabs>
          <w:tab w:leader="none" w:pos="517"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361" w:lineRule="exact"/>
        <w:rPr>
          <w:rFonts w:ascii="Arial" w:cs="Arial" w:eastAsia="Arial" w:hAnsi="Arial"/>
          <w:sz w:val="17"/>
          <w:szCs w:val="17"/>
          <w:color w:val="auto"/>
        </w:rPr>
      </w:pPr>
    </w:p>
    <w:p>
      <w:pPr>
        <w:ind w:left="517" w:right="20" w:hanging="517"/>
        <w:spacing w:after="0" w:line="270" w:lineRule="auto"/>
        <w:tabs>
          <w:tab w:leader="none" w:pos="517"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0097"/>
          </w:cols>
          <w:pgMar w:left="903" w:top="746" w:right="899" w:bottom="1440" w:gutter="0" w:footer="0" w:header="0"/>
        </w:sectPr>
      </w:pPr>
    </w:p>
    <w:bookmarkStart w:id="6" w:name="page7"/>
    <w:bookmarkEnd w:id="6"/>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Duluth, Georgia, on June 14, 2018.</w:t>
      </w:r>
    </w:p>
    <w:p>
      <w:pPr>
        <w:spacing w:after="0" w:line="34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NATIONAL VISION HOLDINGS, INC.</w:t>
      </w:r>
    </w:p>
    <w:p>
      <w:pPr>
        <w:spacing w:after="0" w:line="333" w:lineRule="exact"/>
        <w:rPr>
          <w:sz w:val="20"/>
          <w:szCs w:val="20"/>
          <w:color w:val="auto"/>
        </w:rPr>
      </w:pPr>
    </w:p>
    <w:p>
      <w:pPr>
        <w:ind w:left="5760"/>
        <w:spacing w:after="0"/>
        <w:tabs>
          <w:tab w:leader="none" w:pos="6240" w:val="left"/>
        </w:tabs>
        <w:rPr>
          <w:sz w:val="20"/>
          <w:szCs w:val="20"/>
          <w:color w:val="auto"/>
        </w:rPr>
      </w:pPr>
      <w:r>
        <w:rPr>
          <w:rFonts w:ascii="Arial" w:cs="Arial" w:eastAsia="Arial" w:hAnsi="Arial"/>
          <w:sz w:val="18"/>
          <w:szCs w:val="18"/>
          <w:color w:val="auto"/>
        </w:rPr>
        <w:t>By:</w:t>
        <w:tab/>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 L. Reade Fahs</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080"/>
          </w:cols>
          <w:pgMar w:left="240" w:top="580" w:right="5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L. Reade Fahs, Patrick R. Moore, Mitchell Goodman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National Vision Holdings, Inc.,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National Vision Holdings, Inc.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on June 14, 2018:</w:t>
      </w:r>
    </w:p>
    <w:p>
      <w:pPr>
        <w:spacing w:after="0" w:line="3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12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4420" w:type="dxa"/>
            <w:vAlign w:val="bottom"/>
          </w:tcPr>
          <w:p>
            <w:pPr>
              <w:jc w:val="center"/>
              <w:ind w:left="990"/>
              <w:spacing w:after="0"/>
              <w:rPr>
                <w:sz w:val="20"/>
                <w:szCs w:val="20"/>
                <w:color w:val="auto"/>
              </w:rPr>
            </w:pPr>
            <w:r>
              <w:rPr>
                <w:rFonts w:ascii="Arial" w:cs="Arial" w:eastAsia="Arial" w:hAnsi="Arial"/>
                <w:sz w:val="18"/>
                <w:szCs w:val="18"/>
                <w:b w:val="1"/>
                <w:bCs w:val="1"/>
                <w:color w:val="auto"/>
                <w:w w:val="93"/>
              </w:rPr>
              <w:t>Capacity</w:t>
            </w:r>
          </w:p>
        </w:tc>
        <w:tc>
          <w:tcPr>
            <w:tcW w:w="0" w:type="dxa"/>
            <w:vAlign w:val="bottom"/>
          </w:tcPr>
          <w:p>
            <w:pPr>
              <w:spacing w:after="0"/>
              <w:rPr>
                <w:sz w:val="1"/>
                <w:szCs w:val="1"/>
                <w:color w:val="auto"/>
              </w:rPr>
            </w:pPr>
          </w:p>
        </w:tc>
      </w:tr>
      <w:tr>
        <w:trPr>
          <w:trHeight w:val="540"/>
        </w:trPr>
        <w:tc>
          <w:tcPr>
            <w:tcW w:w="5120" w:type="dxa"/>
            <w:vAlign w:val="bottom"/>
          </w:tcPr>
          <w:p>
            <w:pPr>
              <w:jc w:val="center"/>
              <w:spacing w:after="0"/>
              <w:rPr>
                <w:sz w:val="20"/>
                <w:szCs w:val="20"/>
                <w:color w:val="auto"/>
              </w:rPr>
            </w:pPr>
            <w:r>
              <w:rPr>
                <w:rFonts w:ascii="Arial" w:cs="Arial" w:eastAsia="Arial" w:hAnsi="Arial"/>
                <w:sz w:val="18"/>
                <w:szCs w:val="18"/>
                <w:color w:val="auto"/>
                <w:w w:val="87"/>
              </w:rPr>
              <w:t>/s/ L. Reade Fahs</w:t>
            </w:r>
          </w:p>
        </w:tc>
        <w:tc>
          <w:tcPr>
            <w:tcW w:w="4420" w:type="dxa"/>
            <w:vAlign w:val="bottom"/>
            <w:vMerge w:val="restart"/>
          </w:tcPr>
          <w:p>
            <w:pPr>
              <w:jc w:val="center"/>
              <w:ind w:left="1010"/>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4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88"/>
              </w:rPr>
              <w:t>L. Reade Fahs</w:t>
            </w:r>
          </w:p>
        </w:tc>
        <w:tc>
          <w:tcPr>
            <w:tcW w:w="4420" w:type="dxa"/>
            <w:vAlign w:val="bottom"/>
          </w:tcPr>
          <w:p>
            <w:pPr>
              <w:jc w:val="center"/>
              <w:ind w:left="99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540"/>
        </w:trPr>
        <w:tc>
          <w:tcPr>
            <w:tcW w:w="5120" w:type="dxa"/>
            <w:vAlign w:val="bottom"/>
          </w:tcPr>
          <w:p>
            <w:pPr>
              <w:jc w:val="center"/>
              <w:spacing w:after="0"/>
              <w:rPr>
                <w:sz w:val="20"/>
                <w:szCs w:val="20"/>
                <w:color w:val="auto"/>
              </w:rPr>
            </w:pPr>
            <w:r>
              <w:rPr>
                <w:rFonts w:ascii="Arial" w:cs="Arial" w:eastAsia="Arial" w:hAnsi="Arial"/>
                <w:sz w:val="18"/>
                <w:szCs w:val="18"/>
                <w:color w:val="auto"/>
                <w:w w:val="92"/>
              </w:rPr>
              <w:t>/s/ Patrick R. Moore</w:t>
            </w:r>
          </w:p>
        </w:tc>
        <w:tc>
          <w:tcPr>
            <w:tcW w:w="4420" w:type="dxa"/>
            <w:vAlign w:val="bottom"/>
            <w:vMerge w:val="restart"/>
          </w:tcPr>
          <w:p>
            <w:pPr>
              <w:jc w:val="center"/>
              <w:ind w:left="1010"/>
              <w:spacing w:after="0"/>
              <w:rPr>
                <w:sz w:val="20"/>
                <w:szCs w:val="20"/>
                <w:color w:val="auto"/>
              </w:rPr>
            </w:pPr>
            <w:r>
              <w:rPr>
                <w:rFonts w:ascii="Arial" w:cs="Arial" w:eastAsia="Arial" w:hAnsi="Arial"/>
                <w:sz w:val="18"/>
                <w:szCs w:val="18"/>
                <w:color w:val="auto"/>
                <w:w w:val="92"/>
              </w:rPr>
              <w:t>Senior Vice President, Chief Financial Officer</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4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2"/>
              </w:rPr>
              <w:t>Patrick R. Moore</w:t>
            </w:r>
          </w:p>
        </w:tc>
        <w:tc>
          <w:tcPr>
            <w:tcW w:w="4420" w:type="dxa"/>
            <w:vAlign w:val="bottom"/>
          </w:tcPr>
          <w:p>
            <w:pPr>
              <w:jc w:val="center"/>
              <w:ind w:left="1010"/>
              <w:spacing w:after="0"/>
              <w:rPr>
                <w:sz w:val="20"/>
                <w:szCs w:val="20"/>
                <w:color w:val="auto"/>
              </w:rPr>
            </w:pPr>
            <w:r>
              <w:rPr>
                <w:rFonts w:ascii="Arial" w:cs="Arial" w:eastAsia="Arial" w:hAnsi="Arial"/>
                <w:sz w:val="18"/>
                <w:szCs w:val="18"/>
                <w:color w:val="auto"/>
                <w:w w:val="96"/>
              </w:rPr>
              <w:t>(principal financial officer)</w:t>
            </w:r>
          </w:p>
        </w:tc>
        <w:tc>
          <w:tcPr>
            <w:tcW w:w="0" w:type="dxa"/>
            <w:vAlign w:val="bottom"/>
          </w:tcPr>
          <w:p>
            <w:pPr>
              <w:spacing w:after="0"/>
              <w:rPr>
                <w:sz w:val="1"/>
                <w:szCs w:val="1"/>
                <w:color w:val="auto"/>
              </w:rPr>
            </w:pPr>
          </w:p>
        </w:tc>
      </w:tr>
      <w:tr>
        <w:trPr>
          <w:trHeight w:val="540"/>
        </w:trPr>
        <w:tc>
          <w:tcPr>
            <w:tcW w:w="5120" w:type="dxa"/>
            <w:vAlign w:val="bottom"/>
          </w:tcPr>
          <w:p>
            <w:pPr>
              <w:jc w:val="center"/>
              <w:spacing w:after="0"/>
              <w:rPr>
                <w:sz w:val="20"/>
                <w:szCs w:val="20"/>
                <w:color w:val="auto"/>
              </w:rPr>
            </w:pPr>
            <w:r>
              <w:rPr>
                <w:rFonts w:ascii="Arial" w:cs="Arial" w:eastAsia="Arial" w:hAnsi="Arial"/>
                <w:sz w:val="18"/>
                <w:szCs w:val="18"/>
                <w:color w:val="auto"/>
                <w:w w:val="90"/>
              </w:rPr>
              <w:t>/s/ Chris Beasley</w:t>
            </w:r>
          </w:p>
        </w:tc>
        <w:tc>
          <w:tcPr>
            <w:tcW w:w="4420" w:type="dxa"/>
            <w:vAlign w:val="bottom"/>
            <w:vMerge w:val="restart"/>
          </w:tcPr>
          <w:p>
            <w:pPr>
              <w:jc w:val="center"/>
              <w:ind w:left="1010"/>
              <w:spacing w:after="0"/>
              <w:rPr>
                <w:sz w:val="20"/>
                <w:szCs w:val="20"/>
                <w:color w:val="auto"/>
              </w:rPr>
            </w:pPr>
            <w:r>
              <w:rPr>
                <w:rFonts w:ascii="Arial" w:cs="Arial" w:eastAsia="Arial" w:hAnsi="Arial"/>
                <w:sz w:val="18"/>
                <w:szCs w:val="18"/>
                <w:color w:val="auto"/>
                <w:w w:val="91"/>
              </w:rPr>
              <w:t>Senior Vice President, Accounting</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4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0"/>
              </w:rPr>
              <w:t>Chris Beasley</w:t>
            </w:r>
          </w:p>
        </w:tc>
        <w:tc>
          <w:tcPr>
            <w:tcW w:w="4420" w:type="dxa"/>
            <w:vAlign w:val="bottom"/>
          </w:tcPr>
          <w:p>
            <w:pPr>
              <w:jc w:val="center"/>
              <w:ind w:left="1010"/>
              <w:spacing w:after="0"/>
              <w:rPr>
                <w:sz w:val="20"/>
                <w:szCs w:val="20"/>
                <w:color w:val="auto"/>
              </w:rPr>
            </w:pPr>
            <w:r>
              <w:rPr>
                <w:rFonts w:ascii="Arial" w:cs="Arial" w:eastAsia="Arial" w:hAnsi="Arial"/>
                <w:sz w:val="18"/>
                <w:szCs w:val="18"/>
                <w:color w:val="auto"/>
                <w:w w:val="94"/>
              </w:rPr>
              <w:t>(principal accounting officer)</w:t>
            </w:r>
          </w:p>
        </w:tc>
        <w:tc>
          <w:tcPr>
            <w:tcW w:w="0" w:type="dxa"/>
            <w:vAlign w:val="bottom"/>
          </w:tcPr>
          <w:p>
            <w:pPr>
              <w:spacing w:after="0"/>
              <w:rPr>
                <w:sz w:val="1"/>
                <w:szCs w:val="1"/>
                <w:color w:val="auto"/>
              </w:rPr>
            </w:pPr>
          </w:p>
        </w:tc>
      </w:tr>
      <w:tr>
        <w:trPr>
          <w:trHeight w:val="540"/>
        </w:trPr>
        <w:tc>
          <w:tcPr>
            <w:tcW w:w="5120" w:type="dxa"/>
            <w:vAlign w:val="bottom"/>
          </w:tcPr>
          <w:p>
            <w:pPr>
              <w:jc w:val="center"/>
              <w:spacing w:after="0"/>
              <w:rPr>
                <w:sz w:val="20"/>
                <w:szCs w:val="20"/>
                <w:color w:val="auto"/>
              </w:rPr>
            </w:pPr>
            <w:r>
              <w:rPr>
                <w:rFonts w:ascii="Arial" w:cs="Arial" w:eastAsia="Arial" w:hAnsi="Arial"/>
                <w:sz w:val="18"/>
                <w:szCs w:val="18"/>
                <w:color w:val="auto"/>
                <w:w w:val="92"/>
              </w:rPr>
              <w:t>/s/ Nathaniel H. Taylor</w:t>
            </w:r>
          </w:p>
        </w:tc>
        <w:tc>
          <w:tcPr>
            <w:tcW w:w="442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4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3"/>
              </w:rPr>
              <w:t>Nathaniel H. Taylor</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120" w:type="dxa"/>
            <w:vAlign w:val="bottom"/>
          </w:tcPr>
          <w:p>
            <w:pPr>
              <w:jc w:val="center"/>
              <w:spacing w:after="0"/>
              <w:rPr>
                <w:sz w:val="20"/>
                <w:szCs w:val="20"/>
                <w:color w:val="auto"/>
              </w:rPr>
            </w:pPr>
            <w:r>
              <w:rPr>
                <w:rFonts w:ascii="Arial" w:cs="Arial" w:eastAsia="Arial" w:hAnsi="Arial"/>
                <w:sz w:val="18"/>
                <w:szCs w:val="18"/>
                <w:color w:val="auto"/>
                <w:w w:val="92"/>
              </w:rPr>
              <w:t>/s/ Felix Gernburd</w:t>
            </w:r>
          </w:p>
        </w:tc>
        <w:tc>
          <w:tcPr>
            <w:tcW w:w="442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4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4"/>
              </w:rPr>
              <w:t>Felix Gernburd</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120" w:type="dxa"/>
            <w:vAlign w:val="bottom"/>
          </w:tcPr>
          <w:p>
            <w:pPr>
              <w:jc w:val="center"/>
              <w:spacing w:after="0"/>
              <w:rPr>
                <w:sz w:val="20"/>
                <w:szCs w:val="20"/>
                <w:color w:val="auto"/>
              </w:rPr>
            </w:pPr>
            <w:r>
              <w:rPr>
                <w:rFonts w:ascii="Arial" w:cs="Arial" w:eastAsia="Arial" w:hAnsi="Arial"/>
                <w:sz w:val="18"/>
                <w:szCs w:val="18"/>
                <w:color w:val="auto"/>
                <w:w w:val="94"/>
              </w:rPr>
              <w:t>/s/ Virginia A. Hepner</w:t>
            </w:r>
          </w:p>
        </w:tc>
        <w:tc>
          <w:tcPr>
            <w:tcW w:w="442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4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4"/>
              </w:rPr>
              <w:t>Virginia A. Hepner</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120" w:type="dxa"/>
            <w:vAlign w:val="bottom"/>
          </w:tcPr>
          <w:p>
            <w:pPr>
              <w:jc w:val="center"/>
              <w:spacing w:after="0"/>
              <w:rPr>
                <w:sz w:val="20"/>
                <w:szCs w:val="20"/>
                <w:color w:val="auto"/>
              </w:rPr>
            </w:pPr>
            <w:r>
              <w:rPr>
                <w:rFonts w:ascii="Arial" w:cs="Arial" w:eastAsia="Arial" w:hAnsi="Arial"/>
                <w:sz w:val="18"/>
                <w:szCs w:val="18"/>
                <w:color w:val="auto"/>
                <w:w w:val="90"/>
              </w:rPr>
              <w:t>/s/ D. Randolph Peeler</w:t>
            </w:r>
          </w:p>
        </w:tc>
        <w:tc>
          <w:tcPr>
            <w:tcW w:w="442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4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89"/>
              </w:rPr>
              <w:t>D. Randolph Peeler</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120" w:type="dxa"/>
            <w:vAlign w:val="bottom"/>
          </w:tcPr>
          <w:p>
            <w:pPr>
              <w:jc w:val="center"/>
              <w:spacing w:after="0"/>
              <w:rPr>
                <w:sz w:val="20"/>
                <w:szCs w:val="20"/>
                <w:color w:val="auto"/>
              </w:rPr>
            </w:pPr>
            <w:r>
              <w:rPr>
                <w:rFonts w:ascii="Arial" w:cs="Arial" w:eastAsia="Arial" w:hAnsi="Arial"/>
                <w:sz w:val="18"/>
                <w:szCs w:val="18"/>
                <w:color w:val="auto"/>
                <w:w w:val="93"/>
              </w:rPr>
              <w:t>/s/ David M. Tehle</w:t>
            </w:r>
          </w:p>
        </w:tc>
        <w:tc>
          <w:tcPr>
            <w:tcW w:w="442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7"/>
        </w:trPr>
        <w:tc>
          <w:tcPr>
            <w:tcW w:w="5120" w:type="dxa"/>
            <w:vAlign w:val="bottom"/>
            <w:tcBorders>
              <w:bottom w:val="single" w:sz="8" w:color="auto"/>
            </w:tcBorders>
          </w:tcPr>
          <w:p>
            <w:pPr>
              <w:spacing w:after="0"/>
              <w:rPr>
                <w:sz w:val="2"/>
                <w:szCs w:val="2"/>
                <w:color w:val="auto"/>
              </w:rPr>
            </w:pPr>
          </w:p>
        </w:tc>
        <w:tc>
          <w:tcPr>
            <w:tcW w:w="4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jc w:val="center"/>
              <w:spacing w:after="0"/>
              <w:rPr>
                <w:sz w:val="20"/>
                <w:szCs w:val="20"/>
                <w:color w:val="auto"/>
              </w:rPr>
            </w:pPr>
            <w:r>
              <w:rPr>
                <w:rFonts w:ascii="Arial" w:cs="Arial" w:eastAsia="Arial" w:hAnsi="Arial"/>
                <w:sz w:val="18"/>
                <w:szCs w:val="18"/>
                <w:color w:val="auto"/>
                <w:w w:val="92"/>
              </w:rPr>
              <w:t>David M. Tehle</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Simpson Thacher &amp; Bartlett LLP</w:t>
      </w:r>
    </w:p>
    <w:p>
      <w:pPr>
        <w:spacing w:after="0" w:line="155"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425 LEXINGTON AVENUE</w:t>
      </w:r>
    </w:p>
    <w:p>
      <w:pPr>
        <w:spacing w:after="0" w:line="42"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NEW YORK, NY 10017-3954</w:t>
      </w:r>
    </w:p>
    <w:p>
      <w:pPr>
        <w:spacing w:after="0" w:line="42" w:lineRule="exact"/>
        <w:rPr>
          <w:sz w:val="20"/>
          <w:szCs w:val="20"/>
          <w:color w:val="auto"/>
        </w:rPr>
      </w:pPr>
    </w:p>
    <w:p>
      <w:pPr>
        <w:ind w:left="5620" w:hanging="356"/>
        <w:spacing w:after="0"/>
        <w:tabs>
          <w:tab w:leader="none" w:pos="5620" w:val="left"/>
        </w:tabs>
        <w:numPr>
          <w:ilvl w:val="0"/>
          <w:numId w:val="7"/>
        </w:numPr>
        <w:rPr>
          <w:rFonts w:ascii="Arial" w:cs="Arial" w:eastAsia="Arial" w:hAnsi="Arial"/>
          <w:sz w:val="14"/>
          <w:szCs w:val="14"/>
          <w:color w:val="auto"/>
        </w:rPr>
      </w:pPr>
      <w:r>
        <w:rPr>
          <w:rFonts w:ascii="Arial" w:cs="Arial" w:eastAsia="Arial" w:hAnsi="Arial"/>
          <w:sz w:val="14"/>
          <w:szCs w:val="14"/>
          <w:color w:val="auto"/>
        </w:rPr>
        <w:t>455-2000</w:t>
      </w:r>
    </w:p>
    <w:p>
      <w:pPr>
        <w:spacing w:after="0" w:line="298" w:lineRule="exact"/>
        <w:rPr>
          <w:rFonts w:ascii="Arial" w:cs="Arial" w:eastAsia="Arial" w:hAnsi="Arial"/>
          <w:sz w:val="14"/>
          <w:szCs w:val="14"/>
          <w:color w:val="auto"/>
        </w:rPr>
      </w:pPr>
    </w:p>
    <w:p>
      <w:pPr>
        <w:ind w:left="4960"/>
        <w:spacing w:after="0"/>
        <w:rPr>
          <w:rFonts w:ascii="Arial" w:cs="Arial" w:eastAsia="Arial" w:hAnsi="Arial"/>
          <w:sz w:val="14"/>
          <w:szCs w:val="14"/>
          <w:color w:val="auto"/>
        </w:rPr>
      </w:pPr>
      <w:r>
        <w:rPr>
          <w:rFonts w:ascii="Arial" w:cs="Arial" w:eastAsia="Arial" w:hAnsi="Arial"/>
          <w:sz w:val="14"/>
          <w:szCs w:val="14"/>
          <w:color w:val="auto"/>
        </w:rPr>
        <w:t>Facsimile (212) 455-2502</w:t>
      </w:r>
    </w:p>
    <w:p>
      <w:pPr>
        <w:spacing w:after="0" w:line="289"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14, 2018</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2435 Commerce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Bldg.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Duluth, Georgia 30096-4980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acted as counsel to National Vision Holdings, Inc., a Delaware corporation (the “Company”), in connection with the Registration Statement on Form S-8 (the “Registration Statement”) filed by the Company with the Securities and Exchange Commission (the “Commission”) under the Securities Act of 1933, as amended, relating to an aggregate of up to 850,000 shares of common stock, par value $0.01 per share, of the Company (the “Shares”), that may be issued by the Company pursuant to the National Vision Holdings, Inc. 2018 Associate Stock Purchase Plan (the “Plan”).</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examined the Registration Statement, the Second Amended and Restated Certificate of Incorporation (the “Amended Charter”), a form of the stock certificate for the Common Stock and the Plan, which have been filed with the Commission as exhibits to the Registration Statement. We also have examined the originals, or duplicates or certified or conformed copies, of such records, agreements, documents and other instruments and have made such other investigations as we have deemed relevant and necessary in connection with the opinions hereinafter set forth. As to questions of fact material to this opinion, we have relied upon certificates or comparable documents of public officials and of officers and representatives of the Company.</w:t>
      </w:r>
    </w:p>
    <w:p>
      <w:pPr>
        <w:spacing w:after="0" w:line="19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2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upon issuance and delivery in accordance with the Plan, the Shares will be validly issued, fully paid and nonassessable.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express any opinion herein concerning any law other than the Delaware General Corporation Law.</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hereby consent to the filing of this opinion letter as Exhibit 5.1 to the Registration Statement.</w:t>
      </w:r>
    </w:p>
    <w:p>
      <w:pPr>
        <w:spacing w:after="0" w:line="38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36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Simpson Thacher &amp; Bartlett LLP</w:t>
      </w:r>
    </w:p>
    <w:p>
      <w:pPr>
        <w:spacing w:after="0" w:line="36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SIMPSON THACHER &amp; BARTLETT LLP</w:t>
      </w:r>
    </w:p>
    <w:p>
      <w:pPr>
        <w:sectPr>
          <w:pgSz w:w="11900" w:h="16838" w:orient="portrait"/>
          <w:cols w:equalWidth="0" w:num="1">
            <w:col w:w="11420"/>
          </w:cols>
          <w:pgMar w:left="240" w:top="148"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March 8, 2018, relating to the consolidated financial statements and financial statement schedule of National Vision Holdings, Inc. appearing in the Annual Report on Form 10-K of National Vision Holdings, Inc. for the year ended December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14,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lowerLetter"/>
      <w:start w:val="1"/>
    </w:lvl>
    <w:lvl w:ilvl="1">
      <w:lvlJc w:val="left"/>
      <w:lvlText w:val="(%2)"/>
      <w:numFmt w:val="decimal"/>
      <w:start w:val="3"/>
    </w:lvl>
  </w:abstractNum>
  <w:abstractNum w:abstractNumId="5">
    <w:nsid w:val="2EB141F2"/>
    <w:multiLevelType w:val="hybridMultilevel"/>
    <w:lvl w:ilvl="0">
      <w:lvlJc w:val="left"/>
      <w:lvlText w:val="(%1)"/>
      <w:numFmt w:val="lowerLetter"/>
      <w:start w:val="2"/>
    </w:lvl>
    <w:lvl w:ilvl="1">
      <w:lvlJc w:val="left"/>
      <w:lvlText w:val="%2"/>
      <w:numFmt w:val="decimal"/>
      <w:start w:val="1"/>
    </w:lvl>
  </w:abstractNum>
  <w:abstractNum w:abstractNumId="6">
    <w:nsid w:val="41B71EF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3" Type="http://schemas.openxmlformats.org/officeDocument/2006/relationships/hyperlink" Target="http://www.sec.gov/Archives/edgar/data/1710155/000156761917002270/s001582x19_ex3-1.htm" TargetMode="External"/><Relationship Id="rId14" Type="http://schemas.openxmlformats.org/officeDocument/2006/relationships/hyperlink" Target="http://www.sec.gov/Archives/edgar/data/1710155/000156761917002270/s001582x19_ex3-2.htm" TargetMode="External"/><Relationship Id="rId15" Type="http://schemas.openxmlformats.org/officeDocument/2006/relationships/hyperlink" Target="http://www.sec.gov/Archives/edgar/data/1710155/000156761917002184/s001582x10_ex4-1.htm" TargetMode="External"/><Relationship Id="rId16" Type="http://schemas.openxmlformats.org/officeDocument/2006/relationships/hyperlink" Target="http://www.sec.gov/Archives/edgar/data/1710155/000114036118019468/s002199x1_def14a.htm#tEXH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2019-12-08T16:38:02Z</dcterms:created>
  <dcterms:modified xsi:type="dcterms:W3CDTF">2019-12-08T16:38:02Z</dcterms:modified>
</cp:coreProperties>
</file>