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020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056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0205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1714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0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March 18, 2020 (March 17, 2020)</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p>
      <w:pPr>
        <w:spacing w:after="0" w:line="248" w:lineRule="exact"/>
        <w:rPr>
          <w:sz w:val="24"/>
          <w:szCs w:val="24"/>
          <w:color w:val="auto"/>
        </w:rPr>
      </w:pPr>
    </w:p>
    <w:tbl>
      <w:tblPr>
        <w:tblLayout w:type="fixed"/>
        <w:tblInd w:w="2240" w:type="dxa"/>
        <w:tblCellMar>
          <w:top w:w="0" w:type="dxa"/>
          <w:left w:w="0" w:type="dxa"/>
          <w:bottom w:w="0" w:type="dxa"/>
          <w:right w:w="0" w:type="dxa"/>
        </w:tblCellMar>
      </w:tblPr>
      <w:tr>
        <w:trPr>
          <w:trHeight w:val="212"/>
        </w:trPr>
        <w:tc>
          <w:tcPr>
            <w:tcW w:w="3560" w:type="dxa"/>
            <w:vAlign w:val="bottom"/>
          </w:tcPr>
          <w:p>
            <w:pPr>
              <w:jc w:val="center"/>
              <w:ind w:right="151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8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49"/>
        </w:trPr>
        <w:tc>
          <w:tcPr>
            <w:tcW w:w="3560" w:type="dxa"/>
            <w:vAlign w:val="bottom"/>
          </w:tcPr>
          <w:p>
            <w:pPr>
              <w:jc w:val="center"/>
              <w:ind w:right="151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82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560" w:type="dxa"/>
            <w:vAlign w:val="bottom"/>
          </w:tcPr>
          <w:p>
            <w:pPr>
              <w:jc w:val="center"/>
              <w:ind w:right="15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82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540"/>
        </w:trPr>
        <w:tc>
          <w:tcPr>
            <w:tcW w:w="3560" w:type="dxa"/>
            <w:vAlign w:val="bottom"/>
          </w:tcPr>
          <w:p>
            <w:pPr>
              <w:jc w:val="center"/>
              <w:ind w:right="1519"/>
              <w:spacing w:after="0"/>
              <w:rPr>
                <w:sz w:val="20"/>
                <w:szCs w:val="20"/>
                <w:color w:val="auto"/>
              </w:rPr>
            </w:pPr>
            <w:r>
              <w:rPr>
                <w:rFonts w:ascii="Times New Roman" w:cs="Times New Roman" w:eastAsia="Times New Roman" w:hAnsi="Times New Roman"/>
                <w:sz w:val="16"/>
                <w:szCs w:val="16"/>
                <w:b w:val="1"/>
                <w:bCs w:val="1"/>
                <w:color w:val="auto"/>
                <w:w w:val="99"/>
              </w:rPr>
              <w:t>2435 Commerce Ave.</w:t>
            </w:r>
          </w:p>
        </w:tc>
        <w:tc>
          <w:tcPr>
            <w:tcW w:w="2820" w:type="dxa"/>
            <w:vAlign w:val="bottom"/>
          </w:tcPr>
          <w:p>
            <w:pPr>
              <w:spacing w:after="0"/>
              <w:rPr>
                <w:sz w:val="24"/>
                <w:szCs w:val="24"/>
                <w:color w:val="auto"/>
              </w:rPr>
            </w:pPr>
          </w:p>
        </w:tc>
      </w:tr>
      <w:tr>
        <w:trPr>
          <w:trHeight w:val="270"/>
        </w:trPr>
        <w:tc>
          <w:tcPr>
            <w:tcW w:w="3560" w:type="dxa"/>
            <w:vAlign w:val="bottom"/>
          </w:tcPr>
          <w:p>
            <w:pPr>
              <w:jc w:val="center"/>
              <w:ind w:right="151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28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70"/>
        </w:trPr>
        <w:tc>
          <w:tcPr>
            <w:tcW w:w="35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 xml:space="preserve">Duluth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Georgia</w:t>
            </w:r>
          </w:p>
        </w:tc>
        <w:tc>
          <w:tcPr>
            <w:tcW w:w="282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60"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6"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74"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81"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w:t>
      </w:r>
    </w:p>
    <w:p>
      <w:pPr>
        <w:spacing w:after="0" w:line="11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4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4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EYE</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1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w:t>
      </w:r>
    </w:p>
    <w:p>
      <w:pPr>
        <w:spacing w:after="0" w:line="22" w:lineRule="exact"/>
        <w:rPr>
          <w:sz w:val="24"/>
          <w:szCs w:val="24"/>
          <w:color w:val="auto"/>
        </w:rPr>
      </w:pPr>
    </w:p>
    <w:p>
      <w:pPr>
        <w:spacing w:after="0" w:line="207" w:lineRule="exact"/>
        <w:tabs>
          <w:tab w:leader="none" w:pos="8320" w:val="left"/>
        </w:tabs>
        <w:rPr>
          <w:sz w:val="20"/>
          <w:szCs w:val="20"/>
          <w:color w:val="auto"/>
        </w:rPr>
      </w:pPr>
      <w:r>
        <w:rPr>
          <w:rFonts w:ascii="Times New Roman" w:cs="Times New Roman" w:eastAsia="Times New Roman" w:hAnsi="Times New Roman"/>
          <w:sz w:val="18"/>
          <w:szCs w:val="18"/>
          <w:color w:val="auto"/>
        </w:rPr>
        <w:t>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0205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1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March 18, 2020, National Vision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relating to the temporary closure of its retail stores in light of the coronavirus (COVID-19) pandemic. A copy of that release is attached as Exhibit 99.1.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Borrowings under Revolving Credit Facility</w:t>
      </w:r>
    </w:p>
    <w:p>
      <w:pPr>
        <w:spacing w:after="0" w:line="11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March 17, 2020, as a precautionary measure to preserve financial flexibility in light of the uncertainties surrounding the coronavirus pandemic, the Company borrowed the remaining $146.3 million in available funds under its $300.0 million revolving credit facility established under its amended and restated credit agreement, dated July 18, 2019. The Company notes that it has no meaningful maturities due until 2024. With this recent draw down on the revolving credit facility, the Company has over $250.0 million in available cash on hand.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2020 Guidance</w:t>
      </w:r>
    </w:p>
    <w:p>
      <w:pPr>
        <w:spacing w:after="0" w:line="11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Due to the uncertainty surrounding the magnitude and duration of the coronavirus pandemic at this time, the Company is unable to predict the impact to its business and operating results. The Company anticipates addressing fiscal 2020 guidance, including the then-known impacts of the coronavirus, in its first quarter earnings release and earnings call.</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Item 7.01 shall not be deemed to be “filed” for the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incorporated by reference into a filing under the Securities Act of 1933, as amended, or the Exchange Act, except as shall be expressly set forth by specific reference in such a filing.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Risk Factor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light of recent developments relating to the coronavirus, the Company is supplementing the risk factors previously disclosed in its Annual Report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filed with the Securities and Exchange Commission on February 26, 2020 (the “</w:t>
      </w:r>
      <w:r>
        <w:rPr>
          <w:rFonts w:ascii="Times New Roman" w:cs="Times New Roman" w:eastAsia="Times New Roman" w:hAnsi="Times New Roman"/>
          <w:sz w:val="18"/>
          <w:szCs w:val="18"/>
          <w:u w:val="single" w:color="auto"/>
          <w:color w:val="auto"/>
        </w:rPr>
        <w:t>Form 10-K</w:t>
      </w:r>
      <w:r>
        <w:rPr>
          <w:rFonts w:ascii="Times New Roman" w:cs="Times New Roman" w:eastAsia="Times New Roman" w:hAnsi="Times New Roman"/>
          <w:sz w:val="18"/>
          <w:szCs w:val="18"/>
          <w:color w:val="auto"/>
        </w:rPr>
        <w:t>”) with the following risk factor:</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scale and scope of the recent coronavirus (COVID-19) outbreak and resulting pandemic is unknown and, due to store closures and other factors, is likely to result in an adverse impact on our business at least for the near term.</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the U.S. faces the novel coronavirus pandemic, the Company is following the recommendations of government and health authorities to minimize exposure risk for its employees, doctors and customers. As a result, the Company announced on March 18, 2020, that it is temporarily closing its stores. The Company will closely monitor this global health crisis with a view of reopening its retail stores as quickly as possible. The Company will reassess its strategy and operational structure on a regular, ongoing basis as the situation evolves. The rapid spread of the coronavirus globally also has resulted in increased travel restrictions and disruption and shutdown of certain businesses in the U.S., including our own temporary retail store closure. We may experience impacts from changes in customer behavior related to pandemic fears, quarantines and market downturns, as well as impacts on our workforce if the virus becomes widespread in any of our markets. If the virus were to affect a significant amount of the workforce employed or operating at our facilities and stores, we may experience delays or the inability to produce and deliver products to our customers on a timely basis. In addition, one or more of our customers, service providers or suppliers may experience financial distress, file for bankruptcy protection, go out of business, or suffer disruptions in their business due to the coronavirus outbreak. The global scale and scope of the coronavirus is unknown and the duration of the business disruption and related financial impact cannot be reasonably estimated at this time. The extent to which the coronavirus impacts the Company’s results will ultimately depend on future developments, which are highly uncertain and will include the duration of store closures, emerging information concerning the severity of the coronavirus and the actions taken by governments and private businesses to attempt to contain the coronavirus. However, the Company believes the coronavirus is likely to result in an adverse impact on our business, results of operations and financial condition, at least for the near term.</w:t>
      </w:r>
    </w:p>
    <w:p>
      <w:pPr>
        <w:sectPr>
          <w:pgSz w:w="11900" w:h="16838" w:orient="portrait"/>
          <w:cols w:equalWidth="0" w:num="1">
            <w:col w:w="11240"/>
          </w:cols>
          <w:pgMar w:left="320" w:top="549" w:right="339" w:bottom="1440" w:gutter="0" w:footer="0" w:header="0"/>
        </w:sectPr>
      </w:pPr>
    </w:p>
    <w:bookmarkStart w:id="2" w:name="page3"/>
    <w:bookmarkEnd w:id="2"/>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Form 8-K and the attached exhibit contains within the meaning of Section 27A of the Securities Act of 1933, as amended (the “Securities Act”) and Section 21E of the Securities Exchange Act of 1934. These statements include, but are not limited to, statements related to our current beliefs and expectations regarding the performance of our industry, the Company's strategic direction, market position, prospects and future results. You can identify these forward-looking statements by the use of words such as “guidance,” “believes,” “expects,” “potential,” “continues,” “may,” “will,” “should,” “could,” “seeks,”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those set forth above and in our Annual Report on Form 10-K under the heading “Risk Factors.” Potential risks and uncertainties include those relating to the ultimate geographic spread of the coronavirus, the duration of the coronavirus outbreak and actions that may be taken by governmental authorities to contain the outbreak or treat its impact. Additional information about these and other factors that could cause National Vision’s results to differ materially from those described in the forward-looking statements can be found in filings by National Vision with the Securities and Exchange Commission (“SEC”), including our Annual Report on Form 10-K and subsequent Quarterly Reports on Form 10-Q or Current Reports on Form 8-K,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hereto, which is incorporated herein by reference.</w:t>
      </w:r>
    </w:p>
    <w:p>
      <w:pPr>
        <w:sectPr>
          <w:pgSz w:w="11900" w:h="16838" w:orient="portrait"/>
          <w:cols w:equalWidth="0" w:num="1">
            <w:col w:w="11240"/>
          </w:cols>
          <w:pgMar w:left="320" w:top="65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18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3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360" w:type="dxa"/>
            <w:vAlign w:val="bottom"/>
          </w:tcPr>
          <w:p>
            <w:pPr>
              <w:spacing w:after="0"/>
              <w:rPr>
                <w:sz w:val="24"/>
                <w:szCs w:val="24"/>
                <w:color w:val="auto"/>
              </w:rPr>
            </w:pPr>
          </w:p>
        </w:tc>
        <w:tc>
          <w:tcPr>
            <w:tcW w:w="8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250"/>
        </w:trPr>
        <w:tc>
          <w:tcPr>
            <w:tcW w:w="840" w:type="dxa"/>
            <w:vAlign w:val="bottom"/>
            <w:gridSpan w:val="2"/>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hyperlink>
          </w:p>
        </w:tc>
        <w:tc>
          <w:tcPr>
            <w:tcW w:w="360" w:type="dxa"/>
            <w:vAlign w:val="bottom"/>
          </w:tcPr>
          <w:p>
            <w:pPr>
              <w:spacing w:after="0"/>
              <w:rPr>
                <w:sz w:val="21"/>
                <w:szCs w:val="21"/>
                <w:color w:val="auto"/>
              </w:rPr>
            </w:pPr>
          </w:p>
        </w:tc>
        <w:tc>
          <w:tcPr>
            <w:tcW w:w="8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National Vision Holdings, Inc. Press Release dated March 18, 2020</w:t>
            </w:r>
          </w:p>
        </w:tc>
      </w:tr>
      <w:tr>
        <w:trPr>
          <w:trHeight w:val="291"/>
        </w:trPr>
        <w:tc>
          <w:tcPr>
            <w:tcW w:w="3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Cover Page Interactive Data File - the cover page XBRL tags are embedded within the Inline XBRL document.</w:t>
            </w:r>
          </w:p>
        </w:tc>
      </w:tr>
    </w:tbl>
    <w:p>
      <w:pPr>
        <w:sectPr>
          <w:pgSz w:w="11900" w:h="16838" w:orient="portrait"/>
          <w:cols w:equalWidth="0" w:num="1">
            <w:col w:w="10099"/>
          </w:cols>
          <w:pgMar w:left="360" w:top="549" w:right="1440" w:bottom="1440" w:gutter="0" w:footer="0" w:header="0"/>
        </w:sectPr>
      </w:pPr>
    </w:p>
    <w:bookmarkStart w:id="4" w:name="page5"/>
    <w:bookmarkEnd w:id="4"/>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324"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48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18, 2020</w:t>
            </w:r>
          </w:p>
        </w:tc>
        <w:tc>
          <w:tcPr>
            <w:tcW w:w="26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7"/>
        </w:trPr>
        <w:tc>
          <w:tcPr>
            <w:tcW w:w="28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spacing w:after="0"/>
              <w:rPr>
                <w:sz w:val="20"/>
                <w:szCs w:val="20"/>
                <w:color w:val="auto"/>
              </w:rPr>
            </w:pPr>
          </w:p>
        </w:tc>
        <w:tc>
          <w:tcPr>
            <w:tcW w:w="26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70"/>
        </w:trPr>
        <w:tc>
          <w:tcPr>
            <w:tcW w:w="2820" w:type="dxa"/>
            <w:vAlign w:val="bottom"/>
          </w:tcPr>
          <w:p>
            <w:pPr>
              <w:spacing w:after="0"/>
              <w:rPr>
                <w:sz w:val="23"/>
                <w:szCs w:val="23"/>
                <w:color w:val="auto"/>
              </w:rPr>
            </w:pPr>
          </w:p>
        </w:tc>
        <w:tc>
          <w:tcPr>
            <w:tcW w:w="26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0960"/>
          </w:cols>
          <w:pgMar w:left="320" w:top="549" w:right="6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1474470" cy="1139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Vision Provides Business Update in Response to COVID-19</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Duluth, Ga. (Mar. 18, 2020) </w:t>
      </w:r>
      <w:r>
        <w:rPr>
          <w:rFonts w:ascii="Times New Roman" w:cs="Times New Roman" w:eastAsia="Times New Roman" w:hAnsi="Times New Roman"/>
          <w:sz w:val="18"/>
          <w:szCs w:val="18"/>
          <w:color w:val="auto"/>
        </w:rPr>
        <w:t>- National Vision Holdings, Inc. (NASDAQ: EYE) (“National Vision” or the “Company”), one of the nation’s largest optical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retailers providing quality, affordable eye care and eyewear, today announced that as a response to national efforts to help stem the COVID-19 pandemic, it will temporarily close all retail locations through March 28, 2020. The Company will continue to closely monitor this global health crisis with a view of reopening its retail stores as quickly as possible and will provide impacted associates full base pay through March 28.</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COVID-19 pandemic has created an unprecedented situation that requires rapid response,” said Reade Fahs, Chief Executive Officer of National Vision. “In thinking about the health and safety of our associates, optometrists, patients and customers, and the unique affordable models of America’s Best and our other low cost store formats, we decided this temporary measure is the best course of action at this time to protect everyone from further spread of the virus. While eye care and eyewear are critical, during this time of national emergency, we believe it is our responsibility to pause to ensure that people are able to practice social distancing and to allow critical healthcare resources to be devoted to COVID-19.”</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maintain its e-Commerce services offered through americasbest.com, eyeglassworld.com, as well as discountglasses.com and discountcontacts.com.</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as a precautionary measure to preserve financial flexibility in light of uncertainties surrounding the COVID-19 pandemic, the Company elected to borrow the remaining $146.3 million in available funds under its Revolving Credit Facility. The Company notes that it has no meaningful maturities due until 2024. With this recent draw down on the Revolving Credit Facility, the Company has over $250.0 million in available cash on hand.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National Vision Holdings, Inc.</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National Vision Holdings, Inc. is one of the largest optical retail companies in the United States with more than 1,100 retail stores in 44 states plus the District of Columbia and Puerto Rico. With a mission of helping people by making quality eye care and eyewear more affordable and accessible, the company operates five retail brands: America’s Best Contacts &amp; Eyeglasses, Eyeglass World, Vision Centers inside select Walmart stores, Vista Opticals inside Fred Meyer stores and on select military bases, and several e-commerce websites, offering a variety of products and services for customers’ eye care needs. For more information, please visit www.nationalvision.com.</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related to our current beliefs and expectations regarding the performance of our industry, the Company's strategic direction, market position, prospects and future results. You can identify these forward-looking statements by the use of words such as “guidance,” “believes,” “expects,” “potential,” “continues,” “may,” “will,” “should,” “could,” “seeks,”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those set forth in our Annual Report on Form 10-K under the heading “Risk Factors.” Potential risks and uncertainties include those relating to the ultimate geographic spread of the coronavirus, the duration of the coronavirus outbreak and actions that may be taken by governmental authorities to contain the outbreak or treat its impact. Additional information about these and other factors that could cause National Vision’s results to differ materially from those described in the forward-looking statements can be found in filings by National Vision with the Securities and Exchange Commission (“SEC”), including our Annual Report on Form 10-K and subsequent Quarterly Reports on Form 10-Q or Current Reports on Form 8-K,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Kristina Gross, National Vision,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Kristina.gross@nationalvision.com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(470) 448-2355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Mann, National Vision,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David.mann@nationalvision.com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(470) 448-2448</w:t>
      </w:r>
    </w:p>
    <w:sectPr>
      <w:pgSz w:w="11900" w:h="16838" w:orient="portrait"/>
      <w:cols w:equalWidth="0" w:num="1">
        <w:col w:w="11240"/>
      </w:cols>
      <w:pgMar w:left="320" w:top="1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2020-03-19T15:50:21Z</dcterms:created>
  <dcterms:modified xsi:type="dcterms:W3CDTF">2020-03-19T15:50:21Z</dcterms:modified>
</cp:coreProperties>
</file>