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02</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63845R107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4900" w:hanging="529"/>
        <w:spacing w:after="0" w:line="182"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4"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7,522,754</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125,426</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9,115,731</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125,426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9,241,157</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11.3 %</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National Vision Holdings, Inc.</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2435 Commerce Ave</w:t>
      </w:r>
    </w:p>
    <w:p>
      <w:pPr>
        <w:spacing w:after="0" w:line="1" w:lineRule="exact"/>
        <w:rPr>
          <w:rFonts w:ascii="Arial" w:cs="Arial" w:eastAsia="Arial" w:hAnsi="Arial"/>
          <w:sz w:val="18"/>
          <w:szCs w:val="18"/>
          <w:color w:val="auto"/>
        </w:rPr>
      </w:pPr>
    </w:p>
    <w:p>
      <w:pPr>
        <w:ind w:left="1300" w:right="8240"/>
        <w:spacing w:after="0" w:line="290" w:lineRule="auto"/>
        <w:rPr>
          <w:rFonts w:ascii="Arial" w:cs="Arial" w:eastAsia="Arial" w:hAnsi="Arial"/>
          <w:sz w:val="18"/>
          <w:szCs w:val="18"/>
          <w:color w:val="auto"/>
        </w:rPr>
      </w:pPr>
      <w:r>
        <w:rPr>
          <w:rFonts w:ascii="Arial" w:cs="Arial" w:eastAsia="Arial" w:hAnsi="Arial"/>
          <w:sz w:val="17"/>
          <w:szCs w:val="17"/>
          <w:color w:val="auto"/>
        </w:rPr>
        <w:t>Building 2200 Duluth, Georgia 30096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par value $0.01 per share</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63845R107</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81" w:orient="portrait"/>
          <w:cols w:equalWidth="0" w:num="1">
            <w:col w:w="11200"/>
          </w:cols>
          <w:pgMar w:left="320" w:top="513" w:right="379" w:bottom="0"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687705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1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1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9,241,157</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11.3 %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7,522,754</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125,426</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9,115,731</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125,426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Alternative Asset Management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(UK) Limited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180"/>
          </w:cols>
          <w:pgMar w:left="320" w:top="756"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July 08,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180"/>
          </w:cols>
          <w:pgMar w:left="320" w:top="756" w:right="39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2021-07-08T07:32:05Z</dcterms:created>
  <dcterms:modified xsi:type="dcterms:W3CDTF">2021-07-08T07:32:05Z</dcterms:modified>
</cp:coreProperties>
</file>