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0034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341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700341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3415" cy="26035"/>
                    </a:xfrm>
                    <a:prstGeom prst="rect">
                      <a:avLst/>
                    </a:prstGeom>
                    <a:noFill/>
                  </pic:spPr>
                </pic:pic>
              </a:graphicData>
            </a:graphic>
          </wp:anchor>
        </w:drawing>
        <w:t>UNITED STATES</w:t>
      </w:r>
    </w:p>
    <w:p>
      <w:pPr>
        <w:spacing w:after="0" w:line="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50"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6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102"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3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9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8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w:t>
      </w:r>
    </w:p>
    <w:p>
      <w:pPr>
        <w:spacing w:after="0" w:line="10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May 10, 2022</w:t>
      </w:r>
    </w:p>
    <w:p>
      <w:pPr>
        <w:spacing w:after="0" w:line="100"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6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National Vision Holdings, Inc.</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86"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319" w:lineRule="exact"/>
        <w:rPr>
          <w:sz w:val="24"/>
          <w:szCs w:val="24"/>
          <w:color w:val="auto"/>
        </w:rPr>
      </w:pPr>
    </w:p>
    <w:tbl>
      <w:tblPr>
        <w:tblLayout w:type="fixed"/>
        <w:tblInd w:w="1880" w:type="dxa"/>
        <w:tblCellMar>
          <w:top w:w="0" w:type="dxa"/>
          <w:left w:w="0" w:type="dxa"/>
          <w:bottom w:w="0" w:type="dxa"/>
          <w:right w:w="0" w:type="dxa"/>
        </w:tblCellMar>
      </w:tblPr>
      <w:tr>
        <w:trPr>
          <w:trHeight w:val="212"/>
        </w:trPr>
        <w:tc>
          <w:tcPr>
            <w:tcW w:w="5520" w:type="dxa"/>
            <w:vAlign w:val="bottom"/>
          </w:tcPr>
          <w:p>
            <w:pPr>
              <w:jc w:val="center"/>
              <w:ind w:left="1879"/>
              <w:spacing w:after="0"/>
              <w:rPr>
                <w:sz w:val="20"/>
                <w:szCs w:val="20"/>
                <w:color w:val="auto"/>
              </w:rPr>
            </w:pPr>
            <w:r>
              <w:rPr>
                <w:rFonts w:ascii="Times New Roman" w:cs="Times New Roman" w:eastAsia="Times New Roman" w:hAnsi="Times New Roman"/>
                <w:sz w:val="16"/>
                <w:szCs w:val="16"/>
                <w:b w:val="1"/>
                <w:bCs w:val="1"/>
                <w:color w:val="auto"/>
              </w:rPr>
              <w:t>Commission file number 001-38257</w:t>
            </w:r>
          </w:p>
        </w:tc>
        <w:tc>
          <w:tcPr>
            <w:tcW w:w="1260" w:type="dxa"/>
            <w:vAlign w:val="bottom"/>
          </w:tcPr>
          <w:p>
            <w:pPr>
              <w:spacing w:after="0"/>
              <w:rPr>
                <w:sz w:val="18"/>
                <w:szCs w:val="18"/>
                <w:color w:val="auto"/>
              </w:rPr>
            </w:pPr>
          </w:p>
        </w:tc>
      </w:tr>
      <w:tr>
        <w:trPr>
          <w:trHeight w:val="324"/>
        </w:trPr>
        <w:tc>
          <w:tcPr>
            <w:tcW w:w="5520" w:type="dxa"/>
            <w:vAlign w:val="bottom"/>
          </w:tcPr>
          <w:p>
            <w:pPr>
              <w:jc w:val="center"/>
              <w:ind w:right="285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46-4841717</w:t>
            </w:r>
          </w:p>
        </w:tc>
      </w:tr>
      <w:tr>
        <w:trPr>
          <w:trHeight w:val="208"/>
        </w:trPr>
        <w:tc>
          <w:tcPr>
            <w:tcW w:w="5520" w:type="dxa"/>
            <w:vAlign w:val="bottom"/>
          </w:tcPr>
          <w:p>
            <w:pPr>
              <w:jc w:val="center"/>
              <w:ind w:right="283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5520" w:type="dxa"/>
            <w:vAlign w:val="bottom"/>
          </w:tcPr>
          <w:p>
            <w:pPr>
              <w:jc w:val="center"/>
              <w:ind w:right="285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270"/>
        </w:trPr>
        <w:tc>
          <w:tcPr>
            <w:tcW w:w="5520" w:type="dxa"/>
            <w:vAlign w:val="bottom"/>
          </w:tcPr>
          <w:p>
            <w:pPr>
              <w:jc w:val="center"/>
              <w:ind w:right="2859"/>
              <w:spacing w:after="0"/>
              <w:rPr>
                <w:sz w:val="20"/>
                <w:szCs w:val="20"/>
                <w:color w:val="auto"/>
              </w:rPr>
            </w:pPr>
            <w:r>
              <w:rPr>
                <w:rFonts w:ascii="Times New Roman" w:cs="Times New Roman" w:eastAsia="Times New Roman" w:hAnsi="Times New Roman"/>
                <w:sz w:val="16"/>
                <w:szCs w:val="16"/>
                <w:b w:val="1"/>
                <w:bCs w:val="1"/>
                <w:color w:val="auto"/>
              </w:rPr>
              <w:t>2435 Commerce Ave.</w:t>
            </w:r>
          </w:p>
        </w:tc>
        <w:tc>
          <w:tcPr>
            <w:tcW w:w="1260" w:type="dxa"/>
            <w:vAlign w:val="bottom"/>
          </w:tcPr>
          <w:p>
            <w:pPr>
              <w:spacing w:after="0"/>
              <w:rPr>
                <w:sz w:val="23"/>
                <w:szCs w:val="23"/>
                <w:color w:val="auto"/>
              </w:rPr>
            </w:pPr>
          </w:p>
        </w:tc>
      </w:tr>
      <w:tr>
        <w:trPr>
          <w:trHeight w:val="216"/>
        </w:trPr>
        <w:tc>
          <w:tcPr>
            <w:tcW w:w="5520" w:type="dxa"/>
            <w:vAlign w:val="bottom"/>
          </w:tcPr>
          <w:p>
            <w:pPr>
              <w:jc w:val="center"/>
              <w:ind w:right="2839"/>
              <w:spacing w:after="0"/>
              <w:rPr>
                <w:sz w:val="20"/>
                <w:szCs w:val="20"/>
                <w:color w:val="auto"/>
              </w:rPr>
            </w:pPr>
            <w:r>
              <w:rPr>
                <w:rFonts w:ascii="Times New Roman" w:cs="Times New Roman" w:eastAsia="Times New Roman" w:hAnsi="Times New Roman"/>
                <w:sz w:val="16"/>
                <w:szCs w:val="16"/>
                <w:b w:val="1"/>
                <w:bCs w:val="1"/>
                <w:color w:val="auto"/>
              </w:rPr>
              <w:t>Building 2200</w:t>
            </w:r>
          </w:p>
        </w:tc>
        <w:tc>
          <w:tcPr>
            <w:tcW w:w="12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30096</w:t>
            </w:r>
          </w:p>
        </w:tc>
      </w:tr>
      <w:tr>
        <w:trPr>
          <w:trHeight w:val="216"/>
        </w:trPr>
        <w:tc>
          <w:tcPr>
            <w:tcW w:w="5520" w:type="dxa"/>
            <w:vAlign w:val="bottom"/>
          </w:tcPr>
          <w:p>
            <w:pPr>
              <w:jc w:val="center"/>
              <w:ind w:right="2839"/>
              <w:spacing w:after="0"/>
              <w:rPr>
                <w:sz w:val="20"/>
                <w:szCs w:val="20"/>
                <w:color w:val="auto"/>
              </w:rPr>
            </w:pPr>
            <w:r>
              <w:rPr>
                <w:rFonts w:ascii="Times New Roman" w:cs="Times New Roman" w:eastAsia="Times New Roman" w:hAnsi="Times New Roman"/>
                <w:sz w:val="16"/>
                <w:szCs w:val="16"/>
                <w:b w:val="1"/>
                <w:bCs w:val="1"/>
                <w:color w:val="auto"/>
              </w:rPr>
              <w:t>Duluth, Georgia</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(Zip Code)</w:t>
            </w:r>
          </w:p>
        </w:tc>
      </w:tr>
      <w:tr>
        <w:trPr>
          <w:trHeight w:val="216"/>
        </w:trPr>
        <w:tc>
          <w:tcPr>
            <w:tcW w:w="5520" w:type="dxa"/>
            <w:vAlign w:val="bottom"/>
          </w:tcPr>
          <w:p>
            <w:pPr>
              <w:jc w:val="center"/>
              <w:ind w:right="285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260" w:type="dxa"/>
            <w:vAlign w:val="bottom"/>
          </w:tcPr>
          <w:p>
            <w:pPr>
              <w:spacing w:after="0"/>
              <w:rPr>
                <w:sz w:val="18"/>
                <w:szCs w:val="18"/>
                <w:color w:val="auto"/>
              </w:rPr>
            </w:pPr>
          </w:p>
        </w:tc>
      </w:tr>
      <w:tr>
        <w:trPr>
          <w:trHeight w:val="276"/>
        </w:trPr>
        <w:tc>
          <w:tcPr>
            <w:tcW w:w="5520" w:type="dxa"/>
            <w:vAlign w:val="bottom"/>
          </w:tcPr>
          <w:p>
            <w:pPr>
              <w:jc w:val="center"/>
              <w:ind w:left="1899"/>
              <w:spacing w:after="0" w:line="184" w:lineRule="exact"/>
              <w:rPr>
                <w:sz w:val="20"/>
                <w:szCs w:val="20"/>
                <w:color w:val="auto"/>
              </w:rPr>
            </w:pPr>
            <w:r>
              <w:rPr>
                <w:rFonts w:ascii="Times New Roman" w:cs="Times New Roman" w:eastAsia="Times New Roman" w:hAnsi="Times New Roman"/>
                <w:sz w:val="16"/>
                <w:szCs w:val="16"/>
                <w:b w:val="1"/>
                <w:bCs w:val="1"/>
                <w:color w:val="auto"/>
              </w:rPr>
              <w:t>(770) 822</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3600</w:t>
            </w:r>
          </w:p>
        </w:tc>
        <w:tc>
          <w:tcPr>
            <w:tcW w:w="1260" w:type="dxa"/>
            <w:vAlign w:val="bottom"/>
          </w:tcPr>
          <w:p>
            <w:pPr>
              <w:spacing w:after="0"/>
              <w:rPr>
                <w:sz w:val="23"/>
                <w:szCs w:val="23"/>
                <w:color w:val="auto"/>
              </w:rPr>
            </w:pPr>
          </w:p>
        </w:tc>
      </w:tr>
      <w:tr>
        <w:trPr>
          <w:trHeight w:val="210"/>
        </w:trPr>
        <w:tc>
          <w:tcPr>
            <w:tcW w:w="5520" w:type="dxa"/>
            <w:vAlign w:val="bottom"/>
          </w:tcPr>
          <w:p>
            <w:pPr>
              <w:jc w:val="center"/>
              <w:ind w:left="187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1260" w:type="dxa"/>
            <w:vAlign w:val="bottom"/>
          </w:tcPr>
          <w:p>
            <w:pPr>
              <w:spacing w:after="0"/>
              <w:rPr>
                <w:sz w:val="18"/>
                <w:szCs w:val="18"/>
                <w:color w:val="auto"/>
              </w:rPr>
            </w:pPr>
          </w:p>
        </w:tc>
      </w:tr>
    </w:tbl>
    <w:p>
      <w:pPr>
        <w:spacing w:after="0" w:line="98"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100" w:lineRule="exact"/>
        <w:rPr>
          <w:sz w:val="24"/>
          <w:szCs w:val="24"/>
          <w:color w:val="auto"/>
        </w:rPr>
      </w:pPr>
    </w:p>
    <w:p>
      <w:pPr>
        <w:ind w:right="580"/>
        <w:spacing w:after="0" w:line="28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w:t>
      </w:r>
    </w:p>
    <w:p>
      <w:pPr>
        <w:spacing w:after="0" w:line="63"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365"/>
        </w:trPr>
        <w:tc>
          <w:tcPr>
            <w:tcW w:w="4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2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EYE</w:t>
            </w:r>
          </w:p>
        </w:tc>
        <w:tc>
          <w:tcPr>
            <w:tcW w:w="100" w:type="dxa"/>
            <w:vAlign w:val="bottom"/>
          </w:tcPr>
          <w:p>
            <w:pPr>
              <w:spacing w:after="0"/>
              <w:rPr>
                <w:sz w:val="19"/>
                <w:szCs w:val="19"/>
                <w:color w:val="auto"/>
              </w:rPr>
            </w:pPr>
          </w:p>
        </w:tc>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179"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w:t>
      </w:r>
    </w:p>
    <w:p>
      <w:pPr>
        <w:spacing w:after="0" w:line="22" w:lineRule="exact"/>
        <w:rPr>
          <w:sz w:val="24"/>
          <w:szCs w:val="24"/>
          <w:color w:val="auto"/>
        </w:rPr>
      </w:pPr>
    </w:p>
    <w:p>
      <w:pPr>
        <w:spacing w:after="0" w:line="207" w:lineRule="exact"/>
        <w:tabs>
          <w:tab w:leader="none" w:pos="8020" w:val="left"/>
        </w:tabs>
        <w:rPr>
          <w:sz w:val="20"/>
          <w:szCs w:val="20"/>
          <w:color w:val="auto"/>
        </w:rPr>
      </w:pPr>
      <w:r>
        <w:rPr>
          <w:rFonts w:ascii="Times New Roman" w:cs="Times New Roman" w:eastAsia="Times New Roman" w:hAnsi="Times New Roman"/>
          <w:sz w:val="18"/>
          <w:szCs w:val="18"/>
          <w:color w:val="auto"/>
        </w:rPr>
        <w:t>new 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904875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00341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3415"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0034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ectPr>
          <w:pgSz w:w="11900" w:h="16838" w:orient="portrait"/>
          <w:cols w:equalWidth="0" w:num="1">
            <w:col w:w="11180"/>
          </w:cols>
          <w:pgMar w:left="320" w:top="1190"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10, 2022, National Vision Holdings, Inc. (“National Vision”) issued a press release announcing financial results for the quarter ended April 2, 2022. A copy of the release is furnished herewith as Exhibit 99.1 and incorporated by reference herein.</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exhibits, is being furnished to the Securities and Exchange Commission (the “SEC”) pursuant to Item 2.02 of Form 8-K and shall not be deemed to be “filed” for purposes of Section 18 of the Securities Exchange Act of 1934, as amended (the “Exchange Act”), or otherwise subject to the liabilities of that section, nor shall it be deemed incorporated by reference into any of National Vision’s filings with the SEC under the Securities Act of 1933, as amended, or the Exchange Act, except as shall be expressly set forth by specific reference in such a filing.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9" w:lineRule="exact"/>
        <w:rPr>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the Exhibit Index immediately preceding the signature page hereto, which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716280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8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11"/>
        </w:trPr>
        <w:tc>
          <w:tcPr>
            <w:tcW w:w="40" w:type="dxa"/>
            <w:vAlign w:val="bottom"/>
          </w:tcPr>
          <w:p>
            <w:pPr>
              <w:spacing w:after="0"/>
              <w:rPr>
                <w:sz w:val="24"/>
                <w:szCs w:val="24"/>
                <w:color w:val="auto"/>
              </w:rPr>
            </w:pPr>
          </w:p>
        </w:tc>
        <w:tc>
          <w:tcPr>
            <w:tcW w:w="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7"/>
              </w:rPr>
              <w:t>Exhibit No.</w:t>
            </w:r>
          </w:p>
        </w:tc>
        <w:tc>
          <w:tcPr>
            <w:tcW w:w="104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Description</w:t>
            </w:r>
          </w:p>
        </w:tc>
        <w:tc>
          <w:tcPr>
            <w:tcW w:w="8480" w:type="dxa"/>
            <w:vAlign w:val="bottom"/>
          </w:tcPr>
          <w:p>
            <w:pPr>
              <w:spacing w:after="0"/>
              <w:rPr>
                <w:sz w:val="24"/>
                <w:szCs w:val="24"/>
                <w:color w:val="auto"/>
              </w:rPr>
            </w:pPr>
          </w:p>
        </w:tc>
      </w:tr>
      <w:tr>
        <w:trPr>
          <w:trHeight w:val="209"/>
        </w:trPr>
        <w:tc>
          <w:tcPr>
            <w:tcW w:w="8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04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National Vision Holdings, Inc. Press Release dated May 10, 2022.</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320" w:type="dxa"/>
            <w:vAlign w:val="bottom"/>
            <w:gridSpan w:val="2"/>
          </w:tcPr>
          <w:p>
            <w:pPr>
              <w:spacing w:after="0" w:line="20" w:lineRule="exact"/>
              <w:rPr>
                <w:sz w:val="1"/>
                <w:szCs w:val="1"/>
                <w:color w:val="auto"/>
              </w:rPr>
            </w:pPr>
          </w:p>
        </w:tc>
      </w:tr>
      <w:tr>
        <w:trPr>
          <w:trHeight w:val="250"/>
        </w:trPr>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5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1208"/>
        </w:trPr>
        <w:tc>
          <w:tcPr>
            <w:tcW w:w="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by the undersigned hereunto duly authorized.</w:t>
      </w:r>
    </w:p>
    <w:p>
      <w:pPr>
        <w:spacing w:after="0" w:line="243"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National Vision Holdings, Inc.</w:t>
            </w:r>
          </w:p>
        </w:tc>
      </w:tr>
      <w:tr>
        <w:trPr>
          <w:trHeight w:val="391"/>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Date: May 10, 2022</w:t>
            </w:r>
          </w:p>
        </w:tc>
        <w:tc>
          <w:tcPr>
            <w:tcW w:w="268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Jared Brandman</w:t>
            </w:r>
          </w:p>
        </w:tc>
      </w:tr>
      <w:tr>
        <w:trPr>
          <w:trHeight w:val="218"/>
        </w:trPr>
        <w:tc>
          <w:tcPr>
            <w:tcW w:w="2780" w:type="dxa"/>
            <w:vAlign w:val="bottom"/>
          </w:tcPr>
          <w:p>
            <w:pPr>
              <w:spacing w:after="0"/>
              <w:rPr>
                <w:sz w:val="18"/>
                <w:szCs w:val="18"/>
                <w:color w:val="auto"/>
              </w:rPr>
            </w:pPr>
          </w:p>
        </w:tc>
        <w:tc>
          <w:tcPr>
            <w:tcW w:w="268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Name:</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Jared Brandman</w:t>
            </w:r>
          </w:p>
        </w:tc>
      </w:tr>
      <w:tr>
        <w:trPr>
          <w:trHeight w:val="234"/>
        </w:trPr>
        <w:tc>
          <w:tcPr>
            <w:tcW w:w="2780" w:type="dxa"/>
            <w:vAlign w:val="bottom"/>
          </w:tcPr>
          <w:p>
            <w:pPr>
              <w:spacing w:after="0"/>
              <w:rPr>
                <w:sz w:val="20"/>
                <w:szCs w:val="20"/>
                <w:color w:val="auto"/>
              </w:rPr>
            </w:pPr>
          </w:p>
        </w:tc>
        <w:tc>
          <w:tcPr>
            <w:tcW w:w="268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Title:</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bl>
    <w:p>
      <w:pPr>
        <w:sectPr>
          <w:pgSz w:w="11900" w:h="16838" w:orient="portrait"/>
          <w:cols w:equalWidth="0" w:num="1">
            <w:col w:w="10960"/>
          </w:cols>
          <w:pgMar w:left="320" w:top="887" w:right="6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371475</wp:posOffset>
            </wp:positionV>
            <wp:extent cx="1105535" cy="8572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055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National Vision Holdings, Inc. Reports First Quarter 2022 Financial Results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Updates Fiscal 2022 Outlook</w:t>
      </w:r>
    </w:p>
    <w:p>
      <w:pPr>
        <w:spacing w:after="0" w:line="227"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Net revenue decreased 1.2% to $527.7 million</w:t>
      </w:r>
    </w:p>
    <w:p>
      <w:pPr>
        <w:spacing w:after="0" w:line="29"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Comparable store sales growth of (4.9)%; Adjusted Comparable Store Sales Growth of (6.8)%</w:t>
      </w:r>
    </w:p>
    <w:p>
      <w:pPr>
        <w:spacing w:after="0" w:line="9"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Net income decreased 30.6% to $30.1 million; Diluted EPS decreased 28.2% to $0.34</w:t>
      </w:r>
    </w:p>
    <w:p>
      <w:pPr>
        <w:spacing w:after="0" w:line="9"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Adjusted Operating Income decreased 33.0% to $45.3 million</w:t>
      </w:r>
    </w:p>
    <w:p>
      <w:pPr>
        <w:spacing w:after="0" w:line="9"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Adjusted Diluted EPS decreased 31.5% to $0.33</w:t>
      </w:r>
    </w:p>
    <w:p>
      <w:pPr>
        <w:spacing w:after="0" w:line="9"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Accelerates remote medicine rollout</w:t>
      </w:r>
    </w:p>
    <w:p>
      <w:pPr>
        <w:spacing w:after="0" w:line="32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Duluth, Ga.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May 10, 2022 </w:t>
      </w:r>
      <w:r>
        <w:rPr>
          <w:rFonts w:ascii="Times New Roman" w:cs="Times New Roman" w:eastAsia="Times New Roman" w:hAnsi="Times New Roman"/>
          <w:sz w:val="18"/>
          <w:szCs w:val="18"/>
          <w:color w:val="auto"/>
        </w:rPr>
        <w:t>-- National Vision Holdings, Inc. (NASDAQ: EYE) (“National Vision” or the “Company”) today reported its financial results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first quarter ended April 2, 2022.</w:t>
      </w:r>
    </w:p>
    <w:p>
      <w:pPr>
        <w:spacing w:after="0" w:line="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“Within the pandemic era that has brought swings of both opportunity and challenge, the first quarter was a more challenging quarter,” stated chief executive officer Reade Fahs. “With headwinds from the Omicron variant, weaker consumer confidence, and emerging constraints to exam capacity, our comps declined as we lapped a record performance last year. During the quarter, we continued to execute our growth strategy and opened 17 stores, including two Eyeglass World stores as we ramp up expansion of this brand.”</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Mr. Fahs continued, “Looking ahead, we expect the macro headwinds to our lower-income consumer as well as the constraints to exam capacity to impact our near-term performance and are updating our Fiscal 2022 outlook. We are actively working to increase exam capacity with enhanced optometrist recruiting and retention programs as well as an accelerated rollout of our remote medicine initiative. Also, as we contend with an inflationary operating environment, we implemented this week the first pricing change to our America’s Best signature offer in over 15 years. Yet we are proud to continue to deliver industry-leading value to consumers. We expect these actions, combined with easier compares, to lead to improving performance later this year. Despite the short-term challenges, we are confident in the broad appeal and health of our business model and remain well-positioned to deliver sustainable growth as we move beyond this period.</w:t>
      </w:r>
      <w:r>
        <w:rPr>
          <w:rFonts w:ascii="Times New Roman" w:cs="Times New Roman" w:eastAsia="Times New Roman" w:hAnsi="Times New Roman"/>
          <w:sz w:val="18"/>
          <w:szCs w:val="18"/>
          <w:i w:val="1"/>
          <w:iCs w:val="1"/>
          <w:color w:val="auto"/>
        </w:rPr>
        <w:t>”</w:t>
      </w:r>
    </w:p>
    <w:p>
      <w:pPr>
        <w:spacing w:after="0" w:line="7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Adjusted Comparable Store Sales Growth, Adjusted Operating Income, Adjusted EBITDA, Adjusted Diluted EPS, Adjusted Operating Margin, Adjusted EBITDA Margin, and EBITDA are not measures recognized under generally accepted accounting principles (“GAAP”). Please see “Non-GAAP Financial Measures” and “Reconciliation of Non-GAAP to GAAP Financial Measures” below for more information.</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2022 Summary</w:t>
      </w:r>
    </w:p>
    <w:p>
      <w:pPr>
        <w:spacing w:after="0" w:line="31"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decreased 1.2% to $527.7 million compared to the first quarter of 2021.</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was positively impacted by 0.2% due to the timing of unearned revenue.</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store sales growth was (4.9)% and Adjusted Comparable Store Sales Growth was (6.8)%.</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opened 17 new stores, closed three stores, and ended the quarter with 1,292 stores. Overall, store count grew 5.0% from April 3, 2021 to April 2, 2022.</w:t>
      </w:r>
    </w:p>
    <w:p>
      <w:pPr>
        <w:jc w:val="both"/>
        <w:ind w:left="340" w:hanging="332"/>
        <w:spacing w:after="0" w:line="250"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applicable to revenue increased 5.1% to $236.0 million compared to the first quarter of 2021. As a percentage of net revenue, costs applicable to revenue increased 260 basis points to 44.7% compared to the first quarter of 2021. This increase as a percentage of net revenue was primarily driven by the deleverage of optometrist-related costs, lower eyeglass margin and decreased eyeglass mix.</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increased 2.2% to $228.6 million compared to the first quarter of 2021. As a percentage of net revenue, SG&amp;A increased 140 basis points to 43.3% compared to the first quarter of 2021. This increase as a percentage of net revenue was primarily driven by the deleverage of advertising, store payroll and occupancy expenses, partially offset by lower performance-based incentive compensation.</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decreased 30.6% to $30.1 million compared to the first quarter of 2021.</w:t>
      </w:r>
    </w:p>
    <w:p>
      <w:pPr>
        <w:sectPr>
          <w:pgSz w:w="11900" w:h="16838" w:orient="portrait"/>
          <w:cols w:equalWidth="0" w:num="1">
            <w:col w:w="11240"/>
          </w:cols>
          <w:pgMar w:left="320" w:top="117" w:right="339" w:bottom="1440" w:gutter="0" w:footer="0" w:header="0"/>
        </w:sectPr>
      </w:pPr>
    </w:p>
    <w:bookmarkStart w:id="5" w:name="page6"/>
    <w:bookmarkEnd w:id="5"/>
    <w:p>
      <w:pPr>
        <w:ind w:left="340" w:hanging="332"/>
        <w:spacing w:after="0" w:line="261" w:lineRule="auto"/>
        <w:tabs>
          <w:tab w:leader="none" w:pos="33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Diluted earnings per share decreased 28.2% to $0.34 compared to the first quarter of 2021. Adjusted Diluted EPS decreased 31.5% to $0.33 compared to the first quarter of 2021. The net change in margin on unearned revenue benefited Adjusted Diluted EPS by $0.01.</w:t>
      </w:r>
    </w:p>
    <w:p>
      <w:pPr>
        <w:jc w:val="both"/>
        <w:ind w:left="340" w:hanging="332"/>
        <w:spacing w:after="0" w:line="255" w:lineRule="auto"/>
        <w:tabs>
          <w:tab w:leader="none" w:pos="33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Adjusted Operating Income decreased 33.0% to $45.3 million compared to the first quarter of 2021. Adjusted Operating Margin decreased 410 basis points to 8.6% compared to the first quarter of 2021. The net change in margin on unearned revenue benefited Adjusted Operating Income by $0.9 million.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and Cash Flow Highlights as of April 2, 2022</w:t>
      </w:r>
    </w:p>
    <w:p>
      <w:pPr>
        <w:spacing w:after="0" w:line="121" w:lineRule="exact"/>
        <w:rPr>
          <w:sz w:val="20"/>
          <w:szCs w:val="20"/>
          <w:color w:val="auto"/>
        </w:rPr>
      </w:pPr>
    </w:p>
    <w:p>
      <w:pPr>
        <w:ind w:left="340" w:hanging="332"/>
        <w:spacing w:after="0" w:line="261"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cash balance was $314.6 million as of April 2, 2022. The Company had no borrowings under its $300 million first lien revolving credit facility, exclusive of letters of credit of $6.4 million.</w:t>
      </w:r>
    </w:p>
    <w:p>
      <w:pPr>
        <w:ind w:left="340" w:right="20" w:hanging="332"/>
        <w:spacing w:after="0" w:line="250"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debt was $569.4 million as of April 2, 2022, consisting of outstanding first lien term loans, convertible senior notes (“2025 Notes”) and finance lease obligations, net of unamortized discounts.</w:t>
      </w: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 from operating activities for the first quarter of 2022 were $47.1 million compared to $97.7 million for the first quarter of 2021.</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for the first quarter of 2022 totaled $28.1 million compared to $16.4 million for the first quarter of 2021.</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21" w:lineRule="exact"/>
        <w:rPr>
          <w:sz w:val="20"/>
          <w:szCs w:val="20"/>
          <w:color w:val="auto"/>
        </w:rPr>
      </w:pPr>
    </w:p>
    <w:p>
      <w:pPr>
        <w:jc w:val="both"/>
        <w:ind w:left="340" w:hanging="332"/>
        <w:spacing w:after="0" w:line="266" w:lineRule="auto"/>
        <w:tabs>
          <w:tab w:leader="none" w:pos="33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Year-to-date through May 6, 2022, the Company repurchased 0.5 million shares of its common stock for $19 million under the share repurchase program. Following these repurchases, the Company had $111 million remaining under the current share repurchase authorization. Since the inception of the repurchase program in November 2021 the Company has repurchased 1.9 million shares for a total cost of $89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Effective May 9, 2022, the Company’s America's Best signature offer was changed to two pairs of eyeglasses for $79.95, including a free eye exam.</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2022 Outlook</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updated fiscal 2022 outlook reflects the currently expected impacts related to macro-economic factors, including the ongoing COVID-19 pandemic, inflation, geopolitical instability, and risks of recession, as well as constraints on exam capacity; however, the ultimate impact of these factors on the Company’s financial outlook remains uncertain and the outlook shown below assumes no material deterioration to the Company’s current business operations as a result of such factors.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providing the following updated outlook for the 52 weeks ending December 31, 2022:</w:t>
      </w:r>
    </w:p>
    <w:p>
      <w:pPr>
        <w:spacing w:after="0" w:line="154" w:lineRule="exact"/>
        <w:rPr>
          <w:sz w:val="20"/>
          <w:szCs w:val="20"/>
          <w:color w:val="auto"/>
        </w:rPr>
      </w:pPr>
    </w:p>
    <w:tbl>
      <w:tblPr>
        <w:tblLayout w:type="fixed"/>
        <w:tblInd w:w="26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3720" w:type="dxa"/>
            <w:vAlign w:val="bottom"/>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rPr>
              <w:t>Updated Fiscal 2022 Outlook</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Fiscal 2022 Outlook</w:t>
            </w: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Stores</w:t>
            </w:r>
          </w:p>
        </w:tc>
        <w:tc>
          <w:tcPr>
            <w:tcW w:w="372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9"/>
              </w:rPr>
              <w:t>At least 80</w:t>
            </w:r>
          </w:p>
        </w:tc>
        <w:tc>
          <w:tcPr>
            <w:tcW w:w="2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At least 80</w:t>
            </w: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Comparable Store Sales Growth</w:t>
            </w:r>
          </w:p>
        </w:tc>
        <w:tc>
          <w:tcPr>
            <w:tcW w:w="372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(7%) - (4%)</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 - 1.5%</w:t>
            </w: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372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rPr>
              <w:t>$2.01 - $2.07 billion</w:t>
            </w:r>
          </w:p>
        </w:tc>
        <w:tc>
          <w:tcPr>
            <w:tcW w:w="2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$2.12 - $2.17 billion</w:t>
            </w: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372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$85 - $105 million</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$140 - $150 million</w:t>
            </w:r>
          </w:p>
        </w:tc>
      </w:tr>
      <w:tr>
        <w:trPr>
          <w:trHeight w:val="230"/>
        </w:trPr>
        <w:tc>
          <w:tcPr>
            <w:tcW w:w="4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Diluted EPS</w:t>
            </w:r>
            <w:r>
              <w:rPr>
                <w:rFonts w:ascii="Times New Roman" w:cs="Times New Roman" w:eastAsia="Times New Roman" w:hAnsi="Times New Roman"/>
                <w:sz w:val="23"/>
                <w:szCs w:val="23"/>
                <w:color w:val="auto"/>
                <w:vertAlign w:val="superscript"/>
              </w:rPr>
              <w:t>1</w:t>
            </w:r>
          </w:p>
        </w:tc>
        <w:tc>
          <w:tcPr>
            <w:tcW w:w="372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$0.65 - $0.80</w:t>
            </w:r>
          </w:p>
        </w:tc>
        <w:tc>
          <w:tcPr>
            <w:tcW w:w="2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$1.03 - $1.10</w:t>
            </w:r>
          </w:p>
        </w:tc>
      </w:tr>
      <w:tr>
        <w:trPr>
          <w:trHeight w:val="230"/>
        </w:trPr>
        <w:tc>
          <w:tcPr>
            <w:tcW w:w="4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3"/>
                <w:szCs w:val="23"/>
                <w:color w:val="auto"/>
                <w:vertAlign w:val="superscript"/>
              </w:rPr>
              <w:t>2</w:t>
            </w:r>
          </w:p>
        </w:tc>
        <w:tc>
          <w:tcPr>
            <w:tcW w:w="372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~$103 million</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~$103 million</w:t>
            </w:r>
          </w:p>
        </w:tc>
      </w:tr>
      <w:tr>
        <w:trPr>
          <w:trHeight w:val="230"/>
        </w:trPr>
        <w:tc>
          <w:tcPr>
            <w:tcW w:w="4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w:t>
            </w:r>
            <w:r>
              <w:rPr>
                <w:rFonts w:ascii="Times New Roman" w:cs="Times New Roman" w:eastAsia="Times New Roman" w:hAnsi="Times New Roman"/>
                <w:sz w:val="23"/>
                <w:szCs w:val="23"/>
                <w:color w:val="auto"/>
                <w:vertAlign w:val="superscript"/>
              </w:rPr>
              <w:t>3</w:t>
            </w:r>
          </w:p>
        </w:tc>
        <w:tc>
          <w:tcPr>
            <w:tcW w:w="372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8"/>
              </w:rPr>
              <w:t>~$18 million</w:t>
            </w:r>
          </w:p>
        </w:tc>
        <w:tc>
          <w:tcPr>
            <w:tcW w:w="2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 million</w:t>
            </w:r>
          </w:p>
        </w:tc>
      </w:tr>
      <w:tr>
        <w:trPr>
          <w:trHeight w:val="229"/>
        </w:trPr>
        <w:tc>
          <w:tcPr>
            <w:tcW w:w="4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Tax Rate</w:t>
            </w:r>
            <w:r>
              <w:rPr>
                <w:rFonts w:ascii="Times New Roman" w:cs="Times New Roman" w:eastAsia="Times New Roman" w:hAnsi="Times New Roman"/>
                <w:sz w:val="23"/>
                <w:szCs w:val="23"/>
                <w:color w:val="auto"/>
                <w:vertAlign w:val="superscript"/>
              </w:rPr>
              <w:t>4</w:t>
            </w:r>
          </w:p>
        </w:tc>
        <w:tc>
          <w:tcPr>
            <w:tcW w:w="372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~26%</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~26%</w:t>
            </w: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72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8"/>
              </w:rPr>
              <w:t>$110 - $115 million</w:t>
            </w:r>
          </w:p>
        </w:tc>
        <w:tc>
          <w:tcPr>
            <w:tcW w:w="2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$110 - $115 million</w:t>
            </w:r>
          </w:p>
        </w:tc>
      </w:tr>
    </w:tbl>
    <w:p>
      <w:pPr>
        <w:spacing w:after="0" w:line="268" w:lineRule="exact"/>
        <w:rPr>
          <w:sz w:val="20"/>
          <w:szCs w:val="20"/>
          <w:color w:val="auto"/>
        </w:rPr>
      </w:pPr>
    </w:p>
    <w:p>
      <w:pPr>
        <w:ind w:left="280" w:right="480"/>
        <w:spacing w:after="0" w:line="250" w:lineRule="auto"/>
        <w:rPr>
          <w:sz w:val="20"/>
          <w:szCs w:val="20"/>
          <w:color w:val="auto"/>
        </w:rPr>
      </w:pPr>
      <w:r>
        <w:rPr>
          <w:rFonts w:ascii="Times New Roman" w:cs="Times New Roman" w:eastAsia="Times New Roman" w:hAnsi="Times New Roman"/>
          <w:sz w:val="16"/>
          <w:szCs w:val="16"/>
          <w:i w:val="1"/>
          <w:iCs w:val="1"/>
          <w:color w:val="auto"/>
        </w:rPr>
        <w:t>1 - Assumes 82.0 million shares, and does not include 12.9 million shares attributable to the 2025 Notes as they are anticipated to be anti-dilutive to earnings per share for fiscal year 2022</w:t>
      </w:r>
    </w:p>
    <w:p>
      <w:pPr>
        <w:ind w:left="280"/>
        <w:spacing w:after="0" w:line="212" w:lineRule="auto"/>
        <w:rPr>
          <w:sz w:val="20"/>
          <w:szCs w:val="20"/>
          <w:color w:val="auto"/>
        </w:rPr>
      </w:pPr>
      <w:r>
        <w:rPr>
          <w:rFonts w:ascii="Times New Roman" w:cs="Times New Roman" w:eastAsia="Times New Roman" w:hAnsi="Times New Roman"/>
          <w:sz w:val="16"/>
          <w:szCs w:val="16"/>
          <w:i w:val="1"/>
          <w:iCs w:val="1"/>
          <w:color w:val="auto"/>
        </w:rPr>
        <w:t>2 - Includes amortization of acquisition intangibles of approximately $7.5 million, which is excluded in the definition of Adjusted Operating Income</w:t>
      </w:r>
    </w:p>
    <w:p>
      <w:pPr>
        <w:ind w:left="280"/>
        <w:spacing w:after="0" w:line="212" w:lineRule="auto"/>
        <w:rPr>
          <w:sz w:val="20"/>
          <w:szCs w:val="20"/>
          <w:color w:val="auto"/>
        </w:rPr>
      </w:pPr>
      <w:r>
        <w:rPr>
          <w:rFonts w:ascii="Times New Roman" w:cs="Times New Roman" w:eastAsia="Times New Roman" w:hAnsi="Times New Roman"/>
          <w:sz w:val="16"/>
          <w:szCs w:val="16"/>
          <w:i w:val="1"/>
          <w:iCs w:val="1"/>
          <w:color w:val="auto"/>
        </w:rPr>
        <w:t>3 - Before the impact of gains or losses related to hedge ineffectiveness and charges related to amortization of debt discounts and deferred financing costs</w:t>
      </w:r>
    </w:p>
    <w:p>
      <w:pPr>
        <w:ind w:left="280"/>
        <w:spacing w:after="0"/>
        <w:rPr>
          <w:sz w:val="20"/>
          <w:szCs w:val="20"/>
          <w:color w:val="auto"/>
        </w:rPr>
      </w:pPr>
      <w:r>
        <w:rPr>
          <w:rFonts w:ascii="Times New Roman" w:cs="Times New Roman" w:eastAsia="Times New Roman" w:hAnsi="Times New Roman"/>
          <w:sz w:val="16"/>
          <w:szCs w:val="16"/>
          <w:i w:val="1"/>
          <w:iCs w:val="1"/>
          <w:color w:val="auto"/>
        </w:rPr>
        <w:t>4 - Excluding the impact of stock option exercises</w:t>
      </w:r>
    </w:p>
    <w:p>
      <w:pPr>
        <w:sectPr>
          <w:pgSz w:w="11900" w:h="16838" w:orient="portrait"/>
          <w:cols w:equalWidth="0" w:num="1">
            <w:col w:w="11240"/>
          </w:cols>
          <w:pgMar w:left="320" w:top="891" w:right="339" w:bottom="1440" w:gutter="0" w:footer="0" w:header="0"/>
        </w:sectPr>
      </w:pPr>
    </w:p>
    <w:bookmarkStart w:id="6" w:name="page7"/>
    <w:bookmarkEnd w:id="6"/>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fiscal 2022 outlook information provided above includes Adjusted Operating Income and Adjusted Diluted EPS guidance, which are non-GAAP financial measures management uses in measuring performance. The Company is not able to reconcile these forward-looking non-GAAP measures to GAAP without unreasonable efforts because it is not possible to predict with a reasonable degree of certainty the actual impact of certain items and unanticipated events, including taxes and non-recurring items, which would be included in GAAP results. The impact of such items and unanticipated events could be potentially significant.</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fiscal 2022 outlook is forward-looking, subject to significant business, economic, regulatory and competitive uncertainties and contingencies, many of which are beyond the control of the Company and its management, and based upon assumptions with respect to future decisions, which are subject to change. Actual results may vary and those variations may be material. As such, the Company’s results may not fall within the ranges contained in its fiscal 2022 outlook. The Company uses these forward looking measures internally to assess and benchmark its results and strategic plans.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Details</w:t>
      </w:r>
    </w:p>
    <w:p>
      <w:pPr>
        <w:spacing w:after="0" w:line="2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 xml:space="preserve">A conference call to discuss the first quarter 2022 financial results is scheduled for today, May 10, 2022, at 8:30 a.m. Eastern Time. The U.S. toll free dial-in for the conference call is 866-374-5140 and the international dial-in is 404-400-0571. The conference passcode is 14749502. A live audio webcast of the conference call will be available on the “Investors” section of the Company’s website </w:t>
      </w:r>
      <w:r>
        <w:rPr>
          <w:rFonts w:ascii="Times New Roman" w:cs="Times New Roman" w:eastAsia="Times New Roman" w:hAnsi="Times New Roman"/>
          <w:sz w:val="18"/>
          <w:szCs w:val="18"/>
          <w:u w:val="single" w:color="auto"/>
          <w:color w:val="0E32E1"/>
        </w:rPr>
        <w:t>www.nationalvision.com/investors</w:t>
      </w:r>
      <w:r>
        <w:rPr>
          <w:rFonts w:ascii="Times New Roman" w:cs="Times New Roman" w:eastAsia="Times New Roman" w:hAnsi="Times New Roman"/>
          <w:sz w:val="18"/>
          <w:szCs w:val="18"/>
          <w:color w:val="auto"/>
          <w:highlight w:val="white"/>
        </w:rPr>
        <w:t>, where presentation materials will</w:t>
      </w:r>
      <w:r>
        <w:rPr>
          <w:rFonts w:ascii="Times New Roman" w:cs="Times New Roman" w:eastAsia="Times New Roman" w:hAnsi="Times New Roman"/>
          <w:sz w:val="18"/>
          <w:szCs w:val="18"/>
          <w:color w:val="auto"/>
        </w:rPr>
        <w:t xml:space="preserve"> be posted prior to the conference call.</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replay of the audio webcast will also be archived on the “Investors” section of the Company’s website.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National Vision Holdings, Inc.</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National Vision Holdings, Inc. is the second largest optical retail company in the United States (by sales) with more than 1,200 retail stores in 44 states and Puerto Rico. With a mission of helping people by making quality eye care and eyewear more affordable and accessible, the Company operates five retail brands: America’s Best Contacts &amp; Eyeglasses, Eyeglass World, Vision Centers inside select Walmart stores, and Vista Opticals inside select Fred Meyer stores and on select military bases, and several e-commerce websites, offering a variety of products and services for customers’ eye care needs.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of 1933, as amended (the “Securities Act”) and Section 21E of the Securities Exchange Act of 1934. These statements include, but are not limited to, statements contained under “Fiscal 2022 Outlook” as well as other statements related to our current beliefs and expectations regarding the performance of our industry, the Company’s strategic direction, market position, prospects and future results. You can identify these forward-looking statements by the use of words such as “outlook,” “guidance,” “believes,” “expects,” “potential,” “continues,” “may,” “will,” “should,” “could,” “seeks,” “projects,” “predicts,” “intends,” “plans,” “estimates,” “anticipates” or the negative version of these words or other comparable words. Caution should be taken not to place undue reliance on any forward-looking statement as such statements speak only as of the date when made. We undertake no obligation to publicly update or review any forward-looking statement, whether as a result of new information, future developments or otherwise, except as required by law. Forward-looking statements are not guarantees and are subject to various risks and uncertainties, which may cause actual results to differ materially from those implied in forward-looking statements. Such factors include, but are not limited to, the COVID-19 pandemic and its resurgence and variants, and the impact of evolving federal, state, and local governmental actions in response thereto, including risks stemming from vaccination and testing programs and mandates; customer behavior in response to the continuing pandemic and its more recent outbreaks of variants, including the impact of such behavior on in-store traffic and sales; overall decline in the health of the economy and other factors impacting consumer spending, including inflation, and geopolitical instability; our ability to open and operate new stores in a timely and cost-effective manner, or keep stores safely open in light of the continuing COVID-19 pandemic, and to successfully enter new markets; our ability to recruit and retain vision care professionals for our stores in general and in light of the pandemic; our ability to develop, maintain and extend relationships with managed vision care companies, vision insurance providers and other third-party payors; our ability to maintain the performance of our Host and Legacy brands and our current operating relationships with our Host and Legacy partners; our ability to adhere to extensive state, local and federal vision care and healthcare laws and regulations; our compliance with managed vision care laws and regulations; our ability to maintain sufficient levels of cash flow from our operations to execute or sustain our growth strategy or obtain additional financing at satisfactory terms or at all; the loss of, or disruption in the operations of, one or more of our distribution centers and/or optical laboratories, resulting in the inability to fulfill customer orders and deliver our products in a timely manner; risks associated with vendors from whom our products are sourced, including our dependence on a limited number of suppliers; our ability to compete successfully; our ability to effectively operate our</w:t>
      </w:r>
    </w:p>
    <w:p>
      <w:pPr>
        <w:sectPr>
          <w:pgSz w:w="11900" w:h="16838" w:orient="portrait"/>
          <w:cols w:equalWidth="0" w:num="1">
            <w:col w:w="11240"/>
          </w:cols>
          <w:pgMar w:left="320" w:top="889" w:right="339" w:bottom="1440" w:gutter="0" w:footer="0" w:header="0"/>
        </w:sectPr>
      </w:pPr>
    </w:p>
    <w:bookmarkStart w:id="7" w:name="page8"/>
    <w:bookmarkEnd w:id="7"/>
    <w:p>
      <w:pPr>
        <w:jc w:val="both"/>
        <w:spacing w:after="0" w:line="252" w:lineRule="auto"/>
        <w:rPr>
          <w:sz w:val="20"/>
          <w:szCs w:val="20"/>
          <w:color w:val="auto"/>
        </w:rPr>
      </w:pPr>
      <w:r>
        <w:rPr>
          <w:rFonts w:ascii="Times New Roman" w:cs="Times New Roman" w:eastAsia="Times New Roman" w:hAnsi="Times New Roman"/>
          <w:sz w:val="18"/>
          <w:szCs w:val="18"/>
          <w:color w:val="auto"/>
        </w:rPr>
        <w:t>information technology systems and prevent interruption or security breach; the impact of wage rate increases, inflation, cost increases and increases in raw material prices and energy prices; our growth strategy straining our existing resources and causing the performance of our existing stores to suffer; our ability to successfully and efficiently implement our marketing, advertising and promotional efforts; risks associated with leasing substantial amounts of space, including future increases in occupancy costs; the impact of certain technological advances, and the greater availability of, or increased consumer preferences for, vision correction alternatives to prescription eyeglasses or contact lenses, and future drug development for the correction of vision-related problems; our ability to retain our existing senior management team and attract qualified new personnel; our ability to manage our inventory; seasonal fluctuations in our operating results and inventory levels; our reliance on third-party coverage and reimbursement, including government programs, for an increasing portion of our revenues; risks associated with our e-commerce and omni-channel business; product liability, product recall or personal injury issues; our failure to comply with, or changes in, laws, regulations, enforcement activities and other requirements; the impact of any adverse litigation judgments or settlements resulting from legal proceedings relating to our business operations; risk of losses arising from our investments in technological innovators in the optical retail industry; our ability to adequately protect our intellectual property; risks associated with environmental, social and governance issues, including climate change; our significant amount of indebtedness and our ability to generate sufficient cash flow to satisfy our debt obligations; a change in interest rates as well as changes in benchmark rates and uncertainty related to the foregoing; restrictions in our credit agreement that limits our flexibility in operating our business; potential dilution to existing stockholders upon the conversion of our convertible notes; and risks related to owning our common stock, including our ability to comply with requirements to design and implement and maintain effective internal controls. Additional information about these and other factors that could cause National Vision’s results to differ materially from those described in the forward-looking statements can be found in filings by National Vision with the Securities and Exchange Commission (“SEC”), including our latest Annual Report on Form 10-K, our Quarterly Report on Form 10-Q filed on May 10, 2022, and subsequently filed reports, which are accessible on the SEC’s website at www.sec.gov. These factors should not be construed as exhaustive and should be read in conjunction with the other cautionary statements that are included in this release and in our filings with the SEC.</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supplement the Company’s financial information presented in accordance with GAAP and aid understanding of the Company’s business performance, the Company uses certain non-GAAP financial measures, namely “EBITDA,” “Adjusted Operating Income,” “Adjusted Operating Margin,” “Adjusted EBITDA,” “Adjusted EBITDA Margin,” “Adjusted Diluted EPS,” “Adjusted Comparable Stores Sales Growth,” “Adjusted SG&amp;A,” and “Adjusted SG&amp;A Percent of Net Revenue.” We believe EBITDA, Adjusted Operating Income, Adjusted Operating Margin, Adjusted EBITDA, Adjusted EBITDA Margin, Adjusted Diluted EPS, Adjusted SG&amp;A and Adjusted SG&amp;A Percent of Net Revenue assist investors and analysts in comparing our operating performance across reporting periods on a consistent basis by excluding items that we do not believe are indicative of our core operating performance. Management believes these non-GAAP financial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these non-GAAP financial measures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supplement the Company’s comparable store sales growth presented in accordance with GAAP, the Company provides “Adjusted Comparable Store Sales Growth,” which is a non-GAAP financial measure we believe is useful because it provides timely and accurate information relating to the two core metrics of retail sales: number of transactions and value of transactions. Management uses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 Sales Growth to be meaningful.</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EBITDA: </w:t>
      </w:r>
      <w:r>
        <w:rPr>
          <w:rFonts w:ascii="Times New Roman" w:cs="Times New Roman" w:eastAsia="Times New Roman" w:hAnsi="Times New Roman"/>
          <w:sz w:val="18"/>
          <w:szCs w:val="18"/>
          <w:color w:val="auto"/>
        </w:rPr>
        <w:t>We define EBITDA as net income, plus interest expense (income), net, income tax provision (benefit) and depreciation and amortization.</w:t>
      </w:r>
    </w:p>
    <w:p>
      <w:pPr>
        <w:sectPr>
          <w:pgSz w:w="11900" w:h="16838" w:orient="portrait"/>
          <w:cols w:equalWidth="0" w:num="1">
            <w:col w:w="11240"/>
          </w:cols>
          <w:pgMar w:left="320" w:top="891" w:right="339" w:bottom="1440" w:gutter="0" w:footer="0" w:header="0"/>
        </w:sectPr>
      </w:pPr>
    </w:p>
    <w:bookmarkStart w:id="8" w:name="page9"/>
    <w:bookmarkEnd w:id="8"/>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Operating Income: </w:t>
      </w:r>
      <w:r>
        <w:rPr>
          <w:rFonts w:ascii="Times New Roman" w:cs="Times New Roman" w:eastAsia="Times New Roman" w:hAnsi="Times New Roman"/>
          <w:sz w:val="18"/>
          <w:szCs w:val="18"/>
          <w:color w:val="auto"/>
        </w:rPr>
        <w:t>We define Adjusted Operating Income as net income, plus interest expense (income), net and income tax provision (benefit),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further adjusted to exclude stock compensation expense, loss on extinguishment of debt, asset impairment, litigation settlement, secondary offering expenses, management realignment expenses, long-term incentive plan expenses, amortization of acquisition intangibles, and certain other expenses.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Adjusted Operating Margin: </w:t>
      </w:r>
      <w:r>
        <w:rPr>
          <w:rFonts w:ascii="Times New Roman" w:cs="Times New Roman" w:eastAsia="Times New Roman" w:hAnsi="Times New Roman"/>
          <w:sz w:val="18"/>
          <w:szCs w:val="18"/>
          <w:color w:val="auto"/>
        </w:rPr>
        <w:t>We define Adjusted Operating Margin as Adjusted Operating Income as a percentage of net revenue.</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w:t>
      </w:r>
      <w:r>
        <w:rPr>
          <w:rFonts w:ascii="Times New Roman" w:cs="Times New Roman" w:eastAsia="Times New Roman" w:hAnsi="Times New Roman"/>
          <w:sz w:val="18"/>
          <w:szCs w:val="18"/>
          <w:color w:val="auto"/>
        </w:rPr>
        <w:t>We define Adjusted EBITDA as net income, plus interest expense (income), net, income tax provision (benefit) and depreciation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amortization, further adjusted to exclude stock compensation expense, loss on extinguishment of debt, asset impairment, litigation settlement, secondary offering expenses, management realignment expenses, long-term incentive plan expenses, and certain other expenses.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Margin: </w:t>
      </w:r>
      <w:r>
        <w:rPr>
          <w:rFonts w:ascii="Times New Roman" w:cs="Times New Roman" w:eastAsia="Times New Roman" w:hAnsi="Times New Roman"/>
          <w:sz w:val="18"/>
          <w:szCs w:val="18"/>
          <w:color w:val="auto"/>
        </w:rPr>
        <w:t>We define Adjusted EBITDA Margin as Adjusted EBITDA as a percentage of net revenue.</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Diluted EPS: </w:t>
      </w:r>
      <w:r>
        <w:rPr>
          <w:rFonts w:ascii="Times New Roman" w:cs="Times New Roman" w:eastAsia="Times New Roman" w:hAnsi="Times New Roman"/>
          <w:sz w:val="18"/>
          <w:szCs w:val="18"/>
          <w:color w:val="auto"/>
        </w:rPr>
        <w:t>We define Adjusted Diluted EPS as diluted earnings per share, adjusted for the per share impact of stock compensation expense,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loss on extinguishment of debt, asset impairment, litigation settlement, secondary offering expenses, management realignment expenses, long-term incentive plan expenses, amortization of acquisition intangibles, amortization of debt discounts and deferred financing costs of the term loan borrowings, amortization of the conversion feature and deferred financing costs related to the 2025 Notes when not required under U.S. GAAP to be added back for diluted earnings per share, losses (gains) on change in fair value of derivatives, certain other expenses, and tax benefit of stock option exercises, less the tax effect of these adjustments. We adjust for amortization of costs related to the 2025 Notes only when adjustment for these costs is not required in the calculation of diluted earnings per share according to U.S. GAAP.</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SG&amp;A: </w:t>
      </w:r>
      <w:r>
        <w:rPr>
          <w:rFonts w:ascii="Times New Roman" w:cs="Times New Roman" w:eastAsia="Times New Roman" w:hAnsi="Times New Roman"/>
          <w:sz w:val="18"/>
          <w:szCs w:val="18"/>
          <w:color w:val="auto"/>
        </w:rPr>
        <w:t>We define Adjusted SG&amp;A as SG&amp;A, adjusted to exclude stock compensation expense, litigation settlement, secondary offering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expenses, management realignment expenses, long-term incentive plan expense, and certain other expenses.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Adjusted SG&amp;A Percent of Net Revenue: </w:t>
      </w:r>
      <w:r>
        <w:rPr>
          <w:rFonts w:ascii="Times New Roman" w:cs="Times New Roman" w:eastAsia="Times New Roman" w:hAnsi="Times New Roman"/>
          <w:sz w:val="18"/>
          <w:szCs w:val="18"/>
          <w:color w:val="auto"/>
        </w:rPr>
        <w:t>We define Adjusted SG&amp;A Percent of Net Revenue as Adjusted SG&amp;A as a percentage of net revenue.</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Comparable Store Sales Growth: </w:t>
      </w:r>
      <w:r>
        <w:rPr>
          <w:rFonts w:ascii="Times New Roman" w:cs="Times New Roman" w:eastAsia="Times New Roman" w:hAnsi="Times New Roman"/>
          <w:sz w:val="18"/>
          <w:szCs w:val="18"/>
          <w:color w:val="auto"/>
        </w:rPr>
        <w:t>We measure Adjusted Comparable Store Sales Growth as the increase or decrease in sales recorded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comparable store base in any reporting period, compared to sales recorded by the comparable store base in the prior reporting period, which we calculate as follows: (i) sales are recorded on a cash basis (i.e. when the order is placed and paid for or submitted to a managed care payor, compared to when the order is delivered), utilizing cash basis point of sale information from stores; (ii) stores are added to the calculation during the 13th full fiscal month following the store’s opening; (iii) closed stores are removed from the calculation for time periods that are not comparable; (iv) sales from partial months of operation are excluded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EBITDA, Adjusted Operating Income, Adjusted Operating Margin, Adjusted EBITDA, Adjusted EBITDA Margin, Adjusted Diluted EPS, Adjusted SG&amp;A, Adjusted SG&amp;A Percent of Net Revenue and Adjusted Comparable Store Sales Growth are not recognized terms under U.S. GAAP and should not be considered as an alternative to net income or the ratio of net income to net revenue as a measure of financial performance, SG&amp;A, the ratio of SG&amp;A to net revenue as a measure of financial performance, cash flows provided by operating activities as a measure of liquidity, comparable store sales growth as a measure of operating performance, or any other performance measure derived in accordance with U.S.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U.S. GAAP. Because not all companies use identical calculations, the presentations of these measures may not be comparable to other similarly titled measures of other companies and can differ significantly from company to company.</w:t>
      </w:r>
    </w:p>
    <w:p>
      <w:pPr>
        <w:spacing w:after="0" w:line="8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Please see “Reconciliation of Non-GAAP to GAAP Financial Measures” below for reconciliations of non-GAAP financial measures used in this release to their most directly comparable GAAP financial measures.</w:t>
      </w:r>
    </w:p>
    <w:p>
      <w:pPr>
        <w:sectPr>
          <w:pgSz w:w="11900" w:h="16838" w:orient="portrait"/>
          <w:cols w:equalWidth="0" w:num="1">
            <w:col w:w="11240"/>
          </w:cols>
          <w:pgMar w:left="320" w:top="88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April 2, 2022 and January 1,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Par Value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As of</w:t>
            </w:r>
          </w:p>
        </w:tc>
        <w:tc>
          <w:tcPr>
            <w:tcW w:w="260" w:type="dxa"/>
            <w:vAlign w:val="bottom"/>
          </w:tcPr>
          <w:p>
            <w:pPr>
              <w:spacing w:after="0"/>
              <w:rPr>
                <w:sz w:val="17"/>
                <w:szCs w:val="17"/>
                <w:color w:val="auto"/>
              </w:rPr>
            </w:pPr>
          </w:p>
        </w:tc>
        <w:tc>
          <w:tcPr>
            <w:tcW w:w="172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39"/>
        </w:trPr>
        <w:tc>
          <w:tcPr>
            <w:tcW w:w="7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April 2, 2022</w:t>
            </w:r>
          </w:p>
        </w:tc>
        <w:tc>
          <w:tcPr>
            <w:tcW w:w="260" w:type="dxa"/>
            <w:vAlign w:val="bottom"/>
          </w:tcPr>
          <w:p>
            <w:pPr>
              <w:spacing w:after="0"/>
              <w:rPr>
                <w:sz w:val="20"/>
                <w:szCs w:val="20"/>
                <w:color w:val="auto"/>
              </w:rPr>
            </w:pPr>
          </w:p>
        </w:tc>
        <w:tc>
          <w:tcPr>
            <w:tcW w:w="17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January 1, 2022</w:t>
            </w:r>
          </w:p>
        </w:tc>
        <w:tc>
          <w:tcPr>
            <w:tcW w:w="0" w:type="dxa"/>
            <w:vAlign w:val="bottom"/>
          </w:tcPr>
          <w:p>
            <w:pPr>
              <w:spacing w:after="0"/>
              <w:rPr>
                <w:sz w:val="1"/>
                <w:szCs w:val="1"/>
                <w:color w:val="auto"/>
              </w:rPr>
            </w:pPr>
          </w:p>
        </w:tc>
      </w:tr>
      <w:tr>
        <w:trPr>
          <w:trHeight w:val="214"/>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305,800</w:t>
            </w:r>
          </w:p>
        </w:tc>
        <w:tc>
          <w:tcPr>
            <w:tcW w:w="0" w:type="dxa"/>
            <w:vAlign w:val="bottom"/>
          </w:tcPr>
          <w:p>
            <w:pPr>
              <w:spacing w:after="0"/>
              <w:rPr>
                <w:sz w:val="1"/>
                <w:szCs w:val="1"/>
                <w:color w:val="auto"/>
              </w:rPr>
            </w:pP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55,697</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123,669</w:t>
            </w:r>
          </w:p>
        </w:tc>
        <w:tc>
          <w:tcPr>
            <w:tcW w:w="0" w:type="dxa"/>
            <w:vAlign w:val="bottom"/>
          </w:tcPr>
          <w:p>
            <w:pPr>
              <w:spacing w:after="0"/>
              <w:rPr>
                <w:sz w:val="1"/>
                <w:szCs w:val="1"/>
                <w:color w:val="auto"/>
              </w:rPr>
            </w:pPr>
          </w:p>
        </w:tc>
      </w:tr>
      <w:tr>
        <w:trPr>
          <w:trHeight w:val="229"/>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28,306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29,410</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514,576</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346,436</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777,613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777,613</w:t>
            </w: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240,547</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42,020</w:t>
            </w:r>
          </w:p>
        </w:tc>
        <w:tc>
          <w:tcPr>
            <w:tcW w:w="0" w:type="dxa"/>
            <w:vAlign w:val="bottom"/>
          </w:tcPr>
          <w:p>
            <w:pPr>
              <w:spacing w:after="0"/>
              <w:rPr>
                <w:sz w:val="1"/>
                <w:szCs w:val="1"/>
                <w:color w:val="auto"/>
              </w:rPr>
            </w:pP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 of use assets</w:t>
            </w: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354,900</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16,999</w:t>
            </w:r>
          </w:p>
        </w:tc>
        <w:tc>
          <w:tcPr>
            <w:tcW w:w="0" w:type="dxa"/>
            <w:vAlign w:val="bottom"/>
          </w:tcPr>
          <w:p>
            <w:pPr>
              <w:spacing w:after="0"/>
              <w:rPr>
                <w:sz w:val="1"/>
                <w:szCs w:val="1"/>
                <w:color w:val="auto"/>
              </w:rPr>
            </w:pPr>
          </w:p>
        </w:tc>
      </w:tr>
      <w:tr>
        <w:trPr>
          <w:trHeight w:val="223"/>
        </w:trPr>
        <w:tc>
          <w:tcPr>
            <w:tcW w:w="7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non-current assets</w:t>
            </w: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1,792,893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1,778,515</w:t>
            </w:r>
          </w:p>
        </w:tc>
        <w:tc>
          <w:tcPr>
            <w:tcW w:w="0" w:type="dxa"/>
            <w:vAlign w:val="bottom"/>
          </w:tcPr>
          <w:p>
            <w:pPr>
              <w:spacing w:after="0"/>
              <w:rPr>
                <w:sz w:val="1"/>
                <w:szCs w:val="1"/>
                <w:color w:val="auto"/>
              </w:rPr>
            </w:pP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2,325,487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2,293,091</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1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69,414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64,331</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payables and accrued expenses</w:t>
            </w: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119,323</w:t>
            </w: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29,895</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65,325</w:t>
            </w: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maturities of long-term debt and finance lease obligations</w:t>
            </w: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3,999</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operating lease obligations</w:t>
            </w:r>
          </w:p>
        </w:tc>
        <w:tc>
          <w:tcPr>
            <w:tcW w:w="3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70,567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60,930</w:t>
            </w:r>
          </w:p>
        </w:tc>
        <w:tc>
          <w:tcPr>
            <w:tcW w:w="0" w:type="dxa"/>
            <w:vAlign w:val="bottom"/>
          </w:tcPr>
          <w:p>
            <w:pPr>
              <w:spacing w:after="0"/>
              <w:rPr>
                <w:sz w:val="1"/>
                <w:szCs w:val="1"/>
                <w:color w:val="auto"/>
              </w:rPr>
            </w:pPr>
          </w:p>
        </w:tc>
      </w:tr>
      <w:tr>
        <w:trPr>
          <w:trHeight w:val="223"/>
        </w:trPr>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345,407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343,803</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debt and finance lease obligations, less current portion and debt discount</w:t>
            </w: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564,655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566,081</w:t>
            </w:r>
          </w:p>
        </w:tc>
        <w:tc>
          <w:tcPr>
            <w:tcW w:w="0" w:type="dxa"/>
            <w:vAlign w:val="bottom"/>
          </w:tcPr>
          <w:p>
            <w:pPr>
              <w:spacing w:after="0"/>
              <w:rPr>
                <w:sz w:val="1"/>
                <w:szCs w:val="1"/>
                <w:color w:val="auto"/>
              </w:rPr>
            </w:pPr>
          </w:p>
        </w:tc>
      </w:tr>
      <w:tr>
        <w:trPr>
          <w:trHeight w:val="229"/>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Non-current operating lease obligations</w:t>
            </w: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340,902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342,241</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23,166</w:t>
            </w: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8,974</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3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91,321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82,846</w:t>
            </w:r>
          </w:p>
        </w:tc>
        <w:tc>
          <w:tcPr>
            <w:tcW w:w="0" w:type="dxa"/>
            <w:vAlign w:val="bottom"/>
          </w:tcPr>
          <w:p>
            <w:pPr>
              <w:spacing w:after="0"/>
              <w:rPr>
                <w:sz w:val="1"/>
                <w:szCs w:val="1"/>
                <w:color w:val="auto"/>
              </w:rPr>
            </w:pPr>
          </w:p>
        </w:tc>
      </w:tr>
      <w:tr>
        <w:trPr>
          <w:trHeight w:val="223"/>
        </w:trPr>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1,029,354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1,023,308</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18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$0.01 par value; 200,000 shares authorized; 84,129 and 83,840 shares issued as</w:t>
            </w:r>
          </w:p>
        </w:tc>
        <w:tc>
          <w:tcPr>
            <w:tcW w:w="3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8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of April 2, 2022 and January 1, 2022, respectively; 81,422 and 81,405 shares outstanding as of</w:t>
            </w:r>
          </w:p>
        </w:tc>
        <w:tc>
          <w:tcPr>
            <w:tcW w:w="3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April 2, 2022 and January 1, 2022, respectively</w:t>
            </w:r>
          </w:p>
        </w:tc>
        <w:tc>
          <w:tcPr>
            <w:tcW w:w="32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r>
        <w:trPr>
          <w:trHeight w:val="229"/>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755,535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750,478</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0" w:type="dxa"/>
            <w:vAlign w:val="bottom"/>
          </w:tcPr>
          <w:p>
            <w:pPr>
              <w:spacing w:after="0"/>
              <w:rPr>
                <w:sz w:val="1"/>
                <w:szCs w:val="1"/>
                <w:color w:val="auto"/>
              </w:rPr>
            </w:pPr>
          </w:p>
        </w:tc>
      </w:tr>
      <w:tr>
        <w:trPr>
          <w:trHeight w:val="230"/>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278,395</w:t>
            </w:r>
          </w:p>
        </w:tc>
        <w:tc>
          <w:tcPr>
            <w:tcW w:w="0" w:type="dxa"/>
            <w:vAlign w:val="bottom"/>
          </w:tcPr>
          <w:p>
            <w:pPr>
              <w:spacing w:after="0"/>
              <w:rPr>
                <w:sz w:val="1"/>
                <w:szCs w:val="1"/>
                <w:color w:val="auto"/>
              </w:rPr>
            </w:pPr>
          </w:p>
        </w:tc>
      </w:tr>
      <w:tr>
        <w:trPr>
          <w:trHeight w:val="175"/>
        </w:trPr>
        <w:tc>
          <w:tcPr>
            <w:tcW w:w="718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Treasury stock, at cost; 2,707 and 2,435 shares as of April 2, 2022 and January 1, 2022,</w:t>
            </w:r>
          </w:p>
        </w:tc>
        <w:tc>
          <w:tcPr>
            <w:tcW w:w="3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respectively</w:t>
            </w:r>
          </w:p>
        </w:tc>
        <w:tc>
          <w:tcPr>
            <w:tcW w:w="32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(112,440)</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(101,791)</w:t>
            </w:r>
          </w:p>
        </w:tc>
        <w:tc>
          <w:tcPr>
            <w:tcW w:w="0" w:type="dxa"/>
            <w:vAlign w:val="bottom"/>
          </w:tcPr>
          <w:p>
            <w:pPr>
              <w:spacing w:after="0"/>
              <w:rPr>
                <w:sz w:val="1"/>
                <w:szCs w:val="1"/>
                <w:color w:val="auto"/>
              </w:rPr>
            </w:pPr>
          </w:p>
        </w:tc>
      </w:tr>
      <w:tr>
        <w:trPr>
          <w:trHeight w:val="223"/>
        </w:trPr>
        <w:tc>
          <w:tcPr>
            <w:tcW w:w="71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950,726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925,980</w:t>
            </w:r>
          </w:p>
        </w:tc>
        <w:tc>
          <w:tcPr>
            <w:tcW w:w="0" w:type="dxa"/>
            <w:vAlign w:val="bottom"/>
          </w:tcPr>
          <w:p>
            <w:pPr>
              <w:spacing w:after="0"/>
              <w:rPr>
                <w:sz w:val="1"/>
                <w:szCs w:val="1"/>
                <w:color w:val="auto"/>
              </w:rPr>
            </w:pP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2,325,487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2,293,091</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765"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April 2, 2022 and April 3,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Earnings Per Share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759"/>
              <w:spacing w:after="0"/>
              <w:rPr>
                <w:sz w:val="20"/>
                <w:szCs w:val="20"/>
                <w:color w:val="auto"/>
              </w:rPr>
            </w:pPr>
            <w:r>
              <w:rPr>
                <w:rFonts w:ascii="Times New Roman" w:cs="Times New Roman" w:eastAsia="Times New Roman" w:hAnsi="Times New Roman"/>
                <w:sz w:val="16"/>
                <w:szCs w:val="16"/>
                <w:color w:val="auto"/>
              </w:rPr>
              <w:t>Three Months Ended</w:t>
            </w:r>
          </w:p>
        </w:tc>
      </w:tr>
      <w:tr>
        <w:trPr>
          <w:trHeight w:val="210"/>
        </w:trPr>
        <w:tc>
          <w:tcPr>
            <w:tcW w:w="8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April 2, 2022</w:t>
            </w:r>
          </w:p>
        </w:tc>
        <w:tc>
          <w:tcPr>
            <w:tcW w:w="200" w:type="dxa"/>
            <w:vAlign w:val="bottom"/>
          </w:tcPr>
          <w:p>
            <w:pPr>
              <w:spacing w:after="0"/>
              <w:rPr>
                <w:sz w:val="18"/>
                <w:szCs w:val="18"/>
                <w:color w:val="auto"/>
              </w:rPr>
            </w:pPr>
          </w:p>
        </w:tc>
        <w:tc>
          <w:tcPr>
            <w:tcW w:w="12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April 3, 2021</w:t>
            </w:r>
          </w:p>
        </w:tc>
      </w:tr>
      <w:tr>
        <w:trPr>
          <w:trHeight w:val="199"/>
        </w:trPr>
        <w:tc>
          <w:tcPr>
            <w:tcW w:w="8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r>
      <w:tr>
        <w:trPr>
          <w:trHeight w:val="213"/>
        </w:trPr>
        <w:tc>
          <w:tcPr>
            <w:tcW w:w="8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product sales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433,253</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443,067</w:t>
            </w:r>
          </w:p>
        </w:tc>
      </w:tr>
      <w:tr>
        <w:trPr>
          <w:trHeight w:val="219"/>
        </w:trPr>
        <w:tc>
          <w:tcPr>
            <w:tcW w:w="8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sales of services and plans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94,458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91,113</w:t>
            </w:r>
          </w:p>
        </w:tc>
      </w:tr>
      <w:tr>
        <w:trPr>
          <w:trHeight w:val="207"/>
        </w:trPr>
        <w:tc>
          <w:tcPr>
            <w:tcW w:w="8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net revenue</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527,711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534,180</w:t>
            </w:r>
          </w:p>
        </w:tc>
      </w:tr>
      <w:tr>
        <w:trPr>
          <w:trHeight w:val="21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Costs applicable to revenue (exclusive of depreciation and amortization):</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3"/>
        </w:trPr>
        <w:tc>
          <w:tcPr>
            <w:tcW w:w="8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164,219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159,691</w:t>
            </w:r>
          </w:p>
        </w:tc>
      </w:tr>
      <w:tr>
        <w:trPr>
          <w:trHeight w:val="219"/>
        </w:trPr>
        <w:tc>
          <w:tcPr>
            <w:tcW w:w="8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Services and plans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71,818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64,999</w:t>
            </w:r>
          </w:p>
        </w:tc>
      </w:tr>
      <w:tr>
        <w:trPr>
          <w:trHeight w:val="207"/>
        </w:trPr>
        <w:tc>
          <w:tcPr>
            <w:tcW w:w="8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costs applicable to revenue</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236,037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224,690</w:t>
            </w:r>
          </w:p>
        </w:tc>
      </w:tr>
      <w:tr>
        <w:trPr>
          <w:trHeight w:val="21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3"/>
        </w:trPr>
        <w:tc>
          <w:tcPr>
            <w:tcW w:w="8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228,554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223,593</w:t>
            </w:r>
          </w:p>
        </w:tc>
      </w:tr>
      <w:tr>
        <w:trPr>
          <w:trHeight w:val="219"/>
        </w:trPr>
        <w:tc>
          <w:tcPr>
            <w:tcW w:w="8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25,151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23,555</w:t>
            </w:r>
          </w:p>
        </w:tc>
      </w:tr>
      <w:tr>
        <w:trPr>
          <w:trHeight w:val="213"/>
        </w:trPr>
        <w:tc>
          <w:tcPr>
            <w:tcW w:w="8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Asset impairment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w:t>
            </w:r>
          </w:p>
        </w:tc>
      </w:tr>
      <w:tr>
        <w:trPr>
          <w:trHeight w:val="219"/>
        </w:trPr>
        <w:tc>
          <w:tcPr>
            <w:tcW w:w="8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07"/>
        </w:trPr>
        <w:tc>
          <w:tcPr>
            <w:tcW w:w="8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254,342</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248,042</w:t>
            </w:r>
          </w:p>
        </w:tc>
      </w:tr>
      <w:tr>
        <w:trPr>
          <w:trHeight w:val="212"/>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37,332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61,448</w:t>
            </w:r>
          </w:p>
        </w:tc>
      </w:tr>
      <w:tr>
        <w:trPr>
          <w:trHeight w:val="213"/>
        </w:trPr>
        <w:tc>
          <w:tcPr>
            <w:tcW w:w="8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Interest expense (income), net</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(4,144)</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6,330</w:t>
            </w:r>
          </w:p>
        </w:tc>
      </w:tr>
      <w:tr>
        <w:trPr>
          <w:trHeight w:val="212"/>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41,476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55,118</w:t>
            </w:r>
          </w:p>
        </w:tc>
      </w:tr>
      <w:tr>
        <w:trPr>
          <w:trHeight w:val="213"/>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11,329</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11,686</w:t>
            </w:r>
          </w:p>
        </w:tc>
      </w:tr>
      <w:tr>
        <w:trPr>
          <w:trHeight w:val="237"/>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30,147</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43,432</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16"/>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share:</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3"/>
        </w:trPr>
        <w:tc>
          <w:tcPr>
            <w:tcW w:w="8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0.53</w:t>
            </w:r>
          </w:p>
        </w:tc>
      </w:tr>
      <w:tr>
        <w:trPr>
          <w:trHeight w:val="219"/>
        </w:trPr>
        <w:tc>
          <w:tcPr>
            <w:tcW w:w="8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0.48</w:t>
            </w:r>
          </w:p>
        </w:tc>
      </w:tr>
      <w:tr>
        <w:trPr>
          <w:trHeight w:val="214"/>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shares outstanding:</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8"/>
        </w:trPr>
        <w:tc>
          <w:tcPr>
            <w:tcW w:w="8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81,428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81,333</w:t>
            </w:r>
          </w:p>
        </w:tc>
      </w:tr>
      <w:tr>
        <w:trPr>
          <w:trHeight w:val="213"/>
        </w:trPr>
        <w:tc>
          <w:tcPr>
            <w:tcW w:w="8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94,904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96,025</w:t>
            </w:r>
          </w:p>
        </w:tc>
      </w:tr>
      <w:tr>
        <w:trPr>
          <w:trHeight w:val="219"/>
        </w:trPr>
        <w:tc>
          <w:tcPr>
            <w:tcW w:w="8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4"/>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8"/>
        </w:trPr>
        <w:tc>
          <w:tcPr>
            <w:tcW w:w="8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30,147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43,432</w:t>
            </w:r>
          </w:p>
        </w:tc>
      </w:tr>
      <w:tr>
        <w:trPr>
          <w:trHeight w:val="213"/>
        </w:trPr>
        <w:tc>
          <w:tcPr>
            <w:tcW w:w="8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Unrealized gain on hedge instruments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1,650</w:t>
            </w:r>
          </w:p>
        </w:tc>
      </w:tr>
      <w:tr>
        <w:trPr>
          <w:trHeight w:val="216"/>
        </w:trPr>
        <w:tc>
          <w:tcPr>
            <w:tcW w:w="8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Tax provision of unrealized gain on hedge instruments</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2,546</w:t>
            </w:r>
          </w:p>
        </w:tc>
      </w:tr>
      <w:tr>
        <w:trPr>
          <w:trHeight w:val="212"/>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30,335</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42,536</w:t>
            </w:r>
          </w:p>
        </w:tc>
      </w:tr>
      <w:tr>
        <w:trPr>
          <w:trHeight w:val="21"/>
        </w:trPr>
        <w:tc>
          <w:tcPr>
            <w:tcW w:w="8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765"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April 2, 2022 and April 3,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759"/>
              <w:spacing w:after="0"/>
              <w:rPr>
                <w:sz w:val="20"/>
                <w:szCs w:val="20"/>
                <w:color w:val="auto"/>
              </w:rPr>
            </w:pPr>
            <w:r>
              <w:rPr>
                <w:rFonts w:ascii="Times New Roman" w:cs="Times New Roman" w:eastAsia="Times New Roman" w:hAnsi="Times New Roman"/>
                <w:sz w:val="16"/>
                <w:szCs w:val="16"/>
                <w:color w:val="auto"/>
              </w:rPr>
              <w:t>Three Months Ended</w:t>
            </w:r>
          </w:p>
        </w:tc>
      </w:tr>
      <w:tr>
        <w:trPr>
          <w:trHeight w:val="210"/>
        </w:trPr>
        <w:tc>
          <w:tcPr>
            <w:tcW w:w="8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April 2, 2022</w:t>
            </w:r>
          </w:p>
        </w:tc>
        <w:tc>
          <w:tcPr>
            <w:tcW w:w="200" w:type="dxa"/>
            <w:vAlign w:val="bottom"/>
          </w:tcPr>
          <w:p>
            <w:pPr>
              <w:spacing w:after="0"/>
              <w:rPr>
                <w:sz w:val="18"/>
                <w:szCs w:val="18"/>
                <w:color w:val="auto"/>
              </w:rPr>
            </w:pPr>
          </w:p>
        </w:tc>
        <w:tc>
          <w:tcPr>
            <w:tcW w:w="12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April 3, 2021</w:t>
            </w:r>
          </w:p>
        </w:tc>
      </w:tr>
      <w:tr>
        <w:trPr>
          <w:trHeight w:val="199"/>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30,147</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43,432</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3"/>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25,151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23,555</w:t>
            </w:r>
          </w:p>
        </w:tc>
      </w:tr>
      <w:tr>
        <w:trPr>
          <w:trHeight w:val="219"/>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debt discount and deferred financing costs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w:t>
            </w:r>
          </w:p>
        </w:tc>
      </w:tr>
      <w:tr>
        <w:trPr>
          <w:trHeight w:val="213"/>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Asset impairment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w:t>
            </w:r>
          </w:p>
        </w:tc>
      </w:tr>
      <w:tr>
        <w:trPr>
          <w:trHeight w:val="219"/>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income tax expense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11,686</w:t>
            </w:r>
          </w:p>
        </w:tc>
      </w:tr>
      <w:tr>
        <w:trPr>
          <w:trHeight w:val="213"/>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 based compensation expense</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2,988</w:t>
            </w:r>
          </w:p>
        </w:tc>
      </w:tr>
      <w:tr>
        <w:trPr>
          <w:trHeight w:val="219"/>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Losses (gains) on change in fair value of derivatives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(2,252)</w:t>
            </w:r>
          </w:p>
        </w:tc>
      </w:tr>
      <w:tr>
        <w:trPr>
          <w:trHeight w:val="213"/>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Inventory adjustments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r>
      <w:tr>
        <w:trPr>
          <w:trHeight w:val="219"/>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w:t>
            </w: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(2,698)</w:t>
            </w:r>
          </w:p>
        </w:tc>
      </w:tr>
      <w:tr>
        <w:trPr>
          <w:trHeight w:val="213"/>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(8,428)</w:t>
            </w:r>
          </w:p>
        </w:tc>
      </w:tr>
      <w:tr>
        <w:trPr>
          <w:trHeight w:val="219"/>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lease right of use assets and lease liabilities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r>
      <w:tr>
        <w:trPr>
          <w:trHeight w:val="213"/>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r>
      <w:tr>
        <w:trPr>
          <w:trHeight w:val="219"/>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14,946</w:t>
            </w:r>
          </w:p>
        </w:tc>
      </w:tr>
      <w:tr>
        <w:trPr>
          <w:trHeight w:val="213"/>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and unearned revenue</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22,973</w:t>
            </w:r>
          </w:p>
        </w:tc>
      </w:tr>
      <w:tr>
        <w:trPr>
          <w:trHeight w:val="219"/>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(23,786)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(10,323)</w:t>
            </w:r>
          </w:p>
        </w:tc>
      </w:tr>
      <w:tr>
        <w:trPr>
          <w:trHeight w:val="207"/>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47,117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97,652</w:t>
            </w:r>
          </w:p>
        </w:tc>
      </w:tr>
      <w:tr>
        <w:trPr>
          <w:trHeight w:val="19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3"/>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(16,382)</w:t>
            </w:r>
          </w:p>
        </w:tc>
      </w:tr>
      <w:tr>
        <w:trPr>
          <w:trHeight w:val="219"/>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07"/>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(28,077)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(16,374)</w:t>
            </w:r>
          </w:p>
        </w:tc>
      </w:tr>
      <w:tr>
        <w:trPr>
          <w:trHeight w:val="19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3"/>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Repayments on long-term debt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issuance of common stock</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1,868</w:t>
            </w:r>
          </w:p>
        </w:tc>
      </w:tr>
      <w:tr>
        <w:trPr>
          <w:trHeight w:val="213"/>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(1,421)</w:t>
            </w:r>
          </w:p>
        </w:tc>
      </w:tr>
      <w:tr>
        <w:trPr>
          <w:trHeight w:val="219"/>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on finance lease obligations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w:t>
            </w:r>
          </w:p>
        </w:tc>
      </w:tr>
      <w:tr>
        <w:trPr>
          <w:trHeight w:val="207"/>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for financing activities</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(9,941)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(1,089)</w:t>
            </w:r>
          </w:p>
        </w:tc>
      </w:tr>
      <w:tr>
        <w:trPr>
          <w:trHeight w:val="21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80,189</w:t>
            </w:r>
          </w:p>
        </w:tc>
      </w:tr>
      <w:tr>
        <w:trPr>
          <w:trHeight w:val="21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year</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306,876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375,159</w:t>
            </w:r>
          </w:p>
        </w:tc>
      </w:tr>
      <w:tr>
        <w:trPr>
          <w:trHeight w:val="23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315,975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455,348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disclosure information:</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2,322</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5,706</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(received) for taxes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expenditures accrued at the end of the period</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10,129</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9,247</w:t>
            </w:r>
          </w:p>
        </w:tc>
      </w:tr>
    </w:tbl>
    <w:p>
      <w:pPr>
        <w:sectPr>
          <w:pgSz w:w="11900" w:h="16838" w:orient="portrait"/>
          <w:cols w:equalWidth="0" w:num="1">
            <w:col w:w="11240"/>
          </w:cols>
          <w:pgMar w:left="320" w:top="873" w:right="339" w:bottom="1440" w:gutter="0" w:footer="0" w:header="0"/>
        </w:sectPr>
      </w:pPr>
    </w:p>
    <w:bookmarkStart w:id="12" w:name="page13"/>
    <w:bookmarkEnd w:id="12"/>
    <w:p>
      <w:pPr>
        <w:jc w:val="center"/>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National Vision Holdings, Inc. and Subsidiaries Reconciliation of Non-GAAP to GAAP Financial Measures For the Three Months Ended April 2, 2022 and April 3, 2021 and March 30, 2019 </w:t>
      </w:r>
      <w:r>
        <w:rPr>
          <w:rFonts w:ascii="Times New Roman" w:cs="Times New Roman" w:eastAsia="Times New Roman" w:hAnsi="Times New Roman"/>
          <w:sz w:val="18"/>
          <w:szCs w:val="18"/>
          <w:i w:val="1"/>
          <w:iCs w:val="1"/>
          <w:color w:val="auto"/>
        </w:rPr>
        <w:t xml:space="preserve">In Thousands, Except Per Share Information </w:t>
      </w: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Adjusted Operating Income to Net Income</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8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6"/>
                <w:szCs w:val="16"/>
                <w:color w:val="auto"/>
              </w:rPr>
              <w:t>Three Months Ended</w:t>
            </w: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Pr>
          <w:p>
            <w:pPr>
              <w:spacing w:after="0"/>
              <w:rPr>
                <w:sz w:val="18"/>
                <w:szCs w:val="18"/>
                <w:color w:val="auto"/>
              </w:rPr>
            </w:pPr>
          </w:p>
        </w:tc>
        <w:tc>
          <w:tcPr>
            <w:tcW w:w="138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April 2, 2022</w:t>
            </w:r>
          </w:p>
        </w:tc>
        <w:tc>
          <w:tcPr>
            <w:tcW w:w="200" w:type="dxa"/>
            <w:vAlign w:val="bottom"/>
          </w:tcPr>
          <w:p>
            <w:pPr>
              <w:spacing w:after="0"/>
              <w:rPr>
                <w:sz w:val="18"/>
                <w:szCs w:val="18"/>
                <w:color w:val="auto"/>
              </w:rPr>
            </w:pPr>
          </w:p>
        </w:tc>
        <w:tc>
          <w:tcPr>
            <w:tcW w:w="13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April 3, 2021</w:t>
            </w:r>
          </w:p>
        </w:tc>
      </w:tr>
      <w:tr>
        <w:trPr>
          <w:trHeight w:val="212"/>
        </w:trPr>
        <w:tc>
          <w:tcPr>
            <w:tcW w:w="8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30,147</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43,432</w:t>
            </w: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(income)</w:t>
            </w:r>
          </w:p>
        </w:tc>
        <w:tc>
          <w:tcPr>
            <w:tcW w:w="22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(4,144)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6,330</w:t>
            </w: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11,329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11,686</w:t>
            </w:r>
          </w:p>
        </w:tc>
      </w:tr>
      <w:tr>
        <w:trPr>
          <w:trHeight w:val="216"/>
        </w:trPr>
        <w:tc>
          <w:tcPr>
            <w:tcW w:w="81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Stock compensation expense </w:t>
            </w:r>
            <w:r>
              <w:rPr>
                <w:rFonts w:ascii="Times New Roman" w:cs="Times New Roman" w:eastAsia="Times New Roman" w:hAnsi="Times New Roman"/>
                <w:sz w:val="21"/>
                <w:szCs w:val="21"/>
                <w:color w:val="auto"/>
                <w:vertAlign w:val="superscript"/>
              </w:rPr>
              <w:t>(a)</w:t>
            </w:r>
          </w:p>
        </w:tc>
        <w:tc>
          <w:tcPr>
            <w:tcW w:w="22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3,734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2,988</w:t>
            </w:r>
          </w:p>
        </w:tc>
      </w:tr>
      <w:tr>
        <w:trPr>
          <w:trHeight w:val="216"/>
        </w:trPr>
        <w:tc>
          <w:tcPr>
            <w:tcW w:w="81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Asset impairment </w:t>
            </w:r>
            <w:r>
              <w:rPr>
                <w:rFonts w:ascii="Times New Roman" w:cs="Times New Roman" w:eastAsia="Times New Roman" w:hAnsi="Times New Roman"/>
                <w:sz w:val="21"/>
                <w:szCs w:val="21"/>
                <w:color w:val="auto"/>
                <w:vertAlign w:val="superscript"/>
              </w:rPr>
              <w:t>(b)</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959</w:t>
            </w:r>
          </w:p>
        </w:tc>
      </w:tr>
      <w:tr>
        <w:trPr>
          <w:trHeight w:val="216"/>
        </w:trPr>
        <w:tc>
          <w:tcPr>
            <w:tcW w:w="81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Amortization of acquisition intangibles </w:t>
            </w:r>
            <w:r>
              <w:rPr>
                <w:rFonts w:ascii="Times New Roman" w:cs="Times New Roman" w:eastAsia="Times New Roman" w:hAnsi="Times New Roman"/>
                <w:sz w:val="21"/>
                <w:szCs w:val="21"/>
                <w:color w:val="auto"/>
                <w:vertAlign w:val="superscript"/>
              </w:rPr>
              <w:t>(c)</w:t>
            </w:r>
          </w:p>
        </w:tc>
        <w:tc>
          <w:tcPr>
            <w:tcW w:w="22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1,872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1,873</w:t>
            </w:r>
          </w:p>
        </w:tc>
      </w:tr>
      <w:tr>
        <w:trPr>
          <w:trHeight w:val="216"/>
        </w:trPr>
        <w:tc>
          <w:tcPr>
            <w:tcW w:w="81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(f)</w:t>
            </w: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1,960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400</w:t>
            </w:r>
          </w:p>
        </w:tc>
      </w:tr>
      <w:tr>
        <w:trPr>
          <w:trHeight w:val="210"/>
        </w:trPr>
        <w:tc>
          <w:tcPr>
            <w:tcW w:w="81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Adjusted Operating Income</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45,304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67,668</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29"/>
        </w:trPr>
        <w:tc>
          <w:tcPr>
            <w:tcW w:w="8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r>
      <w:tr>
        <w:trPr>
          <w:trHeight w:val="214"/>
        </w:trPr>
        <w:tc>
          <w:tcPr>
            <w:tcW w:w="81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Net income margin</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8.1 %</w:t>
            </w:r>
          </w:p>
        </w:tc>
      </w:tr>
      <w:tr>
        <w:trPr>
          <w:trHeight w:val="218"/>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Adjusted Operating Margin</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12.7 %</w:t>
            </w:r>
          </w:p>
        </w:tc>
      </w:tr>
      <w:tr>
        <w:trPr>
          <w:trHeight w:val="188"/>
        </w:trPr>
        <w:tc>
          <w:tcPr>
            <w:tcW w:w="8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Note: Percentages reflect line item as a percentage of net revenue, adjusted for rounding</w:t>
            </w: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589"/>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EBITDA and Adjusted EBITDA to Net Income</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8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6"/>
                <w:szCs w:val="16"/>
                <w:color w:val="auto"/>
              </w:rPr>
              <w:t>Three Months Ended</w:t>
            </w: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Pr>
          <w:p>
            <w:pPr>
              <w:spacing w:after="0"/>
              <w:rPr>
                <w:sz w:val="18"/>
                <w:szCs w:val="18"/>
                <w:color w:val="auto"/>
              </w:rPr>
            </w:pPr>
          </w:p>
        </w:tc>
        <w:tc>
          <w:tcPr>
            <w:tcW w:w="138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April 2, 2022</w:t>
            </w:r>
          </w:p>
        </w:tc>
        <w:tc>
          <w:tcPr>
            <w:tcW w:w="200" w:type="dxa"/>
            <w:vAlign w:val="bottom"/>
          </w:tcPr>
          <w:p>
            <w:pPr>
              <w:spacing w:after="0"/>
              <w:rPr>
                <w:sz w:val="18"/>
                <w:szCs w:val="18"/>
                <w:color w:val="auto"/>
              </w:rPr>
            </w:pPr>
          </w:p>
        </w:tc>
        <w:tc>
          <w:tcPr>
            <w:tcW w:w="13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April 3, 2021</w:t>
            </w:r>
          </w:p>
        </w:tc>
      </w:tr>
      <w:tr>
        <w:trPr>
          <w:trHeight w:val="212"/>
        </w:trPr>
        <w:tc>
          <w:tcPr>
            <w:tcW w:w="8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30,147</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43,432</w:t>
            </w: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(income)</w:t>
            </w:r>
          </w:p>
        </w:tc>
        <w:tc>
          <w:tcPr>
            <w:tcW w:w="220" w:type="dxa"/>
            <w:vAlign w:val="bottom"/>
          </w:tcPr>
          <w:p>
            <w:pPr>
              <w:spacing w:after="0"/>
              <w:rPr>
                <w:sz w:val="18"/>
                <w:szCs w:val="18"/>
                <w:color w:val="auto"/>
              </w:rPr>
            </w:pPr>
          </w:p>
        </w:tc>
        <w:tc>
          <w:tcPr>
            <w:tcW w:w="12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(4,144)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6,330</w:t>
            </w: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11,329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11,686</w:t>
            </w:r>
          </w:p>
        </w:tc>
      </w:tr>
      <w:tr>
        <w:trPr>
          <w:trHeight w:val="213"/>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25,151</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23,555</w:t>
            </w:r>
          </w:p>
        </w:tc>
      </w:tr>
      <w:tr>
        <w:trPr>
          <w:trHeight w:val="212"/>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EBITDA</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62,483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85,003</w:t>
            </w:r>
          </w:p>
        </w:tc>
      </w:tr>
      <w:tr>
        <w:trPr>
          <w:trHeight w:val="162"/>
        </w:trPr>
        <w:tc>
          <w:tcPr>
            <w:tcW w:w="8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16"/>
        </w:trPr>
        <w:tc>
          <w:tcPr>
            <w:tcW w:w="81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Stock compensation expense </w:t>
            </w:r>
            <w:r>
              <w:rPr>
                <w:rFonts w:ascii="Times New Roman" w:cs="Times New Roman" w:eastAsia="Times New Roman" w:hAnsi="Times New Roman"/>
                <w:sz w:val="21"/>
                <w:szCs w:val="21"/>
                <w:color w:val="auto"/>
                <w:vertAlign w:val="superscript"/>
              </w:rPr>
              <w:t>(a)</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3,734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2,988</w:t>
            </w:r>
          </w:p>
        </w:tc>
      </w:tr>
      <w:tr>
        <w:trPr>
          <w:trHeight w:val="216"/>
        </w:trPr>
        <w:tc>
          <w:tcPr>
            <w:tcW w:w="81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Asset impairment </w:t>
            </w:r>
            <w:r>
              <w:rPr>
                <w:rFonts w:ascii="Times New Roman" w:cs="Times New Roman" w:eastAsia="Times New Roman" w:hAnsi="Times New Roman"/>
                <w:sz w:val="21"/>
                <w:szCs w:val="21"/>
                <w:color w:val="auto"/>
                <w:vertAlign w:val="superscript"/>
              </w:rPr>
              <w:t>(b)</w:t>
            </w:r>
          </w:p>
        </w:tc>
        <w:tc>
          <w:tcPr>
            <w:tcW w:w="22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406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959</w:t>
            </w:r>
          </w:p>
        </w:tc>
      </w:tr>
      <w:tr>
        <w:trPr>
          <w:trHeight w:val="216"/>
        </w:trPr>
        <w:tc>
          <w:tcPr>
            <w:tcW w:w="81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(f)</w:t>
            </w: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1,960</w:t>
            </w: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400</w:t>
            </w:r>
          </w:p>
        </w:tc>
      </w:tr>
      <w:tr>
        <w:trPr>
          <w:trHeight w:val="210"/>
        </w:trPr>
        <w:tc>
          <w:tcPr>
            <w:tcW w:w="81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68,583</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89,350</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29"/>
        </w:trPr>
        <w:tc>
          <w:tcPr>
            <w:tcW w:w="8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r>
      <w:tr>
        <w:trPr>
          <w:trHeight w:val="214"/>
        </w:trPr>
        <w:tc>
          <w:tcPr>
            <w:tcW w:w="81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Net income margin</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8.1 %</w:t>
            </w:r>
          </w:p>
        </w:tc>
      </w:tr>
      <w:tr>
        <w:trPr>
          <w:trHeight w:val="218"/>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Adjusted EBITDA Margin</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13.0 %</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16.7 %</w:t>
            </w:r>
          </w:p>
        </w:tc>
      </w:tr>
      <w:tr>
        <w:trPr>
          <w:trHeight w:val="188"/>
        </w:trPr>
        <w:tc>
          <w:tcPr>
            <w:tcW w:w="8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Note: Percentages reflect line item as a percentage of net revenue, adjusted for rounding</w:t>
            </w: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r>
    </w:tbl>
    <w:p>
      <w:pPr>
        <w:sectPr>
          <w:pgSz w:w="11900" w:h="16838" w:orient="portrait"/>
          <w:cols w:equalWidth="0" w:num="1">
            <w:col w:w="11240"/>
          </w:cols>
          <w:pgMar w:left="320" w:top="887"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Adjusted Diluted EPS to Diluted EPS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679"/>
              <w:spacing w:after="0"/>
              <w:rPr>
                <w:sz w:val="20"/>
                <w:szCs w:val="20"/>
                <w:color w:val="auto"/>
              </w:rPr>
            </w:pPr>
            <w:r>
              <w:rPr>
                <w:rFonts w:ascii="Times New Roman" w:cs="Times New Roman" w:eastAsia="Times New Roman" w:hAnsi="Times New Roman"/>
                <w:sz w:val="16"/>
                <w:szCs w:val="16"/>
                <w:color w:val="auto"/>
              </w:rPr>
              <w:t>Three Months Ended</w:t>
            </w:r>
          </w:p>
        </w:tc>
        <w:tc>
          <w:tcPr>
            <w:tcW w:w="0" w:type="dxa"/>
            <w:vAlign w:val="bottom"/>
          </w:tcPr>
          <w:p>
            <w:pPr>
              <w:spacing w:after="0"/>
              <w:rPr>
                <w:sz w:val="1"/>
                <w:szCs w:val="1"/>
                <w:color w:val="auto"/>
              </w:rPr>
            </w:pPr>
          </w:p>
        </w:tc>
      </w:tr>
      <w:tr>
        <w:trPr>
          <w:trHeight w:val="213"/>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amounts</w:t>
            </w:r>
          </w:p>
        </w:tc>
        <w:tc>
          <w:tcPr>
            <w:tcW w:w="18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April 2, 2022</w:t>
            </w:r>
          </w:p>
        </w:tc>
        <w:tc>
          <w:tcPr>
            <w:tcW w:w="180" w:type="dxa"/>
            <w:vAlign w:val="bottom"/>
          </w:tcPr>
          <w:p>
            <w:pPr>
              <w:spacing w:after="0"/>
              <w:rPr>
                <w:sz w:val="18"/>
                <w:szCs w:val="18"/>
                <w:color w:val="auto"/>
              </w:rPr>
            </w:pPr>
          </w:p>
        </w:tc>
        <w:tc>
          <w:tcPr>
            <w:tcW w:w="12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April 3, 2021</w:t>
            </w:r>
          </w:p>
        </w:tc>
        <w:tc>
          <w:tcPr>
            <w:tcW w:w="0" w:type="dxa"/>
            <w:vAlign w:val="bottom"/>
          </w:tcPr>
          <w:p>
            <w:pPr>
              <w:spacing w:after="0"/>
              <w:rPr>
                <w:sz w:val="1"/>
                <w:szCs w:val="1"/>
                <w:color w:val="auto"/>
              </w:rPr>
            </w:pPr>
          </w:p>
        </w:tc>
      </w:tr>
      <w:tr>
        <w:trPr>
          <w:trHeight w:val="212"/>
        </w:trPr>
        <w:tc>
          <w:tcPr>
            <w:tcW w:w="8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Diluted EPS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0.48</w:t>
            </w:r>
          </w:p>
        </w:tc>
        <w:tc>
          <w:tcPr>
            <w:tcW w:w="0" w:type="dxa"/>
            <w:vAlign w:val="bottom"/>
          </w:tcPr>
          <w:p>
            <w:pPr>
              <w:spacing w:after="0"/>
              <w:rPr>
                <w:sz w:val="1"/>
                <w:szCs w:val="1"/>
                <w:color w:val="auto"/>
              </w:rPr>
            </w:pPr>
          </w:p>
        </w:tc>
      </w:tr>
      <w:tr>
        <w:trPr>
          <w:trHeight w:val="216"/>
        </w:trPr>
        <w:tc>
          <w:tcPr>
            <w:tcW w:w="83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Stock compensation expense </w:t>
            </w:r>
            <w:r>
              <w:rPr>
                <w:rFonts w:ascii="Times New Roman" w:cs="Times New Roman" w:eastAsia="Times New Roman" w:hAnsi="Times New Roman"/>
                <w:sz w:val="21"/>
                <w:szCs w:val="21"/>
                <w:color w:val="auto"/>
                <w:vertAlign w:val="superscript"/>
              </w:rPr>
              <w:t>(a)</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Asset impairment </w:t>
            </w:r>
            <w:r>
              <w:rPr>
                <w:rFonts w:ascii="Times New Roman" w:cs="Times New Roman" w:eastAsia="Times New Roman" w:hAnsi="Times New Roman"/>
                <w:sz w:val="21"/>
                <w:szCs w:val="21"/>
                <w:color w:val="auto"/>
                <w:vertAlign w:val="superscript"/>
              </w:rPr>
              <w:t>(b)</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16"/>
        </w:trPr>
        <w:tc>
          <w:tcPr>
            <w:tcW w:w="83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Amortization of acquisition intangibles </w:t>
            </w:r>
            <w:r>
              <w:rPr>
                <w:rFonts w:ascii="Times New Roman" w:cs="Times New Roman" w:eastAsia="Times New Roman" w:hAnsi="Times New Roman"/>
                <w:sz w:val="21"/>
                <w:szCs w:val="21"/>
                <w:color w:val="auto"/>
                <w:vertAlign w:val="superscript"/>
              </w:rPr>
              <w:t>(c)</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Amortization of debt discount and deferred financing costs </w:t>
            </w:r>
            <w:r>
              <w:rPr>
                <w:rFonts w:ascii="Times New Roman" w:cs="Times New Roman" w:eastAsia="Times New Roman" w:hAnsi="Times New Roman"/>
                <w:sz w:val="21"/>
                <w:szCs w:val="21"/>
                <w:color w:val="auto"/>
                <w:vertAlign w:val="superscript"/>
              </w:rPr>
              <w:t>(d)</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0" w:type="dxa"/>
            <w:vAlign w:val="bottom"/>
          </w:tcPr>
          <w:p>
            <w:pPr>
              <w:spacing w:after="0"/>
              <w:rPr>
                <w:sz w:val="1"/>
                <w:szCs w:val="1"/>
                <w:color w:val="auto"/>
              </w:rPr>
            </w:pPr>
          </w:p>
        </w:tc>
      </w:tr>
      <w:tr>
        <w:trPr>
          <w:trHeight w:val="216"/>
        </w:trPr>
        <w:tc>
          <w:tcPr>
            <w:tcW w:w="83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Losses (gains) on change in fair value of derivatives </w:t>
            </w:r>
            <w:r>
              <w:rPr>
                <w:rFonts w:ascii="Times New Roman" w:cs="Times New Roman" w:eastAsia="Times New Roman" w:hAnsi="Times New Roman"/>
                <w:sz w:val="21"/>
                <w:szCs w:val="21"/>
                <w:color w:val="auto"/>
                <w:vertAlign w:val="superscript"/>
              </w:rPr>
              <w:t>(e)</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(j)</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216"/>
        </w:trPr>
        <w:tc>
          <w:tcPr>
            <w:tcW w:w="83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Tax benefit of stock option exercises </w:t>
            </w:r>
            <w:r>
              <w:rPr>
                <w:rFonts w:ascii="Times New Roman" w:cs="Times New Roman" w:eastAsia="Times New Roman" w:hAnsi="Times New Roman"/>
                <w:sz w:val="21"/>
                <w:szCs w:val="21"/>
                <w:color w:val="auto"/>
                <w:vertAlign w:val="superscript"/>
              </w:rPr>
              <w:t>(g)</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Tax effect of total adjustments </w:t>
            </w:r>
            <w:r>
              <w:rPr>
                <w:rFonts w:ascii="Times New Roman" w:cs="Times New Roman" w:eastAsia="Times New Roman" w:hAnsi="Times New Roman"/>
                <w:sz w:val="21"/>
                <w:szCs w:val="21"/>
                <w:color w:val="auto"/>
                <w:vertAlign w:val="superscript"/>
              </w:rPr>
              <w:t>(h)</w:t>
            </w: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09"/>
        </w:trPr>
        <w:tc>
          <w:tcPr>
            <w:tcW w:w="83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Adjusted Diluted EPS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0.48</w:t>
            </w:r>
          </w:p>
        </w:tc>
        <w:tc>
          <w:tcPr>
            <w:tcW w:w="0" w:type="dxa"/>
            <w:vAlign w:val="bottom"/>
          </w:tcPr>
          <w:p>
            <w:pPr>
              <w:spacing w:after="0"/>
              <w:rPr>
                <w:sz w:val="1"/>
                <w:szCs w:val="1"/>
                <w:color w:val="auto"/>
              </w:rPr>
            </w:pPr>
          </w:p>
        </w:tc>
      </w:tr>
      <w:tr>
        <w:trPr>
          <w:trHeight w:val="21"/>
        </w:trPr>
        <w:tc>
          <w:tcPr>
            <w:tcW w:w="83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diluted shares outstanding</w:t>
            </w: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7"/>
        </w:trPr>
        <w:tc>
          <w:tcPr>
            <w:tcW w:w="83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94,904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96,025</w:t>
            </w:r>
          </w:p>
        </w:tc>
        <w:tc>
          <w:tcPr>
            <w:tcW w:w="0" w:type="dxa"/>
            <w:vAlign w:val="bottom"/>
          </w:tcPr>
          <w:p>
            <w:pPr>
              <w:spacing w:after="0"/>
              <w:rPr>
                <w:sz w:val="1"/>
                <w:szCs w:val="1"/>
                <w:color w:val="auto"/>
              </w:rPr>
            </w:pPr>
          </w:p>
        </w:tc>
      </w:tr>
    </w:tbl>
    <w:p>
      <w:pPr>
        <w:ind w:left="140"/>
        <w:spacing w:after="0"/>
        <w:rPr>
          <w:sz w:val="20"/>
          <w:szCs w:val="20"/>
          <w:color w:val="auto"/>
        </w:rPr>
      </w:pPr>
      <w:r>
        <w:rPr>
          <w:rFonts w:ascii="Times New Roman" w:cs="Times New Roman" w:eastAsia="Times New Roman" w:hAnsi="Times New Roman"/>
          <w:sz w:val="14"/>
          <w:szCs w:val="14"/>
          <w:color w:val="auto"/>
        </w:rPr>
        <w:t>Note: Some of the totals in the table above do not foot due to rounding differences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Adjusted SG&amp;A and Adjusted SG&amp;A Percent of Net Revenue to SG&amp;A</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8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799"/>
              <w:spacing w:after="0"/>
              <w:rPr>
                <w:sz w:val="20"/>
                <w:szCs w:val="20"/>
                <w:color w:val="auto"/>
              </w:rPr>
            </w:pPr>
            <w:r>
              <w:rPr>
                <w:rFonts w:ascii="Times New Roman" w:cs="Times New Roman" w:eastAsia="Times New Roman" w:hAnsi="Times New Roman"/>
                <w:sz w:val="16"/>
                <w:szCs w:val="16"/>
                <w:color w:val="auto"/>
              </w:rPr>
              <w:t>Three Months Ended</w:t>
            </w: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Pr>
          <w:p>
            <w:pPr>
              <w:spacing w:after="0"/>
              <w:rPr>
                <w:sz w:val="18"/>
                <w:szCs w:val="18"/>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April 2, 2022</w:t>
            </w:r>
          </w:p>
        </w:tc>
        <w:tc>
          <w:tcPr>
            <w:tcW w:w="220" w:type="dxa"/>
            <w:vAlign w:val="bottom"/>
          </w:tcPr>
          <w:p>
            <w:pPr>
              <w:spacing w:after="0"/>
              <w:rPr>
                <w:sz w:val="18"/>
                <w:szCs w:val="18"/>
                <w:color w:val="auto"/>
              </w:rPr>
            </w:pPr>
          </w:p>
        </w:tc>
        <w:tc>
          <w:tcPr>
            <w:tcW w:w="13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April 3, 2021</w:t>
            </w:r>
          </w:p>
        </w:tc>
      </w:tr>
      <w:tr>
        <w:trPr>
          <w:trHeight w:val="212"/>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SG&amp;A</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228,554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223,593</w:t>
            </w:r>
          </w:p>
        </w:tc>
      </w:tr>
      <w:tr>
        <w:trPr>
          <w:trHeight w:val="216"/>
        </w:trPr>
        <w:tc>
          <w:tcPr>
            <w:tcW w:w="81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Stock compensation expense </w:t>
            </w:r>
            <w:r>
              <w:rPr>
                <w:rFonts w:ascii="Times New Roman" w:cs="Times New Roman" w:eastAsia="Times New Roman" w:hAnsi="Times New Roman"/>
                <w:sz w:val="21"/>
                <w:szCs w:val="21"/>
                <w:color w:val="auto"/>
                <w:vertAlign w:val="superscript"/>
              </w:rPr>
              <w:t>(a)</w:t>
            </w:r>
          </w:p>
        </w:tc>
        <w:tc>
          <w:tcPr>
            <w:tcW w:w="22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3,734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2,988</w:t>
            </w:r>
          </w:p>
        </w:tc>
      </w:tr>
      <w:tr>
        <w:trPr>
          <w:trHeight w:val="216"/>
        </w:trPr>
        <w:tc>
          <w:tcPr>
            <w:tcW w:w="81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(i)</w:t>
            </w: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1,705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400</w:t>
            </w:r>
          </w:p>
        </w:tc>
      </w:tr>
      <w:tr>
        <w:trPr>
          <w:trHeight w:val="209"/>
        </w:trPr>
        <w:tc>
          <w:tcPr>
            <w:tcW w:w="81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Adjusted SG&amp;A</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223,115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220,205</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29"/>
        </w:trPr>
        <w:tc>
          <w:tcPr>
            <w:tcW w:w="8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SG&amp;A Percent of Net Revenue</w:t>
            </w:r>
          </w:p>
        </w:tc>
        <w:tc>
          <w:tcPr>
            <w:tcW w:w="366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43.3 %</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41.9 %</w:t>
            </w:r>
          </w:p>
        </w:tc>
      </w:tr>
      <w:tr>
        <w:trPr>
          <w:trHeight w:val="218"/>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Adjusted SG&amp;A Percent of Net Revenue</w:t>
            </w:r>
          </w:p>
        </w:tc>
        <w:tc>
          <w:tcPr>
            <w:tcW w:w="366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rPr>
              <w:t>42.3 %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41.2 %</w:t>
            </w:r>
          </w:p>
        </w:tc>
      </w:tr>
      <w:tr>
        <w:trPr>
          <w:trHeight w:val="188"/>
        </w:trPr>
        <w:tc>
          <w:tcPr>
            <w:tcW w:w="6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Note: Percentages reflect line item as a percentage of net revenue</w:t>
            </w:r>
          </w:p>
        </w:tc>
        <w:tc>
          <w:tcPr>
            <w:tcW w:w="3660" w:type="dxa"/>
            <w:vAlign w:val="bottom"/>
          </w:tcPr>
          <w:p>
            <w:pPr>
              <w:spacing w:after="0"/>
              <w:rPr>
                <w:sz w:val="16"/>
                <w:szCs w:val="16"/>
                <w:color w:val="auto"/>
              </w:rPr>
            </w:pPr>
          </w:p>
        </w:tc>
        <w:tc>
          <w:tcPr>
            <w:tcW w:w="1060" w:type="dxa"/>
            <w:vAlign w:val="bottom"/>
          </w:tcPr>
          <w:p>
            <w:pPr>
              <w:spacing w:after="0"/>
              <w:rPr>
                <w:sz w:val="16"/>
                <w:szCs w:val="16"/>
                <w:color w:val="auto"/>
              </w:rPr>
            </w:pPr>
          </w:p>
        </w:tc>
      </w:tr>
    </w:tbl>
    <w:p>
      <w:pPr>
        <w:spacing w:after="0" w:line="316"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Non-cash charges related to stock-based compensation programs, which vary from period to period depending on the timing of awards and performance vesting conditions.</w:t>
      </w:r>
    </w:p>
    <w:p>
      <w:pPr>
        <w:spacing w:after="0" w:line="27"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write-off of property, equipment and lease-related assets on closed or underperforming stores.</w:t>
      </w:r>
    </w:p>
    <w:p>
      <w:pPr>
        <w:spacing w:after="0" w:line="14" w:lineRule="exact"/>
        <w:rPr>
          <w:rFonts w:ascii="Times New Roman" w:cs="Times New Roman" w:eastAsia="Times New Roman" w:hAnsi="Times New Roman"/>
          <w:sz w:val="14"/>
          <w:szCs w:val="14"/>
          <w:color w:val="auto"/>
        </w:rPr>
      </w:pPr>
    </w:p>
    <w:p>
      <w:pPr>
        <w:ind w:left="660" w:right="660" w:hanging="328"/>
        <w:spacing w:after="0" w:line="261" w:lineRule="auto"/>
        <w:tabs>
          <w:tab w:leader="none" w:pos="657"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of the increase in carrying values of finite-lived intangible assets resulting from the application of purchase accounting following the acquisition of the Company by affiliates of KKR &amp; Co. Inc.</w:t>
      </w:r>
    </w:p>
    <w:p>
      <w:pPr>
        <w:ind w:left="660" w:right="660" w:hanging="328"/>
        <w:spacing w:after="0" w:line="251" w:lineRule="auto"/>
        <w:tabs>
          <w:tab w:leader="none" w:pos="652"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of deferred financing costs and other non-cash charges related to our long-term debt. We adjust for amortization of deferred financing costs related to the 2025 Notes only when adjustment for these costs is not required in the calculation of diluted earnings per share under U.S. GAAP.</w:t>
      </w:r>
    </w:p>
    <w:p>
      <w:pPr>
        <w:ind w:left="660" w:hanging="328"/>
        <w:spacing w:after="0"/>
        <w:tabs>
          <w:tab w:leader="none" w:pos="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losses (gains) recognized in interest expense (income), net on change in fair value of de-designated hedges.</w:t>
      </w:r>
    </w:p>
    <w:p>
      <w:pPr>
        <w:spacing w:after="0" w:line="14" w:lineRule="exact"/>
        <w:rPr>
          <w:rFonts w:ascii="Times New Roman" w:cs="Times New Roman" w:eastAsia="Times New Roman" w:hAnsi="Times New Roman"/>
          <w:sz w:val="14"/>
          <w:szCs w:val="14"/>
          <w:color w:val="auto"/>
        </w:rPr>
      </w:pPr>
    </w:p>
    <w:p>
      <w:pPr>
        <w:jc w:val="both"/>
        <w:ind w:left="660" w:right="640" w:hanging="328"/>
        <w:spacing w:after="0" w:line="254" w:lineRule="auto"/>
        <w:tabs>
          <w:tab w:leader="none" w:pos="655"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adjustments include amounts that management believes are not representative of our operating performance (amounts in brackets represent reductions in Adjusted Operating Income, Adjusted Diluted EPS and Adjusted EBITDA), which are primarily related to excess payroll taxes on stock option exercises, executive severance and relocation and other expenses and adjustments, including losses on other investments of $0.3 million for the three months ended April 2, 2022.</w:t>
      </w:r>
    </w:p>
    <w:p>
      <w:pPr>
        <w:spacing w:after="0" w:line="1" w:lineRule="exact"/>
        <w:rPr>
          <w:rFonts w:ascii="Times New Roman" w:cs="Times New Roman" w:eastAsia="Times New Roman" w:hAnsi="Times New Roman"/>
          <w:sz w:val="14"/>
          <w:szCs w:val="14"/>
          <w:color w:val="auto"/>
        </w:rPr>
      </w:pPr>
    </w:p>
    <w:p>
      <w:pPr>
        <w:ind w:left="660" w:right="660" w:hanging="328"/>
        <w:spacing w:after="0" w:line="261" w:lineRule="auto"/>
        <w:tabs>
          <w:tab w:leader="none" w:pos="652"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benefit associated with accounting guidance requiring excess tax benefits related to stock option exercises to be recorded in earnings as discrete items in the reporting period in which they occur.</w:t>
      </w:r>
    </w:p>
    <w:p>
      <w:pPr>
        <w:ind w:left="640" w:hanging="30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income tax effect of the total adjustments at our combined statutory federal and state income tax rates.</w:t>
      </w:r>
    </w:p>
    <w:p>
      <w:pPr>
        <w:spacing w:after="0" w:line="14"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other expenses in (f) above, except for losses on other investments of $0.3 million for the three months ended April 2, 2022.</w:t>
      </w:r>
    </w:p>
    <w:p>
      <w:pPr>
        <w:spacing w:after="0" w:line="4" w:lineRule="exact"/>
        <w:rPr>
          <w:rFonts w:ascii="Times New Roman" w:cs="Times New Roman" w:eastAsia="Times New Roman" w:hAnsi="Times New Roman"/>
          <w:sz w:val="14"/>
          <w:szCs w:val="14"/>
          <w:color w:val="auto"/>
        </w:rPr>
      </w:pPr>
    </w:p>
    <w:p>
      <w:pPr>
        <w:ind w:left="660" w:right="660" w:hanging="328"/>
        <w:spacing w:after="0" w:line="278" w:lineRule="auto"/>
        <w:tabs>
          <w:tab w:leader="none" w:pos="647"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other expenses in (f) above, including the impact of stranded tax effect of $2.1 million for the three months ended April 3, 2021 associated with our interest rate swaps that matured in 2021.</w:t>
      </w:r>
    </w:p>
    <w:p>
      <w:pPr>
        <w:sectPr>
          <w:pgSz w:w="11900" w:h="16838" w:orient="portrait"/>
          <w:cols w:equalWidth="0" w:num="1">
            <w:col w:w="11240"/>
          </w:cols>
          <w:pgMar w:left="320" w:top="934" w:right="339" w:bottom="1440" w:gutter="0" w:footer="0" w:header="0"/>
        </w:sectPr>
      </w:pPr>
    </w:p>
    <w:bookmarkStart w:id="14" w:name="page15"/>
    <w:bookmarkEnd w:id="14"/>
    <w:p>
      <w:pPr>
        <w:ind w:left="388"/>
        <w:spacing w:after="0"/>
        <w:rPr>
          <w:sz w:val="20"/>
          <w:szCs w:val="20"/>
          <w:color w:val="auto"/>
        </w:rPr>
      </w:pPr>
      <w:r>
        <w:rPr>
          <w:rFonts w:ascii="Times New Roman" w:cs="Times New Roman" w:eastAsia="Times New Roman" w:hAnsi="Times New Roman"/>
          <w:sz w:val="18"/>
          <w:szCs w:val="18"/>
          <w:b w:val="1"/>
          <w:bCs w:val="1"/>
          <w:color w:val="auto"/>
        </w:rPr>
        <w:t>Reconciliation of Adjusted Comparable Store Sales Growth to Total Comparable Store Sales Growth</w:t>
      </w:r>
    </w:p>
    <w:tbl>
      <w:tblPr>
        <w:tblLayout w:type="fixed"/>
        <w:tblInd w:w="368" w:type="dxa"/>
        <w:tblCellMar>
          <w:top w:w="0" w:type="dxa"/>
          <w:left w:w="0" w:type="dxa"/>
          <w:bottom w:w="0" w:type="dxa"/>
          <w:right w:w="0" w:type="dxa"/>
        </w:tblCellMar>
      </w:tblPr>
      <w:tr>
        <w:trPr>
          <w:trHeight w:val="261"/>
        </w:trPr>
        <w:tc>
          <w:tcPr>
            <w:tcW w:w="47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20" w:type="dxa"/>
            <w:vAlign w:val="bottom"/>
            <w:tcBorders>
              <w:bottom w:val="single" w:sz="8" w:color="auto"/>
            </w:tcBorders>
            <w:gridSpan w:val="5"/>
          </w:tcPr>
          <w:p>
            <w:pPr>
              <w:jc w:val="right"/>
              <w:ind w:right="1270"/>
              <w:spacing w:after="0" w:line="261" w:lineRule="exact"/>
              <w:rPr>
                <w:sz w:val="20"/>
                <w:szCs w:val="20"/>
                <w:color w:val="auto"/>
              </w:rPr>
            </w:pPr>
            <w:r>
              <w:rPr>
                <w:rFonts w:ascii="Times New Roman" w:cs="Times New Roman" w:eastAsia="Times New Roman" w:hAnsi="Times New Roman"/>
                <w:sz w:val="18"/>
                <w:szCs w:val="18"/>
                <w:color w:val="auto"/>
              </w:rPr>
              <w:t xml:space="preserve">Comparable store sales growth </w:t>
            </w:r>
            <w:r>
              <w:rPr>
                <w:rFonts w:ascii="Times New Roman" w:cs="Times New Roman" w:eastAsia="Times New Roman" w:hAnsi="Times New Roman"/>
                <w:sz w:val="23"/>
                <w:szCs w:val="23"/>
                <w:color w:val="auto"/>
                <w:vertAlign w:val="superscript"/>
              </w:rPr>
              <w:t>(a)</w:t>
            </w:r>
          </w:p>
        </w:tc>
      </w:tr>
      <w:tr>
        <w:trPr>
          <w:trHeight w:val="169"/>
        </w:trPr>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80"/>
              <w:spacing w:after="0" w:line="169" w:lineRule="exact"/>
              <w:rPr>
                <w:sz w:val="20"/>
                <w:szCs w:val="20"/>
                <w:color w:val="auto"/>
              </w:rPr>
            </w:pPr>
            <w:r>
              <w:rPr>
                <w:rFonts w:ascii="Times New Roman" w:cs="Times New Roman" w:eastAsia="Times New Roman" w:hAnsi="Times New Roman"/>
                <w:sz w:val="18"/>
                <w:szCs w:val="18"/>
                <w:color w:val="auto"/>
                <w:w w:val="98"/>
              </w:rPr>
              <w:t>Three Months</w:t>
            </w:r>
          </w:p>
        </w:tc>
        <w:tc>
          <w:tcPr>
            <w:tcW w:w="164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color w:val="auto"/>
              </w:rPr>
              <w:t>Three Months</w:t>
            </w:r>
          </w:p>
        </w:tc>
        <w:tc>
          <w:tcPr>
            <w:tcW w:w="1740" w:type="dxa"/>
            <w:vAlign w:val="bottom"/>
          </w:tcPr>
          <w:p>
            <w:pPr>
              <w:spacing w:after="0"/>
              <w:rPr>
                <w:sz w:val="14"/>
                <w:szCs w:val="14"/>
                <w:color w:val="auto"/>
              </w:rPr>
            </w:pPr>
          </w:p>
        </w:tc>
      </w:tr>
      <w:tr>
        <w:trPr>
          <w:trHeight w:val="243"/>
        </w:trPr>
        <w:tc>
          <w:tcPr>
            <w:tcW w:w="4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Ended April 2, 2022</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Ended April 3, 2021</w:t>
            </w:r>
          </w:p>
        </w:tc>
        <w:tc>
          <w:tcPr>
            <w:tcW w:w="1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2022 Outlook</w:t>
            </w:r>
          </w:p>
        </w:tc>
      </w:tr>
      <w:tr>
        <w:trPr>
          <w:trHeight w:val="209"/>
        </w:trPr>
        <w:tc>
          <w:tcPr>
            <w:tcW w:w="48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Owned &amp; Host segment</w:t>
            </w: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r>
      <w:tr>
        <w:trPr>
          <w:trHeight w:val="229"/>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America’s Best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35.3 %</w:t>
            </w: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Eyeglass World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29"/>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Military</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Fred Meyer</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29"/>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Legacy segment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29.8 %</w:t>
            </w: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16"/>
        </w:trPr>
        <w:tc>
          <w:tcPr>
            <w:tcW w:w="4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30"/>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comparable store sales growth</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100" w:type="dxa"/>
            <w:vAlign w:val="bottom"/>
          </w:tcPr>
          <w:p>
            <w:pPr>
              <w:spacing w:after="0"/>
              <w:rPr>
                <w:sz w:val="19"/>
                <w:szCs w:val="19"/>
                <w:color w:val="auto"/>
              </w:rPr>
            </w:pPr>
          </w:p>
        </w:tc>
        <w:tc>
          <w:tcPr>
            <w:tcW w:w="17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(6.5%) - (3.5%)</w:t>
            </w:r>
          </w:p>
        </w:tc>
      </w:tr>
      <w:tr>
        <w:trPr>
          <w:trHeight w:val="229"/>
        </w:trPr>
        <w:tc>
          <w:tcPr>
            <w:tcW w:w="48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Comparable Store Sales Growth </w:t>
            </w:r>
            <w:r>
              <w:rPr>
                <w:rFonts w:ascii="Times New Roman" w:cs="Times New Roman" w:eastAsia="Times New Roman" w:hAnsi="Times New Roman"/>
                <w:sz w:val="23"/>
                <w:szCs w:val="23"/>
                <w:color w:val="auto"/>
                <w:vertAlign w:val="superscript"/>
              </w:rPr>
              <w:t>(b)</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(7%) - (4%)</w:t>
            </w:r>
          </w:p>
        </w:tc>
      </w:tr>
    </w:tbl>
    <w:p>
      <w:pPr>
        <w:spacing w:after="0" w:line="166" w:lineRule="exact"/>
        <w:rPr>
          <w:sz w:val="20"/>
          <w:szCs w:val="20"/>
          <w:color w:val="auto"/>
        </w:rPr>
      </w:pPr>
    </w:p>
    <w:p>
      <w:pPr>
        <w:jc w:val="both"/>
        <w:ind w:left="328" w:right="20" w:hanging="328"/>
        <w:spacing w:after="0" w:line="271" w:lineRule="auto"/>
        <w:tabs>
          <w:tab w:leader="none" w:pos="325"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comparable store sales based on consolidated net revenue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10. “Segment Reporting” in our unaudited condensed consolidated financial statements included in Part I. Item 1. in our Quarterly Report on Form 10-Q, with the exception of the Legacy segment, which is adjusted as noted in clause (b) (ii) below.</w:t>
      </w:r>
    </w:p>
    <w:p>
      <w:pPr>
        <w:spacing w:after="0" w:line="63" w:lineRule="exact"/>
        <w:rPr>
          <w:rFonts w:ascii="Times New Roman" w:cs="Times New Roman" w:eastAsia="Times New Roman" w:hAnsi="Times New Roman"/>
          <w:sz w:val="14"/>
          <w:szCs w:val="14"/>
          <w:color w:val="auto"/>
        </w:rPr>
      </w:pPr>
    </w:p>
    <w:p>
      <w:pPr>
        <w:jc w:val="both"/>
        <w:ind w:left="328" w:hanging="328"/>
        <w:spacing w:after="0" w:line="264" w:lineRule="auto"/>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the following changes from total comparable store sales growth based on consolidated net revenue: a decrease of 1.8% and an increase of 13.8% for the three months ended April 2, 2022 and April 3, 2021, respectively; and (ii) Adjusted Comparable Store Sales Growth includes retail sales to the Legacy partner’s customers (rather than the revenues recognized consistent with the management &amp; services agreement with the Legacy partner), resulting in the following changes from total comparable store sales growth based on consolidated net revenue: a decrease of 0.1% and an increase of 3.8% for the three months ended April 2, 2022 and April 3, 2021, respectively; (iii) with respect to the Company’s 2022 Outlook, Adjusted Comparable Store Sales Growth includes an estimated 0.5% impact for the effect of deferred and unearned income as if such revenues were earned at the point of sale and retail sales to the Legacy partner’s customers (rather than the revenues recognized consistent with the management &amp; services agreement).</w:t>
      </w:r>
    </w:p>
    <w:p>
      <w:pPr>
        <w:sectPr>
          <w:pgSz w:w="11900" w:h="16838" w:orient="portrait"/>
          <w:cols w:equalWidth="0" w:num="1">
            <w:col w:w="10268"/>
          </w:cols>
          <w:pgMar w:left="652" w:top="1022" w:right="9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Vision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David Mann, CFA, Vice President of Investor Relations</w:t>
      </w:r>
    </w:p>
    <w:p>
      <w:pPr>
        <w:spacing w:after="0" w:line="21" w:lineRule="exact"/>
        <w:rPr>
          <w:sz w:val="20"/>
          <w:szCs w:val="20"/>
          <w:color w:val="auto"/>
        </w:rPr>
      </w:pPr>
    </w:p>
    <w:p>
      <w:pPr>
        <w:ind w:right="7359" w:firstLine="8"/>
        <w:spacing w:after="0" w:line="290" w:lineRule="auto"/>
        <w:tabs>
          <w:tab w:leader="none" w:pos="43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448-2448 investor.relations@nationalvision.com</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Vision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Racheal Peters, Manager of External Communications</w:t>
      </w:r>
    </w:p>
    <w:p>
      <w:pPr>
        <w:spacing w:after="0" w:line="9" w:lineRule="exact"/>
        <w:rPr>
          <w:sz w:val="20"/>
          <w:szCs w:val="20"/>
          <w:color w:val="auto"/>
        </w:rPr>
      </w:pPr>
    </w:p>
    <w:p>
      <w:pPr>
        <w:ind w:right="8159" w:firstLine="8"/>
        <w:spacing w:after="0" w:line="290" w:lineRule="auto"/>
        <w:tabs>
          <w:tab w:leader="none" w:pos="43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448-2303 media@nationalvision.com</w:t>
      </w:r>
    </w:p>
    <w:sectPr>
      <w:pgSz w:w="11900" w:h="16838" w:orient="portrait"/>
      <w:cols w:equalWidth="0" w:num="1">
        <w:col w:w="10139"/>
      </w:cols>
      <w:pgMar w:left="320" w:top="12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Letter"/>
      <w:start w:val="4"/>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decimal"/>
      <w:start w:val="470"/>
    </w:lvl>
  </w:abstractNum>
  <w:abstractNum w:abstractNumId="11">
    <w:nsid w:val="66EF438D"/>
    <w:multiLevelType w:val="hybridMultilevel"/>
    <w:lvl w:ilvl="0">
      <w:lvlJc w:val="left"/>
      <w:lvlText w:val="(%1)"/>
      <w:numFmt w:val="decimal"/>
      <w:start w:val="47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2022-05-10T05:41:13Z</dcterms:created>
  <dcterms:modified xsi:type="dcterms:W3CDTF">2022-05-10T05:41:13Z</dcterms:modified>
</cp:coreProperties>
</file>