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SCHEDULE 13G/A</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16"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40" w:right="9100" w:hanging="86"/>
        <w:spacing w:after="0" w:line="283" w:lineRule="auto"/>
        <w:tabs>
          <w:tab w:leader="none" w:pos="103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ý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10 Pages)</w:t>
      </w:r>
    </w:p>
    <w:p>
      <w:pPr>
        <w:spacing w:after="0" w:line="94" w:lineRule="exact"/>
        <w:rPr>
          <w:sz w:val="24"/>
          <w:szCs w:val="24"/>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16"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w:t>
      </w:r>
      <w:r>
        <w:rPr>
          <w:rFonts w:ascii="Arial" w:cs="Arial" w:eastAsia="Arial" w:hAnsi="Arial"/>
          <w:sz w:val="20"/>
          <w:szCs w:val="20"/>
          <w:u w:val="single" w:color="auto"/>
          <w:color w:val="auto"/>
        </w:rPr>
        <w:t>Act</w:t>
      </w:r>
      <w:r>
        <w:rPr>
          <w:rFonts w:ascii="Arial" w:cs="Arial" w:eastAsia="Arial" w:hAnsi="Arial"/>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240" w:top="460"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498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100" w:type="dxa"/>
            <w:vAlign w:val="bottom"/>
          </w:tcPr>
          <w:p>
            <w:pPr>
              <w:ind w:left="440"/>
              <w:spacing w:after="0"/>
              <w:rPr>
                <w:sz w:val="20"/>
                <w:szCs w:val="20"/>
                <w:color w:val="auto"/>
              </w:rPr>
            </w:pPr>
            <w:r>
              <w:rPr>
                <w:rFonts w:ascii="Arial" w:cs="Arial" w:eastAsia="Arial" w:hAnsi="Arial"/>
                <w:sz w:val="22"/>
                <w:szCs w:val="22"/>
                <w:b w:val="1"/>
                <w:bCs w:val="1"/>
                <w:color w:val="auto"/>
              </w:rPr>
              <w:t>13G/A</w:t>
            </w:r>
          </w:p>
        </w:tc>
        <w:tc>
          <w:tcPr>
            <w:tcW w:w="3340" w:type="dxa"/>
            <w:vAlign w:val="bottom"/>
          </w:tcPr>
          <w:p>
            <w:pPr>
              <w:ind w:left="1640"/>
              <w:spacing w:after="0"/>
              <w:rPr>
                <w:sz w:val="20"/>
                <w:szCs w:val="20"/>
                <w:color w:val="auto"/>
              </w:rPr>
            </w:pPr>
            <w:r>
              <w:rPr>
                <w:rFonts w:ascii="Arial" w:cs="Arial" w:eastAsia="Arial" w:hAnsi="Arial"/>
                <w:sz w:val="22"/>
                <w:szCs w:val="22"/>
                <w:b w:val="1"/>
                <w:bCs w:val="1"/>
                <w:color w:val="auto"/>
                <w:w w:val="84"/>
              </w:rPr>
              <w:t>Page 2 of 10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50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1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500" w:type="dxa"/>
            <w:vAlign w:val="bottom"/>
            <w:vMerge w:val="restart"/>
          </w:tcPr>
          <w:p>
            <w:pPr>
              <w:ind w:left="820"/>
              <w:spacing w:after="0"/>
              <w:rPr>
                <w:sz w:val="20"/>
                <w:szCs w:val="20"/>
                <w:color w:val="auto"/>
              </w:rPr>
            </w:pPr>
            <w:r>
              <w:rPr>
                <w:rFonts w:ascii="Arial" w:cs="Arial" w:eastAsia="Arial" w:hAnsi="Arial"/>
                <w:sz w:val="20"/>
                <w:szCs w:val="20"/>
                <w:color w:val="auto"/>
              </w:rPr>
              <w:t>Adage Capital Partners, L.P.</w:t>
            </w:r>
          </w:p>
        </w:tc>
        <w:tc>
          <w:tcPr>
            <w:tcW w:w="31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500" w:type="dxa"/>
            <w:vAlign w:val="bottom"/>
            <w:vMerge w:val="continue"/>
          </w:tcPr>
          <w:p>
            <w:pPr>
              <w:spacing w:after="0"/>
              <w:rPr>
                <w:sz w:val="6"/>
                <w:szCs w:val="6"/>
                <w:color w:val="auto"/>
              </w:rPr>
            </w:pPr>
          </w:p>
        </w:tc>
        <w:tc>
          <w:tcPr>
            <w:tcW w:w="310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00" w:type="dxa"/>
            <w:vAlign w:val="bottom"/>
            <w:tcBorders>
              <w:bottom w:val="single" w:sz="8" w:color="auto"/>
            </w:tcBorders>
            <w:gridSpan w:val="2"/>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0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40" w:type="dxa"/>
            <w:vAlign w:val="bottom"/>
            <w:vMerge w:val="restart"/>
          </w:tcPr>
          <w:p>
            <w:pPr>
              <w:ind w:left="20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500" w:type="dxa"/>
            <w:vAlign w:val="bottom"/>
          </w:tcPr>
          <w:p>
            <w:pPr>
              <w:spacing w:after="0"/>
              <w:rPr>
                <w:sz w:val="7"/>
                <w:szCs w:val="7"/>
                <w:color w:val="auto"/>
              </w:rPr>
            </w:pPr>
          </w:p>
        </w:tc>
        <w:tc>
          <w:tcPr>
            <w:tcW w:w="310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340" w:type="dxa"/>
            <w:vAlign w:val="bottom"/>
          </w:tcPr>
          <w:p>
            <w:pPr>
              <w:ind w:left="20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2"/>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5,710,358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7.40%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22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2860" w:type="dxa"/>
            <w:vAlign w:val="bottom"/>
          </w:tcPr>
          <w:p>
            <w:pPr>
              <w:ind w:left="200"/>
              <w:spacing w:after="0"/>
              <w:rPr>
                <w:sz w:val="20"/>
                <w:szCs w:val="20"/>
                <w:color w:val="auto"/>
              </w:rPr>
            </w:pPr>
            <w:r>
              <w:rPr>
                <w:rFonts w:ascii="Arial" w:cs="Arial" w:eastAsia="Arial" w:hAnsi="Arial"/>
                <w:sz w:val="22"/>
                <w:szCs w:val="22"/>
                <w:b w:val="1"/>
                <w:bCs w:val="1"/>
                <w:color w:val="auto"/>
              </w:rPr>
              <w:t>13G/A</w:t>
            </w:r>
          </w:p>
        </w:tc>
        <w:tc>
          <w:tcPr>
            <w:tcW w:w="3340" w:type="dxa"/>
            <w:vAlign w:val="bottom"/>
          </w:tcPr>
          <w:p>
            <w:pPr>
              <w:ind w:left="1640"/>
              <w:spacing w:after="0"/>
              <w:rPr>
                <w:sz w:val="20"/>
                <w:szCs w:val="20"/>
                <w:color w:val="auto"/>
              </w:rPr>
            </w:pPr>
            <w:r>
              <w:rPr>
                <w:rFonts w:ascii="Arial" w:cs="Arial" w:eastAsia="Arial" w:hAnsi="Arial"/>
                <w:sz w:val="22"/>
                <w:szCs w:val="22"/>
                <w:b w:val="1"/>
                <w:bCs w:val="1"/>
                <w:color w:val="auto"/>
                <w:w w:val="84"/>
              </w:rPr>
              <w:t>Page 3 of 10 Pages</w:t>
            </w:r>
          </w:p>
        </w:tc>
        <w:tc>
          <w:tcPr>
            <w:tcW w:w="0" w:type="dxa"/>
            <w:vAlign w:val="bottom"/>
          </w:tcPr>
          <w:p>
            <w:pPr>
              <w:spacing w:after="0"/>
              <w:rPr>
                <w:sz w:val="1"/>
                <w:szCs w:val="1"/>
                <w:color w:val="auto"/>
              </w:rPr>
            </w:pPr>
          </w:p>
        </w:tc>
      </w:tr>
      <w:tr>
        <w:trPr>
          <w:trHeight w:val="422"/>
        </w:trPr>
        <w:tc>
          <w:tcPr>
            <w:tcW w:w="14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74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28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740" w:type="dxa"/>
            <w:vAlign w:val="bottom"/>
            <w:vMerge w:val="restart"/>
          </w:tcPr>
          <w:p>
            <w:pPr>
              <w:ind w:left="820"/>
              <w:spacing w:after="0"/>
              <w:rPr>
                <w:sz w:val="20"/>
                <w:szCs w:val="20"/>
                <w:color w:val="auto"/>
              </w:rPr>
            </w:pPr>
            <w:r>
              <w:rPr>
                <w:rFonts w:ascii="Arial" w:cs="Arial" w:eastAsia="Arial" w:hAnsi="Arial"/>
                <w:sz w:val="20"/>
                <w:szCs w:val="20"/>
                <w:color w:val="auto"/>
                <w:w w:val="94"/>
              </w:rPr>
              <w:t>Adage Capital Partners GP, L.L.C.</w:t>
            </w:r>
          </w:p>
        </w:tc>
        <w:tc>
          <w:tcPr>
            <w:tcW w:w="2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740" w:type="dxa"/>
            <w:vAlign w:val="bottom"/>
            <w:vMerge w:val="continue"/>
          </w:tcPr>
          <w:p>
            <w:pPr>
              <w:spacing w:after="0"/>
              <w:rPr>
                <w:sz w:val="6"/>
                <w:szCs w:val="6"/>
                <w:color w:val="auto"/>
              </w:rPr>
            </w:pPr>
          </w:p>
        </w:tc>
        <w:tc>
          <w:tcPr>
            <w:tcW w:w="28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00" w:type="dxa"/>
            <w:vAlign w:val="bottom"/>
            <w:tcBorders>
              <w:bottom w:val="single" w:sz="8" w:color="auto"/>
            </w:tcBorders>
            <w:gridSpan w:val="2"/>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0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40" w:type="dxa"/>
            <w:vAlign w:val="bottom"/>
            <w:vMerge w:val="restart"/>
          </w:tcPr>
          <w:p>
            <w:pPr>
              <w:ind w:left="20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740" w:type="dxa"/>
            <w:vAlign w:val="bottom"/>
          </w:tcPr>
          <w:p>
            <w:pPr>
              <w:spacing w:after="0"/>
              <w:rPr>
                <w:sz w:val="7"/>
                <w:szCs w:val="7"/>
                <w:color w:val="auto"/>
              </w:rPr>
            </w:pPr>
          </w:p>
        </w:tc>
        <w:tc>
          <w:tcPr>
            <w:tcW w:w="28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340" w:type="dxa"/>
            <w:vAlign w:val="bottom"/>
          </w:tcPr>
          <w:p>
            <w:pPr>
              <w:ind w:left="20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5,710,358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7.40%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12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2960" w:type="dxa"/>
            <w:vAlign w:val="bottom"/>
          </w:tcPr>
          <w:p>
            <w:pPr>
              <w:ind w:left="300"/>
              <w:spacing w:after="0"/>
              <w:rPr>
                <w:sz w:val="20"/>
                <w:szCs w:val="20"/>
                <w:color w:val="auto"/>
              </w:rPr>
            </w:pPr>
            <w:r>
              <w:rPr>
                <w:rFonts w:ascii="Arial" w:cs="Arial" w:eastAsia="Arial" w:hAnsi="Arial"/>
                <w:sz w:val="22"/>
                <w:szCs w:val="22"/>
                <w:b w:val="1"/>
                <w:bCs w:val="1"/>
                <w:color w:val="auto"/>
              </w:rPr>
              <w:t>13G/A</w:t>
            </w:r>
          </w:p>
        </w:tc>
        <w:tc>
          <w:tcPr>
            <w:tcW w:w="3340" w:type="dxa"/>
            <w:vAlign w:val="bottom"/>
          </w:tcPr>
          <w:p>
            <w:pPr>
              <w:ind w:left="1640"/>
              <w:spacing w:after="0"/>
              <w:rPr>
                <w:sz w:val="20"/>
                <w:szCs w:val="20"/>
                <w:color w:val="auto"/>
              </w:rPr>
            </w:pPr>
            <w:r>
              <w:rPr>
                <w:rFonts w:ascii="Arial" w:cs="Arial" w:eastAsia="Arial" w:hAnsi="Arial"/>
                <w:sz w:val="22"/>
                <w:szCs w:val="22"/>
                <w:b w:val="1"/>
                <w:bCs w:val="1"/>
                <w:color w:val="auto"/>
                <w:w w:val="84"/>
              </w:rPr>
              <w:t>Page 4 of 10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64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29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640" w:type="dxa"/>
            <w:vAlign w:val="bottom"/>
            <w:vMerge w:val="restart"/>
          </w:tcPr>
          <w:p>
            <w:pPr>
              <w:ind w:left="820"/>
              <w:spacing w:after="0"/>
              <w:rPr>
                <w:sz w:val="20"/>
                <w:szCs w:val="20"/>
                <w:color w:val="auto"/>
              </w:rPr>
            </w:pPr>
            <w:r>
              <w:rPr>
                <w:rFonts w:ascii="Arial" w:cs="Arial" w:eastAsia="Arial" w:hAnsi="Arial"/>
                <w:sz w:val="20"/>
                <w:szCs w:val="20"/>
                <w:color w:val="auto"/>
              </w:rPr>
              <w:t>Adage Capital Advisors, L.L.C.</w:t>
            </w:r>
          </w:p>
        </w:tc>
        <w:tc>
          <w:tcPr>
            <w:tcW w:w="29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640" w:type="dxa"/>
            <w:vAlign w:val="bottom"/>
            <w:vMerge w:val="continue"/>
          </w:tcPr>
          <w:p>
            <w:pPr>
              <w:spacing w:after="0"/>
              <w:rPr>
                <w:sz w:val="6"/>
                <w:szCs w:val="6"/>
                <w:color w:val="auto"/>
              </w:rPr>
            </w:pPr>
          </w:p>
        </w:tc>
        <w:tc>
          <w:tcPr>
            <w:tcW w:w="296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00" w:type="dxa"/>
            <w:vAlign w:val="bottom"/>
            <w:tcBorders>
              <w:bottom w:val="single" w:sz="8" w:color="auto"/>
            </w:tcBorders>
            <w:gridSpan w:val="2"/>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0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40" w:type="dxa"/>
            <w:vAlign w:val="bottom"/>
            <w:vMerge w:val="restart"/>
          </w:tcPr>
          <w:p>
            <w:pPr>
              <w:ind w:left="20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640" w:type="dxa"/>
            <w:vAlign w:val="bottom"/>
          </w:tcPr>
          <w:p>
            <w:pPr>
              <w:spacing w:after="0"/>
              <w:rPr>
                <w:sz w:val="7"/>
                <w:szCs w:val="7"/>
                <w:color w:val="auto"/>
              </w:rPr>
            </w:pPr>
          </w:p>
        </w:tc>
        <w:tc>
          <w:tcPr>
            <w:tcW w:w="296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340" w:type="dxa"/>
            <w:vAlign w:val="bottom"/>
          </w:tcPr>
          <w:p>
            <w:pPr>
              <w:ind w:left="20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4"/>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59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594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594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594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59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594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5940" w:type="dxa"/>
            <w:vAlign w:val="bottom"/>
            <w:vMerge w:val="restart"/>
          </w:tcPr>
          <w:p>
            <w:pPr>
              <w:ind w:left="42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594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5,710,358</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2"/>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7.40%</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OO</w:t>
            </w:r>
          </w:p>
        </w:tc>
        <w:tc>
          <w:tcPr>
            <w:tcW w:w="5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59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86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220" w:type="dxa"/>
            <w:vAlign w:val="bottom"/>
          </w:tcPr>
          <w:p>
            <w:pPr>
              <w:ind w:left="560"/>
              <w:spacing w:after="0"/>
              <w:rPr>
                <w:sz w:val="20"/>
                <w:szCs w:val="20"/>
                <w:color w:val="auto"/>
              </w:rPr>
            </w:pPr>
            <w:r>
              <w:rPr>
                <w:rFonts w:ascii="Arial" w:cs="Arial" w:eastAsia="Arial" w:hAnsi="Arial"/>
                <w:sz w:val="22"/>
                <w:szCs w:val="22"/>
                <w:b w:val="1"/>
                <w:bCs w:val="1"/>
                <w:color w:val="auto"/>
              </w:rPr>
              <w:t>13G/A</w:t>
            </w:r>
          </w:p>
        </w:tc>
        <w:tc>
          <w:tcPr>
            <w:tcW w:w="3340" w:type="dxa"/>
            <w:vAlign w:val="bottom"/>
          </w:tcPr>
          <w:p>
            <w:pPr>
              <w:ind w:left="1640"/>
              <w:spacing w:after="0"/>
              <w:rPr>
                <w:sz w:val="20"/>
                <w:szCs w:val="20"/>
                <w:color w:val="auto"/>
              </w:rPr>
            </w:pPr>
            <w:r>
              <w:rPr>
                <w:rFonts w:ascii="Arial" w:cs="Arial" w:eastAsia="Arial" w:hAnsi="Arial"/>
                <w:sz w:val="22"/>
                <w:szCs w:val="22"/>
                <w:b w:val="1"/>
                <w:bCs w:val="1"/>
                <w:color w:val="auto"/>
                <w:w w:val="84"/>
              </w:rPr>
              <w:t>Page 5 of 10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38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380" w:type="dxa"/>
            <w:vAlign w:val="bottom"/>
            <w:vMerge w:val="restart"/>
          </w:tcPr>
          <w:p>
            <w:pPr>
              <w:ind w:left="820"/>
              <w:spacing w:after="0"/>
              <w:rPr>
                <w:sz w:val="20"/>
                <w:szCs w:val="20"/>
                <w:color w:val="auto"/>
              </w:rPr>
            </w:pPr>
            <w:r>
              <w:rPr>
                <w:rFonts w:ascii="Arial" w:cs="Arial" w:eastAsia="Arial" w:hAnsi="Arial"/>
                <w:sz w:val="20"/>
                <w:szCs w:val="20"/>
                <w:color w:val="auto"/>
              </w:rPr>
              <w:t>Robert Atchinson</w:t>
            </w:r>
          </w:p>
        </w:tc>
        <w:tc>
          <w:tcPr>
            <w:tcW w:w="3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00" w:type="dxa"/>
            <w:vAlign w:val="bottom"/>
            <w:tcBorders>
              <w:bottom w:val="single" w:sz="8" w:color="auto"/>
            </w:tcBorders>
            <w:gridSpan w:val="2"/>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0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40" w:type="dxa"/>
            <w:vAlign w:val="bottom"/>
            <w:vMerge w:val="restart"/>
          </w:tcPr>
          <w:p>
            <w:pPr>
              <w:ind w:left="20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40" w:type="dxa"/>
            <w:vAlign w:val="bottom"/>
          </w:tcPr>
          <w:p>
            <w:pPr>
              <w:ind w:left="20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5,710,358</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7.40%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860" w:type="dxa"/>
            <w:vAlign w:val="bottom"/>
            <w:gridSpan w:val="2"/>
          </w:tcPr>
          <w:p>
            <w:pPr>
              <w:spacing w:after="0"/>
              <w:rPr>
                <w:sz w:val="20"/>
                <w:szCs w:val="20"/>
                <w:color w:val="auto"/>
              </w:rPr>
            </w:pPr>
            <w:r>
              <w:rPr>
                <w:rFonts w:ascii="Arial" w:cs="Arial" w:eastAsia="Arial" w:hAnsi="Arial"/>
                <w:sz w:val="22"/>
                <w:szCs w:val="22"/>
                <w:b w:val="1"/>
                <w:bCs w:val="1"/>
                <w:color w:val="auto"/>
              </w:rPr>
              <w:t>CUSIP No. 63845R107</w:t>
            </w:r>
          </w:p>
        </w:tc>
        <w:tc>
          <w:tcPr>
            <w:tcW w:w="3220" w:type="dxa"/>
            <w:vAlign w:val="bottom"/>
          </w:tcPr>
          <w:p>
            <w:pPr>
              <w:ind w:left="560"/>
              <w:spacing w:after="0"/>
              <w:rPr>
                <w:sz w:val="20"/>
                <w:szCs w:val="20"/>
                <w:color w:val="auto"/>
              </w:rPr>
            </w:pPr>
            <w:r>
              <w:rPr>
                <w:rFonts w:ascii="Arial" w:cs="Arial" w:eastAsia="Arial" w:hAnsi="Arial"/>
                <w:sz w:val="22"/>
                <w:szCs w:val="22"/>
                <w:b w:val="1"/>
                <w:bCs w:val="1"/>
                <w:color w:val="auto"/>
              </w:rPr>
              <w:t>13G/A</w:t>
            </w:r>
          </w:p>
        </w:tc>
        <w:tc>
          <w:tcPr>
            <w:tcW w:w="3340" w:type="dxa"/>
            <w:vAlign w:val="bottom"/>
          </w:tcPr>
          <w:p>
            <w:pPr>
              <w:ind w:left="1640"/>
              <w:spacing w:after="0"/>
              <w:rPr>
                <w:sz w:val="20"/>
                <w:szCs w:val="20"/>
                <w:color w:val="auto"/>
              </w:rPr>
            </w:pPr>
            <w:r>
              <w:rPr>
                <w:rFonts w:ascii="Arial" w:cs="Arial" w:eastAsia="Arial" w:hAnsi="Arial"/>
                <w:sz w:val="22"/>
                <w:szCs w:val="22"/>
                <w:b w:val="1"/>
                <w:bCs w:val="1"/>
                <w:color w:val="auto"/>
                <w:w w:val="84"/>
              </w:rPr>
              <w:t>Page 6 of 10 Pages</w:t>
            </w:r>
          </w:p>
        </w:tc>
        <w:tc>
          <w:tcPr>
            <w:tcW w:w="0" w:type="dxa"/>
            <w:vAlign w:val="bottom"/>
          </w:tcPr>
          <w:p>
            <w:pPr>
              <w:spacing w:after="0"/>
              <w:rPr>
                <w:sz w:val="1"/>
                <w:szCs w:val="1"/>
                <w:color w:val="auto"/>
              </w:rPr>
            </w:pPr>
          </w:p>
        </w:tc>
      </w:tr>
      <w:tr>
        <w:trPr>
          <w:trHeight w:val="328"/>
        </w:trPr>
        <w:tc>
          <w:tcPr>
            <w:tcW w:w="1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1</w:t>
            </w:r>
          </w:p>
        </w:tc>
        <w:tc>
          <w:tcPr>
            <w:tcW w:w="3380" w:type="dxa"/>
            <w:vAlign w:val="bottom"/>
          </w:tcPr>
          <w:p>
            <w:pPr>
              <w:ind w:left="480"/>
              <w:spacing w:after="0"/>
              <w:rPr>
                <w:sz w:val="20"/>
                <w:szCs w:val="20"/>
                <w:color w:val="auto"/>
              </w:rPr>
            </w:pPr>
            <w:r>
              <w:rPr>
                <w:rFonts w:ascii="Arial" w:cs="Arial" w:eastAsia="Arial" w:hAnsi="Arial"/>
                <w:sz w:val="16"/>
                <w:szCs w:val="16"/>
                <w:color w:val="auto"/>
              </w:rPr>
              <w:t>NAME OF REPORTING PERSON</w:t>
            </w:r>
          </w:p>
        </w:tc>
        <w:tc>
          <w:tcPr>
            <w:tcW w:w="32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3380" w:type="dxa"/>
            <w:vAlign w:val="bottom"/>
            <w:vMerge w:val="restart"/>
          </w:tcPr>
          <w:p>
            <w:pPr>
              <w:ind w:left="820"/>
              <w:spacing w:after="0"/>
              <w:rPr>
                <w:sz w:val="20"/>
                <w:szCs w:val="20"/>
                <w:color w:val="auto"/>
              </w:rPr>
            </w:pPr>
            <w:r>
              <w:rPr>
                <w:rFonts w:ascii="Arial" w:cs="Arial" w:eastAsia="Arial" w:hAnsi="Arial"/>
                <w:sz w:val="20"/>
                <w:szCs w:val="20"/>
                <w:color w:val="auto"/>
              </w:rPr>
              <w:t>Phillip Gross</w:t>
            </w:r>
          </w:p>
        </w:tc>
        <w:tc>
          <w:tcPr>
            <w:tcW w:w="3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3220" w:type="dxa"/>
            <w:vAlign w:val="bottom"/>
          </w:tcPr>
          <w:p>
            <w:pPr>
              <w:spacing w:after="0"/>
              <w:rPr>
                <w:sz w:val="6"/>
                <w:szCs w:val="6"/>
                <w:color w:val="auto"/>
              </w:rPr>
            </w:pPr>
          </w:p>
        </w:tc>
        <w:tc>
          <w:tcPr>
            <w:tcW w:w="3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600" w:type="dxa"/>
            <w:vAlign w:val="bottom"/>
            <w:tcBorders>
              <w:bottom w:val="single" w:sz="8" w:color="auto"/>
            </w:tcBorders>
            <w:gridSpan w:val="2"/>
          </w:tcPr>
          <w:p>
            <w:pPr>
              <w:spacing w:after="0"/>
              <w:rPr>
                <w:sz w:val="9"/>
                <w:szCs w:val="9"/>
                <w:color w:val="auto"/>
              </w:rPr>
            </w:pPr>
          </w:p>
        </w:tc>
        <w:tc>
          <w:tcPr>
            <w:tcW w:w="33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48"/>
              <w:spacing w:after="0"/>
              <w:rPr>
                <w:sz w:val="20"/>
                <w:szCs w:val="20"/>
                <w:color w:val="auto"/>
              </w:rPr>
            </w:pPr>
            <w:r>
              <w:rPr>
                <w:rFonts w:ascii="Arial" w:cs="Arial" w:eastAsia="Arial" w:hAnsi="Arial"/>
                <w:sz w:val="29"/>
                <w:szCs w:val="29"/>
                <w:b w:val="1"/>
                <w:bCs w:val="1"/>
                <w:color w:val="auto"/>
              </w:rPr>
              <w:t>2</w:t>
            </w:r>
          </w:p>
        </w:tc>
        <w:tc>
          <w:tcPr>
            <w:tcW w:w="6600" w:type="dxa"/>
            <w:vAlign w:val="bottom"/>
            <w:gridSpan w:val="2"/>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340" w:type="dxa"/>
            <w:vAlign w:val="bottom"/>
            <w:vMerge w:val="restart"/>
          </w:tcPr>
          <w:p>
            <w:pPr>
              <w:ind w:left="20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3380" w:type="dxa"/>
            <w:vAlign w:val="bottom"/>
          </w:tcPr>
          <w:p>
            <w:pPr>
              <w:spacing w:after="0"/>
              <w:rPr>
                <w:sz w:val="7"/>
                <w:szCs w:val="7"/>
                <w:color w:val="auto"/>
              </w:rPr>
            </w:pPr>
          </w:p>
        </w:tc>
        <w:tc>
          <w:tcPr>
            <w:tcW w:w="3220" w:type="dxa"/>
            <w:vAlign w:val="bottom"/>
          </w:tcPr>
          <w:p>
            <w:pPr>
              <w:spacing w:after="0"/>
              <w:rPr>
                <w:sz w:val="7"/>
                <w:szCs w:val="7"/>
                <w:color w:val="auto"/>
              </w:rPr>
            </w:pPr>
          </w:p>
        </w:tc>
        <w:tc>
          <w:tcPr>
            <w:tcW w:w="3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340" w:type="dxa"/>
            <w:vAlign w:val="bottom"/>
          </w:tcPr>
          <w:p>
            <w:pPr>
              <w:ind w:left="20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46393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639310"/>
                    </a:xfrm>
                    <a:prstGeom prst="rect">
                      <a:avLst/>
                    </a:prstGeom>
                    <a:noFill/>
                  </pic:spPr>
                </pic:pic>
              </a:graphicData>
            </a:graphic>
          </wp:anchor>
        </w:drawing>
      </w:r>
    </w:p>
    <w:p>
      <w:pPr>
        <w:ind w:left="1960" w:hanging="1099"/>
        <w:spacing w:after="0" w:line="182" w:lineRule="auto"/>
        <w:tabs>
          <w:tab w:leader="none" w:pos="1960" w:val="left"/>
        </w:tabs>
        <w:numPr>
          <w:ilvl w:val="0"/>
          <w:numId w:val="6"/>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tcPr>
          <w:p>
            <w:pPr>
              <w:spacing w:after="0"/>
              <w:rPr>
                <w:sz w:val="20"/>
                <w:szCs w:val="20"/>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0"/>
                <w:szCs w:val="20"/>
                <w:color w:val="auto"/>
              </w:rPr>
            </w:pPr>
          </w:p>
        </w:tc>
        <w:tc>
          <w:tcPr>
            <w:tcW w:w="590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VOTING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08"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59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0</w:t>
            </w: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590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5900" w:type="dxa"/>
            <w:vAlign w:val="bottom"/>
            <w:tcBorders>
              <w:bottom w:val="single" w:sz="8" w:color="auto"/>
            </w:tcBorders>
          </w:tcPr>
          <w:p>
            <w:pPr>
              <w:spacing w:after="0"/>
              <w:rPr>
                <w:sz w:val="6"/>
                <w:szCs w:val="6"/>
                <w:color w:val="auto"/>
              </w:rPr>
            </w:pPr>
          </w:p>
        </w:tc>
        <w:tc>
          <w:tcPr>
            <w:tcW w:w="2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590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2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5900" w:type="dxa"/>
            <w:vAlign w:val="bottom"/>
            <w:vMerge w:val="continue"/>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5900" w:type="dxa"/>
            <w:vAlign w:val="bottom"/>
            <w:vMerge w:val="restart"/>
          </w:tcPr>
          <w:p>
            <w:pPr>
              <w:ind w:left="380"/>
              <w:spacing w:after="0"/>
              <w:rPr>
                <w:sz w:val="20"/>
                <w:szCs w:val="20"/>
                <w:color w:val="auto"/>
              </w:rPr>
            </w:pPr>
            <w:r>
              <w:rPr>
                <w:rFonts w:ascii="Arial" w:cs="Arial" w:eastAsia="Arial" w:hAnsi="Arial"/>
                <w:sz w:val="20"/>
                <w:szCs w:val="20"/>
                <w:color w:val="auto"/>
              </w:rPr>
              <w:t>5,710,358</w:t>
            </w: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vMerge w:val="continue"/>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5,710,358</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900" w:type="dxa"/>
            <w:vAlign w:val="bottom"/>
            <w:tcBorders>
              <w:bottom w:val="single" w:sz="8" w:color="auto"/>
            </w:tcBorders>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46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20" w:type="dxa"/>
            <w:vAlign w:val="bottom"/>
          </w:tcPr>
          <w:p>
            <w:pPr>
              <w:ind w:left="98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460" w:type="dxa"/>
            <w:vAlign w:val="bottom"/>
            <w:gridSpan w:val="3"/>
            <w:vMerge w:val="continue"/>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5940" w:type="dxa"/>
            <w:vAlign w:val="bottom"/>
            <w:tcBorders>
              <w:bottom w:val="single" w:sz="8" w:color="auto"/>
            </w:tcBorders>
            <w:gridSpan w:val="2"/>
          </w:tcPr>
          <w:p>
            <w:pPr>
              <w:spacing w:after="0"/>
              <w:rPr>
                <w:sz w:val="22"/>
                <w:szCs w:val="22"/>
                <w:color w:val="auto"/>
              </w:rPr>
            </w:pPr>
          </w:p>
        </w:tc>
        <w:tc>
          <w:tcPr>
            <w:tcW w:w="2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7.40%</w:t>
            </w:r>
          </w:p>
        </w:tc>
        <w:tc>
          <w:tcPr>
            <w:tcW w:w="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5940" w:type="dxa"/>
            <w:vAlign w:val="bottom"/>
            <w:tcBorders>
              <w:bottom w:val="single" w:sz="8" w:color="auto"/>
            </w:tcBorders>
            <w:gridSpan w:val="2"/>
          </w:tcPr>
          <w:p>
            <w:pPr>
              <w:spacing w:after="0"/>
              <w:rPr>
                <w:sz w:val="9"/>
                <w:szCs w:val="9"/>
                <w:color w:val="auto"/>
              </w:rPr>
            </w:pPr>
          </w:p>
        </w:tc>
        <w:tc>
          <w:tcPr>
            <w:tcW w:w="2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46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rPr>
              <w:t>IN</w:t>
            </w:r>
          </w:p>
        </w:tc>
        <w:tc>
          <w:tcPr>
            <w:tcW w:w="5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900" w:type="dxa"/>
            <w:vAlign w:val="bottom"/>
          </w:tcPr>
          <w:p>
            <w:pPr>
              <w:spacing w:after="0"/>
              <w:rPr>
                <w:sz w:val="6"/>
                <w:szCs w:val="6"/>
                <w:color w:val="auto"/>
              </w:rPr>
            </w:pPr>
          </w:p>
        </w:tc>
        <w:tc>
          <w:tcPr>
            <w:tcW w:w="2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3" w:right="239" w:bottom="1440" w:gutter="0" w:footer="0" w:header="0"/>
        </w:sectPr>
      </w:pPr>
    </w:p>
    <w:bookmarkStart w:id="6" w:name="page7"/>
    <w:bookmarkEnd w:id="6"/>
    <w:p>
      <w:pPr>
        <w:spacing w:after="0"/>
        <w:tabs>
          <w:tab w:leader="none" w:pos="5400" w:val="left"/>
          <w:tab w:leader="none" w:pos="970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7 of 10 Pages</w:t>
      </w:r>
    </w:p>
    <w:p>
      <w:pPr>
        <w:sectPr>
          <w:pgSz w:w="11900" w:h="16838" w:orient="portrait"/>
          <w:cols w:equalWidth="0" w:num="1">
            <w:col w:w="11420"/>
          </w:cols>
          <w:pgMar w:left="240" w:top="463" w:right="239" w:bottom="1440" w:gutter="0" w:footer="0" w:header="0"/>
        </w:sectPr>
      </w:pPr>
    </w:p>
    <w:p>
      <w:pPr>
        <w:spacing w:after="0" w:line="33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1(a).</w:t>
            </w:r>
          </w:p>
        </w:tc>
        <w:tc>
          <w:tcPr>
            <w:tcW w:w="9880" w:type="dxa"/>
            <w:vAlign w:val="bottom"/>
            <w:gridSpan w:val="16"/>
          </w:tcPr>
          <w:p>
            <w:pPr>
              <w:ind w:left="440"/>
              <w:spacing w:after="0"/>
              <w:rPr>
                <w:sz w:val="20"/>
                <w:szCs w:val="20"/>
                <w:color w:val="auto"/>
              </w:rPr>
            </w:pPr>
            <w:r>
              <w:rPr>
                <w:rFonts w:ascii="Arial" w:cs="Arial" w:eastAsia="Arial" w:hAnsi="Arial"/>
                <w:sz w:val="20"/>
                <w:szCs w:val="20"/>
                <w:b w:val="1"/>
                <w:bCs w:val="1"/>
                <w:color w:val="auto"/>
              </w:rPr>
              <w:t>NAME OF ISSUER</w:t>
            </w:r>
          </w:p>
        </w:tc>
      </w:tr>
      <w:tr>
        <w:trPr>
          <w:trHeight w:val="206"/>
        </w:trPr>
        <w:tc>
          <w:tcPr>
            <w:tcW w:w="1280" w:type="dxa"/>
            <w:vAlign w:val="bottom"/>
          </w:tcPr>
          <w:p>
            <w:pPr>
              <w:spacing w:after="0"/>
              <w:rPr>
                <w:sz w:val="17"/>
                <w:szCs w:val="17"/>
                <w:color w:val="auto"/>
              </w:rPr>
            </w:pPr>
          </w:p>
        </w:tc>
        <w:tc>
          <w:tcPr>
            <w:tcW w:w="9880" w:type="dxa"/>
            <w:vAlign w:val="bottom"/>
            <w:gridSpan w:val="16"/>
          </w:tcPr>
          <w:p>
            <w:pPr>
              <w:ind w:left="440"/>
              <w:spacing w:after="0" w:line="206" w:lineRule="exact"/>
              <w:rPr>
                <w:sz w:val="20"/>
                <w:szCs w:val="20"/>
                <w:color w:val="auto"/>
              </w:rPr>
            </w:pPr>
            <w:r>
              <w:rPr>
                <w:rFonts w:ascii="Arial" w:cs="Arial" w:eastAsia="Arial" w:hAnsi="Arial"/>
                <w:sz w:val="20"/>
                <w:szCs w:val="20"/>
                <w:color w:val="auto"/>
              </w:rPr>
              <w:t>The name of the issuer is National Vision Holdings, Inc. (the "Company").</w:t>
            </w:r>
          </w:p>
        </w:tc>
      </w:tr>
      <w:tr>
        <w:trPr>
          <w:trHeight w:val="20"/>
        </w:trPr>
        <w:tc>
          <w:tcPr>
            <w:tcW w:w="12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63"/>
        </w:trPr>
        <w:tc>
          <w:tcPr>
            <w:tcW w:w="1280" w:type="dxa"/>
            <w:vAlign w:val="bottom"/>
          </w:tcPr>
          <w:p>
            <w:pPr>
              <w:spacing w:after="0"/>
              <w:rPr>
                <w:sz w:val="20"/>
                <w:szCs w:val="20"/>
                <w:color w:val="auto"/>
              </w:rPr>
            </w:pPr>
            <w:r>
              <w:rPr>
                <w:rFonts w:ascii="Arial" w:cs="Arial" w:eastAsia="Arial" w:hAnsi="Arial"/>
                <w:sz w:val="20"/>
                <w:szCs w:val="20"/>
                <w:b w:val="1"/>
                <w:bCs w:val="1"/>
                <w:color w:val="auto"/>
              </w:rPr>
              <w:t>Item 1(b).</w:t>
            </w:r>
          </w:p>
        </w:tc>
        <w:tc>
          <w:tcPr>
            <w:tcW w:w="9880" w:type="dxa"/>
            <w:vAlign w:val="bottom"/>
            <w:gridSpan w:val="16"/>
          </w:tcPr>
          <w:p>
            <w:pPr>
              <w:ind w:left="440"/>
              <w:spacing w:after="0"/>
              <w:rPr>
                <w:sz w:val="20"/>
                <w:szCs w:val="20"/>
                <w:color w:val="auto"/>
              </w:rPr>
            </w:pPr>
            <w:r>
              <w:rPr>
                <w:rFonts w:ascii="Arial" w:cs="Arial" w:eastAsia="Arial" w:hAnsi="Arial"/>
                <w:sz w:val="20"/>
                <w:szCs w:val="20"/>
                <w:b w:val="1"/>
                <w:bCs w:val="1"/>
                <w:color w:val="auto"/>
              </w:rPr>
              <w:t>ADDRESS OF ISSUER'S PRINCIPAL EXECUTIVE OFFICES</w:t>
            </w:r>
          </w:p>
        </w:tc>
      </w:tr>
      <w:tr>
        <w:trPr>
          <w:trHeight w:val="230"/>
        </w:trPr>
        <w:tc>
          <w:tcPr>
            <w:tcW w:w="1280" w:type="dxa"/>
            <w:vAlign w:val="bottom"/>
          </w:tcPr>
          <w:p>
            <w:pPr>
              <w:spacing w:after="0"/>
              <w:rPr>
                <w:sz w:val="19"/>
                <w:szCs w:val="19"/>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0"/>
              </w:rPr>
              <w:t>The Company's principal executive offices are located at 2435 Commerce Ave, Building 2200, Duluth, Georgia 30096-</w:t>
            </w:r>
          </w:p>
        </w:tc>
      </w:tr>
      <w:tr>
        <w:trPr>
          <w:trHeight w:val="250"/>
        </w:trPr>
        <w:tc>
          <w:tcPr>
            <w:tcW w:w="128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4980.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3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2(a).</w:t>
            </w:r>
          </w:p>
        </w:tc>
        <w:tc>
          <w:tcPr>
            <w:tcW w:w="9880" w:type="dxa"/>
            <w:vAlign w:val="bottom"/>
            <w:gridSpan w:val="16"/>
          </w:tcPr>
          <w:p>
            <w:pPr>
              <w:ind w:left="440"/>
              <w:spacing w:after="0"/>
              <w:rPr>
                <w:sz w:val="20"/>
                <w:szCs w:val="20"/>
                <w:color w:val="auto"/>
              </w:rPr>
            </w:pPr>
            <w:r>
              <w:rPr>
                <w:rFonts w:ascii="Arial" w:cs="Arial" w:eastAsia="Arial" w:hAnsi="Arial"/>
                <w:sz w:val="20"/>
                <w:szCs w:val="20"/>
                <w:b w:val="1"/>
                <w:bCs w:val="1"/>
                <w:color w:val="auto"/>
              </w:rPr>
              <w:t>NAME OF PERSON FILING</w:t>
            </w:r>
          </w:p>
        </w:tc>
      </w:tr>
      <w:tr>
        <w:trPr>
          <w:trHeight w:val="250"/>
        </w:trPr>
        <w:tc>
          <w:tcPr>
            <w:tcW w:w="1280" w:type="dxa"/>
            <w:vAlign w:val="bottom"/>
          </w:tcPr>
          <w:p>
            <w:pPr>
              <w:spacing w:after="0"/>
              <w:rPr>
                <w:sz w:val="21"/>
                <w:szCs w:val="21"/>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rPr>
              <w:t>This statement is filed by:</w:t>
            </w:r>
          </w:p>
        </w:tc>
      </w:tr>
      <w:tr>
        <w:trPr>
          <w:trHeight w:val="415"/>
        </w:trPr>
        <w:tc>
          <w:tcPr>
            <w:tcW w:w="128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w:t>
            </w: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w w:val="90"/>
              </w:rPr>
              <w:t>Adage Capital Partners, L.P., a Delaware limited partnership ("ACP") with respect to the shares of Common</w:t>
            </w:r>
          </w:p>
        </w:tc>
      </w:tr>
      <w:tr>
        <w:trPr>
          <w:trHeight w:val="254"/>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60" w:type="dxa"/>
            <w:vAlign w:val="bottom"/>
            <w:gridSpan w:val="11"/>
          </w:tcPr>
          <w:p>
            <w:pPr>
              <w:ind w:left="140"/>
              <w:spacing w:after="0"/>
              <w:rPr>
                <w:sz w:val="20"/>
                <w:szCs w:val="20"/>
                <w:color w:val="auto"/>
              </w:rPr>
            </w:pPr>
            <w:r>
              <w:rPr>
                <w:rFonts w:ascii="Arial" w:cs="Arial" w:eastAsia="Arial" w:hAnsi="Arial"/>
                <w:sz w:val="20"/>
                <w:szCs w:val="20"/>
                <w:color w:val="auto"/>
              </w:rPr>
              <w:t>Stock directly owned by it;</w:t>
            </w:r>
          </w:p>
        </w:tc>
        <w:tc>
          <w:tcPr>
            <w:tcW w:w="320" w:type="dxa"/>
            <w:vAlign w:val="bottom"/>
            <w:tcBorders>
              <w:top w:val="single" w:sz="8" w:color="auto"/>
            </w:tcBorders>
          </w:tcPr>
          <w:p>
            <w:pPr>
              <w:spacing w:after="0"/>
              <w:rPr>
                <w:sz w:val="22"/>
                <w:szCs w:val="22"/>
                <w:color w:val="auto"/>
              </w:rPr>
            </w:pPr>
          </w:p>
        </w:tc>
        <w:tc>
          <w:tcPr>
            <w:tcW w:w="3400" w:type="dxa"/>
            <w:vAlign w:val="bottom"/>
            <w:gridSpan w:val="3"/>
          </w:tcPr>
          <w:p>
            <w:pPr>
              <w:spacing w:after="0"/>
              <w:rPr>
                <w:sz w:val="22"/>
                <w:szCs w:val="22"/>
                <w:color w:val="auto"/>
              </w:rPr>
            </w:pPr>
          </w:p>
        </w:tc>
      </w:tr>
      <w:tr>
        <w:trPr>
          <w:trHeight w:val="438"/>
        </w:trPr>
        <w:tc>
          <w:tcPr>
            <w:tcW w:w="128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w:t>
            </w: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w w:val="95"/>
              </w:rPr>
              <w:t>Adage Capital Partners GP, L.L.C., a limited liability company organized under the laws of the State of</w:t>
            </w:r>
          </w:p>
        </w:tc>
      </w:tr>
      <w:tr>
        <w:trPr>
          <w:trHeight w:val="20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gridSpan w:val="15"/>
          </w:tcPr>
          <w:p>
            <w:pPr>
              <w:ind w:left="140"/>
              <w:spacing w:after="0" w:line="206" w:lineRule="exact"/>
              <w:rPr>
                <w:sz w:val="20"/>
                <w:szCs w:val="20"/>
                <w:color w:val="auto"/>
              </w:rPr>
            </w:pPr>
            <w:r>
              <w:rPr>
                <w:rFonts w:ascii="Arial" w:cs="Arial" w:eastAsia="Arial" w:hAnsi="Arial"/>
                <w:sz w:val="20"/>
                <w:szCs w:val="20"/>
                <w:color w:val="auto"/>
                <w:w w:val="89"/>
              </w:rPr>
              <w:t>Delaware ("ACPGP"), as general partner of ACP with respect to the shares of Common Stock directly owned</w:t>
            </w:r>
          </w:p>
        </w:tc>
      </w:tr>
      <w:tr>
        <w:trPr>
          <w:trHeight w:val="254"/>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80" w:type="dxa"/>
            <w:vAlign w:val="bottom"/>
            <w:gridSpan w:val="3"/>
          </w:tcPr>
          <w:p>
            <w:pPr>
              <w:ind w:left="140"/>
              <w:spacing w:after="0"/>
              <w:rPr>
                <w:sz w:val="20"/>
                <w:szCs w:val="20"/>
                <w:color w:val="auto"/>
              </w:rPr>
            </w:pPr>
            <w:r>
              <w:rPr>
                <w:rFonts w:ascii="Arial" w:cs="Arial" w:eastAsia="Arial" w:hAnsi="Arial"/>
                <w:sz w:val="20"/>
                <w:szCs w:val="20"/>
                <w:color w:val="auto"/>
              </w:rPr>
              <w:t>by ACP;</w:t>
            </w:r>
          </w:p>
        </w:tc>
        <w:tc>
          <w:tcPr>
            <w:tcW w:w="620" w:type="dxa"/>
            <w:vAlign w:val="bottom"/>
            <w:tcBorders>
              <w:top w:val="single" w:sz="8" w:color="auto"/>
            </w:tcBorders>
            <w:gridSpan w:val="2"/>
          </w:tcPr>
          <w:p>
            <w:pPr>
              <w:spacing w:after="0"/>
              <w:rPr>
                <w:sz w:val="22"/>
                <w:szCs w:val="22"/>
                <w:color w:val="auto"/>
              </w:rPr>
            </w:pPr>
          </w:p>
        </w:tc>
        <w:tc>
          <w:tcPr>
            <w:tcW w:w="7080" w:type="dxa"/>
            <w:vAlign w:val="bottom"/>
            <w:gridSpan w:val="10"/>
          </w:tcPr>
          <w:p>
            <w:pPr>
              <w:spacing w:after="0"/>
              <w:rPr>
                <w:sz w:val="22"/>
                <w:szCs w:val="22"/>
                <w:color w:val="auto"/>
              </w:rPr>
            </w:pPr>
          </w:p>
        </w:tc>
      </w:tr>
      <w:tr>
        <w:trPr>
          <w:trHeight w:val="438"/>
        </w:trPr>
        <w:tc>
          <w:tcPr>
            <w:tcW w:w="128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(iii)</w:t>
            </w: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w w:val="89"/>
              </w:rPr>
              <w:t>Adage Capital Advisors, L.L.C., a limited liability company organized under the laws of the State of Delaware</w:t>
            </w:r>
          </w:p>
        </w:tc>
      </w:tr>
      <w:tr>
        <w:trPr>
          <w:trHeight w:val="206"/>
        </w:trPr>
        <w:tc>
          <w:tcPr>
            <w:tcW w:w="1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780" w:type="dxa"/>
            <w:vAlign w:val="bottom"/>
            <w:gridSpan w:val="15"/>
          </w:tcPr>
          <w:p>
            <w:pPr>
              <w:ind w:left="140"/>
              <w:spacing w:after="0" w:line="206" w:lineRule="exact"/>
              <w:rPr>
                <w:sz w:val="20"/>
                <w:szCs w:val="20"/>
                <w:color w:val="auto"/>
              </w:rPr>
            </w:pPr>
            <w:r>
              <w:rPr>
                <w:rFonts w:ascii="Arial" w:cs="Arial" w:eastAsia="Arial" w:hAnsi="Arial"/>
                <w:sz w:val="20"/>
                <w:szCs w:val="20"/>
                <w:color w:val="auto"/>
                <w:w w:val="92"/>
              </w:rPr>
              <w:t>("ACA"), as managing member of ACPGP, general partner of ACP, with respect to the shares of Common</w:t>
            </w: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rPr>
              <w:t>Stock directly owned by ACP;</w:t>
            </w:r>
          </w:p>
        </w:tc>
      </w:tr>
      <w:tr>
        <w:trPr>
          <w:trHeight w:val="415"/>
        </w:trPr>
        <w:tc>
          <w:tcPr>
            <w:tcW w:w="128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(iv)</w:t>
            </w: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w w:val="92"/>
              </w:rPr>
              <w:t>Robert Atchinson ("Mr. Atchinson"), as managing member of ACA, managing member of ACPGP, general</w:t>
            </w: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rPr>
              <w:t>partner of ACP with respect to the shares of Common Stock directly owned by ACP; and</w:t>
            </w:r>
          </w:p>
        </w:tc>
      </w:tr>
      <w:tr>
        <w:trPr>
          <w:trHeight w:val="415"/>
        </w:trPr>
        <w:tc>
          <w:tcPr>
            <w:tcW w:w="128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(v)</w:t>
            </w: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w w:val="90"/>
              </w:rPr>
              <w:t>Phillip Gross ("Mr. Gross"), as managing member of ACA, managing member of ACPGP, general partner of</w:t>
            </w: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4"/>
        </w:trPr>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780" w:type="dxa"/>
            <w:vAlign w:val="bottom"/>
            <w:gridSpan w:val="15"/>
          </w:tcPr>
          <w:p>
            <w:pPr>
              <w:ind w:left="140"/>
              <w:spacing w:after="0"/>
              <w:rPr>
                <w:sz w:val="20"/>
                <w:szCs w:val="20"/>
                <w:color w:val="auto"/>
              </w:rPr>
            </w:pPr>
            <w:r>
              <w:rPr>
                <w:rFonts w:ascii="Arial" w:cs="Arial" w:eastAsia="Arial" w:hAnsi="Arial"/>
                <w:sz w:val="20"/>
                <w:szCs w:val="20"/>
                <w:color w:val="auto"/>
              </w:rPr>
              <w:t>ACP with respect to the shares of Common Stock directly owned by ACP.</w:t>
            </w:r>
          </w:p>
        </w:tc>
      </w:tr>
      <w:tr>
        <w:trPr>
          <w:trHeight w:val="415"/>
        </w:trPr>
        <w:tc>
          <w:tcPr>
            <w:tcW w:w="1280" w:type="dxa"/>
            <w:vAlign w:val="bottom"/>
          </w:tcPr>
          <w:p>
            <w:pPr>
              <w:spacing w:after="0"/>
              <w:rPr>
                <w:sz w:val="24"/>
                <w:szCs w:val="24"/>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1"/>
              </w:rPr>
              <w:t>The foregoing persons are hereinafter sometimes collectively referred to as the "Reporting Persons." Any disclosures</w:t>
            </w:r>
          </w:p>
        </w:tc>
      </w:tr>
      <w:tr>
        <w:trPr>
          <w:trHeight w:val="20"/>
        </w:trPr>
        <w:tc>
          <w:tcPr>
            <w:tcW w:w="1280" w:type="dxa"/>
            <w:vAlign w:val="bottom"/>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33"/>
        </w:trPr>
        <w:tc>
          <w:tcPr>
            <w:tcW w:w="1280" w:type="dxa"/>
            <w:vAlign w:val="bottom"/>
          </w:tcPr>
          <w:p>
            <w:pPr>
              <w:spacing w:after="0"/>
              <w:rPr>
                <w:sz w:val="20"/>
                <w:szCs w:val="20"/>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4"/>
              </w:rPr>
              <w:t>herein with respect to persons other than the Reporting Persons are made on information and belief after making</w:t>
            </w:r>
          </w:p>
        </w:tc>
      </w:tr>
      <w:tr>
        <w:trPr>
          <w:trHeight w:val="250"/>
        </w:trPr>
        <w:tc>
          <w:tcPr>
            <w:tcW w:w="1280" w:type="dxa"/>
            <w:vAlign w:val="bottom"/>
          </w:tcPr>
          <w:p>
            <w:pPr>
              <w:spacing w:after="0"/>
              <w:rPr>
                <w:sz w:val="21"/>
                <w:szCs w:val="21"/>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rPr>
              <w:t>inquiry to the appropriate party.</w:t>
            </w:r>
          </w:p>
        </w:tc>
      </w:tr>
      <w:tr>
        <w:trPr>
          <w:trHeight w:val="438"/>
        </w:trPr>
        <w:tc>
          <w:tcPr>
            <w:tcW w:w="1280" w:type="dxa"/>
            <w:vAlign w:val="bottom"/>
          </w:tcPr>
          <w:p>
            <w:pPr>
              <w:spacing w:after="0"/>
              <w:rPr>
                <w:sz w:val="24"/>
                <w:szCs w:val="24"/>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3"/>
              </w:rPr>
              <w:t>The filing of this statement should not be construed in and of itself as an admission by any Reporting Person as to</w:t>
            </w:r>
          </w:p>
        </w:tc>
      </w:tr>
      <w:tr>
        <w:trPr>
          <w:trHeight w:val="250"/>
        </w:trPr>
        <w:tc>
          <w:tcPr>
            <w:tcW w:w="1280" w:type="dxa"/>
            <w:vAlign w:val="bottom"/>
          </w:tcPr>
          <w:p>
            <w:pPr>
              <w:spacing w:after="0"/>
              <w:rPr>
                <w:sz w:val="21"/>
                <w:szCs w:val="21"/>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rPr>
              <w:t>beneficial ownership of the securities reported herein.</w:t>
            </w:r>
          </w:p>
        </w:tc>
      </w:tr>
      <w:tr>
        <w:trPr>
          <w:trHeight w:val="43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2(b).</w:t>
            </w:r>
          </w:p>
        </w:tc>
        <w:tc>
          <w:tcPr>
            <w:tcW w:w="9880" w:type="dxa"/>
            <w:vAlign w:val="bottom"/>
            <w:gridSpan w:val="16"/>
          </w:tcPr>
          <w:p>
            <w:pPr>
              <w:ind w:left="4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230"/>
        </w:trPr>
        <w:tc>
          <w:tcPr>
            <w:tcW w:w="1280" w:type="dxa"/>
            <w:vAlign w:val="bottom"/>
          </w:tcPr>
          <w:p>
            <w:pPr>
              <w:spacing w:after="0"/>
              <w:rPr>
                <w:sz w:val="19"/>
                <w:szCs w:val="19"/>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4"/>
              </w:rPr>
              <w:t>The address of the business office of each of the Reporting Persons is 200 Clarendon Street, 52nd floor, Boston,</w:t>
            </w:r>
          </w:p>
        </w:tc>
      </w:tr>
      <w:tr>
        <w:trPr>
          <w:trHeight w:val="250"/>
        </w:trPr>
        <w:tc>
          <w:tcPr>
            <w:tcW w:w="1280" w:type="dxa"/>
            <w:vAlign w:val="bottom"/>
          </w:tcPr>
          <w:p>
            <w:pPr>
              <w:spacing w:after="0"/>
              <w:rPr>
                <w:sz w:val="21"/>
                <w:szCs w:val="21"/>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rPr>
              <w:t>Massachusetts 02116.</w:t>
            </w:r>
          </w:p>
        </w:tc>
      </w:tr>
      <w:tr>
        <w:trPr>
          <w:trHeight w:val="43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880" w:type="dxa"/>
            <w:vAlign w:val="bottom"/>
            <w:gridSpan w:val="16"/>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230"/>
        </w:trPr>
        <w:tc>
          <w:tcPr>
            <w:tcW w:w="1280" w:type="dxa"/>
            <w:vAlign w:val="bottom"/>
          </w:tcPr>
          <w:p>
            <w:pPr>
              <w:spacing w:after="0"/>
              <w:rPr>
                <w:sz w:val="19"/>
                <w:szCs w:val="19"/>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1"/>
              </w:rPr>
              <w:t>ACP is a limited partnership organized under the laws of the State of Delaware. ACPGP and ACA are limited liability</w:t>
            </w:r>
          </w:p>
        </w:tc>
      </w:tr>
      <w:tr>
        <w:trPr>
          <w:trHeight w:val="230"/>
        </w:trPr>
        <w:tc>
          <w:tcPr>
            <w:tcW w:w="1280" w:type="dxa"/>
            <w:vAlign w:val="bottom"/>
          </w:tcPr>
          <w:p>
            <w:pPr>
              <w:spacing w:after="0"/>
              <w:rPr>
                <w:sz w:val="19"/>
                <w:szCs w:val="19"/>
                <w:color w:val="auto"/>
              </w:rPr>
            </w:pPr>
          </w:p>
        </w:tc>
        <w:tc>
          <w:tcPr>
            <w:tcW w:w="9880" w:type="dxa"/>
            <w:vAlign w:val="bottom"/>
            <w:gridSpan w:val="16"/>
          </w:tcPr>
          <w:p>
            <w:pPr>
              <w:ind w:left="440"/>
              <w:spacing w:after="0"/>
              <w:rPr>
                <w:sz w:val="20"/>
                <w:szCs w:val="20"/>
                <w:color w:val="auto"/>
              </w:rPr>
            </w:pPr>
            <w:r>
              <w:rPr>
                <w:rFonts w:ascii="Arial" w:cs="Arial" w:eastAsia="Arial" w:hAnsi="Arial"/>
                <w:sz w:val="20"/>
                <w:szCs w:val="20"/>
                <w:color w:val="auto"/>
                <w:w w:val="90"/>
              </w:rPr>
              <w:t>companies organized under the laws of the State of Delaware. Messrs. Gross and Atchinson are citizens of the United</w:t>
            </w:r>
          </w:p>
        </w:tc>
      </w:tr>
      <w:tr>
        <w:trPr>
          <w:trHeight w:val="250"/>
        </w:trPr>
        <w:tc>
          <w:tcPr>
            <w:tcW w:w="1280" w:type="dxa"/>
            <w:vAlign w:val="bottom"/>
          </w:tcPr>
          <w:p>
            <w:pPr>
              <w:spacing w:after="0"/>
              <w:rPr>
                <w:sz w:val="21"/>
                <w:szCs w:val="21"/>
                <w:color w:val="auto"/>
              </w:rPr>
            </w:pPr>
          </w:p>
        </w:tc>
        <w:tc>
          <w:tcPr>
            <w:tcW w:w="1100" w:type="dxa"/>
            <w:vAlign w:val="bottom"/>
          </w:tcPr>
          <w:p>
            <w:pPr>
              <w:ind w:left="440"/>
              <w:spacing w:after="0"/>
              <w:rPr>
                <w:sz w:val="20"/>
                <w:szCs w:val="20"/>
                <w:color w:val="auto"/>
              </w:rPr>
            </w:pPr>
            <w:r>
              <w:rPr>
                <w:rFonts w:ascii="Arial" w:cs="Arial" w:eastAsia="Arial" w:hAnsi="Arial"/>
                <w:sz w:val="20"/>
                <w:szCs w:val="20"/>
                <w:color w:val="auto"/>
              </w:rPr>
              <w:t>States.</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38"/>
        </w:trPr>
        <w:tc>
          <w:tcPr>
            <w:tcW w:w="128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880" w:type="dxa"/>
            <w:vAlign w:val="bottom"/>
            <w:gridSpan w:val="16"/>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206"/>
        </w:trPr>
        <w:tc>
          <w:tcPr>
            <w:tcW w:w="1280" w:type="dxa"/>
            <w:vAlign w:val="bottom"/>
          </w:tcPr>
          <w:p>
            <w:pPr>
              <w:spacing w:after="0"/>
              <w:rPr>
                <w:sz w:val="17"/>
                <w:szCs w:val="17"/>
                <w:color w:val="auto"/>
              </w:rPr>
            </w:pPr>
          </w:p>
        </w:tc>
        <w:tc>
          <w:tcPr>
            <w:tcW w:w="9880" w:type="dxa"/>
            <w:vAlign w:val="bottom"/>
            <w:gridSpan w:val="16"/>
          </w:tcPr>
          <w:p>
            <w:pPr>
              <w:ind w:left="440"/>
              <w:spacing w:after="0" w:line="206" w:lineRule="exact"/>
              <w:rPr>
                <w:sz w:val="20"/>
                <w:szCs w:val="20"/>
                <w:color w:val="auto"/>
              </w:rPr>
            </w:pPr>
            <w:r>
              <w:rPr>
                <w:rFonts w:ascii="Arial" w:cs="Arial" w:eastAsia="Arial" w:hAnsi="Arial"/>
                <w:sz w:val="20"/>
                <w:szCs w:val="20"/>
                <w:color w:val="auto"/>
              </w:rPr>
              <w:t>Common Stock, par value $0.01 (the " Common Stock").</w:t>
            </w: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ectPr>
          <w:pgSz w:w="11900" w:h="16838" w:orient="portrait"/>
          <w:cols w:equalWidth="0" w:num="1">
            <w:col w:w="11420"/>
          </w:cols>
          <w:pgMar w:left="240" w:top="463" w:right="239" w:bottom="1440" w:gutter="0" w:footer="0" w:header="0"/>
          <w:type w:val="continuous"/>
        </w:sectPr>
      </w:pPr>
    </w:p>
    <w:bookmarkStart w:id="7" w:name="page8"/>
    <w:bookmarkEnd w:id="7"/>
    <w:p>
      <w:pPr>
        <w:spacing w:after="0"/>
        <w:tabs>
          <w:tab w:leader="none" w:pos="5400" w:val="left"/>
          <w:tab w:leader="none" w:pos="970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8 of 10 Pages</w:t>
      </w:r>
    </w:p>
    <w:p>
      <w:pPr>
        <w:sectPr>
          <w:pgSz w:w="11900" w:h="16838" w:orient="portrait"/>
          <w:cols w:equalWidth="0" w:num="1">
            <w:col w:w="11420"/>
          </w:cols>
          <w:pgMar w:left="240" w:top="463" w:right="239" w:bottom="1440" w:gutter="0" w:footer="0" w:header="0"/>
        </w:sectPr>
      </w:pPr>
    </w:p>
    <w:p>
      <w:pPr>
        <w:spacing w:after="0" w:line="332" w:lineRule="exact"/>
        <w:rPr>
          <w:sz w:val="20"/>
          <w:szCs w:val="20"/>
          <w:color w:val="auto"/>
        </w:rPr>
      </w:pPr>
    </w:p>
    <w:tbl>
      <w:tblPr>
        <w:tblLayout w:type="fixed"/>
        <w:tblInd w:w="100" w:type="dxa"/>
        <w:tblCellMar>
          <w:top w:w="0" w:type="dxa"/>
          <w:left w:w="0" w:type="dxa"/>
          <w:bottom w:w="0" w:type="dxa"/>
          <w:right w:w="0" w:type="dxa"/>
        </w:tblCellMar>
      </w:tblPr>
      <w:tr>
        <w:trPr>
          <w:trHeight w:val="236"/>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60" w:type="dxa"/>
            <w:vAlign w:val="bottom"/>
            <w:gridSpan w:val="3"/>
          </w:tcPr>
          <w:p>
            <w:pPr>
              <w:ind w:left="460"/>
              <w:spacing w:after="0"/>
              <w:rPr>
                <w:sz w:val="20"/>
                <w:szCs w:val="20"/>
                <w:color w:val="auto"/>
              </w:rPr>
            </w:pPr>
            <w:r>
              <w:rPr>
                <w:rFonts w:ascii="Arial" w:cs="Arial" w:eastAsia="Arial" w:hAnsi="Arial"/>
                <w:sz w:val="20"/>
                <w:szCs w:val="20"/>
                <w:b w:val="1"/>
                <w:bCs w:val="1"/>
                <w:color w:val="auto"/>
              </w:rPr>
              <w:t>CUSIP NUMBER</w:t>
            </w:r>
          </w:p>
        </w:tc>
      </w:tr>
      <w:tr>
        <w:trPr>
          <w:trHeight w:val="250"/>
        </w:trPr>
        <w:tc>
          <w:tcPr>
            <w:tcW w:w="1260" w:type="dxa"/>
            <w:vAlign w:val="bottom"/>
          </w:tcPr>
          <w:p>
            <w:pPr>
              <w:spacing w:after="0"/>
              <w:rPr>
                <w:sz w:val="21"/>
                <w:szCs w:val="21"/>
                <w:color w:val="auto"/>
              </w:rPr>
            </w:pPr>
          </w:p>
        </w:tc>
        <w:tc>
          <w:tcPr>
            <w:tcW w:w="1580" w:type="dxa"/>
            <w:vAlign w:val="bottom"/>
            <w:gridSpan w:val="2"/>
          </w:tcPr>
          <w:p>
            <w:pPr>
              <w:ind w:left="460"/>
              <w:spacing w:after="0"/>
              <w:rPr>
                <w:sz w:val="20"/>
                <w:szCs w:val="20"/>
                <w:color w:val="auto"/>
              </w:rPr>
            </w:pPr>
            <w:r>
              <w:rPr>
                <w:rFonts w:ascii="Arial" w:cs="Arial" w:eastAsia="Arial" w:hAnsi="Arial"/>
                <w:sz w:val="20"/>
                <w:szCs w:val="20"/>
                <w:color w:val="auto"/>
              </w:rPr>
              <w:t>63845R107</w:t>
            </w:r>
          </w:p>
        </w:tc>
        <w:tc>
          <w:tcPr>
            <w:tcW w:w="8380" w:type="dxa"/>
            <w:vAlign w:val="bottom"/>
          </w:tcPr>
          <w:p>
            <w:pPr>
              <w:spacing w:after="0"/>
              <w:rPr>
                <w:sz w:val="21"/>
                <w:szCs w:val="21"/>
                <w:color w:val="auto"/>
              </w:rPr>
            </w:pP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60" w:type="dxa"/>
            <w:vAlign w:val="bottom"/>
            <w:gridSpan w:val="3"/>
          </w:tcPr>
          <w:p>
            <w:pPr>
              <w:ind w:left="460"/>
              <w:spacing w:after="0"/>
              <w:rPr>
                <w:sz w:val="20"/>
                <w:szCs w:val="20"/>
                <w:color w:val="auto"/>
              </w:rPr>
            </w:pPr>
            <w:r>
              <w:rPr>
                <w:rFonts w:ascii="Arial" w:cs="Arial" w:eastAsia="Arial" w:hAnsi="Arial"/>
                <w:sz w:val="20"/>
                <w:szCs w:val="20"/>
                <w:b w:val="1"/>
                <w:bCs w:val="1"/>
                <w:color w:val="auto"/>
                <w:w w:val="99"/>
              </w:rPr>
              <w:t>IF THIS STATEMENT IS FILED PURSUANT TO Rules 13d-1(b), OR 13d-2(b) OR (c), CHECK WHETHER</w:t>
            </w:r>
          </w:p>
        </w:tc>
      </w:tr>
      <w:tr>
        <w:trPr>
          <w:trHeight w:val="212"/>
        </w:trPr>
        <w:tc>
          <w:tcPr>
            <w:tcW w:w="1260" w:type="dxa"/>
            <w:vAlign w:val="bottom"/>
          </w:tcPr>
          <w:p>
            <w:pPr>
              <w:spacing w:after="0"/>
              <w:rPr>
                <w:sz w:val="18"/>
                <w:szCs w:val="18"/>
                <w:color w:val="auto"/>
              </w:rPr>
            </w:pPr>
          </w:p>
        </w:tc>
        <w:tc>
          <w:tcPr>
            <w:tcW w:w="9960" w:type="dxa"/>
            <w:vAlign w:val="bottom"/>
            <w:gridSpan w:val="3"/>
          </w:tcPr>
          <w:p>
            <w:pPr>
              <w:ind w:left="460"/>
              <w:spacing w:after="0" w:line="211" w:lineRule="exact"/>
              <w:rPr>
                <w:sz w:val="20"/>
                <w:szCs w:val="20"/>
                <w:color w:val="auto"/>
              </w:rPr>
            </w:pPr>
            <w:r>
              <w:rPr>
                <w:rFonts w:ascii="Arial" w:cs="Arial" w:eastAsia="Arial" w:hAnsi="Arial"/>
                <w:sz w:val="20"/>
                <w:szCs w:val="20"/>
                <w:b w:val="1"/>
                <w:bCs w:val="1"/>
                <w:color w:val="auto"/>
              </w:rPr>
              <w:t>THE PERSON FILING IS A:</w:t>
            </w:r>
          </w:p>
        </w:tc>
      </w:tr>
      <w:tr>
        <w:trPr>
          <w:trHeight w:val="310"/>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(a)</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Broker or dealer registered under Section 15 of the Act;</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(b)</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Bank as defined in Section 3(a)(6) of the Act;</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(c)</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Insurance company as defined in Section 3(a)(19) of the Act;</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(d)</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Investment company registered under Section 8 of the Investment Company Act of 1940;</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(e)</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An investment adviser in accordance with Rule 13d-1(b)(1)(ii)(E);</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(f)</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80"/>
              <w:spacing w:after="0"/>
              <w:rPr>
                <w:sz w:val="20"/>
                <w:szCs w:val="20"/>
                <w:color w:val="auto"/>
              </w:rPr>
            </w:pPr>
            <w:r>
              <w:rPr>
                <w:rFonts w:ascii="Arial" w:cs="Arial" w:eastAsia="Arial" w:hAnsi="Arial"/>
                <w:sz w:val="20"/>
                <w:szCs w:val="20"/>
                <w:color w:val="auto"/>
              </w:rPr>
              <w:t>An employee benefit plan or endowment fund in accordance with Rule 13d-1(b)(1)(ii)(F);</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(g)</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80"/>
              <w:spacing w:after="0"/>
              <w:rPr>
                <w:sz w:val="20"/>
                <w:szCs w:val="20"/>
                <w:color w:val="auto"/>
              </w:rPr>
            </w:pPr>
            <w:r>
              <w:rPr>
                <w:rFonts w:ascii="Arial" w:cs="Arial" w:eastAsia="Arial" w:hAnsi="Arial"/>
                <w:sz w:val="20"/>
                <w:szCs w:val="20"/>
                <w:color w:val="auto"/>
              </w:rPr>
              <w:t>A parent holding company or control person in accordance with Rule 13d-1(b)(1)(ii)(G);</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(h)</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A savings association as defined in Section 3(b) of the Federal Deposit Insurance Act;</w:t>
            </w:r>
          </w:p>
        </w:tc>
      </w:tr>
      <w:tr>
        <w:trPr>
          <w:trHeight w:val="403"/>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(i)</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w w:val="91"/>
              </w:rPr>
              <w:t>A church plan that is excluded from the definition of an investment company under Section 3(c)(14) of</w:t>
            </w:r>
          </w:p>
        </w:tc>
      </w:tr>
      <w:tr>
        <w:trPr>
          <w:trHeight w:val="250"/>
        </w:trPr>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380" w:type="dxa"/>
            <w:vAlign w:val="bottom"/>
          </w:tcPr>
          <w:p>
            <w:pPr>
              <w:ind w:left="140"/>
              <w:spacing w:after="0"/>
              <w:rPr>
                <w:sz w:val="20"/>
                <w:szCs w:val="20"/>
                <w:color w:val="auto"/>
              </w:rPr>
            </w:pPr>
            <w:r>
              <w:rPr>
                <w:rFonts w:ascii="Arial" w:cs="Arial" w:eastAsia="Arial" w:hAnsi="Arial"/>
                <w:sz w:val="20"/>
                <w:szCs w:val="20"/>
                <w:color w:val="auto"/>
              </w:rPr>
              <w:t>the Investment Company Act;</w:t>
            </w:r>
          </w:p>
        </w:tc>
      </w:tr>
      <w:tr>
        <w:trPr>
          <w:trHeight w:val="495"/>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(j)</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A non-U.S. institution in accordance with Rule 13d-1(b)(1)(ii)(J);</w:t>
            </w:r>
          </w:p>
        </w:tc>
      </w:tr>
      <w:tr>
        <w:trPr>
          <w:trHeight w:val="459"/>
        </w:trPr>
        <w:tc>
          <w:tcPr>
            <w:tcW w:w="1260" w:type="dxa"/>
            <w:vAlign w:val="bottom"/>
          </w:tcPr>
          <w:p>
            <w:pPr>
              <w:spacing w:after="0"/>
              <w:rPr>
                <w:sz w:val="24"/>
                <w:szCs w:val="24"/>
                <w:color w:val="auto"/>
              </w:rPr>
            </w:pPr>
          </w:p>
        </w:tc>
        <w:tc>
          <w:tcPr>
            <w:tcW w:w="960" w:type="dxa"/>
            <w:vAlign w:val="bottom"/>
          </w:tcPr>
          <w:p>
            <w:pPr>
              <w:ind w:left="460"/>
              <w:spacing w:after="0"/>
              <w:rPr>
                <w:sz w:val="20"/>
                <w:szCs w:val="20"/>
                <w:color w:val="auto"/>
              </w:rPr>
            </w:pPr>
            <w:r>
              <w:rPr>
                <w:rFonts w:ascii="Arial" w:cs="Arial" w:eastAsia="Arial" w:hAnsi="Arial"/>
                <w:sz w:val="20"/>
                <w:szCs w:val="20"/>
                <w:color w:val="auto"/>
              </w:rPr>
              <w:t>(k)</w:t>
            </w:r>
          </w:p>
        </w:tc>
        <w:tc>
          <w:tcPr>
            <w:tcW w:w="620" w:type="dxa"/>
            <w:vAlign w:val="bottom"/>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8380" w:type="dxa"/>
            <w:vAlign w:val="bottom"/>
          </w:tcPr>
          <w:p>
            <w:pPr>
              <w:ind w:left="140"/>
              <w:spacing w:after="0"/>
              <w:rPr>
                <w:sz w:val="20"/>
                <w:szCs w:val="20"/>
                <w:color w:val="auto"/>
              </w:rPr>
            </w:pPr>
            <w:r>
              <w:rPr>
                <w:rFonts w:ascii="Arial" w:cs="Arial" w:eastAsia="Arial" w:hAnsi="Arial"/>
                <w:sz w:val="20"/>
                <w:szCs w:val="20"/>
                <w:color w:val="auto"/>
              </w:rPr>
              <w:t>Group, in accordance with Rule 13d-1(b)(1)(ii)(K).</w:t>
            </w:r>
          </w:p>
        </w:tc>
      </w:tr>
    </w:tbl>
    <w:p>
      <w:pPr>
        <w:spacing w:after="0" w:line="200" w:lineRule="exact"/>
        <w:rPr>
          <w:sz w:val="20"/>
          <w:szCs w:val="20"/>
          <w:color w:val="auto"/>
        </w:rPr>
      </w:pPr>
    </w:p>
    <w:p>
      <w:pPr>
        <w:spacing w:after="0" w:line="203" w:lineRule="exact"/>
        <w:rPr>
          <w:sz w:val="20"/>
          <w:szCs w:val="20"/>
          <w:color w:val="auto"/>
        </w:rPr>
      </w:pPr>
    </w:p>
    <w:p>
      <w:pPr>
        <w:ind w:left="1820" w:right="3040"/>
        <w:spacing w:after="0" w:line="260" w:lineRule="auto"/>
        <w:rPr>
          <w:sz w:val="20"/>
          <w:szCs w:val="20"/>
          <w:color w:val="auto"/>
        </w:rPr>
      </w:pPr>
      <w:r>
        <w:rPr>
          <w:rFonts w:ascii="Arial" w:cs="Arial" w:eastAsia="Arial" w:hAnsi="Arial"/>
          <w:sz w:val="20"/>
          <w:szCs w:val="20"/>
          <w:color w:val="auto"/>
        </w:rPr>
        <w:t xml:space="preserve">If filing as a non-U.S. institution in accordance with Rule 13d-1(b)(1)(ii)(J), please specify the type of institution: </w:t>
      </w:r>
      <w:r>
        <w:rPr>
          <w:rFonts w:ascii="Arial" w:cs="Arial" w:eastAsia="Arial" w:hAnsi="Arial"/>
          <w:sz w:val="20"/>
          <w:szCs w:val="20"/>
          <w:u w:val="single" w:color="auto"/>
          <w:color w:val="auto"/>
        </w:rPr>
        <w:t>Not applicable.</w:t>
      </w:r>
    </w:p>
    <w:p>
      <w:pPr>
        <w:spacing w:after="0" w:line="184"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 w:lineRule="exact"/>
        <w:rPr>
          <w:sz w:val="20"/>
          <w:szCs w:val="20"/>
          <w:color w:val="auto"/>
        </w:rPr>
      </w:pPr>
    </w:p>
    <w:p>
      <w:pPr>
        <w:ind w:left="1840" w:hanging="918"/>
        <w:spacing w:after="0"/>
        <w:tabs>
          <w:tab w:leader="none" w:pos="184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Adage Capital Partners, L.P., Adage Capital Partners GP, L.L.C. and Adage Capital Advisors, L.L.C.</w:t>
      </w: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Amount beneficially owned: 5,710,358</w:t>
      </w:r>
    </w:p>
    <w:p>
      <w:pPr>
        <w:ind w:left="2860" w:right="100" w:hanging="561"/>
        <w:spacing w:after="0" w:line="252" w:lineRule="auto"/>
        <w:tabs>
          <w:tab w:leader="none" w:pos="2860" w:val="left"/>
        </w:tabs>
        <w:numPr>
          <w:ilvl w:val="1"/>
          <w:numId w:val="7"/>
        </w:numPr>
        <w:rPr>
          <w:rFonts w:ascii="Arial" w:cs="Arial" w:eastAsia="Arial" w:hAnsi="Arial"/>
          <w:sz w:val="19"/>
          <w:szCs w:val="19"/>
          <w:color w:val="auto"/>
        </w:rPr>
      </w:pPr>
      <w:r>
        <w:rPr>
          <w:rFonts w:ascii="Arial" w:cs="Arial" w:eastAsia="Arial" w:hAnsi="Arial"/>
          <w:sz w:val="19"/>
          <w:szCs w:val="19"/>
          <w:color w:val="auto"/>
        </w:rPr>
        <w:t>Percent of class: 7.40%. The percentages set forth in this Schedule 13G/A are calculated based upon the 77,164,296 shares of Common Stock reported to be issued and outstanding as of October 31, 2018, in the Company's Quarterly Report on Form 10-Q for the quarterly period ended September 29, 2018 filed with the Securities and Exchange Commission on November 13, 2018.</w:t>
      </w:r>
    </w:p>
    <w:p>
      <w:pPr>
        <w:ind w:left="2860" w:hanging="561"/>
        <w:spacing w:after="0"/>
        <w:tabs>
          <w:tab w:leader="none" w:pos="2860" w:val="left"/>
        </w:tabs>
        <w:numPr>
          <w:ilvl w:val="1"/>
          <w:numId w:val="7"/>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vote or direct the vote: 5,710,358</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73"/>
        <w:spacing w:after="0"/>
        <w:tabs>
          <w:tab w:leader="none" w:pos="3540" w:val="left"/>
        </w:tabs>
        <w:numPr>
          <w:ilvl w:val="2"/>
          <w:numId w:val="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5,710,358</w:t>
      </w:r>
    </w:p>
    <w:p>
      <w:pPr>
        <w:sectPr>
          <w:pgSz w:w="11900" w:h="16838" w:orient="portrait"/>
          <w:cols w:equalWidth="0" w:num="1">
            <w:col w:w="11420"/>
          </w:cols>
          <w:pgMar w:left="240" w:top="463" w:right="239" w:bottom="1440" w:gutter="0" w:footer="0" w:header="0"/>
          <w:type w:val="continuous"/>
        </w:sectPr>
      </w:pPr>
    </w:p>
    <w:bookmarkStart w:id="8" w:name="page9"/>
    <w:bookmarkEnd w:id="8"/>
    <w:p>
      <w:pPr>
        <w:spacing w:after="0"/>
        <w:tabs>
          <w:tab w:leader="none" w:pos="5400" w:val="left"/>
          <w:tab w:leader="none" w:pos="970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9 of 10 Pages</w:t>
      </w:r>
    </w:p>
    <w:p>
      <w:pPr>
        <w:sectPr>
          <w:pgSz w:w="11900" w:h="16838" w:orient="portrait"/>
          <w:cols w:equalWidth="0" w:num="1">
            <w:col w:w="11420"/>
          </w:cols>
          <w:pgMar w:left="240" w:top="463" w:right="239" w:bottom="1440" w:gutter="0" w:footer="0" w:header="0"/>
        </w:sectPr>
      </w:pPr>
    </w:p>
    <w:p>
      <w:pPr>
        <w:spacing w:after="0" w:line="338" w:lineRule="exact"/>
        <w:rPr>
          <w:sz w:val="20"/>
          <w:szCs w:val="20"/>
          <w:color w:val="auto"/>
        </w:rPr>
      </w:pPr>
    </w:p>
    <w:p>
      <w:pPr>
        <w:ind w:left="120" w:right="140"/>
        <w:spacing w:after="0" w:line="246" w:lineRule="auto"/>
        <w:rPr>
          <w:sz w:val="20"/>
          <w:szCs w:val="20"/>
          <w:color w:val="auto"/>
        </w:rPr>
      </w:pPr>
      <w:r>
        <w:rPr>
          <w:rFonts w:ascii="Arial" w:cs="Arial" w:eastAsia="Arial" w:hAnsi="Arial"/>
          <w:sz w:val="20"/>
          <w:szCs w:val="20"/>
          <w:color w:val="auto"/>
        </w:rPr>
        <w:t>ACP has the power to dispose of and the power to vote the shares of Common Stock beneficially owned by it, which power may be exercised by its general partner, ACPGP. ACA, as managing member of ACPGP, directs ACPGP's operations. Neither ACPGP nor ACA directly own any shares of Common Stock. By reason of the provisions of Rule 13d-3 of the Act, ACPGP and ACA may be deemed to beneficially own the shares owned by ACP.</w:t>
      </w:r>
    </w:p>
    <w:p>
      <w:pPr>
        <w:spacing w:after="0" w:line="205" w:lineRule="exact"/>
        <w:rPr>
          <w:sz w:val="20"/>
          <w:szCs w:val="20"/>
          <w:color w:val="auto"/>
        </w:rPr>
      </w:pPr>
    </w:p>
    <w:p>
      <w:pPr>
        <w:ind w:left="1840" w:hanging="810"/>
        <w:spacing w:after="0"/>
        <w:tabs>
          <w:tab w:leader="none" w:pos="1840" w:val="left"/>
        </w:tabs>
        <w:numPr>
          <w:ilvl w:val="0"/>
          <w:numId w:val="8"/>
        </w:numPr>
        <w:rPr>
          <w:rFonts w:ascii="Arial" w:cs="Arial" w:eastAsia="Arial" w:hAnsi="Arial"/>
          <w:sz w:val="20"/>
          <w:szCs w:val="20"/>
          <w:color w:val="auto"/>
        </w:rPr>
      </w:pPr>
      <w:r>
        <w:rPr>
          <w:rFonts w:ascii="Arial" w:cs="Arial" w:eastAsia="Arial" w:hAnsi="Arial"/>
          <w:sz w:val="20"/>
          <w:szCs w:val="20"/>
          <w:color w:val="auto"/>
        </w:rPr>
        <w:t>Robert Atchinson and Phillip Gross</w:t>
      </w:r>
    </w:p>
    <w:p>
      <w:pPr>
        <w:spacing w:after="0" w:line="15" w:lineRule="exact"/>
        <w:rPr>
          <w:rFonts w:ascii="Arial" w:cs="Arial" w:eastAsia="Arial" w:hAnsi="Arial"/>
          <w:sz w:val="20"/>
          <w:szCs w:val="20"/>
          <w:color w:val="auto"/>
        </w:rPr>
      </w:pPr>
    </w:p>
    <w:p>
      <w:pPr>
        <w:ind w:left="2860" w:hanging="561"/>
        <w:spacing w:after="0"/>
        <w:tabs>
          <w:tab w:leader="none" w:pos="2860" w:val="left"/>
        </w:tabs>
        <w:numPr>
          <w:ilvl w:val="1"/>
          <w:numId w:val="8"/>
        </w:numPr>
        <w:rPr>
          <w:rFonts w:ascii="Arial" w:cs="Arial" w:eastAsia="Arial" w:hAnsi="Arial"/>
          <w:sz w:val="20"/>
          <w:szCs w:val="20"/>
          <w:color w:val="auto"/>
        </w:rPr>
      </w:pPr>
      <w:r>
        <w:rPr>
          <w:rFonts w:ascii="Arial" w:cs="Arial" w:eastAsia="Arial" w:hAnsi="Arial"/>
          <w:sz w:val="20"/>
          <w:szCs w:val="20"/>
          <w:color w:val="auto"/>
        </w:rPr>
        <w:t>Amount beneficially owned: 5,710,358</w:t>
      </w:r>
    </w:p>
    <w:p>
      <w:pPr>
        <w:ind w:left="2860" w:hanging="561"/>
        <w:spacing w:after="0"/>
        <w:tabs>
          <w:tab w:leader="none" w:pos="2860" w:val="left"/>
        </w:tabs>
        <w:numPr>
          <w:ilvl w:val="1"/>
          <w:numId w:val="8"/>
        </w:numPr>
        <w:rPr>
          <w:rFonts w:ascii="Arial" w:cs="Arial" w:eastAsia="Arial" w:hAnsi="Arial"/>
          <w:sz w:val="20"/>
          <w:szCs w:val="20"/>
          <w:color w:val="auto"/>
        </w:rPr>
      </w:pPr>
      <w:r>
        <w:rPr>
          <w:rFonts w:ascii="Arial" w:cs="Arial" w:eastAsia="Arial" w:hAnsi="Arial"/>
          <w:sz w:val="20"/>
          <w:szCs w:val="20"/>
          <w:color w:val="auto"/>
        </w:rPr>
        <w:t>Percent of class: 7.40%</w:t>
      </w:r>
    </w:p>
    <w:p>
      <w:pPr>
        <w:ind w:left="2860" w:hanging="561"/>
        <w:spacing w:after="0"/>
        <w:tabs>
          <w:tab w:leader="none" w:pos="2860" w:val="left"/>
        </w:tabs>
        <w:numPr>
          <w:ilvl w:val="1"/>
          <w:numId w:val="8"/>
        </w:numPr>
        <w:rPr>
          <w:rFonts w:ascii="Arial" w:cs="Arial" w:eastAsia="Arial" w:hAnsi="Arial"/>
          <w:sz w:val="20"/>
          <w:szCs w:val="20"/>
          <w:color w:val="auto"/>
        </w:rPr>
      </w:pPr>
      <w:r>
        <w:rPr>
          <w:rFonts w:ascii="Arial" w:cs="Arial" w:eastAsia="Arial" w:hAnsi="Arial"/>
          <w:sz w:val="20"/>
          <w:szCs w:val="20"/>
          <w:color w:val="auto"/>
        </w:rPr>
        <w:t>(i)</w:t>
      </w:r>
      <w:r>
        <w:rPr>
          <w:rFonts w:ascii="Arial" w:cs="Arial" w:eastAsia="Arial" w:hAnsi="Arial"/>
          <w:sz w:val="18"/>
          <w:szCs w:val="18"/>
          <w:color w:val="auto"/>
        </w:rPr>
        <w:t>Sole power to vote or direct the vote: 0</w:t>
      </w:r>
    </w:p>
    <w:p>
      <w:pPr>
        <w:ind w:left="3540" w:hanging="680"/>
        <w:spacing w:after="0"/>
        <w:tabs>
          <w:tab w:leader="none" w:pos="35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vote or direct the vote: 5,710,358</w:t>
      </w:r>
    </w:p>
    <w:p>
      <w:pPr>
        <w:ind w:left="3540" w:hanging="680"/>
        <w:spacing w:after="0"/>
        <w:tabs>
          <w:tab w:leader="none" w:pos="35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Sole power to dispose or direct the disposition: 0</w:t>
      </w:r>
    </w:p>
    <w:p>
      <w:pPr>
        <w:ind w:left="3540" w:hanging="680"/>
        <w:spacing w:after="0"/>
        <w:tabs>
          <w:tab w:leader="none" w:pos="3540" w:val="left"/>
        </w:tabs>
        <w:numPr>
          <w:ilvl w:val="2"/>
          <w:numId w:val="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5,710,358</w:t>
      </w:r>
    </w:p>
    <w:p>
      <w:pPr>
        <w:spacing w:after="0" w:line="213" w:lineRule="exact"/>
        <w:rPr>
          <w:sz w:val="20"/>
          <w:szCs w:val="20"/>
          <w:color w:val="auto"/>
        </w:rPr>
      </w:pPr>
    </w:p>
    <w:p>
      <w:pPr>
        <w:jc w:val="both"/>
        <w:ind w:left="120" w:right="320"/>
        <w:spacing w:after="0" w:line="250" w:lineRule="auto"/>
        <w:rPr>
          <w:sz w:val="20"/>
          <w:szCs w:val="20"/>
          <w:color w:val="auto"/>
        </w:rPr>
      </w:pPr>
      <w:r>
        <w:rPr>
          <w:rFonts w:ascii="Arial" w:cs="Arial" w:eastAsia="Arial" w:hAnsi="Arial"/>
          <w:sz w:val="20"/>
          <w:szCs w:val="20"/>
          <w:color w:val="auto"/>
        </w:rPr>
        <w:t>Messrs. Atchinson and Gross, as managing members of ACA, have shared power to vote the shares of Common Stock beneficially owned by ACP. Neither Mr. Atchinson nor Mr. Gross directly own any shares of Common Stock. By reason of the provisions of Rule 13d-3 of the Act, each may be deemed to beneficially own the shares beneficially owned by ACP.</w:t>
      </w:r>
    </w:p>
    <w:p>
      <w:pPr>
        <w:spacing w:after="0" w:line="194"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w:t>
      </w:r>
    </w:p>
    <w:p>
      <w:pPr>
        <w:spacing w:after="0" w:line="22" w:lineRule="exact"/>
        <w:rPr>
          <w:sz w:val="20"/>
          <w:szCs w:val="20"/>
          <w:color w:val="auto"/>
        </w:rPr>
      </w:pPr>
    </w:p>
    <w:p>
      <w:pPr>
        <w:ind w:left="1820" w:right="1500"/>
        <w:spacing w:after="0" w:line="244" w:lineRule="auto"/>
        <w:rPr>
          <w:sz w:val="20"/>
          <w:szCs w:val="20"/>
          <w:color w:val="auto"/>
        </w:rPr>
      </w:pPr>
      <w:r>
        <w:rPr>
          <w:rFonts w:ascii="Arial" w:cs="Arial" w:eastAsia="Arial" w:hAnsi="Arial"/>
          <w:sz w:val="20"/>
          <w:szCs w:val="20"/>
          <w:b w:val="1"/>
          <w:bCs w:val="1"/>
          <w:color w:val="auto"/>
        </w:rPr>
        <w:t xml:space="preserve">BEING REPORTED ON BY THE PARENT HOLDING COMPANY OR CONTROL PERSON </w:t>
      </w:r>
      <w:r>
        <w:rPr>
          <w:rFonts w:ascii="Arial" w:cs="Arial" w:eastAsia="Arial" w:hAnsi="Arial"/>
          <w:sz w:val="20"/>
          <w:szCs w:val="20"/>
          <w:color w:val="auto"/>
        </w:rPr>
        <w:t>Not applicable.</w:t>
      </w:r>
    </w:p>
    <w:p>
      <w:pPr>
        <w:spacing w:after="0" w:line="199"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Not applicable.</w:t>
      </w:r>
    </w:p>
    <w:p>
      <w:pPr>
        <w:spacing w:after="0" w:line="207" w:lineRule="exact"/>
        <w:rPr>
          <w:sz w:val="20"/>
          <w:szCs w:val="20"/>
          <w:color w:val="auto"/>
        </w:rPr>
      </w:pPr>
    </w:p>
    <w:p>
      <w:pPr>
        <w:ind w:left="100"/>
        <w:spacing w:after="0"/>
        <w:tabs>
          <w:tab w:leader="none" w:pos="180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2" w:lineRule="exact"/>
        <w:rPr>
          <w:sz w:val="20"/>
          <w:szCs w:val="20"/>
          <w:color w:val="auto"/>
        </w:rPr>
      </w:pPr>
    </w:p>
    <w:p>
      <w:pPr>
        <w:ind w:left="182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13" w:lineRule="exact"/>
        <w:rPr>
          <w:sz w:val="20"/>
          <w:szCs w:val="20"/>
          <w:color w:val="auto"/>
        </w:rPr>
      </w:pPr>
    </w:p>
    <w:p>
      <w:pPr>
        <w:ind w:left="1820" w:right="160"/>
        <w:spacing w:after="0" w:line="246" w:lineRule="auto"/>
        <w:rPr>
          <w:sz w:val="20"/>
          <w:szCs w:val="20"/>
          <w:color w:val="auto"/>
        </w:rPr>
      </w:pPr>
      <w:r>
        <w:rPr>
          <w:rFonts w:ascii="Arial" w:cs="Arial" w:eastAsia="Arial" w:hAnsi="Arial"/>
          <w:sz w:val="20"/>
          <w:szCs w:val="20"/>
          <w:color w:val="auto"/>
        </w:rPr>
        <w:t>By signing below each Reporting Person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420"/>
          </w:cols>
          <w:pgMar w:left="240" w:top="463" w:right="239" w:bottom="1440" w:gutter="0" w:footer="0" w:header="0"/>
          <w:type w:val="continuous"/>
        </w:sectPr>
      </w:pPr>
    </w:p>
    <w:bookmarkStart w:id="9" w:name="page10"/>
    <w:bookmarkEnd w:id="9"/>
    <w:p>
      <w:pPr>
        <w:spacing w:after="0"/>
        <w:tabs>
          <w:tab w:leader="none" w:pos="5400" w:val="left"/>
          <w:tab w:leader="none" w:pos="9600" w:val="left"/>
        </w:tabs>
        <w:rPr>
          <w:sz w:val="20"/>
          <w:szCs w:val="20"/>
          <w:color w:val="auto"/>
        </w:rPr>
      </w:pPr>
      <w:r>
        <w:rPr>
          <w:rFonts w:ascii="Arial" w:cs="Arial" w:eastAsia="Arial" w:hAnsi="Arial"/>
          <w:sz w:val="22"/>
          <w:szCs w:val="22"/>
          <w:b w:val="1"/>
          <w:bCs w:val="1"/>
          <w:color w:val="auto"/>
        </w:rPr>
        <w:t>CUSIP No. 63845R107</w:t>
      </w:r>
      <w:r>
        <w:rPr>
          <w:sz w:val="20"/>
          <w:szCs w:val="20"/>
          <w:color w:val="auto"/>
        </w:rPr>
        <w:tab/>
      </w:r>
      <w:r>
        <w:rPr>
          <w:rFonts w:ascii="Arial" w:cs="Arial" w:eastAsia="Arial" w:hAnsi="Arial"/>
          <w:sz w:val="22"/>
          <w:szCs w:val="22"/>
          <w:b w:val="1"/>
          <w:bCs w:val="1"/>
          <w:color w:val="auto"/>
        </w:rPr>
        <w:t>13G/A</w:t>
      </w:r>
      <w:r>
        <w:rPr>
          <w:sz w:val="20"/>
          <w:szCs w:val="20"/>
          <w:color w:val="auto"/>
        </w:rPr>
        <w:tab/>
      </w:r>
      <w:r>
        <w:rPr>
          <w:rFonts w:ascii="Arial" w:cs="Arial" w:eastAsia="Arial" w:hAnsi="Arial"/>
          <w:sz w:val="18"/>
          <w:szCs w:val="18"/>
          <w:b w:val="1"/>
          <w:bCs w:val="1"/>
          <w:color w:val="auto"/>
        </w:rPr>
        <w:t>Page 10 of 10 Pages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his or its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13, 2019</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L.P.</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Partners GP, L.L.C.,</w:t>
      </w:r>
    </w:p>
    <w:p>
      <w:pPr>
        <w:spacing w:after="0"/>
        <w:rPr>
          <w:sz w:val="20"/>
          <w:szCs w:val="20"/>
          <w:color w:val="auto"/>
        </w:rPr>
      </w:pPr>
      <w:r>
        <w:rPr>
          <w:rFonts w:ascii="Arial" w:cs="Arial" w:eastAsia="Arial" w:hAnsi="Arial"/>
          <w:sz w:val="20"/>
          <w:szCs w:val="20"/>
          <w:color w:val="auto"/>
        </w:rPr>
        <w:t>its general partner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PARTNERS GP,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By: Adage Capital Advisors, L.L.C.,</w:t>
      </w:r>
    </w:p>
    <w:p>
      <w:pPr>
        <w:spacing w:after="0"/>
        <w:rPr>
          <w:sz w:val="20"/>
          <w:szCs w:val="20"/>
          <w:color w:val="auto"/>
        </w:rPr>
      </w:pPr>
      <w:r>
        <w:rPr>
          <w:rFonts w:ascii="Arial" w:cs="Arial" w:eastAsia="Arial" w:hAnsi="Arial"/>
          <w:sz w:val="20"/>
          <w:szCs w:val="20"/>
          <w:color w:val="auto"/>
        </w:rPr>
        <w:t>its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ADAGE CAPITAL ADVISORS,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 Robert Atchinson</w:t>
      </w:r>
    </w:p>
    <w:p>
      <w:pPr>
        <w:spacing w:after="0"/>
        <w:rPr>
          <w:sz w:val="20"/>
          <w:szCs w:val="20"/>
          <w:color w:val="auto"/>
        </w:rPr>
      </w:pPr>
      <w:r>
        <w:rPr>
          <w:rFonts w:ascii="Arial" w:cs="Arial" w:eastAsia="Arial" w:hAnsi="Arial"/>
          <w:sz w:val="20"/>
          <w:szCs w:val="20"/>
          <w:color w:val="auto"/>
        </w:rPr>
        <w:t>Title: Managing Member</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Robert Atchinson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ROBERT ATCHINSON, individually</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PHILLIP GROSS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 Phillip Gross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PHILLIP GROSS, individually</w:t>
      </w:r>
    </w:p>
    <w:sectPr>
      <w:pgSz w:w="11900" w:h="16838" w:orient="portrait"/>
      <w:cols w:equalWidth="0" w:num="1">
        <w:col w:w="11420"/>
      </w:cols>
      <w:pgMar w:left="240" w:top="4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
    <w:nsid w:val="7545E14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2019-12-20T00:02:05Z</dcterms:created>
  <dcterms:modified xsi:type="dcterms:W3CDTF">2019-12-20T00:02:05Z</dcterms:modified>
</cp:coreProperties>
</file>